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2023</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30 Jun 2023</w:t>
      </w:r>
      <w:r>
        <w:fldChar w:fldCharType="end"/>
      </w:r>
      <w:r>
        <w:t xml:space="preserve">, </w:t>
      </w:r>
      <w:r>
        <w:fldChar w:fldCharType="begin"/>
      </w:r>
      <w:r>
        <w:instrText xml:space="preserve"> DocProperty ToSuffix</w:instrText>
      </w:r>
      <w:r>
        <w:fldChar w:fldCharType="separate"/>
      </w:r>
      <w:r>
        <w:t>03-n0-00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1" w:name="_Toc138850837"/>
      <w:bookmarkStart w:id="2" w:name="_Toc138850948"/>
      <w:bookmarkStart w:id="3" w:name="_Toc138929826"/>
      <w:bookmarkStart w:id="4" w:name="_Toc138930521"/>
      <w:bookmarkStart w:id="5" w:name="_Toc135142666"/>
      <w:bookmarkStart w:id="6" w:name="_Toc135143233"/>
      <w:bookmarkStart w:id="7" w:name="_Toc13521806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138930522"/>
      <w:bookmarkStart w:id="10" w:name="_Toc135218063"/>
      <w:r>
        <w:rPr>
          <w:rStyle w:val="CharSectno"/>
        </w:rPr>
        <w:t>1</w:t>
      </w:r>
      <w:r>
        <w:rPr>
          <w:snapToGrid w:val="0"/>
        </w:rPr>
        <w:t>.</w:t>
      </w:r>
      <w:r>
        <w:rPr>
          <w:snapToGrid w:val="0"/>
        </w:rPr>
        <w:tab/>
        <w:t>Citation</w:t>
      </w:r>
      <w:bookmarkEnd w:id="9"/>
      <w:bookmarkEnd w:id="10"/>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11" w:name="_Toc138930523"/>
      <w:bookmarkStart w:id="12" w:name="_Toc135218064"/>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July 1996.</w:t>
      </w:r>
    </w:p>
    <w:p>
      <w:pPr>
        <w:pStyle w:val="Heading2"/>
      </w:pPr>
      <w:bookmarkStart w:id="13" w:name="_Toc138850840"/>
      <w:bookmarkStart w:id="14" w:name="_Toc138850951"/>
      <w:bookmarkStart w:id="15" w:name="_Toc138929829"/>
      <w:bookmarkStart w:id="16" w:name="_Toc138930524"/>
      <w:bookmarkStart w:id="17" w:name="_Toc135142669"/>
      <w:bookmarkStart w:id="18" w:name="_Toc135143236"/>
      <w:bookmarkStart w:id="19" w:name="_Toc135218065"/>
      <w:r>
        <w:rPr>
          <w:rStyle w:val="CharPartNo"/>
        </w:rPr>
        <w:lastRenderedPageBreak/>
        <w:t>Part 1A</w:t>
      </w:r>
      <w:r>
        <w:rPr>
          <w:rStyle w:val="CharDivNo"/>
        </w:rPr>
        <w:t> </w:t>
      </w:r>
      <w:r>
        <w:rPr>
          <w:rStyle w:val="CharPartNo"/>
        </w:rPr>
        <w:t>—</w:t>
      </w:r>
      <w:r>
        <w:rPr>
          <w:rStyle w:val="CharDivText"/>
        </w:rPr>
        <w:t> </w:t>
      </w:r>
      <w:r>
        <w:rPr>
          <w:rStyle w:val="CharPartText"/>
        </w:rPr>
        <w:t>Local laws</w:t>
      </w:r>
      <w:bookmarkEnd w:id="13"/>
      <w:bookmarkEnd w:id="14"/>
      <w:bookmarkEnd w:id="15"/>
      <w:bookmarkEnd w:id="16"/>
      <w:bookmarkEnd w:id="17"/>
      <w:bookmarkEnd w:id="18"/>
      <w:bookmarkEnd w:id="19"/>
    </w:p>
    <w:p>
      <w:pPr>
        <w:pStyle w:val="Footnoteheading"/>
      </w:pPr>
      <w:r>
        <w:tab/>
        <w:t>[Heading inserted: Gazette 11 Sep 1998 p. 4927.]</w:t>
      </w:r>
    </w:p>
    <w:p>
      <w:pPr>
        <w:pStyle w:val="Heading5"/>
      </w:pPr>
      <w:bookmarkStart w:id="20" w:name="_Toc138930525"/>
      <w:bookmarkStart w:id="21" w:name="_Toc135218066"/>
      <w:r>
        <w:rPr>
          <w:rStyle w:val="CharSectno"/>
        </w:rPr>
        <w:t>2A</w:t>
      </w:r>
      <w:r>
        <w:t>.</w:t>
      </w:r>
      <w:r>
        <w:tab/>
        <w:t>Matters about which local laws are not to be made (Act s. 3.5)</w:t>
      </w:r>
      <w:bookmarkEnd w:id="20"/>
      <w:bookmarkEnd w:id="21"/>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22" w:name="_Toc138930526"/>
      <w:bookmarkStart w:id="23" w:name="_Toc135218067"/>
      <w:r>
        <w:rPr>
          <w:rStyle w:val="CharSectno"/>
        </w:rPr>
        <w:t>3</w:t>
      </w:r>
      <w:r>
        <w:t>.</w:t>
      </w:r>
      <w:r>
        <w:tab/>
        <w:t xml:space="preserve">Prescribed manner of giving notice of purpose and effect of proposed local law </w:t>
      </w:r>
      <w:r>
        <w:rPr>
          <w:snapToGrid w:val="0"/>
        </w:rPr>
        <w:t>(Act </w:t>
      </w:r>
      <w:r>
        <w:t>s. 3.12(2))</w:t>
      </w:r>
      <w:bookmarkEnd w:id="22"/>
      <w:bookmarkEnd w:id="23"/>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24" w:name="_Toc138850843"/>
      <w:bookmarkStart w:id="25" w:name="_Toc138850954"/>
      <w:bookmarkStart w:id="26" w:name="_Toc138929832"/>
      <w:bookmarkStart w:id="27" w:name="_Toc138930527"/>
      <w:bookmarkStart w:id="28" w:name="_Toc135142672"/>
      <w:bookmarkStart w:id="29" w:name="_Toc135143239"/>
      <w:bookmarkStart w:id="30" w:name="_Toc135218068"/>
      <w:r>
        <w:rPr>
          <w:rStyle w:val="CharPartNo"/>
        </w:rPr>
        <w:t>Part 2</w:t>
      </w:r>
      <w:r>
        <w:rPr>
          <w:rStyle w:val="CharDivNo"/>
        </w:rPr>
        <w:t> </w:t>
      </w:r>
      <w:r>
        <w:t>—</w:t>
      </w:r>
      <w:r>
        <w:rPr>
          <w:rStyle w:val="CharDivText"/>
        </w:rPr>
        <w:t> </w:t>
      </w:r>
      <w:r>
        <w:rPr>
          <w:rStyle w:val="CharPartText"/>
        </w:rPr>
        <w:t>Thoroughfares</w:t>
      </w:r>
      <w:bookmarkEnd w:id="24"/>
      <w:bookmarkEnd w:id="25"/>
      <w:bookmarkEnd w:id="26"/>
      <w:bookmarkEnd w:id="27"/>
      <w:bookmarkEnd w:id="28"/>
      <w:bookmarkEnd w:id="29"/>
      <w:bookmarkEnd w:id="30"/>
    </w:p>
    <w:p>
      <w:pPr>
        <w:pStyle w:val="Heading5"/>
        <w:rPr>
          <w:snapToGrid w:val="0"/>
        </w:rPr>
      </w:pPr>
      <w:bookmarkStart w:id="31" w:name="_Toc138930528"/>
      <w:bookmarkStart w:id="32" w:name="_Toc135218069"/>
      <w:r>
        <w:rPr>
          <w:rStyle w:val="CharSectno"/>
        </w:rPr>
        <w:t>4</w:t>
      </w:r>
      <w:r>
        <w:rPr>
          <w:snapToGrid w:val="0"/>
        </w:rPr>
        <w:t>.</w:t>
      </w:r>
      <w:r>
        <w:rPr>
          <w:snapToGrid w:val="0"/>
        </w:rPr>
        <w:tab/>
        <w:t>Persons prescribed to be notified of road closure (Act s. 3.50)</w:t>
      </w:r>
      <w:bookmarkEnd w:id="31"/>
      <w:bookmarkEnd w:id="32"/>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33" w:name="_Toc138930529"/>
      <w:bookmarkStart w:id="34" w:name="_Toc135218070"/>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33"/>
      <w:bookmarkEnd w:id="34"/>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35" w:name="_Toc138930530"/>
      <w:bookmarkStart w:id="36" w:name="_Toc135218071"/>
      <w:r>
        <w:rPr>
          <w:rStyle w:val="CharSectno"/>
        </w:rPr>
        <w:t>6</w:t>
      </w:r>
      <w:r>
        <w:rPr>
          <w:snapToGrid w:val="0"/>
        </w:rPr>
        <w:t>.</w:t>
      </w:r>
      <w:r>
        <w:rPr>
          <w:snapToGrid w:val="0"/>
        </w:rPr>
        <w:tab/>
        <w:t>Transitional provisions about road closures</w:t>
      </w:r>
      <w:bookmarkEnd w:id="35"/>
      <w:bookmarkEnd w:id="36"/>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37" w:name="_Toc138850847"/>
      <w:bookmarkStart w:id="38" w:name="_Toc138850958"/>
      <w:bookmarkStart w:id="39" w:name="_Toc138929836"/>
      <w:bookmarkStart w:id="40" w:name="_Toc138930531"/>
      <w:bookmarkStart w:id="41" w:name="_Toc135142676"/>
      <w:bookmarkStart w:id="42" w:name="_Toc135143243"/>
      <w:bookmarkStart w:id="43" w:name="_Toc135218072"/>
      <w:r>
        <w:rPr>
          <w:rStyle w:val="CharPartNo"/>
        </w:rPr>
        <w:t>Part 3</w:t>
      </w:r>
      <w:r>
        <w:rPr>
          <w:rStyle w:val="CharDivNo"/>
        </w:rPr>
        <w:t> </w:t>
      </w:r>
      <w:r>
        <w:t>—</w:t>
      </w:r>
      <w:r>
        <w:rPr>
          <w:rStyle w:val="CharDivText"/>
        </w:rPr>
        <w:t> </w:t>
      </w:r>
      <w:r>
        <w:rPr>
          <w:rStyle w:val="CharPartText"/>
        </w:rPr>
        <w:t>Commercial enterprises by local governments (s. 3.59)</w:t>
      </w:r>
      <w:bookmarkEnd w:id="37"/>
      <w:bookmarkEnd w:id="38"/>
      <w:bookmarkEnd w:id="39"/>
      <w:bookmarkEnd w:id="40"/>
      <w:bookmarkEnd w:id="41"/>
      <w:bookmarkEnd w:id="42"/>
      <w:bookmarkEnd w:id="43"/>
    </w:p>
    <w:p>
      <w:pPr>
        <w:pStyle w:val="Heading5"/>
      </w:pPr>
      <w:bookmarkStart w:id="44" w:name="_Toc138930532"/>
      <w:bookmarkStart w:id="45" w:name="_Toc135218073"/>
      <w:r>
        <w:rPr>
          <w:rStyle w:val="CharSectno"/>
        </w:rPr>
        <w:t>7</w:t>
      </w:r>
      <w:r>
        <w:t>.</w:t>
      </w:r>
      <w:r>
        <w:tab/>
        <w:t>Term used: major regional centre</w:t>
      </w:r>
      <w:bookmarkEnd w:id="44"/>
      <w:bookmarkEnd w:id="45"/>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46" w:name="_Toc138930533"/>
      <w:bookmarkStart w:id="47" w:name="_Toc135218074"/>
      <w:r>
        <w:rPr>
          <w:rStyle w:val="CharSectno"/>
        </w:rPr>
        <w:t>8A</w:t>
      </w:r>
      <w:r>
        <w:t>.</w:t>
      </w:r>
      <w:r>
        <w:tab/>
        <w:t xml:space="preserve">Amount prescribed for major land transactions; exempt land transactions prescribed </w:t>
      </w:r>
      <w:r>
        <w:rPr>
          <w:snapToGrid w:val="0"/>
        </w:rPr>
        <w:t>(Act </w:t>
      </w:r>
      <w:r>
        <w:t>s. 3.59)</w:t>
      </w:r>
      <w:bookmarkEnd w:id="46"/>
      <w:bookmarkEnd w:id="47"/>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48" w:name="_Toc138930534"/>
      <w:bookmarkStart w:id="49" w:name="_Toc135218075"/>
      <w:r>
        <w:rPr>
          <w:rStyle w:val="CharSectno"/>
        </w:rPr>
        <w:t>8</w:t>
      </w:r>
      <w:r>
        <w:rPr>
          <w:snapToGrid w:val="0"/>
        </w:rPr>
        <w:t>.</w:t>
      </w:r>
      <w:r>
        <w:rPr>
          <w:snapToGrid w:val="0"/>
        </w:rPr>
        <w:tab/>
        <w:t>Exempt land transactions prescribed (Act s. 3.59)</w:t>
      </w:r>
      <w:bookmarkEnd w:id="48"/>
      <w:bookmarkEnd w:id="49"/>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50" w:name="_Toc138930535"/>
      <w:bookmarkStart w:id="51" w:name="_Toc135218076"/>
      <w:r>
        <w:rPr>
          <w:rStyle w:val="CharSectno"/>
        </w:rPr>
        <w:t>9</w:t>
      </w:r>
      <w:r>
        <w:rPr>
          <w:snapToGrid w:val="0"/>
        </w:rPr>
        <w:t>.</w:t>
      </w:r>
      <w:r>
        <w:rPr>
          <w:snapToGrid w:val="0"/>
        </w:rPr>
        <w:tab/>
        <w:t>Amount prescribed for major trading undertakings; exempt trading undertakings prescribed (Act s. 3.59)</w:t>
      </w:r>
      <w:bookmarkEnd w:id="50"/>
      <w:bookmarkEnd w:id="51"/>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keepNext/>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52" w:name="_Toc138930536"/>
      <w:bookmarkStart w:id="53" w:name="_Toc135218077"/>
      <w:r>
        <w:rPr>
          <w:rStyle w:val="CharSectno"/>
        </w:rPr>
        <w:t>10</w:t>
      </w:r>
      <w:r>
        <w:rPr>
          <w:snapToGrid w:val="0"/>
        </w:rPr>
        <w:t>.</w:t>
      </w:r>
      <w:r>
        <w:rPr>
          <w:snapToGrid w:val="0"/>
        </w:rPr>
        <w:tab/>
        <w:t>Business plans for major trading undertaking and major land transaction, content of</w:t>
      </w:r>
      <w:bookmarkEnd w:id="52"/>
      <w:bookmarkEnd w:id="53"/>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54" w:name="_Toc138850853"/>
      <w:bookmarkStart w:id="55" w:name="_Toc138850964"/>
      <w:bookmarkStart w:id="56" w:name="_Toc138929842"/>
      <w:bookmarkStart w:id="57" w:name="_Toc138930537"/>
      <w:bookmarkStart w:id="58" w:name="_Toc135142682"/>
      <w:bookmarkStart w:id="59" w:name="_Toc135143249"/>
      <w:bookmarkStart w:id="60" w:name="_Toc135218078"/>
      <w:r>
        <w:rPr>
          <w:rStyle w:val="CharPartNo"/>
        </w:rPr>
        <w:t>Part 4</w:t>
      </w:r>
      <w:r>
        <w:rPr>
          <w:b w:val="0"/>
        </w:rPr>
        <w:t> </w:t>
      </w:r>
      <w:r>
        <w:t>—</w:t>
      </w:r>
      <w:r>
        <w:rPr>
          <w:b w:val="0"/>
        </w:rPr>
        <w:t> </w:t>
      </w:r>
      <w:r>
        <w:rPr>
          <w:rStyle w:val="CharPartText"/>
        </w:rPr>
        <w:t>Provision of goods and services</w:t>
      </w:r>
      <w:bookmarkEnd w:id="54"/>
      <w:bookmarkEnd w:id="55"/>
      <w:bookmarkEnd w:id="56"/>
      <w:bookmarkEnd w:id="57"/>
      <w:bookmarkEnd w:id="58"/>
      <w:bookmarkEnd w:id="59"/>
      <w:bookmarkEnd w:id="60"/>
    </w:p>
    <w:p>
      <w:pPr>
        <w:pStyle w:val="Footnoteheading"/>
      </w:pPr>
      <w:r>
        <w:tab/>
        <w:t>[Heading inserted: Gazette 2 Feb 2007 p. 244.]</w:t>
      </w:r>
    </w:p>
    <w:p>
      <w:pPr>
        <w:pStyle w:val="Heading3"/>
      </w:pPr>
      <w:bookmarkStart w:id="61" w:name="_Toc138850854"/>
      <w:bookmarkStart w:id="62" w:name="_Toc138850965"/>
      <w:bookmarkStart w:id="63" w:name="_Toc138929843"/>
      <w:bookmarkStart w:id="64" w:name="_Toc138930538"/>
      <w:bookmarkStart w:id="65" w:name="_Toc135142683"/>
      <w:bookmarkStart w:id="66" w:name="_Toc135143250"/>
      <w:bookmarkStart w:id="67" w:name="_Toc135218079"/>
      <w:r>
        <w:rPr>
          <w:rStyle w:val="CharDivNo"/>
        </w:rPr>
        <w:t>Division 1</w:t>
      </w:r>
      <w:r>
        <w:t> — </w:t>
      </w:r>
      <w:r>
        <w:rPr>
          <w:rStyle w:val="CharDivText"/>
        </w:rPr>
        <w:t>Purchasing policies</w:t>
      </w:r>
      <w:bookmarkEnd w:id="61"/>
      <w:bookmarkEnd w:id="62"/>
      <w:bookmarkEnd w:id="63"/>
      <w:bookmarkEnd w:id="64"/>
      <w:bookmarkEnd w:id="65"/>
      <w:bookmarkEnd w:id="66"/>
      <w:bookmarkEnd w:id="67"/>
    </w:p>
    <w:p>
      <w:pPr>
        <w:pStyle w:val="Footnoteheading"/>
      </w:pPr>
      <w:r>
        <w:tab/>
        <w:t>[Heading inserted: Gazette 2 Feb 2007 p. 244.]</w:t>
      </w:r>
    </w:p>
    <w:p>
      <w:pPr>
        <w:pStyle w:val="Heading5"/>
      </w:pPr>
      <w:bookmarkStart w:id="68" w:name="_Toc138930539"/>
      <w:bookmarkStart w:id="69" w:name="_Toc135218080"/>
      <w:r>
        <w:rPr>
          <w:rStyle w:val="CharSectno"/>
        </w:rPr>
        <w:t>11A</w:t>
      </w:r>
      <w:r>
        <w:t>.</w:t>
      </w:r>
      <w:r>
        <w:tab/>
        <w:t>Purchasing policies for local governments</w:t>
      </w:r>
      <w:bookmarkEnd w:id="68"/>
      <w:bookmarkEnd w:id="69"/>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70" w:name="_Toc138850856"/>
      <w:bookmarkStart w:id="71" w:name="_Toc138850967"/>
      <w:bookmarkStart w:id="72" w:name="_Toc138929845"/>
      <w:bookmarkStart w:id="73" w:name="_Toc138930540"/>
      <w:bookmarkStart w:id="74" w:name="_Toc135142685"/>
      <w:bookmarkStart w:id="75" w:name="_Toc135143252"/>
      <w:bookmarkStart w:id="76" w:name="_Toc135218081"/>
      <w:r>
        <w:rPr>
          <w:rStyle w:val="CharDivNo"/>
        </w:rPr>
        <w:t>Division 2</w:t>
      </w:r>
      <w:r>
        <w:t> — </w:t>
      </w:r>
      <w:r>
        <w:rPr>
          <w:rStyle w:val="CharDivText"/>
        </w:rPr>
        <w:t>Tenders for providing goods or services (s. 3.57)</w:t>
      </w:r>
      <w:bookmarkEnd w:id="70"/>
      <w:bookmarkEnd w:id="71"/>
      <w:bookmarkEnd w:id="72"/>
      <w:bookmarkEnd w:id="73"/>
      <w:bookmarkEnd w:id="74"/>
      <w:bookmarkEnd w:id="75"/>
      <w:bookmarkEnd w:id="76"/>
    </w:p>
    <w:p>
      <w:pPr>
        <w:pStyle w:val="Footnoteheading"/>
        <w:keepNext/>
      </w:pPr>
      <w:r>
        <w:tab/>
        <w:t>[Heading inserted: Gazette 2 Feb 2007 p. 245.]</w:t>
      </w:r>
    </w:p>
    <w:p>
      <w:pPr>
        <w:pStyle w:val="Heading5"/>
        <w:rPr>
          <w:snapToGrid w:val="0"/>
        </w:rPr>
      </w:pPr>
      <w:bookmarkStart w:id="77" w:name="_Toc138930541"/>
      <w:bookmarkStart w:id="78" w:name="_Toc135218082"/>
      <w:r>
        <w:rPr>
          <w:rStyle w:val="CharSectno"/>
        </w:rPr>
        <w:t>11</w:t>
      </w:r>
      <w:r>
        <w:rPr>
          <w:snapToGrid w:val="0"/>
        </w:rPr>
        <w:t>.</w:t>
      </w:r>
      <w:r>
        <w:rPr>
          <w:snapToGrid w:val="0"/>
        </w:rPr>
        <w:tab/>
        <w:t>When tenders have to be publicly invited</w:t>
      </w:r>
      <w:bookmarkEnd w:id="77"/>
      <w:bookmarkEnd w:id="78"/>
    </w:p>
    <w:p>
      <w:pPr>
        <w:pStyle w:val="Subsection"/>
      </w:pPr>
      <w:r>
        <w:tab/>
        <w:t>(1A)</w:t>
      </w:r>
      <w:r>
        <w:tab/>
        <w:t xml:space="preserve">In this regulation — </w:t>
      </w:r>
    </w:p>
    <w:p>
      <w:pPr>
        <w:pStyle w:val="Defstart"/>
      </w:pPr>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 a COVID</w:t>
      </w:r>
      <w:r>
        <w:noBreakHyphen/>
        <w:t xml:space="preserve">19 declaration; or </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keepNext/>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keepNext/>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keepNext/>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keepNext/>
      </w:pPr>
      <w:r>
        <w:tab/>
        <w:t>(g)</w:t>
      </w:r>
      <w:r>
        <w:tab/>
        <w:t>the goods to be supplied under the contract are —</w:t>
      </w:r>
    </w:p>
    <w:p>
      <w:pPr>
        <w:pStyle w:val="Indenti"/>
      </w:pPr>
      <w:r>
        <w:tab/>
        <w:t>(i)</w:t>
      </w:r>
      <w:r>
        <w:tab/>
        <w:t>petrol or oil; or</w:t>
      </w:r>
    </w:p>
    <w:p>
      <w:pPr>
        <w:pStyle w:val="Indenti"/>
        <w:keepNext/>
      </w:pPr>
      <w:r>
        <w:tab/>
        <w:t>(ii)</w:t>
      </w:r>
      <w:r>
        <w:tab/>
        <w:t>any other liquid, or any gas, used for internal combustion engines;</w:t>
      </w:r>
    </w:p>
    <w:p>
      <w:pPr>
        <w:pStyle w:val="Indenta"/>
      </w:pPr>
      <w:r>
        <w:tab/>
      </w:r>
      <w:r>
        <w:tab/>
        <w:t>or</w:t>
      </w:r>
    </w:p>
    <w:p>
      <w:pPr>
        <w:pStyle w:val="Indenta"/>
        <w:keepNext/>
      </w:pPr>
      <w:r>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keepNext/>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keepNext/>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(ia)</w:t>
      </w:r>
      <w:r>
        <w:tab/>
        <w:t>the contract is formed by the novation of a contract to which subregulation (1) applies; or</w:t>
      </w:r>
    </w:p>
    <w:p>
      <w:pPr>
        <w:pStyle w:val="Indenta"/>
        <w:keepNext/>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keepNext/>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keepNext/>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keepNext/>
      </w:pPr>
      <w:r>
        <w:tab/>
        <w:t>(iii)</w:t>
      </w:r>
      <w:r>
        <w:tab/>
        <w:t>the contract for renewal or extension is entered into at a time when there is in force a state of emergency declaration or a COVID</w:t>
      </w:r>
      <w:r>
        <w:noBreakHyphen/>
        <w:t>19 declaration applying to the district, or part of the district, of the local government;</w:t>
      </w:r>
    </w:p>
    <w:p>
      <w:pPr>
        <w:pStyle w:val="Indenta"/>
      </w:pPr>
      <w:r>
        <w:tab/>
      </w:r>
      <w:r>
        <w:tab/>
        <w:t>or</w:t>
      </w:r>
    </w:p>
    <w:p>
      <w:pPr>
        <w:pStyle w:val="Indenta"/>
      </w:pPr>
      <w:r>
        <w:tab/>
        <w:t>(jb)</w:t>
      </w:r>
      <w:r>
        <w:tab/>
        <w:t xml:space="preserve">the contract is a renewal or extension of the term of a contract (the </w:t>
      </w:r>
      <w:r>
        <w:rPr>
          <w:rStyle w:val="CharDefText"/>
        </w:rPr>
        <w:t>original contract</w:t>
      </w:r>
      <w:r>
        <w:t xml:space="preserve">) for the supply of dental or medical services by a person registered under the </w:t>
      </w:r>
      <w:r>
        <w:rPr>
          <w:i/>
        </w:rPr>
        <w:t>Health Practitioner Regulation National Law (Western Australia)</w:t>
      </w:r>
      <w:r>
        <w:t xml:space="preserve"> in the dental profession or medical profession; or</w:t>
      </w:r>
    </w:p>
    <w:p>
      <w:pPr>
        <w:pStyle w:val="Indenta"/>
        <w:rPr>
          <w:snapToGrid w:val="0"/>
        </w:rPr>
      </w:pPr>
      <w:r>
        <w:tab/>
        <w:t>(k)</w:t>
      </w:r>
      <w:r>
        <w:tab/>
        <w:t>the goods or services are to be supplied by a pre</w:t>
      </w:r>
      <w:r>
        <w:noBreakHyphen/>
        <w:t>qualified supplier under Division 3.</w:t>
      </w:r>
    </w:p>
    <w:p>
      <w:pPr>
        <w:pStyle w:val="Subsection"/>
        <w:keepNext/>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Subsection"/>
        <w:keepNext/>
      </w:pPr>
      <w:r>
        <w:tab/>
        <w:t>(4)</w:t>
      </w:r>
      <w:r>
        <w:tab/>
        <w:t>For the purposes of subregulation (2)(aa) a supply of goods or services is associated with a COVID</w:t>
      </w:r>
      <w:r>
        <w:noBreakHyphen/>
        <w:t xml:space="preserve">19 declaration if — </w:t>
      </w:r>
    </w:p>
    <w:p>
      <w:pPr>
        <w:pStyle w:val="Indenta"/>
      </w:pPr>
      <w:r>
        <w:tab/>
        <w:t>(a)</w:t>
      </w:r>
      <w:r>
        <w:tab/>
        <w:t>the contract for the supply is entered into while there is in force a COVID</w:t>
      </w:r>
      <w:r>
        <w:noBreakHyphen/>
        <w:t>19 declaration applying to the district, or part of the district, of the local government; and</w:t>
      </w:r>
    </w:p>
    <w:p>
      <w:pPr>
        <w:pStyle w:val="Indenta"/>
        <w:keepNext/>
      </w:pPr>
      <w:r>
        <w:tab/>
        <w:t>(b)</w:t>
      </w:r>
      <w:r>
        <w:tab/>
        <w:t>the local government considers that the goods or services are required for the purposes of addressing a need arising from the occurrence of COVID</w:t>
      </w:r>
      <w:r>
        <w:noBreakHyphen/>
        <w:t>19, or from the impact or consequences of the occurrence of COVID</w:t>
      </w:r>
      <w:r>
        <w:noBreakHyphen/>
        <w:t>19, in the area to which the COVID</w:t>
      </w:r>
      <w:r>
        <w:noBreakHyphen/>
        <w:t>19 declaration relates.</w:t>
      </w:r>
    </w:p>
    <w:p>
      <w:pPr>
        <w:pStyle w:val="Subsection"/>
      </w:pPr>
      <w:r>
        <w:tab/>
        <w:t>(5)</w:t>
      </w:r>
      <w:r>
        <w:tab/>
        <w:t>For the purposes of subregulation (2)(jb), it is immaterial that the supplier also supplies services under the original contract that are not dental or medical services.</w:t>
      </w:r>
    </w:p>
    <w:p>
      <w:pPr>
        <w:pStyle w:val="Subsection"/>
      </w:pPr>
      <w:r>
        <w:tab/>
        <w:t>(6)</w:t>
      </w:r>
      <w:r>
        <w:tab/>
        <w:t xml:space="preserve">Subregulation (2)(jb) does not apply in relation to the renewal or extension of the term of a contract by — </w:t>
      </w:r>
    </w:p>
    <w:p>
      <w:pPr>
        <w:pStyle w:val="Indenta"/>
      </w:pPr>
      <w:r>
        <w:tab/>
        <w:t>(a)</w:t>
      </w:r>
      <w:r>
        <w:tab/>
        <w:t>the local government of a district in the metropolitan area; or</w:t>
      </w:r>
    </w:p>
    <w:p>
      <w:pPr>
        <w:pStyle w:val="Indenta"/>
      </w:pPr>
      <w:r>
        <w:tab/>
        <w:t>(b)</w:t>
      </w:r>
      <w:r>
        <w:tab/>
        <w:t>the City of Mandurah.</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 SL 2022/177 r. 14; SL 2023/47 r. 4.]</w:t>
      </w:r>
    </w:p>
    <w:p>
      <w:pPr>
        <w:pStyle w:val="Heading5"/>
      </w:pPr>
      <w:bookmarkStart w:id="79" w:name="_Toc138930542"/>
      <w:bookmarkStart w:id="80" w:name="_Toc135218083"/>
      <w:r>
        <w:rPr>
          <w:rStyle w:val="CharSectno"/>
        </w:rPr>
        <w:t>12</w:t>
      </w:r>
      <w:r>
        <w:t>.</w:t>
      </w:r>
      <w:r>
        <w:tab/>
        <w:t>Anti</w:t>
      </w:r>
      <w:r>
        <w:noBreakHyphen/>
        <w:t>avoidance provision for r. 11(1)</w:t>
      </w:r>
      <w:bookmarkEnd w:id="79"/>
      <w:bookmarkEnd w:id="80"/>
    </w:p>
    <w:p>
      <w:pPr>
        <w:pStyle w:val="Subsection"/>
        <w:keepLines/>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keepNext/>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81" w:name="_Toc138930543"/>
      <w:bookmarkStart w:id="82" w:name="_Toc135218084"/>
      <w:r>
        <w:rPr>
          <w:rStyle w:val="CharSectno"/>
        </w:rPr>
        <w:t>13</w:t>
      </w:r>
      <w:r>
        <w:rPr>
          <w:snapToGrid w:val="0"/>
        </w:rPr>
        <w:t>.</w:t>
      </w:r>
      <w:r>
        <w:rPr>
          <w:snapToGrid w:val="0"/>
        </w:rPr>
        <w:tab/>
        <w:t>Requirements when local government invites tenders though not required to do so</w:t>
      </w:r>
      <w:bookmarkEnd w:id="81"/>
      <w:bookmarkEnd w:id="82"/>
    </w:p>
    <w:p>
      <w:pPr>
        <w:pStyle w:val="Subsection"/>
        <w:keepNext/>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83" w:name="_Toc138930544"/>
      <w:bookmarkStart w:id="84" w:name="_Toc135218085"/>
      <w:r>
        <w:rPr>
          <w:rStyle w:val="CharSectno"/>
        </w:rPr>
        <w:t>14</w:t>
      </w:r>
      <w:r>
        <w:rPr>
          <w:snapToGrid w:val="0"/>
        </w:rPr>
        <w:t>.</w:t>
      </w:r>
      <w:r>
        <w:rPr>
          <w:snapToGrid w:val="0"/>
        </w:rPr>
        <w:tab/>
        <w:t>Publicly inviting tenders, requirements for</w:t>
      </w:r>
      <w:bookmarkEnd w:id="83"/>
      <w:bookmarkEnd w:id="84"/>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keepNext/>
      </w:pPr>
      <w:r>
        <w:tab/>
        <w:t>(2a)</w:t>
      </w:r>
      <w:r>
        <w:tab/>
        <w:t>If a local government —</w:t>
      </w:r>
    </w:p>
    <w:p>
      <w:pPr>
        <w:pStyle w:val="Indenta"/>
      </w:pPr>
      <w:r>
        <w:tab/>
        <w:t>(a)</w:t>
      </w:r>
      <w:r>
        <w:tab/>
        <w:t>is required to invite a tender; or</w:t>
      </w:r>
    </w:p>
    <w:p>
      <w:pPr>
        <w:pStyle w:val="Indenta"/>
        <w:keepNext/>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keepNext/>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keepNext/>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keepNext/>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85" w:name="_Toc138930545"/>
      <w:bookmarkStart w:id="86" w:name="_Toc135218086"/>
      <w:r>
        <w:rPr>
          <w:rStyle w:val="CharSectno"/>
        </w:rPr>
        <w:t>15</w:t>
      </w:r>
      <w:r>
        <w:t>.</w:t>
      </w:r>
      <w:r>
        <w:tab/>
      </w:r>
      <w:r>
        <w:rPr>
          <w:snapToGrid w:val="0"/>
        </w:rPr>
        <w:t>Minimum time to be allowed for submitting tenders</w:t>
      </w:r>
      <w:bookmarkEnd w:id="85"/>
      <w:bookmarkEnd w:id="86"/>
    </w:p>
    <w:p>
      <w:pPr>
        <w:pStyle w:val="Subsection"/>
        <w:keepNext/>
      </w:pPr>
      <w:r>
        <w:tab/>
        <w:t>(1)</w:t>
      </w:r>
      <w:r>
        <w:tab/>
        <w:t xml:space="preserve">If a notice under regulation 14(1) is given, the date and time referred to in regulation 14(3)(d) has to be at least 14 days after the notice 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Subsection"/>
        <w:keepNext/>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amended: SL 2020/213 r. 35.] </w:t>
      </w:r>
    </w:p>
    <w:p>
      <w:pPr>
        <w:pStyle w:val="Heading5"/>
        <w:rPr>
          <w:snapToGrid w:val="0"/>
        </w:rPr>
      </w:pPr>
      <w:bookmarkStart w:id="87" w:name="_Toc138930546"/>
      <w:bookmarkStart w:id="88" w:name="_Toc135218087"/>
      <w:r>
        <w:rPr>
          <w:rStyle w:val="CharSectno"/>
        </w:rPr>
        <w:t>16</w:t>
      </w:r>
      <w:r>
        <w:rPr>
          <w:snapToGrid w:val="0"/>
        </w:rPr>
        <w:t>.</w:t>
      </w:r>
      <w:r>
        <w:rPr>
          <w:snapToGrid w:val="0"/>
        </w:rPr>
        <w:tab/>
        <w:t>Receiving and opening tenders, procedure for</w:t>
      </w:r>
      <w:bookmarkEnd w:id="87"/>
      <w:bookmarkEnd w:id="88"/>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keepNext/>
      </w:pPr>
      <w:r>
        <w:tab/>
        <w:t>(a)</w:t>
      </w:r>
      <w:r>
        <w:tab/>
        <w:t xml:space="preserve">there must be present — </w:t>
      </w:r>
    </w:p>
    <w:p>
      <w:pPr>
        <w:pStyle w:val="Indenti"/>
      </w:pPr>
      <w:r>
        <w:tab/>
        <w:t>(i)</w:t>
      </w:r>
      <w:r>
        <w:tab/>
        <w:t>at least 2 employees of the local government; or</w:t>
      </w:r>
    </w:p>
    <w:p>
      <w:pPr>
        <w:pStyle w:val="Indenti"/>
        <w:keepNext/>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keepNext/>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89" w:name="_Toc138930547"/>
      <w:bookmarkStart w:id="90" w:name="_Toc135218088"/>
      <w:r>
        <w:rPr>
          <w:rStyle w:val="CharSectno"/>
        </w:rPr>
        <w:t>17</w:t>
      </w:r>
      <w:r>
        <w:rPr>
          <w:snapToGrid w:val="0"/>
        </w:rPr>
        <w:t>.</w:t>
      </w:r>
      <w:r>
        <w:rPr>
          <w:snapToGrid w:val="0"/>
        </w:rPr>
        <w:tab/>
        <w:t>Tenders register</w:t>
      </w:r>
      <w:bookmarkEnd w:id="89"/>
      <w:bookmarkEnd w:id="90"/>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pPr>
      <w:r>
        <w:tab/>
        <w:t>(1A)</w:t>
      </w:r>
      <w:r>
        <w:tab/>
        <w:t>The CEO must publish the tenders register on the local government’s official website.</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keepNext/>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keepNext/>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keepNext/>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 SL 2020/213 r. 36.]</w:t>
      </w:r>
    </w:p>
    <w:p>
      <w:pPr>
        <w:pStyle w:val="Heading5"/>
        <w:rPr>
          <w:snapToGrid w:val="0"/>
        </w:rPr>
      </w:pPr>
      <w:bookmarkStart w:id="91" w:name="_Toc138930548"/>
      <w:bookmarkStart w:id="92" w:name="_Toc135218089"/>
      <w:r>
        <w:rPr>
          <w:rStyle w:val="CharSectno"/>
        </w:rPr>
        <w:t>18</w:t>
      </w:r>
      <w:r>
        <w:rPr>
          <w:snapToGrid w:val="0"/>
        </w:rPr>
        <w:t>.</w:t>
      </w:r>
      <w:r>
        <w:rPr>
          <w:snapToGrid w:val="0"/>
        </w:rPr>
        <w:tab/>
        <w:t>Rejecting and accepting tenders</w:t>
      </w:r>
      <w:bookmarkEnd w:id="91"/>
      <w:bookmarkEnd w:id="92"/>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keepNext/>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93" w:name="_Toc138930549"/>
      <w:bookmarkStart w:id="94" w:name="_Toc135218090"/>
      <w:r>
        <w:rPr>
          <w:rStyle w:val="CharSectno"/>
        </w:rPr>
        <w:t>19</w:t>
      </w:r>
      <w:r>
        <w:rPr>
          <w:snapToGrid w:val="0"/>
        </w:rPr>
        <w:t>.</w:t>
      </w:r>
      <w:r>
        <w:rPr>
          <w:snapToGrid w:val="0"/>
        </w:rPr>
        <w:tab/>
        <w:t>Tenderers to be notified of outcome</w:t>
      </w:r>
      <w:bookmarkEnd w:id="93"/>
      <w:bookmarkEnd w:id="94"/>
    </w:p>
    <w:p>
      <w:pPr>
        <w:pStyle w:val="Subsection"/>
        <w:keepNext/>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95" w:name="_Toc138930550"/>
      <w:bookmarkStart w:id="96" w:name="_Toc135218091"/>
      <w:r>
        <w:rPr>
          <w:rStyle w:val="CharSectno"/>
        </w:rPr>
        <w:t>20</w:t>
      </w:r>
      <w:r>
        <w:rPr>
          <w:snapToGrid w:val="0"/>
        </w:rPr>
        <w:t>.</w:t>
      </w:r>
      <w:r>
        <w:rPr>
          <w:snapToGrid w:val="0"/>
        </w:rPr>
        <w:tab/>
        <w:t>Variation of requirements before entry into contract</w:t>
      </w:r>
      <w:bookmarkEnd w:id="95"/>
      <w:bookmarkEnd w:id="96"/>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keepNext/>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97" w:name="_Toc138930551"/>
      <w:bookmarkStart w:id="98" w:name="_Toc135218092"/>
      <w:r>
        <w:rPr>
          <w:rStyle w:val="CharSectno"/>
        </w:rPr>
        <w:t>21A</w:t>
      </w:r>
      <w:r>
        <w:t>.</w:t>
      </w:r>
      <w:r>
        <w:tab/>
        <w:t>Varying a contract for the supply of goods or services</w:t>
      </w:r>
      <w:bookmarkEnd w:id="97"/>
      <w:bookmarkEnd w:id="98"/>
    </w:p>
    <w:p>
      <w:pPr>
        <w:pStyle w:val="Subsection"/>
        <w:keepNext/>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keepNext/>
      </w:pPr>
      <w:r>
        <w:tab/>
        <w:t>(b)</w:t>
      </w:r>
      <w:r>
        <w:tab/>
        <w:t xml:space="preserve">the variation is a renewal or extension of the term of the contract as described in regulation 11(2)(j), (ja) or (jb). </w:t>
      </w:r>
    </w:p>
    <w:p>
      <w:pPr>
        <w:pStyle w:val="Footnotesection"/>
      </w:pPr>
      <w:r>
        <w:tab/>
        <w:t xml:space="preserve">[Regulation 21A inserted: Gazette 18 Sep 2015 p. 3807; amended: SL 2023/47 r. 5.] </w:t>
      </w:r>
    </w:p>
    <w:p>
      <w:pPr>
        <w:pStyle w:val="Heading5"/>
        <w:rPr>
          <w:snapToGrid w:val="0"/>
        </w:rPr>
      </w:pPr>
      <w:bookmarkStart w:id="99" w:name="_Toc138930552"/>
      <w:bookmarkStart w:id="100" w:name="_Toc135218093"/>
      <w:r>
        <w:rPr>
          <w:rStyle w:val="CharSectno"/>
        </w:rPr>
        <w:t>21</w:t>
      </w:r>
      <w:r>
        <w:rPr>
          <w:snapToGrid w:val="0"/>
        </w:rPr>
        <w:t>.</w:t>
      </w:r>
      <w:r>
        <w:rPr>
          <w:snapToGrid w:val="0"/>
        </w:rPr>
        <w:tab/>
        <w:t>Limiting who can tender, procedure for</w:t>
      </w:r>
      <w:bookmarkEnd w:id="99"/>
      <w:bookmarkEnd w:id="100"/>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keepNext/>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101" w:name="_Toc138930553"/>
      <w:bookmarkStart w:id="102" w:name="_Toc135218094"/>
      <w:r>
        <w:rPr>
          <w:rStyle w:val="CharSectno"/>
        </w:rPr>
        <w:t>22</w:t>
      </w:r>
      <w:r>
        <w:rPr>
          <w:snapToGrid w:val="0"/>
        </w:rPr>
        <w:t>.</w:t>
      </w:r>
      <w:r>
        <w:rPr>
          <w:snapToGrid w:val="0"/>
        </w:rPr>
        <w:tab/>
        <w:t>Minimum time to be allowed for submitting expressions of interest</w:t>
      </w:r>
      <w:bookmarkEnd w:id="101"/>
      <w:bookmarkEnd w:id="102"/>
    </w:p>
    <w:p>
      <w:pPr>
        <w:pStyle w:val="Subsection"/>
        <w:keepNext/>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[Regulation 22 amended: SL 2020/213 r. 37</w:t>
      </w:r>
    </w:p>
    <w:p>
      <w:pPr>
        <w:pStyle w:val="Heading5"/>
        <w:rPr>
          <w:snapToGrid w:val="0"/>
        </w:rPr>
      </w:pPr>
      <w:bookmarkStart w:id="103" w:name="_Toc138930554"/>
      <w:bookmarkStart w:id="104" w:name="_Toc135218095"/>
      <w:r>
        <w:rPr>
          <w:rStyle w:val="CharSectno"/>
        </w:rPr>
        <w:t>23</w:t>
      </w:r>
      <w:r>
        <w:rPr>
          <w:snapToGrid w:val="0"/>
        </w:rPr>
        <w:t>.</w:t>
      </w:r>
      <w:r>
        <w:rPr>
          <w:snapToGrid w:val="0"/>
        </w:rPr>
        <w:tab/>
        <w:t>Rejecting and accepting expressions of interest to be acceptable tenderer</w:t>
      </w:r>
      <w:bookmarkEnd w:id="103"/>
      <w:bookmarkEnd w:id="104"/>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keepLines/>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keepNext/>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105" w:name="_Toc138930555"/>
      <w:bookmarkStart w:id="106" w:name="_Toc135218096"/>
      <w:r>
        <w:rPr>
          <w:rStyle w:val="CharSectno"/>
        </w:rPr>
        <w:t>24</w:t>
      </w:r>
      <w:r>
        <w:rPr>
          <w:snapToGrid w:val="0"/>
        </w:rPr>
        <w:t>.</w:t>
      </w:r>
      <w:r>
        <w:rPr>
          <w:snapToGrid w:val="0"/>
        </w:rPr>
        <w:tab/>
        <w:t>People who submitted expression of interest to be notified of outcome</w:t>
      </w:r>
      <w:bookmarkEnd w:id="105"/>
      <w:bookmarkEnd w:id="106"/>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keepNext/>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107" w:name="_Toc138850872"/>
      <w:bookmarkStart w:id="108" w:name="_Toc138850983"/>
      <w:bookmarkStart w:id="109" w:name="_Toc138929861"/>
      <w:bookmarkStart w:id="110" w:name="_Toc138930556"/>
      <w:bookmarkStart w:id="111" w:name="_Toc135142701"/>
      <w:bookmarkStart w:id="112" w:name="_Toc135143268"/>
      <w:bookmarkStart w:id="113" w:name="_Toc135218097"/>
      <w:r>
        <w:rPr>
          <w:rStyle w:val="CharDivNo"/>
        </w:rPr>
        <w:t>Division 3</w:t>
      </w:r>
      <w:r>
        <w:t> — </w:t>
      </w:r>
      <w:r>
        <w:rPr>
          <w:rStyle w:val="CharDivText"/>
        </w:rPr>
        <w:t>Panels of pre</w:t>
      </w:r>
      <w:r>
        <w:rPr>
          <w:rStyle w:val="CharDivText"/>
        </w:rPr>
        <w:noBreakHyphen/>
        <w:t>qualified suppliers</w:t>
      </w:r>
      <w:bookmarkEnd w:id="107"/>
      <w:bookmarkEnd w:id="108"/>
      <w:bookmarkEnd w:id="109"/>
      <w:bookmarkEnd w:id="110"/>
      <w:bookmarkEnd w:id="111"/>
      <w:bookmarkEnd w:id="112"/>
      <w:bookmarkEnd w:id="113"/>
    </w:p>
    <w:p>
      <w:pPr>
        <w:pStyle w:val="Footnoteheading"/>
        <w:keepNext/>
      </w:pPr>
      <w:r>
        <w:tab/>
        <w:t>[Heading inserted: Gazette 18 Sep 2015 p. 3808.]</w:t>
      </w:r>
    </w:p>
    <w:p>
      <w:pPr>
        <w:pStyle w:val="Heading5"/>
      </w:pPr>
      <w:bookmarkStart w:id="114" w:name="_Toc138930557"/>
      <w:bookmarkStart w:id="115" w:name="_Toc135218098"/>
      <w:r>
        <w:rPr>
          <w:rStyle w:val="CharSectno"/>
        </w:rPr>
        <w:t>24AA</w:t>
      </w:r>
      <w:r>
        <w:t>.</w:t>
      </w:r>
      <w:r>
        <w:tab/>
        <w:t>Terms used</w:t>
      </w:r>
      <w:bookmarkEnd w:id="114"/>
      <w:bookmarkEnd w:id="115"/>
    </w:p>
    <w:p>
      <w:pPr>
        <w:pStyle w:val="Subsection"/>
        <w:keepNext/>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keepNex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116" w:name="_Toc138930558"/>
      <w:bookmarkStart w:id="117" w:name="_Toc135218099"/>
      <w:r>
        <w:rPr>
          <w:rStyle w:val="CharSectno"/>
        </w:rPr>
        <w:t>24AB</w:t>
      </w:r>
      <w:r>
        <w:t>.</w:t>
      </w:r>
      <w:r>
        <w:tab/>
        <w:t>Local government may establish panels of pre</w:t>
      </w:r>
      <w:r>
        <w:noBreakHyphen/>
        <w:t>qualified suppliers</w:t>
      </w:r>
      <w:bookmarkEnd w:id="116"/>
      <w:bookmarkEnd w:id="117"/>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118" w:name="_Toc138930559"/>
      <w:bookmarkStart w:id="119" w:name="_Toc135218100"/>
      <w:r>
        <w:rPr>
          <w:rStyle w:val="CharSectno"/>
        </w:rPr>
        <w:t>24AC</w:t>
      </w:r>
      <w:r>
        <w:t>.</w:t>
      </w:r>
      <w:r>
        <w:tab/>
        <w:t>Requirements before establishing panels of pre</w:t>
      </w:r>
      <w:r>
        <w:noBreakHyphen/>
        <w:t>qualified suppliers</w:t>
      </w:r>
      <w:bookmarkEnd w:id="118"/>
      <w:bookmarkEnd w:id="119"/>
    </w:p>
    <w:p>
      <w:pPr>
        <w:pStyle w:val="Subsection"/>
        <w:keepNext/>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keepNext/>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keepNext/>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120" w:name="_Toc138930560"/>
      <w:bookmarkStart w:id="121" w:name="_Toc135218101"/>
      <w:r>
        <w:rPr>
          <w:rStyle w:val="CharSectno"/>
        </w:rPr>
        <w:t>24AD</w:t>
      </w:r>
      <w:r>
        <w:t>.</w:t>
      </w:r>
      <w:r>
        <w:tab/>
        <w:t>Requirements when inviting persons to apply to join panel of pre</w:t>
      </w:r>
      <w:r>
        <w:noBreakHyphen/>
        <w:t>qualified suppliers</w:t>
      </w:r>
      <w:bookmarkEnd w:id="120"/>
      <w:bookmarkEnd w:id="121"/>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keepNext/>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keepNext/>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keepNext/>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122" w:name="_Toc138930561"/>
      <w:bookmarkStart w:id="123" w:name="_Toc135218102"/>
      <w:r>
        <w:rPr>
          <w:rStyle w:val="CharSectno"/>
        </w:rPr>
        <w:t>24AE</w:t>
      </w:r>
      <w:r>
        <w:t>.</w:t>
      </w:r>
      <w:r>
        <w:tab/>
        <w:t>Minimum time to be allowed for submitting application to join panel of pre</w:t>
      </w:r>
      <w:r>
        <w:noBreakHyphen/>
        <w:t>qualified suppliers</w:t>
      </w:r>
      <w:bookmarkEnd w:id="122"/>
      <w:bookmarkEnd w:id="123"/>
    </w:p>
    <w:p>
      <w:pPr>
        <w:pStyle w:val="Subsection"/>
        <w:keepNext/>
      </w:pPr>
      <w:r>
        <w:tab/>
      </w:r>
      <w:r>
        <w:tab/>
        <w:t xml:space="preserve">If notice under regulation 24AD(2) is given, the date and time referred to in regulation 24AD(4)(d) has to be at least 14 days after the notice 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 xml:space="preserve">[Regulation 24AE inserted: Gazette 18 Sep 2015 p. 3810; amended: SL 2020/213 r. 38.] </w:t>
      </w:r>
    </w:p>
    <w:p>
      <w:pPr>
        <w:pStyle w:val="Heading5"/>
      </w:pPr>
      <w:bookmarkStart w:id="124" w:name="_Toc138930562"/>
      <w:bookmarkStart w:id="125" w:name="_Toc135218103"/>
      <w:r>
        <w:rPr>
          <w:rStyle w:val="CharSectno"/>
        </w:rPr>
        <w:t>24AF</w:t>
      </w:r>
      <w:r>
        <w:t>.</w:t>
      </w:r>
      <w:r>
        <w:tab/>
        <w:t>Procedure for receiving and opening applications</w:t>
      </w:r>
      <w:bookmarkEnd w:id="124"/>
      <w:bookmarkEnd w:id="125"/>
    </w:p>
    <w:p>
      <w:pPr>
        <w:pStyle w:val="Subsection"/>
        <w:keepNext/>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126" w:name="_Toc138930563"/>
      <w:bookmarkStart w:id="127" w:name="_Toc135218104"/>
      <w:r>
        <w:rPr>
          <w:rStyle w:val="CharSectno"/>
        </w:rPr>
        <w:t>24AG</w:t>
      </w:r>
      <w:r>
        <w:t>.</w:t>
      </w:r>
      <w:r>
        <w:tab/>
        <w:t>Information about panels of pre</w:t>
      </w:r>
      <w:r>
        <w:noBreakHyphen/>
        <w:t>qualified suppliers to be included in tenders register</w:t>
      </w:r>
      <w:bookmarkEnd w:id="126"/>
      <w:bookmarkEnd w:id="127"/>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keepNext/>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128" w:name="_Toc138930564"/>
      <w:bookmarkStart w:id="129" w:name="_Toc135218105"/>
      <w:r>
        <w:rPr>
          <w:rStyle w:val="CharSectno"/>
        </w:rPr>
        <w:t>24AH</w:t>
      </w:r>
      <w:r>
        <w:t>.</w:t>
      </w:r>
      <w:r>
        <w:tab/>
        <w:t>Rejecting and accepting applications to join panel of pre</w:t>
      </w:r>
      <w:r>
        <w:noBreakHyphen/>
        <w:t>qualified suppliers</w:t>
      </w:r>
      <w:bookmarkEnd w:id="128"/>
      <w:bookmarkEnd w:id="129"/>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keepNext/>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130" w:name="_Toc138930565"/>
      <w:bookmarkStart w:id="131" w:name="_Toc135218106"/>
      <w:r>
        <w:rPr>
          <w:rStyle w:val="CharSectno"/>
        </w:rPr>
        <w:t>24AI</w:t>
      </w:r>
      <w:r>
        <w:t>.</w:t>
      </w:r>
      <w:r>
        <w:tab/>
        <w:t>Applicants to be notified of outcome</w:t>
      </w:r>
      <w:bookmarkEnd w:id="130"/>
      <w:bookmarkEnd w:id="131"/>
    </w:p>
    <w:p>
      <w:pPr>
        <w:pStyle w:val="Subsection"/>
        <w:keepNext/>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132" w:name="_Toc138930566"/>
      <w:bookmarkStart w:id="133" w:name="_Toc135218107"/>
      <w:r>
        <w:rPr>
          <w:rStyle w:val="CharSectno"/>
        </w:rPr>
        <w:t>24AJ</w:t>
      </w:r>
      <w:r>
        <w:t>.</w:t>
      </w:r>
      <w:r>
        <w:tab/>
        <w:t>Contracts with pre</w:t>
      </w:r>
      <w:r>
        <w:noBreakHyphen/>
        <w:t>qualified suppliers</w:t>
      </w:r>
      <w:bookmarkEnd w:id="132"/>
      <w:bookmarkEnd w:id="133"/>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keepNext/>
      </w:pPr>
      <w:r>
        <w:tab/>
        <w:t>(2)</w:t>
      </w:r>
      <w:r>
        <w:tab/>
        <w:t xml:space="preserve">A contract referred to in subregulation (1) must not — </w:t>
      </w:r>
    </w:p>
    <w:p>
      <w:pPr>
        <w:pStyle w:val="Indenta"/>
      </w:pPr>
      <w:r>
        <w:tab/>
        <w:t>(a)</w:t>
      </w:r>
      <w:r>
        <w:tab/>
        <w:t>be for a term exceeding 12 months; or</w:t>
      </w:r>
    </w:p>
    <w:p>
      <w:pPr>
        <w:pStyle w:val="Indenta"/>
        <w:keepNext/>
      </w:pPr>
      <w:r>
        <w:tab/>
        <w:t>(b)</w:t>
      </w:r>
      <w:r>
        <w:tab/>
        <w:t>contain an option to renew or extend its term.</w:t>
      </w:r>
    </w:p>
    <w:p>
      <w:pPr>
        <w:pStyle w:val="Footnotesection"/>
      </w:pPr>
      <w:r>
        <w:tab/>
        <w:t xml:space="preserve">[Regulation 24AJ inserted: Gazette 18 Sep 2015 p. 3812.] </w:t>
      </w:r>
    </w:p>
    <w:p>
      <w:pPr>
        <w:pStyle w:val="Heading2"/>
      </w:pPr>
      <w:bookmarkStart w:id="134" w:name="_Toc138850883"/>
      <w:bookmarkStart w:id="135" w:name="_Toc138850994"/>
      <w:bookmarkStart w:id="136" w:name="_Toc138929872"/>
      <w:bookmarkStart w:id="137" w:name="_Toc138930567"/>
      <w:bookmarkStart w:id="138" w:name="_Toc135142712"/>
      <w:bookmarkStart w:id="139" w:name="_Toc135143279"/>
      <w:bookmarkStart w:id="140" w:name="_Toc135218108"/>
      <w:r>
        <w:rPr>
          <w:rStyle w:val="CharPartNo"/>
        </w:rPr>
        <w:t>Part 4A</w:t>
      </w:r>
      <w:r>
        <w:rPr>
          <w:rStyle w:val="CharDivNo"/>
        </w:rPr>
        <w:t xml:space="preserve"> </w:t>
      </w:r>
      <w:r>
        <w:t>—</w:t>
      </w:r>
      <w:r>
        <w:rPr>
          <w:rStyle w:val="CharDivText"/>
        </w:rPr>
        <w:t xml:space="preserve"> </w:t>
      </w:r>
      <w:r>
        <w:rPr>
          <w:rStyle w:val="CharPartText"/>
        </w:rPr>
        <w:t>Regional price preference</w:t>
      </w:r>
      <w:bookmarkEnd w:id="134"/>
      <w:bookmarkEnd w:id="135"/>
      <w:bookmarkEnd w:id="136"/>
      <w:bookmarkEnd w:id="137"/>
      <w:bookmarkEnd w:id="138"/>
      <w:bookmarkEnd w:id="139"/>
      <w:bookmarkEnd w:id="140"/>
    </w:p>
    <w:p>
      <w:pPr>
        <w:pStyle w:val="Footnoteheading"/>
      </w:pPr>
      <w:r>
        <w:tab/>
        <w:t>[Heading inserted: Gazette 25 Feb 2000 p. 971.]</w:t>
      </w:r>
    </w:p>
    <w:p>
      <w:pPr>
        <w:pStyle w:val="Heading5"/>
        <w:spacing w:before="180"/>
      </w:pPr>
      <w:bookmarkStart w:id="141" w:name="_Toc138930568"/>
      <w:bookmarkStart w:id="142" w:name="_Toc135218109"/>
      <w:r>
        <w:rPr>
          <w:rStyle w:val="CharSectno"/>
        </w:rPr>
        <w:t>24A</w:t>
      </w:r>
      <w:r>
        <w:t>.</w:t>
      </w:r>
      <w:r>
        <w:tab/>
        <w:t>Application of this Part</w:t>
      </w:r>
      <w:bookmarkEnd w:id="141"/>
      <w:bookmarkEnd w:id="142"/>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143" w:name="_Toc138930569"/>
      <w:bookmarkStart w:id="144" w:name="_Toc135218110"/>
      <w:r>
        <w:rPr>
          <w:rStyle w:val="CharSectno"/>
        </w:rPr>
        <w:t>24B</w:t>
      </w:r>
      <w:r>
        <w:t>.</w:t>
      </w:r>
      <w:r>
        <w:tab/>
        <w:t>Terms used</w:t>
      </w:r>
      <w:bookmarkEnd w:id="143"/>
      <w:bookmarkEnd w:id="144"/>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145" w:name="_Toc138930570"/>
      <w:bookmarkStart w:id="146" w:name="_Toc135218111"/>
      <w:r>
        <w:rPr>
          <w:rStyle w:val="CharSectno"/>
        </w:rPr>
        <w:t>24C</w:t>
      </w:r>
      <w:r>
        <w:t>.</w:t>
      </w:r>
      <w:r>
        <w:tab/>
        <w:t>Regional price preference may be given</w:t>
      </w:r>
      <w:bookmarkEnd w:id="145"/>
      <w:bookmarkEnd w:id="146"/>
    </w:p>
    <w:p>
      <w:pPr>
        <w:pStyle w:val="Subsection"/>
        <w:keepNext/>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147" w:name="_Toc138930571"/>
      <w:bookmarkStart w:id="148" w:name="_Toc135218112"/>
      <w:r>
        <w:rPr>
          <w:rStyle w:val="CharSectno"/>
        </w:rPr>
        <w:t>24D</w:t>
      </w:r>
      <w:r>
        <w:t>.</w:t>
      </w:r>
      <w:r>
        <w:tab/>
        <w:t>Discounts permitted for regional price preferences</w:t>
      </w:r>
      <w:bookmarkEnd w:id="147"/>
      <w:bookmarkEnd w:id="148"/>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149" w:name="_Toc138930572"/>
      <w:bookmarkStart w:id="150" w:name="_Toc135218113"/>
      <w:r>
        <w:rPr>
          <w:rStyle w:val="CharSectno"/>
        </w:rPr>
        <w:t>24E</w:t>
      </w:r>
      <w:r>
        <w:t>.</w:t>
      </w:r>
      <w:r>
        <w:tab/>
        <w:t>Regional price preference policies for local governments</w:t>
      </w:r>
      <w:bookmarkEnd w:id="149"/>
      <w:bookmarkEnd w:id="150"/>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 and</w:t>
      </w:r>
    </w:p>
    <w:p>
      <w:pPr>
        <w:pStyle w:val="Indenta"/>
      </w:pPr>
      <w:r>
        <w:tab/>
        <w:t>(d)</w:t>
      </w:r>
      <w:r>
        <w:tab/>
        <w:t>publish the proposed regional price preference policy on the local government’s official website.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 SL 2020/213 r. 39.]</w:t>
      </w:r>
    </w:p>
    <w:p>
      <w:pPr>
        <w:pStyle w:val="Heading5"/>
        <w:spacing w:before="180"/>
      </w:pPr>
      <w:bookmarkStart w:id="151" w:name="_Toc138930573"/>
      <w:bookmarkStart w:id="152" w:name="_Toc135218114"/>
      <w:r>
        <w:rPr>
          <w:rStyle w:val="CharSectno"/>
        </w:rPr>
        <w:t>24F</w:t>
      </w:r>
      <w:r>
        <w:t>.</w:t>
      </w:r>
      <w:r>
        <w:tab/>
        <w:t>Adoption and notice of regional price preference policy</w:t>
      </w:r>
      <w:bookmarkEnd w:id="151"/>
      <w:bookmarkEnd w:id="152"/>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keepNext/>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pPr>
      <w:r>
        <w:tab/>
        <w:t>(b)</w:t>
      </w:r>
      <w:r>
        <w:tab/>
        <w:t>published on the local government’s official website.</w:t>
      </w:r>
    </w:p>
    <w:p>
      <w:pPr>
        <w:pStyle w:val="Footnotesection"/>
      </w:pPr>
      <w:r>
        <w:tab/>
        <w:t>[Regulation 24F inserted: Gazette 25 Feb 2000 p. 973</w:t>
      </w:r>
      <w:r>
        <w:noBreakHyphen/>
        <w:t>4; amended: Gazette 31 Mar 2005 p. 1055; SL 2020/213 r. 40.]</w:t>
      </w:r>
    </w:p>
    <w:p>
      <w:pPr>
        <w:pStyle w:val="Heading5"/>
      </w:pPr>
      <w:bookmarkStart w:id="153" w:name="_Toc138930574"/>
      <w:bookmarkStart w:id="154" w:name="_Toc135218115"/>
      <w:r>
        <w:rPr>
          <w:rStyle w:val="CharSectno"/>
        </w:rPr>
        <w:t>24G</w:t>
      </w:r>
      <w:r>
        <w:t>.</w:t>
      </w:r>
      <w:r>
        <w:tab/>
        <w:t>Adopted regional price preference policy, effect of</w:t>
      </w:r>
      <w:bookmarkEnd w:id="153"/>
      <w:bookmarkEnd w:id="154"/>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155" w:name="_Toc138850891"/>
      <w:bookmarkStart w:id="156" w:name="_Toc138851002"/>
      <w:bookmarkStart w:id="157" w:name="_Toc138929880"/>
      <w:bookmarkStart w:id="158" w:name="_Toc138930575"/>
      <w:bookmarkStart w:id="159" w:name="_Toc135142720"/>
      <w:bookmarkStart w:id="160" w:name="_Toc135143287"/>
      <w:bookmarkStart w:id="161" w:name="_Toc135218116"/>
      <w:r>
        <w:rPr>
          <w:rStyle w:val="CharPartNo"/>
        </w:rPr>
        <w:t>Part 5</w:t>
      </w:r>
      <w:r>
        <w:rPr>
          <w:rStyle w:val="CharDivNo"/>
        </w:rPr>
        <w:t> </w:t>
      </w:r>
      <w:r>
        <w:t>—</w:t>
      </w:r>
      <w:r>
        <w:rPr>
          <w:rStyle w:val="CharDivText"/>
        </w:rPr>
        <w:t> </w:t>
      </w:r>
      <w:r>
        <w:rPr>
          <w:rStyle w:val="CharPartText"/>
        </w:rPr>
        <w:t>Owner onus and infringement notices</w:t>
      </w:r>
      <w:bookmarkEnd w:id="155"/>
      <w:bookmarkEnd w:id="156"/>
      <w:bookmarkEnd w:id="157"/>
      <w:bookmarkEnd w:id="158"/>
      <w:bookmarkEnd w:id="159"/>
      <w:bookmarkEnd w:id="160"/>
      <w:bookmarkEnd w:id="161"/>
    </w:p>
    <w:p>
      <w:pPr>
        <w:pStyle w:val="Heading5"/>
        <w:ind w:right="376"/>
        <w:rPr>
          <w:snapToGrid w:val="0"/>
        </w:rPr>
      </w:pPr>
      <w:bookmarkStart w:id="162" w:name="_Toc138930576"/>
      <w:bookmarkStart w:id="163" w:name="_Toc135218117"/>
      <w:r>
        <w:rPr>
          <w:rStyle w:val="CharSectno"/>
        </w:rPr>
        <w:t>25</w:t>
      </w:r>
      <w:r>
        <w:rPr>
          <w:snapToGrid w:val="0"/>
        </w:rPr>
        <w:t>.</w:t>
      </w:r>
      <w:r>
        <w:rPr>
          <w:snapToGrid w:val="0"/>
        </w:rPr>
        <w:tab/>
        <w:t>Notice to put onus on vehicle owner, form of (Act s. 9.13)</w:t>
      </w:r>
      <w:bookmarkEnd w:id="162"/>
      <w:bookmarkEnd w:id="163"/>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164" w:name="_Toc138930577"/>
      <w:bookmarkStart w:id="165" w:name="_Toc135218118"/>
      <w:r>
        <w:rPr>
          <w:rStyle w:val="CharSectno"/>
        </w:rPr>
        <w:t>26</w:t>
      </w:r>
      <w:r>
        <w:rPr>
          <w:snapToGrid w:val="0"/>
        </w:rPr>
        <w:t>.</w:t>
      </w:r>
      <w:r>
        <w:rPr>
          <w:snapToGrid w:val="0"/>
        </w:rPr>
        <w:tab/>
        <w:t>Infringement notice, form of (Act s. 9.16)</w:t>
      </w:r>
      <w:bookmarkEnd w:id="164"/>
      <w:bookmarkEnd w:id="165"/>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166" w:name="_Toc138930578"/>
      <w:bookmarkStart w:id="167" w:name="_Toc135218119"/>
      <w:r>
        <w:rPr>
          <w:rStyle w:val="CharSectno"/>
        </w:rPr>
        <w:t>27</w:t>
      </w:r>
      <w:r>
        <w:rPr>
          <w:snapToGrid w:val="0"/>
        </w:rPr>
        <w:t>.</w:t>
      </w:r>
      <w:r>
        <w:rPr>
          <w:snapToGrid w:val="0"/>
        </w:rPr>
        <w:tab/>
        <w:t>Withdrawal of infringement notice, form of (Act s. 9.20)</w:t>
      </w:r>
      <w:bookmarkEnd w:id="166"/>
      <w:bookmarkEnd w:id="167"/>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168" w:name="_Toc138850895"/>
      <w:bookmarkStart w:id="169" w:name="_Toc138851006"/>
      <w:bookmarkStart w:id="170" w:name="_Toc138929884"/>
      <w:bookmarkStart w:id="171" w:name="_Toc138930579"/>
      <w:bookmarkStart w:id="172" w:name="_Toc135142724"/>
      <w:bookmarkStart w:id="173" w:name="_Toc135143291"/>
      <w:bookmarkStart w:id="174" w:name="_Toc135218120"/>
      <w:r>
        <w:rPr>
          <w:rStyle w:val="CharPartNo"/>
        </w:rPr>
        <w:t>Part 6</w:t>
      </w:r>
      <w:r>
        <w:rPr>
          <w:rStyle w:val="CharDivNo"/>
        </w:rPr>
        <w:t> </w:t>
      </w:r>
      <w:r>
        <w:t>—</w:t>
      </w:r>
      <w:r>
        <w:rPr>
          <w:rStyle w:val="CharDivText"/>
        </w:rPr>
        <w:t> </w:t>
      </w:r>
      <w:r>
        <w:rPr>
          <w:rStyle w:val="CharPartText"/>
        </w:rPr>
        <w:t>Miscellaneous</w:t>
      </w:r>
      <w:bookmarkEnd w:id="168"/>
      <w:bookmarkEnd w:id="169"/>
      <w:bookmarkEnd w:id="170"/>
      <w:bookmarkEnd w:id="171"/>
      <w:bookmarkEnd w:id="172"/>
      <w:bookmarkEnd w:id="173"/>
      <w:bookmarkEnd w:id="174"/>
    </w:p>
    <w:p>
      <w:pPr>
        <w:pStyle w:val="Heading5"/>
        <w:ind w:right="856"/>
        <w:rPr>
          <w:snapToGrid w:val="0"/>
        </w:rPr>
      </w:pPr>
      <w:bookmarkStart w:id="175" w:name="_Toc138930580"/>
      <w:bookmarkStart w:id="176" w:name="_Toc135218121"/>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175"/>
      <w:bookmarkEnd w:id="176"/>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177" w:name="_Toc138930581"/>
      <w:bookmarkStart w:id="178" w:name="_Toc135218122"/>
      <w:r>
        <w:rPr>
          <w:rStyle w:val="CharSectno"/>
        </w:rPr>
        <w:t>29A</w:t>
      </w:r>
      <w:r>
        <w:t>.</w:t>
      </w:r>
      <w:r>
        <w:tab/>
        <w:t xml:space="preserve">Abandoned vehicle wrecks, value etc. prescribed for </w:t>
      </w:r>
      <w:r>
        <w:rPr>
          <w:snapToGrid w:val="0"/>
        </w:rPr>
        <w:t>(Act </w:t>
      </w:r>
      <w:r>
        <w:t>s. 3.40A(5)(c))</w:t>
      </w:r>
      <w:bookmarkEnd w:id="177"/>
      <w:bookmarkEnd w:id="178"/>
    </w:p>
    <w:p>
      <w:pPr>
        <w:pStyle w:val="Subsection"/>
        <w:keepNext/>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179" w:name="_Toc138930582"/>
      <w:bookmarkStart w:id="180" w:name="_Toc135218123"/>
      <w:r>
        <w:rPr>
          <w:rStyle w:val="CharSectno"/>
        </w:rPr>
        <w:t>29B</w:t>
      </w:r>
      <w:r>
        <w:t>.</w:t>
      </w:r>
      <w:r>
        <w:tab/>
        <w:t>Prescribed non</w:t>
      </w:r>
      <w:r>
        <w:noBreakHyphen/>
        <w:t xml:space="preserve">perishable goods </w:t>
      </w:r>
      <w:r>
        <w:rPr>
          <w:snapToGrid w:val="0"/>
        </w:rPr>
        <w:t>(Act </w:t>
      </w:r>
      <w:r>
        <w:t>s. 3.47(2b)(ca))</w:t>
      </w:r>
      <w:bookmarkEnd w:id="179"/>
      <w:bookmarkEnd w:id="180"/>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181" w:name="_Toc138930583"/>
      <w:bookmarkStart w:id="182" w:name="_Toc135218124"/>
      <w:r>
        <w:rPr>
          <w:rStyle w:val="CharSectno"/>
        </w:rPr>
        <w:t>30</w:t>
      </w:r>
      <w:r>
        <w:rPr>
          <w:snapToGrid w:val="0"/>
        </w:rPr>
        <w:t>.</w:t>
      </w:r>
      <w:r>
        <w:rPr>
          <w:snapToGrid w:val="0"/>
        </w:rPr>
        <w:tab/>
        <w:t>Dispositions of property excluded from Act s. 3.58</w:t>
      </w:r>
      <w:bookmarkEnd w:id="181"/>
      <w:bookmarkEnd w:id="182"/>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dental profession or medical profession to be used for carrying on the person’s dental practice or medical practice; or</w:t>
      </w:r>
    </w:p>
    <w:p>
      <w:pPr>
        <w:pStyle w:val="Indenta"/>
        <w:rPr>
          <w:snapToGrid w:val="0"/>
        </w:rPr>
      </w:pPr>
      <w:r>
        <w:tab/>
        <w:t>(g)</w:t>
      </w:r>
      <w:r>
        <w:tab/>
        <w:t>it is the leasing of residential property to a person.</w:t>
      </w:r>
    </w:p>
    <w:p>
      <w:pPr>
        <w:pStyle w:val="Subsection"/>
        <w:keepNext/>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 xml:space="preserve">Details of a disposition of property under subregulation (2a) must, for a period of 1 year beginning on the day of the initial auction or tender — </w:t>
      </w:r>
    </w:p>
    <w:p>
      <w:pPr>
        <w:pStyle w:val="Indenta"/>
      </w:pPr>
      <w:r>
        <w:tab/>
        <w:t>(a)</w:t>
      </w:r>
      <w:r>
        <w:tab/>
        <w:t>be made available for public inspection; and</w:t>
      </w:r>
    </w:p>
    <w:p>
      <w:pPr>
        <w:pStyle w:val="Indenta"/>
      </w:pPr>
      <w:r>
        <w:tab/>
        <w:t>(b)</w:t>
      </w:r>
      <w:r>
        <w:tab/>
        <w:t>be published on the local government’s official website.</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keepNext/>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 SL 2020/213 r. 41; SL 2023/47 r. 6.]</w:t>
      </w:r>
    </w:p>
    <w:p>
      <w:pPr>
        <w:pStyle w:val="Heading5"/>
        <w:rPr>
          <w:snapToGrid w:val="0"/>
        </w:rPr>
      </w:pPr>
      <w:bookmarkStart w:id="183" w:name="_Toc138930584"/>
      <w:bookmarkStart w:id="184" w:name="_Toc135218125"/>
      <w:r>
        <w:rPr>
          <w:rStyle w:val="CharSectno"/>
        </w:rPr>
        <w:t>31</w:t>
      </w:r>
      <w:r>
        <w:rPr>
          <w:snapToGrid w:val="0"/>
        </w:rPr>
        <w:t>.</w:t>
      </w:r>
      <w:r>
        <w:rPr>
          <w:snapToGrid w:val="0"/>
        </w:rPr>
        <w:tab/>
        <w:t>Anti</w:t>
      </w:r>
      <w:r>
        <w:rPr>
          <w:snapToGrid w:val="0"/>
        </w:rPr>
        <w:noBreakHyphen/>
        <w:t>avoidance provision for Act s. 3.58</w:t>
      </w:r>
      <w:bookmarkEnd w:id="183"/>
      <w:bookmarkEnd w:id="184"/>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185" w:name="_Toc138930585"/>
      <w:bookmarkStart w:id="186" w:name="_Toc135218126"/>
      <w:r>
        <w:rPr>
          <w:rStyle w:val="CharSectno"/>
        </w:rPr>
        <w:t>32</w:t>
      </w:r>
      <w:r>
        <w:rPr>
          <w:snapToGrid w:val="0"/>
        </w:rPr>
        <w:t>.</w:t>
      </w:r>
      <w:r>
        <w:rPr>
          <w:snapToGrid w:val="0"/>
        </w:rPr>
        <w:tab/>
      </w:r>
      <w:r>
        <w:t>Local government permitted to form bodies corporate (Act s. 3.60)</w:t>
      </w:r>
      <w:bookmarkEnd w:id="185"/>
      <w:bookmarkEnd w:id="186"/>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pPr>
      <w:r>
        <w:tab/>
        <w:t>(2)</w:t>
      </w:r>
      <w:r>
        <w:tab/>
        <w:t xml:space="preserve">A local government may form or take part in forming a body corporate established under — </w:t>
      </w:r>
    </w:p>
    <w:p>
      <w:pPr>
        <w:pStyle w:val="Indenta"/>
      </w:pPr>
      <w:r>
        <w:tab/>
        <w:t>(a)</w:t>
      </w:r>
      <w:r>
        <w:tab/>
        <w:t xml:space="preserve">the </w:t>
      </w:r>
      <w:r>
        <w:rPr>
          <w:i/>
        </w:rPr>
        <w:t>Strata Titles Act 1985</w:t>
      </w:r>
      <w:r>
        <w:t xml:space="preserve"> section 14(1); or</w:t>
      </w:r>
    </w:p>
    <w:p>
      <w:pPr>
        <w:pStyle w:val="Indenta"/>
      </w:pPr>
      <w:r>
        <w:tab/>
        <w:t>(b)</w:t>
      </w:r>
      <w:r>
        <w:tab/>
        <w:t xml:space="preserve">the </w:t>
      </w:r>
      <w:r>
        <w:rPr>
          <w:i/>
        </w:rPr>
        <w:t>Community Titles Act 2018</w:t>
      </w:r>
      <w:r>
        <w:t xml:space="preserve"> section 17(1).</w:t>
      </w:r>
    </w:p>
    <w:p>
      <w:pPr>
        <w:pStyle w:val="Footnotesection"/>
      </w:pPr>
      <w:r>
        <w:tab/>
        <w:t>[Regulation 32 amended: Gazette 4 Dec 1998 p. 6500; 30 Dec 2016 p. 5970; 31 Dec 2019 p. 4649; SL 2021/75 r. 4.]</w:t>
      </w:r>
    </w:p>
    <w:p>
      <w:pPr>
        <w:pStyle w:val="Heading5"/>
      </w:pPr>
      <w:bookmarkStart w:id="187" w:name="_Toc138930586"/>
      <w:bookmarkStart w:id="188" w:name="_Toc135218127"/>
      <w:r>
        <w:rPr>
          <w:rStyle w:val="CharSectno"/>
        </w:rPr>
        <w:t>32A</w:t>
      </w:r>
      <w:r>
        <w:t>.</w:t>
      </w:r>
      <w:r>
        <w:tab/>
        <w:t xml:space="preserve">Excluded authorisations </w:t>
      </w:r>
      <w:r>
        <w:rPr>
          <w:snapToGrid w:val="0"/>
        </w:rPr>
        <w:t>(Act </w:t>
      </w:r>
      <w:r>
        <w:t>s. 9.2)</w:t>
      </w:r>
      <w:bookmarkEnd w:id="187"/>
      <w:bookmarkEnd w:id="188"/>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189" w:name="_Toc138930587"/>
      <w:bookmarkStart w:id="190" w:name="_Toc135218128"/>
      <w:r>
        <w:rPr>
          <w:rStyle w:val="CharSectno"/>
        </w:rPr>
        <w:t>33</w:t>
      </w:r>
      <w:r>
        <w:rPr>
          <w:snapToGrid w:val="0"/>
        </w:rPr>
        <w:t>.</w:t>
      </w:r>
      <w:r>
        <w:rPr>
          <w:snapToGrid w:val="0"/>
        </w:rPr>
        <w:tab/>
        <w:t>Objections to decisions, form of etc. prescribed (Act s. 9.5)</w:t>
      </w:r>
      <w:bookmarkEnd w:id="189"/>
      <w:bookmarkEnd w:id="190"/>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191" w:name="_Toc138930588"/>
      <w:bookmarkStart w:id="192" w:name="_Toc135218129"/>
      <w:r>
        <w:rPr>
          <w:rStyle w:val="CharSectno"/>
        </w:rPr>
        <w:t>34</w:t>
      </w:r>
      <w:r>
        <w:t>.</w:t>
      </w:r>
      <w:r>
        <w:tab/>
        <w:t>Common seal, unauthorised use of</w:t>
      </w:r>
      <w:bookmarkEnd w:id="191"/>
      <w:bookmarkEnd w:id="192"/>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193" w:name="_Toc138930589"/>
      <w:bookmarkStart w:id="194" w:name="_Toc135218130"/>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193"/>
      <w:bookmarkEnd w:id="194"/>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195" w:name="_Toc138930590"/>
      <w:bookmarkStart w:id="196" w:name="_Toc135218131"/>
      <w:r>
        <w:rPr>
          <w:rStyle w:val="CharSectno"/>
        </w:rPr>
        <w:t>35A</w:t>
      </w:r>
      <w:r>
        <w:t>.</w:t>
      </w:r>
      <w:r>
        <w:tab/>
        <w:t xml:space="preserve">Delegable functions of Minister </w:t>
      </w:r>
      <w:r>
        <w:rPr>
          <w:snapToGrid w:val="0"/>
        </w:rPr>
        <w:t>(Act </w:t>
      </w:r>
      <w:r>
        <w:t>s. 9.66)</w:t>
      </w:r>
      <w:bookmarkEnd w:id="195"/>
      <w:bookmarkEnd w:id="196"/>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197" w:name="_Toc138930591"/>
      <w:bookmarkStart w:id="198" w:name="_Toc135218132"/>
      <w:r>
        <w:rPr>
          <w:rStyle w:val="CharSectno"/>
        </w:rPr>
        <w:t>35B</w:t>
      </w:r>
      <w:r>
        <w:t>.</w:t>
      </w:r>
      <w:r>
        <w:tab/>
        <w:t>Delegable functions of Departmental CEO (Act s. 9.67)</w:t>
      </w:r>
      <w:bookmarkEnd w:id="197"/>
      <w:bookmarkEnd w:id="198"/>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199" w:name="_Toc138930592"/>
      <w:bookmarkStart w:id="200" w:name="_Toc135218133"/>
      <w:r>
        <w:rPr>
          <w:rStyle w:val="CharSectno"/>
        </w:rPr>
        <w:t>36</w:t>
      </w:r>
      <w:r>
        <w:rPr>
          <w:snapToGrid w:val="0"/>
        </w:rPr>
        <w:t>.</w:t>
      </w:r>
      <w:r>
        <w:rPr>
          <w:snapToGrid w:val="0"/>
        </w:rPr>
        <w:tab/>
        <w:t>Warrant to enter, form of (Act s. 3.33(1) and 8.8(1))</w:t>
      </w:r>
      <w:bookmarkEnd w:id="199"/>
      <w:bookmarkEnd w:id="200"/>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201" w:name="_Toc138850909"/>
      <w:bookmarkStart w:id="202" w:name="_Toc138851020"/>
      <w:bookmarkStart w:id="203" w:name="_Toc138929898"/>
      <w:bookmarkStart w:id="204" w:name="_Toc138930593"/>
      <w:bookmarkStart w:id="205" w:name="_Toc135142738"/>
      <w:bookmarkStart w:id="206" w:name="_Toc135143305"/>
      <w:bookmarkStart w:id="207" w:name="_Toc135218134"/>
      <w:r>
        <w:rPr>
          <w:rStyle w:val="CharPartNo"/>
        </w:rPr>
        <w:t>Part 7</w:t>
      </w:r>
      <w:r>
        <w:rPr>
          <w:rStyle w:val="CharDivNo"/>
        </w:rPr>
        <w:t> </w:t>
      </w:r>
      <w:r>
        <w:t>—</w:t>
      </w:r>
      <w:r>
        <w:rPr>
          <w:rStyle w:val="CharDivText"/>
        </w:rPr>
        <w:t> </w:t>
      </w:r>
      <w:r>
        <w:rPr>
          <w:rStyle w:val="CharPartText"/>
        </w:rPr>
        <w:t>Other transitional provisions</w:t>
      </w:r>
      <w:bookmarkEnd w:id="201"/>
      <w:bookmarkEnd w:id="202"/>
      <w:bookmarkEnd w:id="203"/>
      <w:bookmarkEnd w:id="204"/>
      <w:bookmarkEnd w:id="205"/>
      <w:bookmarkEnd w:id="206"/>
      <w:bookmarkEnd w:id="207"/>
    </w:p>
    <w:p>
      <w:pPr>
        <w:pStyle w:val="Ednotesection"/>
        <w:ind w:left="890" w:hanging="890"/>
      </w:pPr>
      <w:r>
        <w:t>[</w:t>
      </w:r>
      <w:r>
        <w:rPr>
          <w:b/>
          <w:bCs/>
        </w:rPr>
        <w:t>37.</w:t>
      </w:r>
      <w:r>
        <w:tab/>
      </w:r>
      <w:r>
        <w:rPr>
          <w:snapToGrid/>
        </w:rPr>
        <w:t>Omitted under the Reprints Act 1984 s. 7(4)(e).]</w:t>
      </w:r>
    </w:p>
    <w:p>
      <w:pPr>
        <w:pStyle w:val="Heading5"/>
        <w:rPr>
          <w:snapToGrid w:val="0"/>
        </w:rPr>
      </w:pPr>
      <w:bookmarkStart w:id="208" w:name="_Toc138930594"/>
      <w:bookmarkStart w:id="209" w:name="_Toc135218135"/>
      <w:r>
        <w:rPr>
          <w:rStyle w:val="CharSectno"/>
        </w:rPr>
        <w:t>38</w:t>
      </w:r>
      <w:r>
        <w:t>.</w:t>
      </w:r>
      <w:r>
        <w:rPr>
          <w:snapToGrid w:val="0"/>
        </w:rPr>
        <w:tab/>
        <w:t>Adopting former model by</w:t>
      </w:r>
      <w:r>
        <w:rPr>
          <w:snapToGrid w:val="0"/>
        </w:rPr>
        <w:noBreakHyphen/>
        <w:t>laws as local laws (Act s. 3.8(2) and (3))</w:t>
      </w:r>
      <w:bookmarkEnd w:id="208"/>
      <w:bookmarkEnd w:id="209"/>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10" w:name="_Toc138850911"/>
      <w:bookmarkStart w:id="211" w:name="_Toc138851022"/>
      <w:bookmarkStart w:id="212" w:name="_Toc138929900"/>
      <w:bookmarkStart w:id="213" w:name="_Toc138930595"/>
      <w:bookmarkStart w:id="214" w:name="_Toc135142740"/>
      <w:bookmarkStart w:id="215" w:name="_Toc135143307"/>
      <w:bookmarkStart w:id="216" w:name="_Toc135218136"/>
      <w:r>
        <w:rPr>
          <w:rStyle w:val="CharSchNo"/>
        </w:rPr>
        <w:t>Schedule 1</w:t>
      </w:r>
      <w:r>
        <w:t> — </w:t>
      </w:r>
      <w:r>
        <w:rPr>
          <w:rStyle w:val="CharSchText"/>
        </w:rPr>
        <w:t>Forms</w:t>
      </w:r>
      <w:bookmarkEnd w:id="210"/>
      <w:bookmarkEnd w:id="211"/>
      <w:bookmarkEnd w:id="212"/>
      <w:bookmarkEnd w:id="213"/>
      <w:bookmarkEnd w:id="214"/>
      <w:bookmarkEnd w:id="215"/>
      <w:bookmarkEnd w:id="216"/>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type w:val="continuous"/>
          <w:pgSz w:w="11907" w:h="16840" w:code="9"/>
          <w:pgMar w:top="2381" w:right="2410" w:bottom="2977" w:left="2410" w:header="720" w:footer="3544" w:gutter="0"/>
          <w:cols w:space="720"/>
          <w:noEndnote/>
          <w:docGrid w:linePitch="326"/>
        </w:sectPr>
      </w:pPr>
    </w:p>
    <w:p>
      <w:pPr>
        <w:pStyle w:val="nHeading2"/>
      </w:pPr>
      <w:bookmarkStart w:id="218" w:name="_Toc138850912"/>
      <w:bookmarkStart w:id="219" w:name="_Toc138851023"/>
      <w:bookmarkStart w:id="220" w:name="_Toc138929901"/>
      <w:bookmarkStart w:id="221" w:name="_Toc138930596"/>
      <w:bookmarkStart w:id="222" w:name="_Toc135142741"/>
      <w:bookmarkStart w:id="223" w:name="_Toc135143308"/>
      <w:bookmarkStart w:id="224" w:name="_Toc135218137"/>
      <w:r>
        <w:t>Notes</w:t>
      </w:r>
      <w:bookmarkEnd w:id="218"/>
      <w:bookmarkEnd w:id="219"/>
      <w:bookmarkEnd w:id="220"/>
      <w:bookmarkEnd w:id="221"/>
      <w:bookmarkEnd w:id="222"/>
      <w:bookmarkEnd w:id="223"/>
      <w:bookmarkEnd w:id="224"/>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5" w:name="_Toc138930597"/>
      <w:bookmarkStart w:id="226" w:name="_Toc135218138"/>
      <w:r>
        <w:t>Compilation table</w:t>
      </w:r>
      <w:bookmarkEnd w:id="225"/>
      <w:bookmarkEnd w:id="22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2020</w:t>
            </w:r>
            <w:r>
              <w:t xml:space="preserve"> Pt. 3</w:t>
            </w:r>
          </w:p>
        </w:tc>
        <w:tc>
          <w:tcPr>
            <w:tcW w:w="1276" w:type="dxa"/>
            <w:tcBorders>
              <w:top w:val="nil"/>
              <w:bottom w:val="nil"/>
            </w:tcBorders>
            <w:shd w:val="clear" w:color="auto" w:fill="auto"/>
          </w:tcPr>
          <w:p>
            <w:pPr>
              <w:pStyle w:val="nTable"/>
              <w:spacing w:after="40"/>
            </w:pPr>
            <w:r>
              <w:t>SL 2020/35 9 Apr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pPr>
              <w:pStyle w:val="nTable"/>
              <w:spacing w:after="40"/>
            </w:pPr>
            <w:r>
              <w:t xml:space="preserve">SL 2020/55 8 May 2020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(No. 2) 2020</w:t>
            </w:r>
            <w:r>
              <w:t xml:space="preserve"> Pt. 8</w:t>
            </w:r>
          </w:p>
        </w:tc>
        <w:tc>
          <w:tcPr>
            <w:tcW w:w="1276" w:type="dxa"/>
            <w:tcBorders>
              <w:top w:val="nil"/>
              <w:bottom w:val="nil"/>
            </w:tcBorders>
            <w:shd w:val="clear" w:color="auto" w:fill="auto"/>
          </w:tcPr>
          <w:p>
            <w:pPr>
              <w:pStyle w:val="nTable"/>
              <w:spacing w:after="40"/>
            </w:pPr>
            <w:r>
              <w:t>SL 2020/213 6 Nov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7 Nov 2020 (see r. 2(b) and SL 2020/212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2021</w:t>
            </w:r>
          </w:p>
        </w:tc>
        <w:tc>
          <w:tcPr>
            <w:tcW w:w="1276" w:type="dxa"/>
            <w:tcBorders>
              <w:top w:val="nil"/>
              <w:bottom w:val="nil"/>
            </w:tcBorders>
            <w:shd w:val="clear" w:color="auto" w:fill="auto"/>
          </w:tcPr>
          <w:p>
            <w:pPr>
              <w:pStyle w:val="nTable"/>
              <w:spacing w:after="40"/>
            </w:pPr>
            <w:r>
              <w:t>SL 2021/75 18 Jun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 xml:space="preserve">18 Jun 2021 </w:t>
            </w:r>
            <w:r>
              <w:rPr>
                <w:bCs/>
                <w:snapToGrid w:val="0"/>
                <w:spacing w:val="-2"/>
              </w:rPr>
              <w:t>(see r. 2(a));</w:t>
            </w:r>
            <w:r>
              <w:rPr>
                <w:bCs/>
                <w:snapToGrid w:val="0"/>
                <w:spacing w:val="-2"/>
              </w:rPr>
              <w:br/>
              <w:t xml:space="preserve">Regulations other than r. 1 and 2: </w:t>
            </w:r>
            <w:r>
              <w:t>30 Jun 2021 (see r. 2(b) and SL 2021/69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Regulations Amendment Regulations 2022</w:t>
            </w:r>
            <w:r>
              <w:t xml:space="preserve"> Pt. 4 (other than Div. 3)</w:t>
            </w:r>
          </w:p>
        </w:tc>
        <w:tc>
          <w:tcPr>
            <w:tcW w:w="1276" w:type="dxa"/>
            <w:tcBorders>
              <w:top w:val="nil"/>
              <w:bottom w:val="nil"/>
            </w:tcBorders>
            <w:shd w:val="clear" w:color="auto" w:fill="auto"/>
          </w:tcPr>
          <w:p>
            <w:pPr>
              <w:pStyle w:val="nTable"/>
              <w:spacing w:after="40"/>
            </w:pPr>
            <w:r>
              <w:t>SL 2022/177 2 Nov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3 Nov 2022 (see r. 2(b) and SL 2022/175 cl. 2)</w:t>
            </w:r>
          </w:p>
        </w:tc>
      </w:tr>
      <w:tr>
        <w:trPr>
          <w:cantSplit/>
        </w:trPr>
        <w:tc>
          <w:tcPr>
            <w:tcW w:w="3119" w:type="dxa"/>
            <w:tcBorders>
              <w:top w:val="nil"/>
              <w:bottom w:val="single" w:sz="4" w:space="0" w:color="auto"/>
            </w:tcBorders>
            <w:shd w:val="clear" w:color="auto" w:fill="auto"/>
          </w:tcPr>
          <w:p>
            <w:pPr>
              <w:pStyle w:val="nTable"/>
              <w:spacing w:after="40"/>
              <w:ind w:right="113"/>
              <w:rPr>
                <w:i/>
              </w:rPr>
            </w:pPr>
            <w:r>
              <w:rPr>
                <w:i/>
              </w:rPr>
              <w:t>Local Government (Functions and General) Amendment Regulations 2023</w:t>
            </w:r>
          </w:p>
        </w:tc>
        <w:tc>
          <w:tcPr>
            <w:tcW w:w="1276" w:type="dxa"/>
            <w:tcBorders>
              <w:top w:val="nil"/>
              <w:bottom w:val="single" w:sz="4" w:space="0" w:color="auto"/>
            </w:tcBorders>
            <w:shd w:val="clear" w:color="auto" w:fill="auto"/>
          </w:tcPr>
          <w:p>
            <w:pPr>
              <w:pStyle w:val="nTable"/>
              <w:spacing w:after="40"/>
            </w:pPr>
            <w:r>
              <w:t>SL 2023/47 19 May 2023</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r. 1 and 2: 19 May 2023 (see r. 2(a));</w:t>
            </w:r>
            <w:r>
              <w:rPr>
                <w:bCs/>
                <w:snapToGrid w:val="0"/>
                <w:spacing w:val="-2"/>
              </w:rPr>
              <w:br/>
              <w:t>Regulations other than r. 1 and 2: 20 May 2023 (see r. 2(b))</w:t>
            </w:r>
          </w:p>
        </w:tc>
      </w:tr>
    </w:tbl>
    <w:p>
      <w:pPr>
        <w:pStyle w:val="nHeading3"/>
      </w:pPr>
      <w:bookmarkStart w:id="227" w:name="_Toc138930598"/>
      <w:bookmarkStart w:id="228" w:name="_Toc135218139"/>
      <w:r>
        <w:t>Uncommenced provisions table</w:t>
      </w:r>
      <w:bookmarkEnd w:id="227"/>
      <w:bookmarkEnd w:id="22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Local Government Regulations Amendment Regulations 2022</w:t>
            </w:r>
            <w:r>
              <w:t xml:space="preserve"> Pt. 4 Div. 3</w:t>
            </w:r>
          </w:p>
        </w:tc>
        <w:tc>
          <w:tcPr>
            <w:tcW w:w="1276" w:type="dxa"/>
            <w:tcBorders>
              <w:bottom w:val="nil"/>
            </w:tcBorders>
          </w:tcPr>
          <w:p>
            <w:pPr>
              <w:pStyle w:val="nTable"/>
              <w:spacing w:after="40"/>
            </w:pPr>
            <w:r>
              <w:t>SL 2022/177 2 Nov 2022</w:t>
            </w:r>
          </w:p>
        </w:tc>
        <w:tc>
          <w:tcPr>
            <w:tcW w:w="2693" w:type="dxa"/>
            <w:tcBorders>
              <w:bottom w:val="nil"/>
            </w:tcBorders>
          </w:tcPr>
          <w:p>
            <w:pPr>
              <w:pStyle w:val="nTable"/>
              <w:spacing w:after="40"/>
            </w:pPr>
            <w:r>
              <w:t>3 Nov 2024 (see r. 2(c) and SL 2022/175 cl. 2)</w:t>
            </w:r>
          </w:p>
        </w:tc>
      </w:tr>
      <w:tr>
        <w:trPr>
          <w:ins w:id="229" w:author="Master Repository Process" w:date="2023-06-29T18:15:00Z"/>
        </w:trPr>
        <w:tc>
          <w:tcPr>
            <w:tcW w:w="3118" w:type="dxa"/>
            <w:tcBorders>
              <w:top w:val="nil"/>
              <w:bottom w:val="single" w:sz="4" w:space="0" w:color="auto"/>
            </w:tcBorders>
          </w:tcPr>
          <w:p>
            <w:pPr>
              <w:pStyle w:val="nTable"/>
              <w:spacing w:after="40"/>
              <w:rPr>
                <w:ins w:id="230" w:author="Master Repository Process" w:date="2023-06-29T18:15:00Z"/>
                <w:i/>
              </w:rPr>
            </w:pPr>
            <w:ins w:id="231" w:author="Master Repository Process" w:date="2023-06-29T18:15:00Z">
              <w:r>
                <w:rPr>
                  <w:i/>
                </w:rPr>
                <w:t>Local Government Regulations Amendment Regulations (No. 2) 2023</w:t>
              </w:r>
              <w:r>
                <w:t xml:space="preserve"> Pt. 5</w:t>
              </w:r>
            </w:ins>
          </w:p>
        </w:tc>
        <w:tc>
          <w:tcPr>
            <w:tcW w:w="1276" w:type="dxa"/>
            <w:tcBorders>
              <w:top w:val="nil"/>
              <w:bottom w:val="single" w:sz="4" w:space="0" w:color="auto"/>
            </w:tcBorders>
          </w:tcPr>
          <w:p>
            <w:pPr>
              <w:pStyle w:val="nTable"/>
              <w:spacing w:after="40"/>
              <w:rPr>
                <w:ins w:id="232" w:author="Master Repository Process" w:date="2023-06-29T18:15:00Z"/>
              </w:rPr>
            </w:pPr>
            <w:ins w:id="233" w:author="Master Repository Process" w:date="2023-06-29T18:15:00Z">
              <w:r>
                <w:t>SL 2023/102 30 Jun 2023</w:t>
              </w:r>
            </w:ins>
          </w:p>
        </w:tc>
        <w:tc>
          <w:tcPr>
            <w:tcW w:w="2693" w:type="dxa"/>
            <w:tcBorders>
              <w:top w:val="nil"/>
              <w:bottom w:val="single" w:sz="4" w:space="0" w:color="auto"/>
            </w:tcBorders>
          </w:tcPr>
          <w:p>
            <w:pPr>
              <w:pStyle w:val="nTable"/>
              <w:spacing w:after="40"/>
              <w:rPr>
                <w:ins w:id="234" w:author="Master Repository Process" w:date="2023-06-29T18:15:00Z"/>
              </w:rPr>
            </w:pPr>
            <w:ins w:id="235" w:author="Master Repository Process" w:date="2023-06-29T18:15:00Z">
              <w:r>
                <w:t>1 Jul 2024 (see r. 2(c))</w:t>
              </w:r>
            </w:ins>
          </w:p>
        </w:tc>
      </w:tr>
    </w:tbl>
    <w:p>
      <w:pPr>
        <w:pStyle w:val="nHeading3"/>
      </w:pPr>
      <w:bookmarkStart w:id="236" w:name="_Toc138930599"/>
      <w:bookmarkStart w:id="237" w:name="_Toc135218140"/>
      <w:r>
        <w:t>Other notes</w:t>
      </w:r>
      <w:bookmarkEnd w:id="236"/>
      <w:bookmarkEnd w:id="237"/>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7" w:name="Schedule"/>
    <w:bookmarkEnd w:id="2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8" w:name="Compilation"/>
    <w:bookmarkEnd w:id="2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9" w:name="Coversheet"/>
    <w:bookmarkEnd w:id="2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8104520"/>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 w:name="WAFER_202106151023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2340_GUID" w:val="8677039b-e8d2-49dc-b7c9-27942ab9aa0f"/>
    <w:docVar w:name="WAFER_20210622132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32607_GUID" w:val="fcfa720f-ecb9-4ba2-b6bd-45456f5a6329"/>
    <w:docVar w:name="WAFER_202210311106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27_GUID" w:val="4d7922ea-3e5e-4ba3-95c1-1d8e1ba3a82f"/>
    <w:docVar w:name="WAFER_20230516151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1608_GUID" w:val="46a1728b-23ff-49aa-922b-445d78e3cbec"/>
    <w:docVar w:name="WAFER_20230628104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104520_GUID" w:val="e0e248b4-29d5-4c13-8ffb-98f99c6b70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3690B1-1D52-4C15-917F-8CAD6B5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11971</Words>
  <Characters>64050</Characters>
  <Application>Microsoft Office Word</Application>
  <DocSecurity>0</DocSecurity>
  <Lines>1685</Lines>
  <Paragraphs>987</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03-m0-00 - 03-n0-00</dc:title>
  <dc:subject/>
  <dc:creator/>
  <cp:keywords/>
  <dc:description/>
  <cp:lastModifiedBy>Master Repository Process</cp:lastModifiedBy>
  <cp:revision>2</cp:revision>
  <cp:lastPrinted>2012-04-02T07:14:00Z</cp:lastPrinted>
  <dcterms:created xsi:type="dcterms:W3CDTF">2023-06-29T10:15:00Z</dcterms:created>
  <dcterms:modified xsi:type="dcterms:W3CDTF">2023-06-29T10:15:00Z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20230630</vt:lpwstr>
  </property>
  <property fmtid="{D5CDD505-2E9C-101B-9397-08002B2CF9AE}" pid="8" name="Official">
    <vt:lpwstr/>
  </property>
  <property fmtid="{D5CDD505-2E9C-101B-9397-08002B2CF9AE}" pid="9" name="FromSuffix">
    <vt:lpwstr>03-m0-00</vt:lpwstr>
  </property>
  <property fmtid="{D5CDD505-2E9C-101B-9397-08002B2CF9AE}" pid="10" name="FromAsAtDate">
    <vt:lpwstr>20 May 2023</vt:lpwstr>
  </property>
  <property fmtid="{D5CDD505-2E9C-101B-9397-08002B2CF9AE}" pid="11" name="ToSuffix">
    <vt:lpwstr>03-n0-00</vt:lpwstr>
  </property>
  <property fmtid="{D5CDD505-2E9C-101B-9397-08002B2CF9AE}" pid="12" name="ToAsAtDate">
    <vt:lpwstr>30 Jun 2023</vt:lpwstr>
  </property>
</Properties>
</file>