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99492459"/>
      <w:bookmarkStart w:id="2" w:name="_Toc135139516"/>
      <w:bookmarkStart w:id="3" w:name="_Toc135139601"/>
      <w:bookmarkStart w:id="4" w:name="_Toc1352184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199492460"/>
      <w:bookmarkStart w:id="6" w:name="_Toc135218498"/>
      <w:r>
        <w:rPr>
          <w:rStyle w:val="CharSectno"/>
        </w:rPr>
        <w:t>1</w:t>
      </w:r>
      <w:r>
        <w:t>.</w:t>
      </w:r>
      <w:r>
        <w:tab/>
        <w:t>Citation</w:t>
      </w:r>
      <w:bookmarkEnd w:id="5"/>
      <w:bookmarkEnd w:id="6"/>
    </w:p>
    <w:p>
      <w:pPr>
        <w:pStyle w:val="Subsection"/>
        <w:rPr>
          <w:i/>
        </w:rPr>
      </w:pPr>
      <w:r>
        <w:tab/>
      </w:r>
      <w:r>
        <w:tab/>
        <w:t xml:space="preserve">These regulations may be cited as the </w:t>
      </w:r>
      <w:r>
        <w:rPr>
          <w:i/>
        </w:rPr>
        <w:t>Mooring Regulations 1998.</w:t>
      </w:r>
    </w:p>
    <w:p>
      <w:pPr>
        <w:pStyle w:val="Heading5"/>
      </w:pPr>
      <w:bookmarkStart w:id="7" w:name="_Toc199492461"/>
      <w:bookmarkStart w:id="8" w:name="_Toc135218499"/>
      <w:r>
        <w:rPr>
          <w:rStyle w:val="CharSectno"/>
        </w:rPr>
        <w:t>2</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9" w:name="_Toc199492462"/>
      <w:bookmarkStart w:id="10" w:name="_Toc135218500"/>
      <w:r>
        <w:rPr>
          <w:rStyle w:val="CharSectno"/>
        </w:rPr>
        <w:t>3</w:t>
      </w:r>
      <w:r>
        <w:t>.</w:t>
      </w:r>
      <w:r>
        <w:tab/>
        <w:t>Application</w:t>
      </w:r>
      <w:bookmarkEnd w:id="9"/>
      <w:bookmarkEnd w:id="10"/>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1" w:name="_Toc199492463"/>
      <w:bookmarkStart w:id="12" w:name="_Toc135139520"/>
      <w:bookmarkStart w:id="13" w:name="_Toc135139605"/>
      <w:bookmarkStart w:id="14" w:name="_Toc135218501"/>
      <w:r>
        <w:rPr>
          <w:rStyle w:val="CharPartNo"/>
        </w:rPr>
        <w:t>Part 2</w:t>
      </w:r>
      <w:r>
        <w:rPr>
          <w:b w:val="0"/>
        </w:rPr>
        <w:t> </w:t>
      </w:r>
      <w:r>
        <w:t>—</w:t>
      </w:r>
      <w:r>
        <w:rPr>
          <w:b w:val="0"/>
        </w:rPr>
        <w:t> </w:t>
      </w:r>
      <w:r>
        <w:rPr>
          <w:rStyle w:val="CharPartText"/>
        </w:rPr>
        <w:t>Moorings and mooring sites in mooring control areas</w:t>
      </w:r>
      <w:bookmarkEnd w:id="11"/>
      <w:bookmarkEnd w:id="12"/>
      <w:bookmarkEnd w:id="13"/>
      <w:bookmarkEnd w:id="14"/>
    </w:p>
    <w:p>
      <w:pPr>
        <w:pStyle w:val="Footnoteheading"/>
      </w:pPr>
      <w:r>
        <w:tab/>
        <w:t>[Heading inserted: SL 2021/147 r. 6.]</w:t>
      </w:r>
    </w:p>
    <w:p>
      <w:pPr>
        <w:pStyle w:val="Heading3"/>
      </w:pPr>
      <w:bookmarkStart w:id="15" w:name="_Toc199492464"/>
      <w:bookmarkStart w:id="16" w:name="_Toc135139521"/>
      <w:bookmarkStart w:id="17" w:name="_Toc135139606"/>
      <w:bookmarkStart w:id="18" w:name="_Toc135218502"/>
      <w:r>
        <w:rPr>
          <w:rStyle w:val="CharDivNo"/>
        </w:rPr>
        <w:t>Division 1</w:t>
      </w:r>
      <w:r>
        <w:t> — </w:t>
      </w:r>
      <w:r>
        <w:rPr>
          <w:rStyle w:val="CharDivText"/>
        </w:rPr>
        <w:t>Installation, removal and use of moorings</w:t>
      </w:r>
      <w:bookmarkEnd w:id="15"/>
      <w:bookmarkEnd w:id="16"/>
      <w:bookmarkEnd w:id="17"/>
      <w:bookmarkEnd w:id="18"/>
    </w:p>
    <w:p>
      <w:pPr>
        <w:pStyle w:val="Footnoteheading"/>
      </w:pPr>
      <w:r>
        <w:tab/>
        <w:t>[Heading inserted: SL 2021/147 r. 6.]</w:t>
      </w:r>
    </w:p>
    <w:p>
      <w:pPr>
        <w:pStyle w:val="Heading5"/>
      </w:pPr>
      <w:bookmarkStart w:id="19" w:name="_Toc199492465"/>
      <w:bookmarkStart w:id="20" w:name="_Toc135218503"/>
      <w:r>
        <w:rPr>
          <w:rStyle w:val="CharSectno"/>
        </w:rPr>
        <w:t>4</w:t>
      </w:r>
      <w:r>
        <w:t>.</w:t>
      </w:r>
      <w:r>
        <w:tab/>
        <w:t>Installation of moorings</w:t>
      </w:r>
      <w:bookmarkEnd w:id="19"/>
      <w:bookmarkEnd w:id="20"/>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21" w:name="_Toc199492466"/>
      <w:bookmarkStart w:id="22" w:name="_Toc135218504"/>
      <w:r>
        <w:rPr>
          <w:rStyle w:val="CharSectno"/>
        </w:rPr>
        <w:t>5</w:t>
      </w:r>
      <w:r>
        <w:t>.</w:t>
      </w:r>
      <w:r>
        <w:tab/>
        <w:t>Removal of unauthorised mooring</w:t>
      </w:r>
      <w:bookmarkEnd w:id="21"/>
      <w:bookmarkEnd w:id="22"/>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23" w:name="_Toc199492467"/>
      <w:bookmarkStart w:id="24" w:name="_Toc135218505"/>
      <w:r>
        <w:rPr>
          <w:rStyle w:val="CharSectno"/>
        </w:rPr>
        <w:t>6</w:t>
      </w:r>
      <w:r>
        <w:t>.</w:t>
      </w:r>
      <w:r>
        <w:tab/>
        <w:t>Use of moorings</w:t>
      </w:r>
      <w:bookmarkEnd w:id="23"/>
      <w:bookmarkEnd w:id="24"/>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25" w:name="_Toc199492468"/>
      <w:bookmarkStart w:id="26" w:name="_Toc135218506"/>
      <w:r>
        <w:rPr>
          <w:rStyle w:val="CharSectno"/>
        </w:rPr>
        <w:t>7</w:t>
      </w:r>
      <w:r>
        <w:t>.</w:t>
      </w:r>
      <w:r>
        <w:tab/>
        <w:t>Securing and anchoring vessels in mooring control areas</w:t>
      </w:r>
      <w:bookmarkEnd w:id="25"/>
      <w:bookmarkEnd w:id="26"/>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27" w:name="_Toc199492469"/>
      <w:bookmarkStart w:id="28" w:name="_Toc135139526"/>
      <w:bookmarkStart w:id="29" w:name="_Toc135139611"/>
      <w:bookmarkStart w:id="30" w:name="_Toc135218507"/>
      <w:r>
        <w:rPr>
          <w:rStyle w:val="CharDivNo"/>
        </w:rPr>
        <w:t>Division 2</w:t>
      </w:r>
      <w:r>
        <w:t> — </w:t>
      </w:r>
      <w:r>
        <w:rPr>
          <w:rStyle w:val="CharDivText"/>
        </w:rPr>
        <w:t>Classes of mooring sites</w:t>
      </w:r>
      <w:bookmarkEnd w:id="27"/>
      <w:bookmarkEnd w:id="28"/>
      <w:bookmarkEnd w:id="29"/>
      <w:bookmarkEnd w:id="30"/>
    </w:p>
    <w:p>
      <w:pPr>
        <w:pStyle w:val="Footnoteheading"/>
      </w:pPr>
      <w:r>
        <w:tab/>
        <w:t>[Heading inserted: SL 2021/147 r. 10.]</w:t>
      </w:r>
    </w:p>
    <w:p>
      <w:pPr>
        <w:pStyle w:val="Heading5"/>
      </w:pPr>
      <w:bookmarkStart w:id="31" w:name="_Toc199492470"/>
      <w:bookmarkStart w:id="32" w:name="_Toc135218508"/>
      <w:r>
        <w:rPr>
          <w:rStyle w:val="CharSectno"/>
        </w:rPr>
        <w:t>7A</w:t>
      </w:r>
      <w:r>
        <w:t>.</w:t>
      </w:r>
      <w:r>
        <w:tab/>
        <w:t>Term used: permissible vessel length</w:t>
      </w:r>
      <w:bookmarkEnd w:id="31"/>
      <w:bookmarkEnd w:id="32"/>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33" w:name="_Toc199492471"/>
      <w:bookmarkStart w:id="34" w:name="_Toc135218509"/>
      <w:r>
        <w:rPr>
          <w:rStyle w:val="CharSectno"/>
        </w:rPr>
        <w:t>7B</w:t>
      </w:r>
      <w:r>
        <w:t>.</w:t>
      </w:r>
      <w:r>
        <w:tab/>
        <w:t>Designation of mooring sites</w:t>
      </w:r>
      <w:bookmarkEnd w:id="33"/>
      <w:bookmarkEnd w:id="34"/>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35" w:name="_Toc199492472"/>
      <w:bookmarkStart w:id="36" w:name="_Toc135218510"/>
      <w:r>
        <w:rPr>
          <w:rStyle w:val="CharSectno"/>
        </w:rPr>
        <w:t>7C</w:t>
      </w:r>
      <w:r>
        <w:t>.</w:t>
      </w:r>
      <w:r>
        <w:tab/>
        <w:t>Recreational mooring sites: use by licensees</w:t>
      </w:r>
      <w:bookmarkEnd w:id="35"/>
      <w:bookmarkEnd w:id="36"/>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37" w:name="_Toc199492473"/>
      <w:bookmarkStart w:id="38" w:name="_Toc135218511"/>
      <w:r>
        <w:rPr>
          <w:rStyle w:val="CharSectno"/>
        </w:rPr>
        <w:t>7D</w:t>
      </w:r>
      <w:r>
        <w:t>.</w:t>
      </w:r>
      <w:r>
        <w:tab/>
        <w:t>Recreational mooring sites: use of shared</w:t>
      </w:r>
      <w:r>
        <w:noBreakHyphen/>
        <w:t>use moorings</w:t>
      </w:r>
      <w:bookmarkEnd w:id="37"/>
      <w:bookmarkEnd w:id="38"/>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39" w:name="_Toc199492474"/>
      <w:bookmarkStart w:id="40" w:name="_Toc135218512"/>
      <w:r>
        <w:rPr>
          <w:rStyle w:val="CharSectno"/>
        </w:rPr>
        <w:t>7E</w:t>
      </w:r>
      <w:r>
        <w:t>.</w:t>
      </w:r>
      <w:r>
        <w:tab/>
        <w:t>Cancellation of shared</w:t>
      </w:r>
      <w:r>
        <w:noBreakHyphen/>
        <w:t>use authorisation</w:t>
      </w:r>
      <w:bookmarkEnd w:id="39"/>
      <w:bookmarkEnd w:id="40"/>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41" w:name="_Toc199492475"/>
      <w:bookmarkStart w:id="42" w:name="_Toc135218513"/>
      <w:r>
        <w:rPr>
          <w:rStyle w:val="CharSectno"/>
        </w:rPr>
        <w:t>7F</w:t>
      </w:r>
      <w:r>
        <w:t>.</w:t>
      </w:r>
      <w:r>
        <w:tab/>
        <w:t>Rental moorings sites</w:t>
      </w:r>
      <w:bookmarkEnd w:id="41"/>
      <w:bookmarkEnd w:id="42"/>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43" w:name="_Toc199492476"/>
      <w:bookmarkStart w:id="44" w:name="_Toc135218514"/>
      <w:r>
        <w:rPr>
          <w:rStyle w:val="CharSectno"/>
        </w:rPr>
        <w:t>7G</w:t>
      </w:r>
      <w:r>
        <w:t>.</w:t>
      </w:r>
      <w:r>
        <w:tab/>
        <w:t>Refund of rental mooring site fee</w:t>
      </w:r>
      <w:bookmarkEnd w:id="43"/>
      <w:bookmarkEnd w:id="44"/>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45" w:name="_Toc199492477"/>
      <w:bookmarkStart w:id="46" w:name="_Toc135218515"/>
      <w:r>
        <w:rPr>
          <w:rStyle w:val="CharSectno"/>
        </w:rPr>
        <w:t>7H</w:t>
      </w:r>
      <w:r>
        <w:t>.</w:t>
      </w:r>
      <w:r>
        <w:tab/>
        <w:t>Emergency mooring sites</w:t>
      </w:r>
      <w:bookmarkEnd w:id="45"/>
      <w:bookmarkEnd w:id="46"/>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47" w:name="_Toc199492478"/>
      <w:bookmarkStart w:id="48" w:name="_Toc135218516"/>
      <w:r>
        <w:rPr>
          <w:rStyle w:val="CharSectno"/>
        </w:rPr>
        <w:t>7I</w:t>
      </w:r>
      <w:r>
        <w:t>.</w:t>
      </w:r>
      <w:r>
        <w:tab/>
        <w:t>Courtesy mooring sites</w:t>
      </w:r>
      <w:bookmarkEnd w:id="47"/>
      <w:bookmarkEnd w:id="48"/>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49" w:name="_Toc199492479"/>
      <w:bookmarkStart w:id="50" w:name="_Toc135218517"/>
      <w:r>
        <w:rPr>
          <w:rStyle w:val="CharSectno"/>
        </w:rPr>
        <w:t>7J</w:t>
      </w:r>
      <w:r>
        <w:t>.</w:t>
      </w:r>
      <w:r>
        <w:tab/>
        <w:t>Damage to moorings on certain mooring sites</w:t>
      </w:r>
      <w:bookmarkEnd w:id="49"/>
      <w:bookmarkEnd w:id="50"/>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51" w:name="_Toc199492480"/>
      <w:bookmarkStart w:id="52" w:name="_Toc135218518"/>
      <w:r>
        <w:rPr>
          <w:rStyle w:val="CharSectno"/>
        </w:rPr>
        <w:t>7K</w:t>
      </w:r>
      <w:r>
        <w:t>.</w:t>
      </w:r>
      <w:r>
        <w:tab/>
        <w:t>Commercial general mooring sites</w:t>
      </w:r>
      <w:bookmarkEnd w:id="51"/>
      <w:bookmarkEnd w:id="52"/>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53" w:name="_Toc199492481"/>
      <w:bookmarkStart w:id="54" w:name="_Toc135218519"/>
      <w:r>
        <w:rPr>
          <w:rStyle w:val="CharSectno"/>
        </w:rPr>
        <w:t>7L</w:t>
      </w:r>
      <w:r>
        <w:t>.</w:t>
      </w:r>
      <w:r>
        <w:tab/>
        <w:t>Commercial resources mooring sites</w:t>
      </w:r>
      <w:bookmarkEnd w:id="53"/>
      <w:bookmarkEnd w:id="54"/>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55" w:name="_Toc199492482"/>
      <w:bookmarkStart w:id="56" w:name="_Toc135139539"/>
      <w:bookmarkStart w:id="57" w:name="_Toc135139624"/>
      <w:bookmarkStart w:id="58" w:name="_Toc135218520"/>
      <w:r>
        <w:rPr>
          <w:rStyle w:val="CharPartNo"/>
        </w:rPr>
        <w:t>Part 3</w:t>
      </w:r>
      <w:r>
        <w:rPr>
          <w:rStyle w:val="CharDivNo"/>
        </w:rPr>
        <w:t xml:space="preserve"> </w:t>
      </w:r>
      <w:r>
        <w:t>—</w:t>
      </w:r>
      <w:r>
        <w:rPr>
          <w:rStyle w:val="CharDivText"/>
        </w:rPr>
        <w:t xml:space="preserve"> </w:t>
      </w:r>
      <w:r>
        <w:rPr>
          <w:rStyle w:val="CharPartText"/>
        </w:rPr>
        <w:t>Mooring licences</w:t>
      </w:r>
      <w:bookmarkEnd w:id="55"/>
      <w:bookmarkEnd w:id="56"/>
      <w:bookmarkEnd w:id="57"/>
      <w:bookmarkEnd w:id="58"/>
    </w:p>
    <w:p>
      <w:pPr>
        <w:pStyle w:val="Heading5"/>
      </w:pPr>
      <w:bookmarkStart w:id="59" w:name="_Toc199492483"/>
      <w:bookmarkStart w:id="60" w:name="_Toc135218521"/>
      <w:r>
        <w:rPr>
          <w:rStyle w:val="CharSectno"/>
        </w:rPr>
        <w:t>8</w:t>
      </w:r>
      <w:r>
        <w:t>.</w:t>
      </w:r>
      <w:r>
        <w:tab/>
        <w:t>Applications for mooring licence</w:t>
      </w:r>
      <w:bookmarkEnd w:id="59"/>
      <w:bookmarkEnd w:id="60"/>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61" w:name="_Toc199492484"/>
      <w:bookmarkStart w:id="62" w:name="_Toc135218522"/>
      <w:r>
        <w:rPr>
          <w:rStyle w:val="CharSectno"/>
        </w:rPr>
        <w:t>9</w:t>
      </w:r>
      <w:r>
        <w:t>.</w:t>
      </w:r>
      <w:r>
        <w:tab/>
        <w:t>Register of mooring licences</w:t>
      </w:r>
      <w:bookmarkEnd w:id="61"/>
      <w:bookmarkEnd w:id="62"/>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63" w:name="_Toc199492485"/>
      <w:bookmarkStart w:id="64" w:name="_Toc135218523"/>
      <w:r>
        <w:rPr>
          <w:rStyle w:val="CharSectno"/>
        </w:rPr>
        <w:t>10</w:t>
      </w:r>
      <w:r>
        <w:t>.</w:t>
      </w:r>
      <w:r>
        <w:tab/>
        <w:t>Waiting lists for mooring licences may be established</w:t>
      </w:r>
      <w:bookmarkEnd w:id="63"/>
      <w:bookmarkEnd w:id="6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65" w:name="_Toc199492486"/>
      <w:bookmarkStart w:id="66" w:name="_Toc135218524"/>
      <w:r>
        <w:rPr>
          <w:rStyle w:val="CharSectno"/>
        </w:rPr>
        <w:t>11</w:t>
      </w:r>
      <w:r>
        <w:t>.</w:t>
      </w:r>
      <w:r>
        <w:tab/>
        <w:t>Offer of mooring licence</w:t>
      </w:r>
      <w:bookmarkEnd w:id="65"/>
      <w:bookmarkEnd w:id="66"/>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67" w:name="_Toc199492487"/>
      <w:bookmarkStart w:id="68" w:name="_Toc135218525"/>
      <w:r>
        <w:rPr>
          <w:rStyle w:val="CharSectno"/>
        </w:rPr>
        <w:t>12</w:t>
      </w:r>
      <w:r>
        <w:t>.</w:t>
      </w:r>
      <w:r>
        <w:tab/>
        <w:t>Mooring licence and registration of mooring site</w:t>
      </w:r>
      <w:bookmarkEnd w:id="67"/>
      <w:bookmarkEnd w:id="68"/>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69" w:name="_Toc199492488"/>
      <w:bookmarkStart w:id="70" w:name="_Toc135218526"/>
      <w:r>
        <w:rPr>
          <w:rStyle w:val="CharSectno"/>
        </w:rPr>
        <w:t>13</w:t>
      </w:r>
      <w:r>
        <w:t>.</w:t>
      </w:r>
      <w:r>
        <w:tab/>
        <w:t>Annual fee</w:t>
      </w:r>
      <w:bookmarkEnd w:id="69"/>
      <w:bookmarkEnd w:id="70"/>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71" w:name="_Toc199492489"/>
      <w:bookmarkStart w:id="72" w:name="_Toc135218527"/>
      <w:r>
        <w:rPr>
          <w:rStyle w:val="CharSectno"/>
        </w:rPr>
        <w:t>13A</w:t>
      </w:r>
      <w:r>
        <w:t>.</w:t>
      </w:r>
      <w:r>
        <w:tab/>
        <w:t>Surrender of mooring licence</w:t>
      </w:r>
      <w:bookmarkEnd w:id="71"/>
      <w:bookmarkEnd w:id="72"/>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73" w:name="_Toc199492490"/>
      <w:bookmarkStart w:id="74" w:name="_Toc135218528"/>
      <w:r>
        <w:rPr>
          <w:rStyle w:val="CharSectno"/>
        </w:rPr>
        <w:t>14</w:t>
      </w:r>
      <w:r>
        <w:t>.</w:t>
      </w:r>
      <w:r>
        <w:tab/>
        <w:t>Cancellation of mooring licence</w:t>
      </w:r>
      <w:bookmarkEnd w:id="73"/>
      <w:bookmarkEnd w:id="74"/>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75" w:name="_Toc199492491"/>
      <w:bookmarkStart w:id="76" w:name="_Toc135218529"/>
      <w:r>
        <w:rPr>
          <w:rStyle w:val="CharSectno"/>
        </w:rPr>
        <w:t>14A</w:t>
      </w:r>
      <w:r>
        <w:t>.</w:t>
      </w:r>
      <w:r>
        <w:tab/>
        <w:t>Variation of mooring licence</w:t>
      </w:r>
      <w:bookmarkEnd w:id="75"/>
      <w:bookmarkEnd w:id="76"/>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77" w:name="_Toc199492492"/>
      <w:bookmarkStart w:id="78" w:name="_Toc135218530"/>
      <w:r>
        <w:rPr>
          <w:rStyle w:val="CharSectno"/>
        </w:rPr>
        <w:t>15</w:t>
      </w:r>
      <w:r>
        <w:t>.</w:t>
      </w:r>
      <w:r>
        <w:tab/>
        <w:t>Exchange of mooring sites</w:t>
      </w:r>
      <w:bookmarkEnd w:id="77"/>
      <w:bookmarkEnd w:id="78"/>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79" w:name="_Toc199492493"/>
      <w:bookmarkStart w:id="80" w:name="_Toc135218531"/>
      <w:r>
        <w:rPr>
          <w:rStyle w:val="CharSectno"/>
        </w:rPr>
        <w:t>17</w:t>
      </w:r>
      <w:r>
        <w:t>.</w:t>
      </w:r>
      <w:r>
        <w:tab/>
        <w:t>Mooring licences not otherwise transferable</w:t>
      </w:r>
      <w:bookmarkEnd w:id="79"/>
      <w:bookmarkEnd w:id="80"/>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81" w:name="_Toc199492494"/>
      <w:bookmarkStart w:id="82" w:name="_Toc135139551"/>
      <w:bookmarkStart w:id="83" w:name="_Toc135139636"/>
      <w:bookmarkStart w:id="84" w:name="_Toc135218532"/>
      <w:r>
        <w:rPr>
          <w:rStyle w:val="CharPartNo"/>
        </w:rPr>
        <w:t>Part 4</w:t>
      </w:r>
      <w:r>
        <w:t xml:space="preserve"> — </w:t>
      </w:r>
      <w:r>
        <w:rPr>
          <w:rStyle w:val="CharPartText"/>
        </w:rPr>
        <w:t>Registered mooring sites</w:t>
      </w:r>
      <w:bookmarkEnd w:id="81"/>
      <w:bookmarkEnd w:id="82"/>
      <w:bookmarkEnd w:id="83"/>
      <w:bookmarkEnd w:id="84"/>
    </w:p>
    <w:p>
      <w:pPr>
        <w:pStyle w:val="Heading3"/>
      </w:pPr>
      <w:bookmarkStart w:id="85" w:name="_Toc199492495"/>
      <w:bookmarkStart w:id="86" w:name="_Toc135139552"/>
      <w:bookmarkStart w:id="87" w:name="_Toc135139637"/>
      <w:bookmarkStart w:id="88" w:name="_Toc135218533"/>
      <w:r>
        <w:rPr>
          <w:rStyle w:val="CharDivNo"/>
        </w:rPr>
        <w:t>Division 1</w:t>
      </w:r>
      <w:r>
        <w:t xml:space="preserve"> — </w:t>
      </w:r>
      <w:r>
        <w:rPr>
          <w:rStyle w:val="CharDivText"/>
        </w:rPr>
        <w:t>Use of registered mooring sites</w:t>
      </w:r>
      <w:bookmarkEnd w:id="85"/>
      <w:bookmarkEnd w:id="86"/>
      <w:bookmarkEnd w:id="87"/>
      <w:bookmarkEnd w:id="88"/>
    </w:p>
    <w:p>
      <w:pPr>
        <w:pStyle w:val="Heading5"/>
      </w:pPr>
      <w:bookmarkStart w:id="89" w:name="_Toc199492496"/>
      <w:bookmarkStart w:id="90" w:name="_Toc135218534"/>
      <w:r>
        <w:rPr>
          <w:rStyle w:val="CharSectno"/>
        </w:rPr>
        <w:t>18</w:t>
      </w:r>
      <w:r>
        <w:t>.</w:t>
      </w:r>
      <w:r>
        <w:tab/>
        <w:t>Installation of mooring</w:t>
      </w:r>
      <w:bookmarkEnd w:id="89"/>
      <w:bookmarkEnd w:id="90"/>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91" w:name="_Toc199492497"/>
      <w:bookmarkStart w:id="92" w:name="_Toc135218535"/>
      <w:r>
        <w:rPr>
          <w:rStyle w:val="CharSectno"/>
        </w:rPr>
        <w:t>19</w:t>
      </w:r>
      <w:r>
        <w:t>.</w:t>
      </w:r>
      <w:r>
        <w:tab/>
        <w:t>Maintenance of mooring</w:t>
      </w:r>
      <w:bookmarkEnd w:id="91"/>
      <w:bookmarkEnd w:id="92"/>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93" w:name="_Toc199492498"/>
      <w:bookmarkStart w:id="94" w:name="_Toc135218536"/>
      <w:r>
        <w:rPr>
          <w:rStyle w:val="CharSectno"/>
        </w:rPr>
        <w:t>20</w:t>
      </w:r>
      <w:r>
        <w:t>.</w:t>
      </w:r>
      <w:r>
        <w:tab/>
        <w:t>Mooring inspection reports</w:t>
      </w:r>
      <w:bookmarkEnd w:id="93"/>
      <w:bookmarkEnd w:id="94"/>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95" w:name="_Toc199492499"/>
      <w:bookmarkStart w:id="96" w:name="_Toc135218537"/>
      <w:r>
        <w:rPr>
          <w:rStyle w:val="CharSectno"/>
        </w:rPr>
        <w:t>20A</w:t>
      </w:r>
      <w:r>
        <w:t>.</w:t>
      </w:r>
      <w:r>
        <w:tab/>
        <w:t>CEO may reject mooring inspection report</w:t>
      </w:r>
      <w:bookmarkEnd w:id="95"/>
      <w:bookmarkEnd w:id="96"/>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97" w:name="_Toc199492500"/>
      <w:bookmarkStart w:id="98" w:name="_Toc135218538"/>
      <w:r>
        <w:rPr>
          <w:rStyle w:val="CharSectno"/>
        </w:rPr>
        <w:t>21</w:t>
      </w:r>
      <w:r>
        <w:t>.</w:t>
      </w:r>
      <w:r>
        <w:tab/>
        <w:t>Dealing with mooring</w:t>
      </w:r>
      <w:bookmarkEnd w:id="97"/>
      <w:bookmarkEnd w:id="98"/>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99" w:name="_Toc199492501"/>
      <w:bookmarkStart w:id="100" w:name="_Toc135218539"/>
      <w:r>
        <w:rPr>
          <w:rStyle w:val="CharSectno"/>
        </w:rPr>
        <w:t>22</w:t>
      </w:r>
      <w:r>
        <w:t>.</w:t>
      </w:r>
      <w:r>
        <w:tab/>
        <w:t>Relocation or removal of mooring</w:t>
      </w:r>
      <w:bookmarkEnd w:id="99"/>
      <w:bookmarkEnd w:id="100"/>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01" w:name="_Toc199492502"/>
      <w:bookmarkStart w:id="102" w:name="_Toc135218540"/>
      <w:r>
        <w:rPr>
          <w:rStyle w:val="CharSectno"/>
        </w:rPr>
        <w:t>23</w:t>
      </w:r>
      <w:r>
        <w:t>.</w:t>
      </w:r>
      <w:r>
        <w:tab/>
        <w:t>Vessel to be maintained in seaworthy condition</w:t>
      </w:r>
      <w:bookmarkEnd w:id="101"/>
      <w:bookmarkEnd w:id="102"/>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03" w:name="_Toc199492503"/>
      <w:bookmarkStart w:id="104" w:name="_Toc135139560"/>
      <w:bookmarkStart w:id="105" w:name="_Toc135139645"/>
      <w:bookmarkStart w:id="106" w:name="_Toc135218541"/>
      <w:r>
        <w:rPr>
          <w:rStyle w:val="CharDivNo"/>
        </w:rPr>
        <w:t>Division 2</w:t>
      </w:r>
      <w:r>
        <w:t xml:space="preserve"> — </w:t>
      </w:r>
      <w:r>
        <w:rPr>
          <w:rStyle w:val="CharDivText"/>
        </w:rPr>
        <w:t>Licensed vessels</w:t>
      </w:r>
      <w:bookmarkEnd w:id="103"/>
      <w:bookmarkEnd w:id="104"/>
      <w:bookmarkEnd w:id="105"/>
      <w:bookmarkEnd w:id="106"/>
    </w:p>
    <w:p>
      <w:pPr>
        <w:pStyle w:val="Heading5"/>
      </w:pPr>
      <w:bookmarkStart w:id="107" w:name="_Toc199492504"/>
      <w:bookmarkStart w:id="108" w:name="_Toc135218542"/>
      <w:r>
        <w:rPr>
          <w:rStyle w:val="CharSectno"/>
        </w:rPr>
        <w:t>24</w:t>
      </w:r>
      <w:r>
        <w:t>.</w:t>
      </w:r>
      <w:r>
        <w:tab/>
        <w:t>Licensed vessels</w:t>
      </w:r>
      <w:bookmarkEnd w:id="107"/>
      <w:bookmarkEnd w:id="108"/>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09" w:name="_Toc199492505"/>
      <w:bookmarkStart w:id="110" w:name="_Toc135218543"/>
      <w:r>
        <w:rPr>
          <w:rStyle w:val="CharSectno"/>
        </w:rPr>
        <w:t>25</w:t>
      </w:r>
      <w:r>
        <w:t>.</w:t>
      </w:r>
      <w:r>
        <w:tab/>
        <w:t>Substitution of licensed vessel</w:t>
      </w:r>
      <w:bookmarkEnd w:id="109"/>
      <w:bookmarkEnd w:id="11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11" w:name="_Toc199492506"/>
      <w:bookmarkStart w:id="112" w:name="_Toc135139563"/>
      <w:bookmarkStart w:id="113" w:name="_Toc135139648"/>
      <w:bookmarkStart w:id="114" w:name="_Toc135218544"/>
      <w:r>
        <w:rPr>
          <w:rStyle w:val="CharDivNo"/>
        </w:rPr>
        <w:t>Division 3</w:t>
      </w:r>
      <w:r>
        <w:t xml:space="preserve"> — </w:t>
      </w:r>
      <w:r>
        <w:rPr>
          <w:rStyle w:val="CharDivText"/>
        </w:rPr>
        <w:t>Additional vessels</w:t>
      </w:r>
      <w:bookmarkEnd w:id="111"/>
      <w:bookmarkEnd w:id="112"/>
      <w:bookmarkEnd w:id="113"/>
      <w:bookmarkEnd w:id="114"/>
    </w:p>
    <w:p>
      <w:pPr>
        <w:pStyle w:val="Heading5"/>
      </w:pPr>
      <w:bookmarkStart w:id="115" w:name="_Toc199492507"/>
      <w:bookmarkStart w:id="116" w:name="_Toc135218545"/>
      <w:r>
        <w:rPr>
          <w:rStyle w:val="CharSectno"/>
        </w:rPr>
        <w:t>26</w:t>
      </w:r>
      <w:r>
        <w:t>.</w:t>
      </w:r>
      <w:r>
        <w:tab/>
        <w:t>Additional vessels authorised to use registered mooring site</w:t>
      </w:r>
      <w:bookmarkEnd w:id="115"/>
      <w:bookmarkEnd w:id="116"/>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17" w:name="_Toc199492508"/>
      <w:bookmarkStart w:id="118" w:name="_Toc135218546"/>
      <w:r>
        <w:rPr>
          <w:rStyle w:val="CharSectno"/>
        </w:rPr>
        <w:t>27</w:t>
      </w:r>
      <w:r>
        <w:t>.</w:t>
      </w:r>
      <w:r>
        <w:tab/>
        <w:t>Application for registration of additional vessel</w:t>
      </w:r>
      <w:bookmarkEnd w:id="117"/>
      <w:bookmarkEnd w:id="118"/>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19" w:name="_Toc199492509"/>
      <w:bookmarkStart w:id="120" w:name="_Toc135218547"/>
      <w:r>
        <w:rPr>
          <w:rStyle w:val="CharSectno"/>
        </w:rPr>
        <w:t>28</w:t>
      </w:r>
      <w:r>
        <w:t>.</w:t>
      </w:r>
      <w:r>
        <w:tab/>
        <w:t>Registration of additional vessel</w:t>
      </w:r>
      <w:bookmarkEnd w:id="119"/>
      <w:bookmarkEnd w:id="120"/>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21" w:name="_Toc199492510"/>
      <w:bookmarkStart w:id="122" w:name="_Toc135218548"/>
      <w:r>
        <w:rPr>
          <w:rStyle w:val="CharSectno"/>
        </w:rPr>
        <w:t>29</w:t>
      </w:r>
      <w:r>
        <w:t>.</w:t>
      </w:r>
      <w:r>
        <w:tab/>
        <w:t>Duration of registration</w:t>
      </w:r>
      <w:bookmarkEnd w:id="121"/>
      <w:bookmarkEnd w:id="122"/>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23" w:name="_Toc199492511"/>
      <w:bookmarkStart w:id="124" w:name="_Toc135139568"/>
      <w:bookmarkStart w:id="125" w:name="_Toc135139653"/>
      <w:bookmarkStart w:id="126" w:name="_Toc135218549"/>
      <w:r>
        <w:rPr>
          <w:rStyle w:val="CharPartNo"/>
        </w:rPr>
        <w:t>Part 5</w:t>
      </w:r>
      <w:r>
        <w:rPr>
          <w:rStyle w:val="CharDivNo"/>
        </w:rPr>
        <w:t> </w:t>
      </w:r>
      <w:r>
        <w:t>—</w:t>
      </w:r>
      <w:r>
        <w:rPr>
          <w:rStyle w:val="CharDivText"/>
        </w:rPr>
        <w:t> </w:t>
      </w:r>
      <w:r>
        <w:rPr>
          <w:rStyle w:val="CharPartText"/>
        </w:rPr>
        <w:t>Prescribed offences and modified penalties</w:t>
      </w:r>
      <w:bookmarkEnd w:id="123"/>
      <w:bookmarkEnd w:id="124"/>
      <w:bookmarkEnd w:id="125"/>
      <w:bookmarkEnd w:id="126"/>
    </w:p>
    <w:p>
      <w:pPr>
        <w:pStyle w:val="Footnoteheading"/>
      </w:pPr>
      <w:r>
        <w:tab/>
        <w:t>[Heading inserted: SL 2021/147 r. 33.]</w:t>
      </w:r>
    </w:p>
    <w:p>
      <w:pPr>
        <w:pStyle w:val="Heading5"/>
      </w:pPr>
      <w:bookmarkStart w:id="127" w:name="_Toc199492512"/>
      <w:bookmarkStart w:id="128" w:name="_Toc135218550"/>
      <w:r>
        <w:rPr>
          <w:rStyle w:val="CharSectno"/>
        </w:rPr>
        <w:t>30</w:t>
      </w:r>
      <w:r>
        <w:t>.</w:t>
      </w:r>
      <w:r>
        <w:tab/>
        <w:t>Prescribed offences and modified penalties</w:t>
      </w:r>
      <w:bookmarkEnd w:id="127"/>
      <w:bookmarkEnd w:id="128"/>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29" w:name="_Toc199492513"/>
      <w:bookmarkStart w:id="130" w:name="_Toc135218551"/>
      <w:r>
        <w:rPr>
          <w:rStyle w:val="CharSectno"/>
        </w:rPr>
        <w:t>31</w:t>
      </w:r>
      <w:r>
        <w:t>.</w:t>
      </w:r>
      <w:r>
        <w:tab/>
        <w:t>Approved officers and authorised officers</w:t>
      </w:r>
      <w:bookmarkEnd w:id="129"/>
      <w:bookmarkEnd w:id="130"/>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131" w:name="_Toc199492514"/>
      <w:bookmarkStart w:id="132" w:name="_Toc135218552"/>
      <w:r>
        <w:rPr>
          <w:rStyle w:val="CharSectno"/>
        </w:rPr>
        <w:t>32</w:t>
      </w:r>
      <w:r>
        <w:t>.</w:t>
      </w:r>
      <w:r>
        <w:tab/>
        <w:t>Forms</w:t>
      </w:r>
      <w:bookmarkEnd w:id="131"/>
      <w:bookmarkEnd w:id="132"/>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133" w:name="_Toc199492515"/>
      <w:bookmarkStart w:id="134" w:name="_Toc135139572"/>
      <w:bookmarkStart w:id="135" w:name="_Toc135139657"/>
      <w:bookmarkStart w:id="136" w:name="_Toc135218553"/>
      <w:r>
        <w:rPr>
          <w:rStyle w:val="CharPartNo"/>
        </w:rPr>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133"/>
      <w:bookmarkEnd w:id="134"/>
      <w:bookmarkEnd w:id="135"/>
      <w:bookmarkEnd w:id="136"/>
    </w:p>
    <w:p>
      <w:pPr>
        <w:pStyle w:val="Footnoteheading"/>
        <w:keepNext/>
      </w:pPr>
      <w:r>
        <w:tab/>
        <w:t>[Heading inserted: SL 2021/147 r. 33.]</w:t>
      </w:r>
    </w:p>
    <w:p>
      <w:pPr>
        <w:pStyle w:val="Heading3"/>
      </w:pPr>
      <w:bookmarkStart w:id="137" w:name="_Toc199492516"/>
      <w:bookmarkStart w:id="138" w:name="_Toc135139573"/>
      <w:bookmarkStart w:id="139" w:name="_Toc135139658"/>
      <w:bookmarkStart w:id="140" w:name="_Toc135218554"/>
      <w:r>
        <w:rPr>
          <w:rStyle w:val="CharDivNo"/>
        </w:rPr>
        <w:t>Division 1</w:t>
      </w:r>
      <w:r>
        <w:t> — </w:t>
      </w:r>
      <w:r>
        <w:rPr>
          <w:rStyle w:val="CharDivText"/>
        </w:rPr>
        <w:t>Terms used</w:t>
      </w:r>
      <w:bookmarkEnd w:id="137"/>
      <w:bookmarkEnd w:id="138"/>
      <w:bookmarkEnd w:id="139"/>
      <w:bookmarkEnd w:id="140"/>
    </w:p>
    <w:p>
      <w:pPr>
        <w:pStyle w:val="Footnoteheading"/>
        <w:keepNext/>
      </w:pPr>
      <w:r>
        <w:tab/>
        <w:t>[Heading inserted: SL 2021/147 r. 33.]</w:t>
      </w:r>
    </w:p>
    <w:p>
      <w:pPr>
        <w:pStyle w:val="Heading5"/>
      </w:pPr>
      <w:bookmarkStart w:id="141" w:name="_Toc199492517"/>
      <w:bookmarkStart w:id="142" w:name="_Toc135218555"/>
      <w:r>
        <w:rPr>
          <w:rStyle w:val="CharSectno"/>
        </w:rPr>
        <w:t>33</w:t>
      </w:r>
      <w:r>
        <w:t>.</w:t>
      </w:r>
      <w:r>
        <w:tab/>
        <w:t>Terms used</w:t>
      </w:r>
      <w:bookmarkEnd w:id="141"/>
      <w:bookmarkEnd w:id="142"/>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143" w:name="_Toc199492518"/>
      <w:bookmarkStart w:id="144" w:name="_Toc135139575"/>
      <w:bookmarkStart w:id="145" w:name="_Toc135139660"/>
      <w:bookmarkStart w:id="146" w:name="_Toc135218556"/>
      <w:r>
        <w:rPr>
          <w:rStyle w:val="CharDivNo"/>
        </w:rPr>
        <w:t>Division 2</w:t>
      </w:r>
      <w:r>
        <w:t> — </w:t>
      </w:r>
      <w:r>
        <w:rPr>
          <w:rStyle w:val="CharDivText"/>
        </w:rPr>
        <w:t>Mooring licences</w:t>
      </w:r>
      <w:bookmarkEnd w:id="143"/>
      <w:bookmarkEnd w:id="144"/>
      <w:bookmarkEnd w:id="145"/>
      <w:bookmarkEnd w:id="146"/>
    </w:p>
    <w:p>
      <w:pPr>
        <w:pStyle w:val="Footnoteheading"/>
        <w:keepNext/>
      </w:pPr>
      <w:r>
        <w:tab/>
        <w:t>[Heading inserted: SL 2021/147 r. 33.]</w:t>
      </w:r>
    </w:p>
    <w:p>
      <w:pPr>
        <w:pStyle w:val="Heading5"/>
      </w:pPr>
      <w:bookmarkStart w:id="147" w:name="_Toc199492519"/>
      <w:bookmarkStart w:id="148" w:name="_Toc135218557"/>
      <w:r>
        <w:rPr>
          <w:rStyle w:val="CharSectno"/>
        </w:rPr>
        <w:t>34</w:t>
      </w:r>
      <w:r>
        <w:t>.</w:t>
      </w:r>
      <w:r>
        <w:tab/>
        <w:t>Transitional provisions for mooring licences</w:t>
      </w:r>
      <w:bookmarkEnd w:id="147"/>
      <w:bookmarkEnd w:id="148"/>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149" w:name="_Toc199492520"/>
      <w:bookmarkStart w:id="150" w:name="_Toc135139577"/>
      <w:bookmarkStart w:id="151" w:name="_Toc135139662"/>
      <w:bookmarkStart w:id="152" w:name="_Toc135218558"/>
      <w:r>
        <w:rPr>
          <w:rStyle w:val="CharDivNo"/>
        </w:rPr>
        <w:t>Division 3</w:t>
      </w:r>
      <w:r>
        <w:t> — </w:t>
      </w:r>
      <w:r>
        <w:rPr>
          <w:rStyle w:val="CharDivText"/>
        </w:rPr>
        <w:t>Transitional provisions for MCA Regulations</w:t>
      </w:r>
      <w:bookmarkEnd w:id="149"/>
      <w:bookmarkEnd w:id="150"/>
      <w:bookmarkEnd w:id="151"/>
      <w:bookmarkEnd w:id="152"/>
    </w:p>
    <w:p>
      <w:pPr>
        <w:pStyle w:val="Footnoteheading"/>
        <w:keepNext/>
      </w:pPr>
      <w:r>
        <w:tab/>
        <w:t>[Heading inserted: SL 2021/147 r. 33.]</w:t>
      </w:r>
    </w:p>
    <w:p>
      <w:pPr>
        <w:pStyle w:val="Heading5"/>
      </w:pPr>
      <w:bookmarkStart w:id="153" w:name="_Toc199492521"/>
      <w:bookmarkStart w:id="154" w:name="_Toc135218559"/>
      <w:r>
        <w:rPr>
          <w:rStyle w:val="CharSectno"/>
        </w:rPr>
        <w:t>35</w:t>
      </w:r>
      <w:r>
        <w:t>.</w:t>
      </w:r>
      <w:r>
        <w:tab/>
        <w:t>Application of new regulations to registered owners</w:t>
      </w:r>
      <w:bookmarkEnd w:id="153"/>
      <w:bookmarkEnd w:id="154"/>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A mooring licence cannot be granted to a registered owner by the operation of this regulation if the registered owner does not provide any information specified in a written notice under subregulation (5)(b) within 14 days after being given the notice 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155" w:name="_Toc199492522"/>
      <w:bookmarkStart w:id="156" w:name="_Toc135218560"/>
      <w:r>
        <w:rPr>
          <w:rStyle w:val="CharSectno"/>
        </w:rPr>
        <w:t>36</w:t>
      </w:r>
      <w:r>
        <w:t>.</w:t>
      </w:r>
      <w:r>
        <w:tab/>
        <w:t>Application of new regulations to moorings registered under MCA Regulations</w:t>
      </w:r>
      <w:bookmarkEnd w:id="155"/>
      <w:bookmarkEnd w:id="156"/>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pPr>
      <w:bookmarkStart w:id="157" w:name="_Toc199492523"/>
      <w:bookmarkStart w:id="158" w:name="_Toc135139580"/>
      <w:bookmarkStart w:id="159" w:name="_Toc135139665"/>
      <w:bookmarkStart w:id="160" w:name="_Toc135218561"/>
      <w:r>
        <w:rPr>
          <w:rStyle w:val="CharPartNo"/>
        </w:rPr>
        <w:t>Part 7</w:t>
      </w:r>
      <w:r>
        <w:rPr>
          <w:rStyle w:val="CharDivNo"/>
        </w:rPr>
        <w:t> </w:t>
      </w:r>
      <w:r>
        <w:t>—</w:t>
      </w:r>
      <w:r>
        <w:rPr>
          <w:rStyle w:val="CharDivText"/>
        </w:rPr>
        <w:t> </w:t>
      </w:r>
      <w:r>
        <w:rPr>
          <w:rStyle w:val="CharPartText"/>
        </w:rPr>
        <w:t>Waiver and refund of fees</w:t>
      </w:r>
      <w:bookmarkEnd w:id="157"/>
      <w:bookmarkEnd w:id="158"/>
      <w:bookmarkEnd w:id="159"/>
      <w:bookmarkEnd w:id="160"/>
    </w:p>
    <w:p>
      <w:pPr>
        <w:pStyle w:val="Footnoteheading"/>
      </w:pPr>
      <w:r>
        <w:tab/>
        <w:t>[Heading inserted: SL 2022/47 r. 7.]</w:t>
      </w:r>
    </w:p>
    <w:p>
      <w:pPr>
        <w:pStyle w:val="Heading5"/>
      </w:pPr>
      <w:bookmarkStart w:id="161" w:name="_Toc199492524"/>
      <w:bookmarkStart w:id="162" w:name="_Toc135218562"/>
      <w:r>
        <w:rPr>
          <w:rStyle w:val="CharSectno"/>
        </w:rPr>
        <w:t>37</w:t>
      </w:r>
      <w:r>
        <w:t>.</w:t>
      </w:r>
      <w:r>
        <w:tab/>
        <w:t>Terms used</w:t>
      </w:r>
      <w:bookmarkEnd w:id="161"/>
      <w:bookmarkEnd w:id="162"/>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63" w:name="_Toc199492525"/>
      <w:bookmarkStart w:id="164" w:name="_Toc135218563"/>
      <w:r>
        <w:rPr>
          <w:rStyle w:val="CharSectno"/>
        </w:rPr>
        <w:t>38</w:t>
      </w:r>
      <w:r>
        <w:t>.</w:t>
      </w:r>
      <w:r>
        <w:tab/>
        <w:t>Authorised fee officers</w:t>
      </w:r>
      <w:bookmarkEnd w:id="163"/>
      <w:bookmarkEnd w:id="164"/>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65" w:name="_Toc199492526"/>
      <w:bookmarkStart w:id="166" w:name="_Toc135218564"/>
      <w:r>
        <w:rPr>
          <w:rStyle w:val="CharSectno"/>
        </w:rPr>
        <w:t>39</w:t>
      </w:r>
      <w:r>
        <w:t>.</w:t>
      </w:r>
      <w:r>
        <w:tab/>
        <w:t>Waiver of fees</w:t>
      </w:r>
      <w:bookmarkEnd w:id="165"/>
      <w:bookmarkEnd w:id="166"/>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67" w:name="_Toc199492527"/>
      <w:bookmarkStart w:id="168" w:name="_Toc135218565"/>
      <w:r>
        <w:rPr>
          <w:rStyle w:val="CharSectno"/>
        </w:rPr>
        <w:t>40</w:t>
      </w:r>
      <w:r>
        <w:t>.</w:t>
      </w:r>
      <w:r>
        <w:tab/>
        <w:t>Details of waivers to be accessible on website</w:t>
      </w:r>
      <w:bookmarkEnd w:id="167"/>
      <w:bookmarkEnd w:id="168"/>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69" w:name="_Toc199492528"/>
      <w:bookmarkStart w:id="170" w:name="_Toc135218566"/>
      <w:r>
        <w:rPr>
          <w:rStyle w:val="CharSectno"/>
        </w:rPr>
        <w:t>41</w:t>
      </w:r>
      <w:r>
        <w:t>.</w:t>
      </w:r>
      <w:r>
        <w:tab/>
        <w:t>Emergency waivers</w:t>
      </w:r>
      <w:bookmarkEnd w:id="169"/>
      <w:bookmarkEnd w:id="170"/>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71" w:name="_Toc199492529"/>
      <w:bookmarkStart w:id="172" w:name="_Toc135218567"/>
      <w:r>
        <w:rPr>
          <w:rStyle w:val="CharSectno"/>
        </w:rPr>
        <w:t>42</w:t>
      </w:r>
      <w:r>
        <w:t>.</w:t>
      </w:r>
      <w:r>
        <w:tab/>
        <w:t>Effect of waiver</w:t>
      </w:r>
      <w:bookmarkEnd w:id="171"/>
      <w:bookmarkEnd w:id="172"/>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73" w:name="_Toc199492530"/>
      <w:bookmarkStart w:id="174" w:name="_Toc135218568"/>
      <w:r>
        <w:rPr>
          <w:rStyle w:val="CharSectno"/>
        </w:rPr>
        <w:t>43</w:t>
      </w:r>
      <w:r>
        <w:t>.</w:t>
      </w:r>
      <w:r>
        <w:tab/>
        <w:t>Refund of fees</w:t>
      </w:r>
      <w:bookmarkEnd w:id="173"/>
      <w:bookmarkEnd w:id="174"/>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5" w:name="_Toc199492531"/>
      <w:bookmarkStart w:id="176" w:name="_Toc135139588"/>
      <w:bookmarkStart w:id="177" w:name="_Toc135139673"/>
      <w:bookmarkStart w:id="178" w:name="_Toc135218569"/>
      <w:r>
        <w:rPr>
          <w:rStyle w:val="CharSchNo"/>
        </w:rPr>
        <w:t>Schedule 1</w:t>
      </w:r>
      <w:r>
        <w:t> — </w:t>
      </w:r>
      <w:r>
        <w:rPr>
          <w:rStyle w:val="CharSchText"/>
        </w:rPr>
        <w:t>Mooring control areas</w:t>
      </w:r>
      <w:bookmarkEnd w:id="175"/>
      <w:bookmarkEnd w:id="176"/>
      <w:bookmarkEnd w:id="177"/>
      <w:bookmarkEnd w:id="178"/>
    </w:p>
    <w:p>
      <w:pPr>
        <w:pStyle w:val="yShoulderClause"/>
      </w:pPr>
      <w:r>
        <w:t>[r. 3 and 7]</w:t>
      </w:r>
    </w:p>
    <w:p>
      <w:pPr>
        <w:pStyle w:val="yFootnoteheading"/>
      </w:pPr>
      <w:r>
        <w:tab/>
        <w:t>[Heading inserted: SL 2021/147 r. 34.]</w:t>
      </w:r>
    </w:p>
    <w:p>
      <w:pPr>
        <w:pStyle w:val="yHeading3"/>
      </w:pPr>
      <w:bookmarkStart w:id="179" w:name="_Toc199492532"/>
      <w:bookmarkStart w:id="180" w:name="_Toc135139589"/>
      <w:bookmarkStart w:id="181" w:name="_Toc135139674"/>
      <w:bookmarkStart w:id="182" w:name="_Toc135218570"/>
      <w:r>
        <w:rPr>
          <w:rStyle w:val="CharSDivNo"/>
        </w:rPr>
        <w:t>Division 1</w:t>
      </w:r>
      <w:r>
        <w:rPr>
          <w:b w:val="0"/>
        </w:rPr>
        <w:t> — </w:t>
      </w:r>
      <w:r>
        <w:rPr>
          <w:rStyle w:val="CharSDivText"/>
        </w:rPr>
        <w:t>Mooring control areas to which these regulations apply</w:t>
      </w:r>
      <w:bookmarkEnd w:id="179"/>
      <w:bookmarkEnd w:id="180"/>
      <w:bookmarkEnd w:id="181"/>
      <w:bookmarkEnd w:id="182"/>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83" w:name="_Toc199492533"/>
      <w:bookmarkStart w:id="184" w:name="_Toc135139590"/>
      <w:bookmarkStart w:id="185" w:name="_Toc135139675"/>
      <w:bookmarkStart w:id="186" w:name="_Toc135218571"/>
      <w:r>
        <w:rPr>
          <w:rStyle w:val="CharSDivNo"/>
        </w:rPr>
        <w:t>Division 2</w:t>
      </w:r>
      <w:r>
        <w:rPr>
          <w:b w:val="0"/>
        </w:rPr>
        <w:t> — </w:t>
      </w:r>
      <w:r>
        <w:rPr>
          <w:rStyle w:val="CharSDivText"/>
        </w:rPr>
        <w:t>Mooring control area in which only temporary anchoring is permitted</w:t>
      </w:r>
      <w:bookmarkEnd w:id="183"/>
      <w:bookmarkEnd w:id="184"/>
      <w:bookmarkEnd w:id="185"/>
      <w:bookmarkEnd w:id="186"/>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87" w:name="_Toc199492534"/>
      <w:bookmarkStart w:id="188" w:name="_Toc135139591"/>
      <w:bookmarkStart w:id="189" w:name="_Toc135139676"/>
      <w:bookmarkStart w:id="190" w:name="_Toc135218572"/>
      <w:r>
        <w:rPr>
          <w:rStyle w:val="CharSchNo"/>
        </w:rPr>
        <w:t>Schedule 2</w:t>
      </w:r>
      <w:r>
        <w:t> — </w:t>
      </w:r>
      <w:r>
        <w:rPr>
          <w:rStyle w:val="CharSchText"/>
        </w:rPr>
        <w:t>Excluded areas</w:t>
      </w:r>
      <w:bookmarkEnd w:id="187"/>
      <w:bookmarkEnd w:id="188"/>
      <w:bookmarkEnd w:id="189"/>
      <w:bookmarkEnd w:id="190"/>
    </w:p>
    <w:p>
      <w:pPr>
        <w:pStyle w:val="yShoulderClause"/>
      </w:pPr>
      <w:r>
        <w:t>[r. 3(2)]</w:t>
      </w:r>
    </w:p>
    <w:p>
      <w:pPr>
        <w:pStyle w:val="yFootnoteheading"/>
        <w:spacing w:before="60"/>
      </w:pPr>
      <w:r>
        <w:tab/>
        <w:t>[Heading inserted: SL 2021/147 r. 34.]</w:t>
      </w:r>
    </w:p>
    <w:p>
      <w:pPr>
        <w:pStyle w:val="yHeading3"/>
      </w:pPr>
      <w:bookmarkStart w:id="191" w:name="_Toc199492535"/>
      <w:bookmarkStart w:id="192" w:name="_Toc135139592"/>
      <w:bookmarkStart w:id="193" w:name="_Toc135139677"/>
      <w:bookmarkStart w:id="194" w:name="_Toc135218573"/>
      <w:r>
        <w:rPr>
          <w:rStyle w:val="CharSDivNo"/>
        </w:rPr>
        <w:t>Division 1</w:t>
      </w:r>
      <w:r>
        <w:rPr>
          <w:b w:val="0"/>
        </w:rPr>
        <w:t> — </w:t>
      </w:r>
      <w:r>
        <w:rPr>
          <w:rStyle w:val="CharSDivText"/>
        </w:rPr>
        <w:t>Excluded area in Rockingham Mangles Bay Mooring Control Area</w:t>
      </w:r>
      <w:bookmarkEnd w:id="191"/>
      <w:bookmarkEnd w:id="192"/>
      <w:bookmarkEnd w:id="193"/>
      <w:bookmarkEnd w:id="194"/>
    </w:p>
    <w:p>
      <w:pPr>
        <w:pStyle w:val="yFootnoteheading"/>
      </w:pPr>
      <w:r>
        <w:tab/>
        <w:t>[Heading inserted: SL 2021/147 r. 34.]</w:t>
      </w:r>
    </w:p>
    <w:p>
      <w:pPr>
        <w:pStyle w:val="yMiscellaneousBody"/>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195" w:name="_Toc199492536"/>
      <w:bookmarkStart w:id="196" w:name="_Toc135139593"/>
      <w:bookmarkStart w:id="197" w:name="_Toc135139678"/>
      <w:bookmarkStart w:id="198" w:name="_Toc135218574"/>
      <w:r>
        <w:rPr>
          <w:rStyle w:val="CharSDivNo"/>
        </w:rPr>
        <w:t>Division 2</w:t>
      </w:r>
      <w:r>
        <w:rPr>
          <w:b w:val="0"/>
        </w:rPr>
        <w:t> — </w:t>
      </w:r>
      <w:r>
        <w:rPr>
          <w:rStyle w:val="CharSDivText"/>
        </w:rPr>
        <w:t>Excluded areas in Swan and Canning Rivers Mooring Control Area</w:t>
      </w:r>
      <w:bookmarkEnd w:id="195"/>
      <w:bookmarkEnd w:id="196"/>
      <w:bookmarkEnd w:id="197"/>
      <w:bookmarkEnd w:id="198"/>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99" w:name="_Toc199492537"/>
      <w:bookmarkStart w:id="200" w:name="_Toc135139594"/>
      <w:bookmarkStart w:id="201" w:name="_Toc135139679"/>
      <w:bookmarkStart w:id="202" w:name="_Toc135218575"/>
      <w:r>
        <w:rPr>
          <w:rStyle w:val="CharSchNo"/>
        </w:rPr>
        <w:t>Schedule 3</w:t>
      </w:r>
      <w:r>
        <w:rPr>
          <w:rStyle w:val="CharSDivNo"/>
        </w:rPr>
        <w:t> </w:t>
      </w:r>
      <w:r>
        <w:t>—</w:t>
      </w:r>
      <w:r>
        <w:rPr>
          <w:rStyle w:val="CharSDivText"/>
        </w:rPr>
        <w:t> </w:t>
      </w:r>
      <w:r>
        <w:rPr>
          <w:rStyle w:val="CharSchText"/>
        </w:rPr>
        <w:t>Fees</w:t>
      </w:r>
      <w:bookmarkEnd w:id="199"/>
      <w:bookmarkEnd w:id="200"/>
      <w:bookmarkEnd w:id="201"/>
      <w:bookmarkEnd w:id="202"/>
    </w:p>
    <w:p>
      <w:pPr>
        <w:pStyle w:val="yShoulderClause"/>
      </w:pPr>
      <w:r>
        <w:t>[r. 7D, 7F, 8, 12, 13, 15, 25 and 27]</w:t>
      </w:r>
    </w:p>
    <w:p>
      <w:pPr>
        <w:pStyle w:val="yFootnoteheading"/>
        <w:spacing w:before="60"/>
      </w:pPr>
      <w:r>
        <w:tab/>
        <w:t>[Heading inserted: SL </w:t>
      </w:r>
      <w:del w:id="203" w:author="Master Repository Process" w:date="2025-05-30T10:15:00Z">
        <w:r>
          <w:delText>2021/147</w:delText>
        </w:r>
      </w:del>
      <w:ins w:id="204" w:author="Master Repository Process" w:date="2025-05-30T10:15:00Z">
        <w:r>
          <w:t>2023/45</w:t>
        </w:r>
      </w:ins>
      <w:r>
        <w:t xml:space="preserve"> r. </w:t>
      </w:r>
      <w:del w:id="205" w:author="Master Repository Process" w:date="2025-05-30T10:15:00Z">
        <w:r>
          <w:delText>34</w:delText>
        </w:r>
      </w:del>
      <w:ins w:id="206" w:author="Master Repository Process" w:date="2025-05-30T10:15:00Z">
        <w:r>
          <w:t>6</w:t>
        </w:r>
      </w:ins>
      <w:r>
        <w:t>.]</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rPr>
            </w:pPr>
            <w:r>
              <w:rPr>
                <w:b/>
              </w:rPr>
              <w:t>Item</w:t>
            </w:r>
          </w:p>
        </w:tc>
        <w:tc>
          <w:tcPr>
            <w:tcW w:w="4111" w:type="dxa"/>
            <w:noWrap/>
          </w:tcPr>
          <w:p>
            <w:pPr>
              <w:pStyle w:val="yTableNAm"/>
              <w:jc w:val="center"/>
              <w:rPr>
                <w:b/>
              </w:rPr>
            </w:pPr>
            <w:r>
              <w:rPr>
                <w:b/>
              </w:rPr>
              <w:t>Description</w:t>
            </w:r>
          </w:p>
        </w:tc>
        <w:tc>
          <w:tcPr>
            <w:tcW w:w="1588" w:type="dxa"/>
            <w:noWrap/>
          </w:tcPr>
          <w:p>
            <w:pPr>
              <w:pStyle w:val="yTableNAm"/>
              <w:jc w:val="center"/>
              <w:rPr>
                <w:b/>
              </w:rPr>
            </w:pPr>
            <w:r>
              <w:rPr>
                <w:b/>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ind w:right="176"/>
              <w:jc w:val="right"/>
            </w:pPr>
            <w:r>
              <w:t>$</w:t>
            </w:r>
            <w:del w:id="207" w:author="Master Repository Process" w:date="2025-05-30T10:15:00Z">
              <w:r>
                <w:delText>105.00</w:delText>
              </w:r>
            </w:del>
            <w:ins w:id="208" w:author="Master Repository Process" w:date="2025-05-30T10:15:00Z">
              <w:r>
                <w:t>108.45</w:t>
              </w:r>
            </w:ins>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ind w:right="176"/>
              <w:jc w:val="right"/>
            </w:pPr>
            <w:r>
              <w:t>$</w:t>
            </w:r>
            <w:del w:id="209" w:author="Master Repository Process" w:date="2025-05-30T10:15:00Z">
              <w:r>
                <w:delText>33.00</w:delText>
              </w:r>
            </w:del>
            <w:ins w:id="210" w:author="Master Repository Process" w:date="2025-05-30T10:15:00Z">
              <w:r>
                <w:t>34.10</w:t>
              </w:r>
            </w:ins>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ind w:right="176"/>
              <w:jc w:val="right"/>
            </w:pPr>
            <w:r>
              <w:t>$</w:t>
            </w:r>
            <w:del w:id="211" w:author="Master Repository Process" w:date="2025-05-30T10:15:00Z">
              <w:r>
                <w:delText>117.00</w:delText>
              </w:r>
            </w:del>
            <w:ins w:id="212" w:author="Master Repository Process" w:date="2025-05-30T10:15:00Z">
              <w:r>
                <w:t>120.85</w:t>
              </w:r>
            </w:ins>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w:t>
            </w:r>
            <w:del w:id="213" w:author="Master Repository Process" w:date="2025-05-30T10:15:00Z">
              <w:r>
                <w:delText>), r.</w:delText>
              </w:r>
            </w:del>
            <w:ins w:id="214" w:author="Master Repository Process" w:date="2025-05-30T10:15:00Z">
              <w:r>
                <w:t>) and</w:t>
              </w:r>
            </w:ins>
            <w:r>
              <w:t> 13(1))</w:t>
            </w:r>
          </w:p>
        </w:tc>
        <w:tc>
          <w:tcPr>
            <w:tcW w:w="1588" w:type="dxa"/>
            <w:noWrap/>
            <w:vAlign w:val="bottom"/>
          </w:tcPr>
          <w:p>
            <w:pPr>
              <w:pStyle w:val="yTableNAm"/>
              <w:ind w:right="176"/>
              <w:jc w:val="right"/>
            </w:pPr>
            <w:r>
              <w:t>$</w:t>
            </w:r>
            <w:del w:id="215" w:author="Master Repository Process" w:date="2025-05-30T10:15:00Z">
              <w:r>
                <w:delText>656.00</w:delText>
              </w:r>
            </w:del>
            <w:ins w:id="216" w:author="Master Repository Process" w:date="2025-05-30T10:15:00Z">
              <w:r>
                <w:t>677.35</w:t>
              </w:r>
            </w:ins>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w:t>
            </w:r>
            <w:del w:id="217" w:author="Master Repository Process" w:date="2025-05-30T10:15:00Z">
              <w:r>
                <w:delText>), r.</w:delText>
              </w:r>
            </w:del>
            <w:ins w:id="218" w:author="Master Repository Process" w:date="2025-05-30T10:15:00Z">
              <w:r>
                <w:t>) and</w:t>
              </w:r>
            </w:ins>
            <w:r>
              <w:t> 13(1))</w:t>
            </w:r>
          </w:p>
        </w:tc>
        <w:tc>
          <w:tcPr>
            <w:tcW w:w="1588" w:type="dxa"/>
            <w:noWrap/>
            <w:vAlign w:val="bottom"/>
          </w:tcPr>
          <w:p>
            <w:pPr>
              <w:pStyle w:val="yTableNAm"/>
              <w:ind w:right="176"/>
              <w:jc w:val="right"/>
            </w:pPr>
            <w:r>
              <w:t>$</w:t>
            </w:r>
            <w:del w:id="219" w:author="Master Repository Process" w:date="2025-05-30T10:15:00Z">
              <w:r>
                <w:delText>338</w:delText>
              </w:r>
            </w:del>
            <w:ins w:id="220" w:author="Master Repository Process" w:date="2025-05-30T10:15:00Z">
              <w:r>
                <w:t>349</w:t>
              </w:r>
            </w:ins>
            <w:r>
              <w:t>.00</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w:t>
            </w:r>
            <w:del w:id="221" w:author="Master Repository Process" w:date="2025-05-30T10:15:00Z">
              <w:r>
                <w:delText>), r.</w:delText>
              </w:r>
            </w:del>
            <w:ins w:id="222" w:author="Master Repository Process" w:date="2025-05-30T10:15:00Z">
              <w:r>
                <w:t>) and</w:t>
              </w:r>
            </w:ins>
            <w:r>
              <w:t> 13(1))</w:t>
            </w:r>
          </w:p>
        </w:tc>
        <w:tc>
          <w:tcPr>
            <w:tcW w:w="1588" w:type="dxa"/>
            <w:noWrap/>
            <w:vAlign w:val="bottom"/>
          </w:tcPr>
          <w:p>
            <w:pPr>
              <w:pStyle w:val="yTableNAm"/>
              <w:ind w:right="176"/>
              <w:jc w:val="right"/>
            </w:pPr>
            <w:r>
              <w:t>$</w:t>
            </w:r>
            <w:del w:id="223" w:author="Master Repository Process" w:date="2025-05-30T10:15:00Z">
              <w:r>
                <w:delText>845.00</w:delText>
              </w:r>
            </w:del>
            <w:ins w:id="224" w:author="Master Repository Process" w:date="2025-05-30T10:15:00Z">
              <w:r>
                <w:t>872.50</w:t>
              </w:r>
            </w:ins>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w:t>
            </w:r>
            <w:del w:id="225" w:author="Master Repository Process" w:date="2025-05-30T10:15:00Z">
              <w:r>
                <w:delText>), r.</w:delText>
              </w:r>
            </w:del>
            <w:ins w:id="226" w:author="Master Repository Process" w:date="2025-05-30T10:15:00Z">
              <w:r>
                <w:t>) and</w:t>
              </w:r>
            </w:ins>
            <w:r>
              <w:t> 13(1))</w:t>
            </w:r>
          </w:p>
        </w:tc>
        <w:tc>
          <w:tcPr>
            <w:tcW w:w="1588" w:type="dxa"/>
            <w:noWrap/>
            <w:vAlign w:val="bottom"/>
          </w:tcPr>
          <w:p>
            <w:pPr>
              <w:pStyle w:val="yTableNAm"/>
              <w:ind w:right="176"/>
              <w:jc w:val="right"/>
            </w:pPr>
            <w:r>
              <w:t>$2 </w:t>
            </w:r>
            <w:del w:id="227" w:author="Master Repository Process" w:date="2025-05-30T10:15:00Z">
              <w:r>
                <w:delText>747.00</w:delText>
              </w:r>
            </w:del>
            <w:ins w:id="228" w:author="Master Repository Process" w:date="2025-05-30T10:15:00Z">
              <w:r>
                <w:t>836.30</w:t>
              </w:r>
            </w:ins>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ind w:right="176"/>
              <w:jc w:val="right"/>
            </w:pPr>
            <w:r>
              <w:t>$</w:t>
            </w:r>
            <w:del w:id="229" w:author="Master Repository Process" w:date="2025-05-30T10:15:00Z">
              <w:r>
                <w:delText>117.00</w:delText>
              </w:r>
            </w:del>
            <w:ins w:id="230" w:author="Master Repository Process" w:date="2025-05-30T10:15:00Z">
              <w:r>
                <w:t>120.85</w:t>
              </w:r>
            </w:ins>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ind w:right="176"/>
              <w:jc w:val="right"/>
            </w:pPr>
            <w:r>
              <w:t>$</w:t>
            </w:r>
            <w:del w:id="231" w:author="Master Repository Process" w:date="2025-05-30T10:15:00Z">
              <w:r>
                <w:delText>117.00</w:delText>
              </w:r>
            </w:del>
            <w:ins w:id="232" w:author="Master Repository Process" w:date="2025-05-30T10:15:00Z">
              <w:r>
                <w:t>120.85</w:t>
              </w:r>
            </w:ins>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ind w:right="176"/>
              <w:jc w:val="right"/>
            </w:pPr>
            <w:r>
              <w:t>$</w:t>
            </w:r>
            <w:del w:id="233" w:author="Master Repository Process" w:date="2025-05-30T10:15:00Z">
              <w:r>
                <w:delText>117.00</w:delText>
              </w:r>
            </w:del>
            <w:ins w:id="234" w:author="Master Repository Process" w:date="2025-05-30T10:15:00Z">
              <w:r>
                <w:t>120.85</w:t>
              </w:r>
            </w:ins>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ind w:right="176"/>
              <w:jc w:val="right"/>
            </w:pPr>
            <w:r>
              <w:t>$</w:t>
            </w:r>
            <w:del w:id="235" w:author="Master Repository Process" w:date="2025-05-30T10:15:00Z">
              <w:r>
                <w:delText>117.00</w:delText>
              </w:r>
            </w:del>
            <w:ins w:id="236" w:author="Master Repository Process" w:date="2025-05-30T10:15:00Z">
              <w:r>
                <w:t>120.85</w:t>
              </w:r>
            </w:ins>
          </w:p>
        </w:tc>
      </w:tr>
    </w:tbl>
    <w:p>
      <w:pPr>
        <w:pStyle w:val="yFootnotesection"/>
      </w:pPr>
      <w:r>
        <w:tab/>
        <w:t>[Schedule 3 inserted: SL </w:t>
      </w:r>
      <w:del w:id="237" w:author="Master Repository Process" w:date="2025-05-30T10:15:00Z">
        <w:r>
          <w:delText>2021/147</w:delText>
        </w:r>
      </w:del>
      <w:ins w:id="238" w:author="Master Repository Process" w:date="2025-05-30T10:15:00Z">
        <w:r>
          <w:t>2023/45</w:t>
        </w:r>
      </w:ins>
      <w:r>
        <w:t xml:space="preserve"> r. </w:t>
      </w:r>
      <w:del w:id="239" w:author="Master Repository Process" w:date="2025-05-30T10:15:00Z">
        <w:r>
          <w:delText>34</w:delText>
        </w:r>
      </w:del>
      <w:ins w:id="240" w:author="Master Repository Process" w:date="2025-05-30T10:15:00Z">
        <w:r>
          <w:t>6</w:t>
        </w:r>
      </w:ins>
      <w:r>
        <w:t>.]</w:t>
      </w:r>
    </w:p>
    <w:p>
      <w:pPr>
        <w:pStyle w:val="yScheduleHeading"/>
      </w:pPr>
      <w:bookmarkStart w:id="241" w:name="_Toc199492538"/>
      <w:bookmarkStart w:id="242" w:name="_Toc135139595"/>
      <w:bookmarkStart w:id="243" w:name="_Toc135139680"/>
      <w:bookmarkStart w:id="244" w:name="_Toc135218576"/>
      <w:r>
        <w:rPr>
          <w:rStyle w:val="CharSchNo"/>
        </w:rPr>
        <w:t>Schedule 4</w:t>
      </w:r>
      <w:r>
        <w:rPr>
          <w:rStyle w:val="CharSDivNo"/>
        </w:rPr>
        <w:t> </w:t>
      </w:r>
      <w:r>
        <w:t>—</w:t>
      </w:r>
      <w:r>
        <w:rPr>
          <w:rStyle w:val="CharSDivText"/>
        </w:rPr>
        <w:t> </w:t>
      </w:r>
      <w:r>
        <w:rPr>
          <w:rStyle w:val="CharSchText"/>
        </w:rPr>
        <w:t>Prescribed offences and modified penalties</w:t>
      </w:r>
      <w:bookmarkEnd w:id="241"/>
      <w:bookmarkEnd w:id="242"/>
      <w:bookmarkEnd w:id="243"/>
      <w:bookmarkEnd w:id="244"/>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245" w:name="_Toc199492539"/>
      <w:bookmarkStart w:id="246" w:name="_Toc135139596"/>
      <w:bookmarkStart w:id="247" w:name="_Toc135139681"/>
      <w:bookmarkStart w:id="248" w:name="_Toc135218577"/>
      <w:r>
        <w:rPr>
          <w:rStyle w:val="CharSchNo"/>
        </w:rPr>
        <w:t>Schedule 5</w:t>
      </w:r>
      <w:r>
        <w:t> — </w:t>
      </w:r>
      <w:r>
        <w:rPr>
          <w:rStyle w:val="CharSchText"/>
        </w:rPr>
        <w:t>Forms</w:t>
      </w:r>
      <w:bookmarkEnd w:id="245"/>
      <w:bookmarkEnd w:id="246"/>
      <w:bookmarkEnd w:id="247"/>
      <w:bookmarkEnd w:id="248"/>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50" w:name="_Toc199492540"/>
      <w:bookmarkStart w:id="251" w:name="_Toc135139597"/>
      <w:bookmarkStart w:id="252" w:name="_Toc135139682"/>
      <w:bookmarkStart w:id="253" w:name="_Toc135218578"/>
      <w:r>
        <w:t>Notes</w:t>
      </w:r>
      <w:bookmarkEnd w:id="250"/>
      <w:bookmarkEnd w:id="251"/>
      <w:bookmarkEnd w:id="252"/>
      <w:bookmarkEnd w:id="25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del w:id="254" w:author="Master Repository Process" w:date="2025-05-30T10:15:00Z">
        <w:r>
          <w:delText>For provisions that have not yet come into operation see the uncommenced provisions table.</w:delText>
        </w:r>
      </w:del>
    </w:p>
    <w:p>
      <w:pPr>
        <w:pStyle w:val="nHeading3"/>
      </w:pPr>
      <w:bookmarkStart w:id="255" w:name="_Toc199492541"/>
      <w:bookmarkStart w:id="256" w:name="_Toc135218579"/>
      <w:r>
        <w:t>Compilation table</w:t>
      </w:r>
      <w:bookmarkEnd w:id="255"/>
      <w:bookmarkEnd w:id="25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bl>
    <w:p>
      <w:pPr>
        <w:pStyle w:val="nHeading3"/>
        <w:rPr>
          <w:del w:id="257" w:author="Master Repository Process" w:date="2025-05-30T10:15:00Z"/>
        </w:rPr>
      </w:pPr>
      <w:bookmarkStart w:id="258" w:name="_Toc135218580"/>
      <w:del w:id="259" w:author="Master Repository Process" w:date="2025-05-30T10:15:00Z">
        <w:r>
          <w:delText>Uncommenced provisions table</w:delText>
        </w:r>
        <w:bookmarkEnd w:id="258"/>
      </w:del>
    </w:p>
    <w:p>
      <w:pPr>
        <w:pStyle w:val="nStatement"/>
        <w:keepNext/>
        <w:spacing w:after="240"/>
        <w:rPr>
          <w:del w:id="260" w:author="Master Repository Process" w:date="2025-05-30T10:15:00Z"/>
        </w:rPr>
      </w:pPr>
      <w:del w:id="261" w:author="Master Repository Process" w:date="2025-05-30T10:1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62" w:author="Master Repository Process" w:date="2025-05-30T10:15:00Z"/>
        </w:trPr>
        <w:tc>
          <w:tcPr>
            <w:tcW w:w="3118" w:type="dxa"/>
          </w:tcPr>
          <w:p>
            <w:pPr>
              <w:pStyle w:val="nTable"/>
              <w:spacing w:after="40"/>
              <w:rPr>
                <w:del w:id="263" w:author="Master Repository Process" w:date="2025-05-30T10:15:00Z"/>
                <w:b/>
              </w:rPr>
            </w:pPr>
            <w:del w:id="264" w:author="Master Repository Process" w:date="2025-05-30T10:15:00Z">
              <w:r>
                <w:rPr>
                  <w:b/>
                </w:rPr>
                <w:delText>Citation</w:delText>
              </w:r>
            </w:del>
          </w:p>
        </w:tc>
        <w:tc>
          <w:tcPr>
            <w:tcW w:w="1276" w:type="dxa"/>
          </w:tcPr>
          <w:p>
            <w:pPr>
              <w:pStyle w:val="nTable"/>
              <w:spacing w:after="40"/>
              <w:rPr>
                <w:del w:id="265" w:author="Master Repository Process" w:date="2025-05-30T10:15:00Z"/>
                <w:b/>
              </w:rPr>
            </w:pPr>
            <w:del w:id="266" w:author="Master Repository Process" w:date="2025-05-30T10:15:00Z">
              <w:r>
                <w:rPr>
                  <w:b/>
                </w:rPr>
                <w:delText>Published</w:delText>
              </w:r>
            </w:del>
          </w:p>
        </w:tc>
        <w:tc>
          <w:tcPr>
            <w:tcW w:w="2693" w:type="dxa"/>
          </w:tcPr>
          <w:p>
            <w:pPr>
              <w:pStyle w:val="nTable"/>
              <w:spacing w:after="40"/>
              <w:rPr>
                <w:del w:id="267" w:author="Master Repository Process" w:date="2025-05-30T10:15:00Z"/>
                <w:b/>
              </w:rPr>
            </w:pPr>
            <w:del w:id="268" w:author="Master Repository Process" w:date="2025-05-30T10:15:00Z">
              <w:r>
                <w:rPr>
                  <w:b/>
                </w:rPr>
                <w:delText>Commencement</w:delText>
              </w:r>
            </w:del>
          </w:p>
        </w:tc>
      </w:tr>
      <w:tr>
        <w:trPr>
          <w:cantSplit/>
        </w:trPr>
        <w:tc>
          <w:tcPr>
            <w:tcW w:w="3119" w:type="dxa"/>
            <w:tcBorders>
              <w:top w:val="nil"/>
              <w:bottom w:val="single" w:sz="4" w:space="0" w:color="auto"/>
            </w:tcBorders>
          </w:tcPr>
          <w:p>
            <w:pPr>
              <w:pStyle w:val="nTable"/>
              <w:rPr>
                <w:i/>
              </w:rPr>
            </w:pPr>
            <w:r>
              <w:rPr>
                <w:i/>
              </w:rPr>
              <w:t>Transport Regulations Amendment (Fees and Charges) Regulations 2023</w:t>
            </w:r>
            <w:r>
              <w:t xml:space="preserve"> Pt. 3</w:t>
            </w:r>
          </w:p>
        </w:tc>
        <w:tc>
          <w:tcPr>
            <w:tcW w:w="1276" w:type="dxa"/>
            <w:tcBorders>
              <w:top w:val="nil"/>
              <w:bottom w:val="single" w:sz="4" w:space="0" w:color="auto"/>
            </w:tcBorders>
          </w:tcPr>
          <w:p>
            <w:pPr>
              <w:pStyle w:val="nTable"/>
            </w:pPr>
            <w:r>
              <w:t>SL 2023/45 19 May 2023</w:t>
            </w:r>
          </w:p>
        </w:tc>
        <w:tc>
          <w:tcPr>
            <w:tcW w:w="2693" w:type="dxa"/>
            <w:tcBorders>
              <w:top w:val="nil"/>
              <w:bottom w:val="single" w:sz="4" w:space="0" w:color="auto"/>
            </w:tcBorders>
          </w:tcPr>
          <w:p>
            <w:pPr>
              <w:pStyle w:val="nTable"/>
            </w:pPr>
            <w:r>
              <w:t>1 Jul 2023 (see r. 2(c))</w:t>
            </w:r>
          </w:p>
        </w:tc>
      </w:tr>
    </w:tbl>
    <w:p>
      <w:pPr>
        <w:pStyle w:val="nHeading3"/>
      </w:pPr>
      <w:bookmarkStart w:id="269" w:name="_Toc199492542"/>
      <w:bookmarkStart w:id="270" w:name="_Toc135218581"/>
      <w:r>
        <w:t>Other notes</w:t>
      </w:r>
      <w:bookmarkEnd w:id="269"/>
      <w:bookmarkEnd w:id="270"/>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ins w:id="272" w:author="Master Repository Process" w:date="2025-05-30T10:15:00Z">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3" w:author="Master Repository Process" w:date="2025-05-30T10:15:00Z"/>
                                  <w:sz w:val="16"/>
                                </w:rPr>
                              </w:pPr>
                              <w:ins w:id="274" w:author="Master Repository Process" w:date="2025-05-30T10: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75" w:author="Master Repository Process" w:date="2025-05-30T10:15:00Z"/>
                                  <w:sz w:val="16"/>
                                </w:rPr>
                              </w:pPr>
                              <w:ins w:id="276" w:author="Master Repository Process" w:date="2025-05-30T10: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7" w:author="Master Repository Process" w:date="2025-05-30T10:15:00Z"/>
                                  <w:sz w:val="16"/>
                                </w:rPr>
                              </w:pPr>
                              <w:ins w:id="278" w:author="Master Repository Process" w:date="2025-05-30T10: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79" w:author="Master Repository Process" w:date="2025-05-30T10:15:00Z"/>
                                  <w:rFonts w:ascii="Arial" w:hAnsi="Arial" w:cs="Arial"/>
                                  <w:sz w:val="12"/>
                                </w:rPr>
                              </w:pPr>
                              <w:ins w:id="280" w:author="Master Repository Process" w:date="2025-05-30T10:1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ins w:id="281" w:author="Master Repository Process" w:date="2025-05-30T10:15:00Z"/>
                            <w:sz w:val="16"/>
                          </w:rPr>
                        </w:pPr>
                        <w:ins w:id="282" w:author="Master Repository Process" w:date="2025-05-30T10: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3" w:author="Master Repository Process" w:date="2025-05-30T10:15:00Z"/>
                            <w:sz w:val="16"/>
                          </w:rPr>
                        </w:pPr>
                        <w:ins w:id="284" w:author="Master Repository Process" w:date="2025-05-30T10: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5" w:author="Master Repository Process" w:date="2025-05-30T10:15:00Z"/>
                            <w:sz w:val="16"/>
                          </w:rPr>
                        </w:pPr>
                        <w:ins w:id="286" w:author="Master Repository Process" w:date="2025-05-30T10: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87" w:author="Master Repository Process" w:date="2025-05-30T10:15:00Z"/>
                            <w:rFonts w:ascii="Arial" w:hAnsi="Arial" w:cs="Arial"/>
                            <w:sz w:val="12"/>
                          </w:rPr>
                        </w:pPr>
                        <w:ins w:id="288" w:author="Master Repository Process" w:date="2025-05-30T10:1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2005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14752</Words>
  <Characters>71995</Characters>
  <Application>Microsoft Office Word</Application>
  <DocSecurity>0</DocSecurity>
  <Lines>2181</Lines>
  <Paragraphs>1294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03-u0-00 - 03-v0-01</dc:title>
  <dc:subject/>
  <dc:creator/>
  <cp:keywords/>
  <dc:description/>
  <cp:lastModifiedBy>Master Repository Process</cp:lastModifiedBy>
  <cp:revision>2</cp:revision>
  <cp:lastPrinted>2019-06-21T07:26:00Z</cp:lastPrinted>
  <dcterms:created xsi:type="dcterms:W3CDTF">2025-05-30T02:15:00Z</dcterms:created>
  <dcterms:modified xsi:type="dcterms:W3CDTF">2025-05-30T02:15:00Z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03-u0-00</vt:lpwstr>
  </property>
  <property fmtid="{D5CDD505-2E9C-101B-9397-08002B2CF9AE}" pid="12" name="FromAsAtDate">
    <vt:lpwstr>19 May 2023</vt:lpwstr>
  </property>
  <property fmtid="{D5CDD505-2E9C-101B-9397-08002B2CF9AE}" pid="13" name="ToSuffix">
    <vt:lpwstr>03-v0-01</vt:lpwstr>
  </property>
  <property fmtid="{D5CDD505-2E9C-101B-9397-08002B2CF9AE}" pid="14" name="ToAsAtDate">
    <vt:lpwstr>01 Jul 2023</vt:lpwstr>
  </property>
</Properties>
</file>