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2023</w:t>
      </w:r>
      <w:r>
        <w:fldChar w:fldCharType="end"/>
      </w:r>
      <w:r>
        <w:t xml:space="preserve">, </w:t>
      </w:r>
      <w:r>
        <w:fldChar w:fldCharType="begin"/>
      </w:r>
      <w:r>
        <w:instrText xml:space="preserve"> DocProperty FromSuffix </w:instrText>
      </w:r>
      <w:r>
        <w:fldChar w:fldCharType="separate"/>
      </w:r>
      <w:r>
        <w:t>01-p0-00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01-q0-01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Western Australian Photo Card Act 2014</w:t>
      </w:r>
    </w:p>
    <w:p>
      <w:pPr>
        <w:pStyle w:val="NameofActReg"/>
      </w:pPr>
      <w:r>
        <w:t>Western Australian Photo Card Regulations 2014</w:t>
      </w:r>
    </w:p>
    <w:p>
      <w:pPr>
        <w:pStyle w:val="Heading2"/>
        <w:pageBreakBefore w:val="0"/>
        <w:spacing w:before="240"/>
      </w:pPr>
      <w:bookmarkStart w:id="1" w:name="_Toc200717992"/>
      <w:bookmarkStart w:id="2" w:name="_Toc135142154"/>
      <w:bookmarkStart w:id="3" w:name="_Toc135142176"/>
      <w:bookmarkStart w:id="4" w:name="_Toc13522101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200717993"/>
      <w:bookmarkStart w:id="6" w:name="_Toc135221019"/>
      <w:r>
        <w:rPr>
          <w:rStyle w:val="CharSectno"/>
        </w:rPr>
        <w:t>1</w:t>
      </w:r>
      <w:r>
        <w:t>.</w:t>
      </w:r>
      <w:r>
        <w:tab/>
        <w:t>Citation</w:t>
      </w:r>
      <w:bookmarkEnd w:id="5"/>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8" w:name="_Toc200717994"/>
      <w:bookmarkStart w:id="9" w:name="_Toc135221020"/>
      <w:r>
        <w:rPr>
          <w:rStyle w:val="CharSectno"/>
        </w:rPr>
        <w:t>2</w:t>
      </w:r>
      <w:r>
        <w:rPr>
          <w:spacing w:val="-2"/>
        </w:rPr>
        <w:t>.</w:t>
      </w:r>
      <w:r>
        <w:rPr>
          <w:spacing w:val="-2"/>
        </w:rPr>
        <w:tab/>
        <w:t>Commencement</w:t>
      </w:r>
      <w:bookmarkEnd w:id="8"/>
      <w:bookmarkEnd w:id="9"/>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0" w:name="_Toc200717995"/>
      <w:bookmarkStart w:id="11" w:name="_Toc135221021"/>
      <w:r>
        <w:rPr>
          <w:rStyle w:val="CharSectno"/>
        </w:rPr>
        <w:t>3</w:t>
      </w:r>
      <w:r>
        <w:t>.</w:t>
      </w:r>
      <w:r>
        <w:tab/>
        <w:t>Terms used</w:t>
      </w:r>
      <w:bookmarkEnd w:id="10"/>
      <w:bookmarkEnd w:id="11"/>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section</w:t>
      </w:r>
      <w:r>
        <w:t xml:space="preserve"> means a section of the Act.</w:t>
      </w:r>
    </w:p>
    <w:p>
      <w:pPr>
        <w:pStyle w:val="Footnotesection"/>
        <w:spacing w:before="100"/>
        <w:ind w:left="890" w:hanging="890"/>
      </w:pPr>
      <w:r>
        <w:tab/>
        <w:t>[Regulation 3 amended: SL 2022/181 r. 6.]</w:t>
      </w:r>
    </w:p>
    <w:p>
      <w:pPr>
        <w:pStyle w:val="Heading2"/>
      </w:pPr>
      <w:bookmarkStart w:id="12" w:name="_Toc200717996"/>
      <w:bookmarkStart w:id="13" w:name="_Toc135142158"/>
      <w:bookmarkStart w:id="14" w:name="_Toc135142180"/>
      <w:bookmarkStart w:id="15" w:name="_Toc135221022"/>
      <w:r>
        <w:rPr>
          <w:rStyle w:val="CharPartNo"/>
        </w:rPr>
        <w:lastRenderedPageBreak/>
        <w:t>Part 2</w:t>
      </w:r>
      <w:r>
        <w:rPr>
          <w:rStyle w:val="CharDivNo"/>
        </w:rPr>
        <w:t> </w:t>
      </w:r>
      <w:r>
        <w:t>—</w:t>
      </w:r>
      <w:r>
        <w:rPr>
          <w:rStyle w:val="CharDivText"/>
        </w:rPr>
        <w:t> </w:t>
      </w:r>
      <w:r>
        <w:rPr>
          <w:rStyle w:val="CharPartText"/>
        </w:rPr>
        <w:t>Western Australian Photo Card</w:t>
      </w:r>
      <w:bookmarkEnd w:id="12"/>
      <w:bookmarkEnd w:id="13"/>
      <w:bookmarkEnd w:id="14"/>
      <w:bookmarkEnd w:id="15"/>
    </w:p>
    <w:p>
      <w:pPr>
        <w:pStyle w:val="Heading5"/>
      </w:pPr>
      <w:bookmarkStart w:id="16" w:name="_Toc200717997"/>
      <w:bookmarkStart w:id="17" w:name="_Toc135221023"/>
      <w:r>
        <w:rPr>
          <w:rStyle w:val="CharSectno"/>
        </w:rPr>
        <w:t>4</w:t>
      </w:r>
      <w:r>
        <w:t>.</w:t>
      </w:r>
      <w:r>
        <w:tab/>
        <w:t>Replacement photo cards</w:t>
      </w:r>
      <w:bookmarkEnd w:id="16"/>
      <w:bookmarkEnd w:id="17"/>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18" w:name="_Toc200717998"/>
      <w:bookmarkStart w:id="19" w:name="_Toc135221024"/>
      <w:r>
        <w:rPr>
          <w:rStyle w:val="CharSectno"/>
        </w:rPr>
        <w:t>5</w:t>
      </w:r>
      <w:r>
        <w:t>.</w:t>
      </w:r>
      <w:r>
        <w:tab/>
        <w:t>Additional photo cards</w:t>
      </w:r>
      <w:bookmarkEnd w:id="18"/>
      <w:bookmarkEnd w:id="19"/>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20" w:name="_Toc200717999"/>
      <w:bookmarkStart w:id="21" w:name="_Toc135221025"/>
      <w:r>
        <w:rPr>
          <w:rStyle w:val="CharSectno"/>
        </w:rPr>
        <w:t>6</w:t>
      </w:r>
      <w:r>
        <w:t>.</w:t>
      </w:r>
      <w:r>
        <w:tab/>
        <w:t>Duration of photo card</w:t>
      </w:r>
      <w:bookmarkEnd w:id="20"/>
      <w:bookmarkEnd w:id="21"/>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keepNext/>
        <w:keepLines/>
      </w:pPr>
      <w:r>
        <w:lastRenderedPageBreak/>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22" w:name="_Toc200718000"/>
      <w:bookmarkStart w:id="23" w:name="_Toc135221026"/>
      <w:r>
        <w:rPr>
          <w:rStyle w:val="CharSectno"/>
        </w:rPr>
        <w:t>7</w:t>
      </w:r>
      <w:r>
        <w:t>.</w:t>
      </w:r>
      <w:r>
        <w:tab/>
        <w:t>Fees under s. 5(3)(c)</w:t>
      </w:r>
      <w:bookmarkEnd w:id="22"/>
      <w:bookmarkEnd w:id="23"/>
    </w:p>
    <w:p>
      <w:pPr>
        <w:pStyle w:val="Subsection"/>
      </w:pPr>
      <w:r>
        <w:tab/>
      </w:r>
      <w:r>
        <w:tab/>
        <w:t>The fees specified in the Table are prescribed for the purposes of section 5(3)(c).</w:t>
      </w:r>
    </w:p>
    <w:p>
      <w:pPr>
        <w:pStyle w:val="THeadingNAm"/>
        <w:ind w:left="0"/>
      </w:pPr>
      <w:r>
        <w:t>Table</w:t>
      </w:r>
    </w:p>
    <w:tbl>
      <w:tblPr>
        <w:tblW w:w="0" w:type="auto"/>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4110"/>
        <w:gridCol w:w="1296"/>
      </w:tblGrid>
      <w:tr>
        <w:trPr>
          <w:cantSplit/>
          <w:tblHeader/>
        </w:trPr>
        <w:tc>
          <w:tcPr>
            <w:tcW w:w="251" w:type="dxa"/>
            <w:noWrap/>
          </w:tcPr>
          <w:p>
            <w:pPr>
              <w:pStyle w:val="TableNAm"/>
              <w:jc w:val="center"/>
              <w:rPr>
                <w:b/>
              </w:rPr>
            </w:pPr>
            <w:r>
              <w:rPr>
                <w:b/>
              </w:rPr>
              <w:t>Item</w:t>
            </w:r>
          </w:p>
        </w:tc>
        <w:tc>
          <w:tcPr>
            <w:tcW w:w="4110" w:type="dxa"/>
            <w:noWrap/>
          </w:tcPr>
          <w:p>
            <w:pPr>
              <w:pStyle w:val="TableNAm"/>
              <w:jc w:val="center"/>
              <w:rPr>
                <w:b/>
              </w:rPr>
            </w:pPr>
            <w:r>
              <w:rPr>
                <w:b/>
              </w:rPr>
              <w:t>Matter</w:t>
            </w:r>
          </w:p>
        </w:tc>
        <w:tc>
          <w:tcPr>
            <w:tcW w:w="1053" w:type="dxa"/>
            <w:noWrap/>
          </w:tcPr>
          <w:p>
            <w:pPr>
              <w:pStyle w:val="TableNAm"/>
              <w:jc w:val="center"/>
              <w:rPr>
                <w:b/>
              </w:rPr>
            </w:pPr>
            <w:r>
              <w:rPr>
                <w:b/>
              </w:rPr>
              <w:t>Fee ($)</w:t>
            </w:r>
          </w:p>
        </w:tc>
      </w:tr>
      <w:tr>
        <w:trPr>
          <w:cantSplit/>
        </w:trPr>
        <w:tc>
          <w:tcPr>
            <w:tcW w:w="251" w:type="dxa"/>
            <w:noWrap/>
          </w:tcPr>
          <w:p>
            <w:pPr>
              <w:pStyle w:val="TableNAm"/>
            </w:pPr>
            <w:r>
              <w:t>1.</w:t>
            </w:r>
          </w:p>
        </w:tc>
        <w:tc>
          <w:tcPr>
            <w:tcW w:w="4110" w:type="dxa"/>
            <w:noWrap/>
          </w:tcPr>
          <w:p>
            <w:pPr>
              <w:pStyle w:val="TableNAm"/>
            </w:pPr>
            <w:r>
              <w:t>Application for, and issue of, a photo card other than a photo card referred to in item 2 or 3</w:t>
            </w:r>
          </w:p>
        </w:tc>
        <w:tc>
          <w:tcPr>
            <w:tcW w:w="1053" w:type="dxa"/>
            <w:noWrap/>
            <w:vAlign w:val="bottom"/>
          </w:tcPr>
          <w:p>
            <w:pPr>
              <w:pStyle w:val="TableNAm"/>
              <w:jc w:val="center"/>
            </w:pPr>
            <w:del w:id="24" w:author="Master Repository Process" w:date="2025-06-13T14:40:00Z">
              <w:r>
                <w:br/>
              </w:r>
              <w:r>
                <w:br/>
              </w:r>
              <w:r>
                <w:br/>
                <w:delText>46.80</w:delText>
              </w:r>
            </w:del>
            <w:ins w:id="25" w:author="Master Repository Process" w:date="2025-06-13T14:40:00Z">
              <w:r>
                <w:t>47.50</w:t>
              </w:r>
            </w:ins>
          </w:p>
        </w:tc>
      </w:tr>
      <w:tr>
        <w:trPr>
          <w:cantSplit/>
        </w:trPr>
        <w:tc>
          <w:tcPr>
            <w:tcW w:w="251" w:type="dxa"/>
            <w:noWrap/>
          </w:tcPr>
          <w:p>
            <w:pPr>
              <w:pStyle w:val="TableNAm"/>
            </w:pPr>
            <w:r>
              <w:t>2.</w:t>
            </w:r>
          </w:p>
        </w:tc>
        <w:tc>
          <w:tcPr>
            <w:tcW w:w="4110" w:type="dxa"/>
            <w:noWrap/>
          </w:tcPr>
          <w:p>
            <w:pPr>
              <w:pStyle w:val="TableNAm"/>
            </w:pPr>
            <w:r>
              <w:t>Application for, and issue of, a replacement photo card in accordance with r. 4</w:t>
            </w:r>
          </w:p>
        </w:tc>
        <w:tc>
          <w:tcPr>
            <w:tcW w:w="1053" w:type="dxa"/>
            <w:noWrap/>
            <w:vAlign w:val="bottom"/>
          </w:tcPr>
          <w:p>
            <w:pPr>
              <w:pStyle w:val="TableNAm"/>
              <w:jc w:val="center"/>
            </w:pPr>
            <w:del w:id="26" w:author="Master Repository Process" w:date="2025-06-13T14:40:00Z">
              <w:r>
                <w:br/>
              </w:r>
              <w:r>
                <w:br/>
                <w:delText>30.90</w:delText>
              </w:r>
            </w:del>
            <w:ins w:id="27" w:author="Master Repository Process" w:date="2025-06-13T14:40:00Z">
              <w:r>
                <w:t>32.20</w:t>
              </w:r>
            </w:ins>
          </w:p>
        </w:tc>
      </w:tr>
      <w:tr>
        <w:trPr>
          <w:cantSplit/>
        </w:trPr>
        <w:tc>
          <w:tcPr>
            <w:tcW w:w="251" w:type="dxa"/>
            <w:noWrap/>
          </w:tcPr>
          <w:p>
            <w:pPr>
              <w:pStyle w:val="TableNAm"/>
            </w:pPr>
            <w:r>
              <w:t>3.</w:t>
            </w:r>
          </w:p>
        </w:tc>
        <w:tc>
          <w:tcPr>
            <w:tcW w:w="4110" w:type="dxa"/>
            <w:noWrap/>
          </w:tcPr>
          <w:p>
            <w:pPr>
              <w:pStyle w:val="TableNAm"/>
            </w:pPr>
            <w:r>
              <w:t>Application for, and issue of, an additional photo card in accordance with r. 5</w:t>
            </w:r>
          </w:p>
        </w:tc>
        <w:tc>
          <w:tcPr>
            <w:tcW w:w="1053" w:type="dxa"/>
            <w:noWrap/>
            <w:vAlign w:val="bottom"/>
          </w:tcPr>
          <w:p>
            <w:pPr>
              <w:pStyle w:val="TableNAm"/>
              <w:jc w:val="center"/>
            </w:pPr>
            <w:del w:id="28" w:author="Master Repository Process" w:date="2025-06-13T14:40:00Z">
              <w:r>
                <w:br/>
              </w:r>
              <w:r>
                <w:br/>
                <w:delText>46.80</w:delText>
              </w:r>
            </w:del>
            <w:ins w:id="29" w:author="Master Repository Process" w:date="2025-06-13T14:40:00Z">
              <w:r>
                <w:t>47.50</w:t>
              </w:r>
            </w:ins>
          </w:p>
        </w:tc>
      </w:tr>
    </w:tbl>
    <w:p>
      <w:pPr>
        <w:pStyle w:val="Footnotesection"/>
        <w:spacing w:before="100"/>
        <w:ind w:left="890" w:hanging="890"/>
      </w:pPr>
      <w:r>
        <w:tab/>
        <w:t>[Regulation 7 amended: Gazette 12 Jun 2015 p. 2041; 14 Jun 2016 p. 2003; 23 Jun 2017 p. 3278; 22 Jun 2018 p. 2193; 31 May 2019 p. 1728; SL 2020/74 r. 13; SL 2021/92 r. 33; SL 2022/67 r. </w:t>
      </w:r>
      <w:del w:id="30" w:author="Master Repository Process" w:date="2025-06-13T14:40:00Z">
        <w:r>
          <w:delText>34</w:delText>
        </w:r>
      </w:del>
      <w:ins w:id="31" w:author="Master Repository Process" w:date="2025-06-13T14:40:00Z">
        <w:r>
          <w:t>34; SL 2023/45 r. 51</w:t>
        </w:r>
      </w:ins>
      <w:r>
        <w:t>.]</w:t>
      </w:r>
    </w:p>
    <w:p>
      <w:pPr>
        <w:pStyle w:val="Heading5"/>
      </w:pPr>
      <w:bookmarkStart w:id="32" w:name="_Toc200718001"/>
      <w:bookmarkStart w:id="33" w:name="_Toc135221027"/>
      <w:r>
        <w:rPr>
          <w:rStyle w:val="CharSectno"/>
        </w:rPr>
        <w:t>7A</w:t>
      </w:r>
      <w:r>
        <w:t>.</w:t>
      </w:r>
      <w:r>
        <w:tab/>
        <w:t>No fee payable by certain seniors and veterans</w:t>
      </w:r>
      <w:bookmarkEnd w:id="32"/>
      <w:bookmarkEnd w:id="33"/>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34" w:name="_Toc200718002"/>
      <w:bookmarkStart w:id="35" w:name="_Toc135221028"/>
      <w:r>
        <w:rPr>
          <w:rStyle w:val="CharSectno"/>
        </w:rPr>
        <w:t>7B</w:t>
      </w:r>
      <w:r>
        <w:t>.</w:t>
      </w:r>
      <w:r>
        <w:tab/>
        <w:t>Reduced fees for certain card holders</w:t>
      </w:r>
      <w:bookmarkEnd w:id="34"/>
      <w:bookmarkEnd w:id="35"/>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36" w:name="_Toc200718003"/>
      <w:bookmarkStart w:id="37" w:name="_Toc135221029"/>
      <w:r>
        <w:rPr>
          <w:rStyle w:val="CharSectno"/>
        </w:rPr>
        <w:t>7C</w:t>
      </w:r>
      <w:r>
        <w:t>.</w:t>
      </w:r>
      <w:r>
        <w:tab/>
        <w:t>No fee payable for replacement photo cards in certain situations</w:t>
      </w:r>
      <w:bookmarkEnd w:id="36"/>
      <w:bookmarkEnd w:id="37"/>
    </w:p>
    <w:p>
      <w:pPr>
        <w:pStyle w:val="Subsection"/>
      </w:pPr>
      <w:r>
        <w:tab/>
        <w:t>(1)</w:t>
      </w:r>
      <w:r>
        <w:tab/>
        <w:t>The fee set out in item 2 of the Table to regulation 7 is not payable if a replacement photo card is issued to replace a photo card that was lost, damaged or destroyed as a direct result of an approved emergency.</w:t>
      </w:r>
    </w:p>
    <w:p>
      <w:pPr>
        <w:pStyle w:val="Subsection"/>
      </w:pPr>
      <w:r>
        <w:tab/>
        <w:t>(2)</w:t>
      </w:r>
      <w:r>
        <w:tab/>
        <w:t xml:space="preserve">For the purposes of subregulation (1)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spacing w:before="100"/>
        <w:ind w:left="890" w:hanging="890"/>
      </w:pPr>
      <w:r>
        <w:tab/>
        <w:t>[Regulation 7C inserted: SL 2020/123 r. 6.]</w:t>
      </w:r>
    </w:p>
    <w:p>
      <w:pPr>
        <w:pStyle w:val="Heading5"/>
      </w:pPr>
      <w:bookmarkStart w:id="38" w:name="_Toc200718004"/>
      <w:bookmarkStart w:id="39" w:name="_Toc135221030"/>
      <w:r>
        <w:rPr>
          <w:rStyle w:val="CharSectno"/>
        </w:rPr>
        <w:t>7D</w:t>
      </w:r>
      <w:r>
        <w:t>.</w:t>
      </w:r>
      <w:r>
        <w:tab/>
        <w:t>Reduction, waiver or refund of fee for replacement photo card</w:t>
      </w:r>
      <w:bookmarkEnd w:id="38"/>
      <w:bookmarkEnd w:id="39"/>
    </w:p>
    <w:p>
      <w:pPr>
        <w:pStyle w:val="Subsection"/>
      </w:pPr>
      <w:r>
        <w:tab/>
        <w:t>(1)</w:t>
      </w:r>
      <w:r>
        <w:tab/>
        <w:t>The CEO may reduce, waive or refund, in whole or in part, the fee payable by a person, or a class of persons, set out in item 2 of the Table to regulation 7.</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tab/>
        <w:t>(3)</w:t>
      </w:r>
      <w:r>
        <w:tab/>
        <w:t>If the CEO decides to reduce, waive or refund a fee under subregulation (1) in relation to a class of persons, the CEO must publish written notice of the decision on the Department’s website.</w:t>
      </w:r>
    </w:p>
    <w:p>
      <w:pPr>
        <w:pStyle w:val="Footnotesection"/>
        <w:spacing w:before="100"/>
        <w:ind w:left="890" w:hanging="890"/>
      </w:pPr>
      <w:r>
        <w:tab/>
        <w:t>[Regulation 7D inserted: SL 2022/181 r. 7.]</w:t>
      </w:r>
    </w:p>
    <w:p>
      <w:pPr>
        <w:pStyle w:val="Heading5"/>
      </w:pPr>
      <w:bookmarkStart w:id="40" w:name="_Toc200718005"/>
      <w:bookmarkStart w:id="41" w:name="_Toc135221031"/>
      <w:r>
        <w:rPr>
          <w:rStyle w:val="CharSectno"/>
        </w:rPr>
        <w:t>8</w:t>
      </w:r>
      <w:r>
        <w:t>.</w:t>
      </w:r>
      <w:r>
        <w:tab/>
        <w:t>Stolen, lost or destroyed photo cards</w:t>
      </w:r>
      <w:bookmarkEnd w:id="40"/>
      <w:bookmarkEnd w:id="41"/>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42" w:name="_Toc200718006"/>
      <w:bookmarkStart w:id="43" w:name="_Toc135221032"/>
      <w:r>
        <w:rPr>
          <w:rStyle w:val="CharSectno"/>
        </w:rPr>
        <w:t>9</w:t>
      </w:r>
      <w:r>
        <w:t>.</w:t>
      </w:r>
      <w:r>
        <w:tab/>
        <w:t>Change of cardholder’s address</w:t>
      </w:r>
      <w:bookmarkEnd w:id="42"/>
      <w:bookmarkEnd w:id="43"/>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44" w:name="_Toc200718007"/>
      <w:bookmarkStart w:id="45" w:name="_Toc135142169"/>
      <w:bookmarkStart w:id="46" w:name="_Toc135142191"/>
      <w:bookmarkStart w:id="47" w:name="_Toc135221033"/>
      <w:r>
        <w:rPr>
          <w:rStyle w:val="CharPartNo"/>
        </w:rPr>
        <w:t>Part 3</w:t>
      </w:r>
      <w:r>
        <w:rPr>
          <w:rStyle w:val="CharDivNo"/>
        </w:rPr>
        <w:t> </w:t>
      </w:r>
      <w:r>
        <w:t>—</w:t>
      </w:r>
      <w:r>
        <w:rPr>
          <w:rStyle w:val="CharDivText"/>
        </w:rPr>
        <w:t> </w:t>
      </w:r>
      <w:r>
        <w:rPr>
          <w:rStyle w:val="CharPartText"/>
        </w:rPr>
        <w:t>Information management</w:t>
      </w:r>
      <w:bookmarkEnd w:id="44"/>
      <w:bookmarkEnd w:id="45"/>
      <w:bookmarkEnd w:id="46"/>
      <w:bookmarkEnd w:id="47"/>
    </w:p>
    <w:p>
      <w:pPr>
        <w:pStyle w:val="Heading5"/>
      </w:pPr>
      <w:bookmarkStart w:id="48" w:name="_Toc200718008"/>
      <w:bookmarkStart w:id="49" w:name="_Toc135221034"/>
      <w:r>
        <w:rPr>
          <w:rStyle w:val="CharSectno"/>
        </w:rPr>
        <w:t>10</w:t>
      </w:r>
      <w:r>
        <w:t>.</w:t>
      </w:r>
      <w:r>
        <w:tab/>
        <w:t>Disclosure of identifying information or photo card information to prescribed persons</w:t>
      </w:r>
      <w:bookmarkEnd w:id="48"/>
      <w:bookmarkEnd w:id="49"/>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keepLines/>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50" w:name="_Toc200718009"/>
      <w:bookmarkStart w:id="51" w:name="_Toc135221035"/>
      <w:r>
        <w:rPr>
          <w:rStyle w:val="CharSectno"/>
        </w:rPr>
        <w:t>10A</w:t>
      </w:r>
      <w:r>
        <w:t>.</w:t>
      </w:r>
      <w:r>
        <w:tab/>
        <w:t>Authorised purposes for disclosure of photo card information to prescribed persons</w:t>
      </w:r>
      <w:bookmarkEnd w:id="50"/>
      <w:bookmarkEnd w:id="51"/>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cardholder; and</w:t>
      </w:r>
    </w:p>
    <w:p>
      <w:pPr>
        <w:pStyle w:val="Defpara"/>
      </w:pPr>
      <w:r>
        <w:tab/>
        <w:t>(b)</w:t>
      </w:r>
      <w:r>
        <w:tab/>
        <w:t>a person verifying the information mentioned in paragraph (a);</w:t>
      </w:r>
    </w:p>
    <w:p>
      <w:pPr>
        <w:pStyle w:val="Defstart"/>
      </w:pPr>
      <w:r>
        <w:tab/>
      </w:r>
      <w:r>
        <w:rPr>
          <w:rStyle w:val="CharDefText"/>
        </w:rPr>
        <w:t>relevant information</w:t>
      </w:r>
      <w:r>
        <w:t>, of a cardholder, means the following information —</w:t>
      </w:r>
    </w:p>
    <w:p>
      <w:pPr>
        <w:pStyle w:val="Defpara"/>
      </w:pPr>
      <w:r>
        <w:tab/>
        <w:t>(a)</w:t>
      </w:r>
      <w:r>
        <w:tab/>
        <w:t>the cardholder’s information mentioned in section 13(1)(a) and (b);</w:t>
      </w:r>
    </w:p>
    <w:p>
      <w:pPr>
        <w:pStyle w:val="Defpara"/>
      </w:pPr>
      <w:r>
        <w:tab/>
        <w:t>(b)</w:t>
      </w:r>
      <w:r>
        <w:tab/>
        <w:t xml:space="preserve">information mentioned in section 13(1)(h) relating to the following — </w:t>
      </w:r>
    </w:p>
    <w:p>
      <w:pPr>
        <w:pStyle w:val="Defsubpara"/>
      </w:pPr>
      <w:r>
        <w:tab/>
        <w:t>(i)</w:t>
      </w:r>
      <w:r>
        <w:tab/>
        <w:t>the cardholder’s email address;</w:t>
      </w:r>
    </w:p>
    <w:p>
      <w:pPr>
        <w:pStyle w:val="Defsubpara"/>
      </w:pPr>
      <w:r>
        <w:tab/>
        <w:t>(ii)</w:t>
      </w:r>
      <w:r>
        <w:tab/>
        <w:t>the cardholder’s phone number;</w:t>
      </w:r>
    </w:p>
    <w:p>
      <w:pPr>
        <w:pStyle w:val="Defsubpara"/>
      </w:pPr>
      <w:r>
        <w:tab/>
        <w:t>(iii)</w:t>
      </w:r>
      <w:r>
        <w:tab/>
        <w:t>any previous names of the cardholder;</w:t>
      </w:r>
    </w:p>
    <w:p>
      <w:pPr>
        <w:pStyle w:val="Defpara"/>
      </w:pPr>
      <w:r>
        <w:tab/>
        <w:t>(c)</w:t>
      </w:r>
      <w:r>
        <w:tab/>
        <w:t>the latest date and time that the information mentioned in paragraphs (a) and (b)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cardholder.</w:t>
      </w:r>
    </w:p>
    <w:p>
      <w:pPr>
        <w:pStyle w:val="Subsection"/>
      </w:pPr>
      <w:r>
        <w:tab/>
        <w:t>(2)</w:t>
      </w:r>
      <w:r>
        <w:tab/>
        <w:t xml:space="preserve">For paragraph (c) of the definition of </w:t>
      </w:r>
      <w:r>
        <w:rPr>
          <w:b/>
          <w:i/>
        </w:rPr>
        <w:t>authorised purpose</w:t>
      </w:r>
      <w:r>
        <w:t xml:space="preserve"> in section 14(1), the following are purposes —</w:t>
      </w:r>
    </w:p>
    <w:p>
      <w:pPr>
        <w:pStyle w:val="Indenta"/>
      </w:pPr>
      <w:r>
        <w:tab/>
        <w:t>(a)</w:t>
      </w:r>
      <w:r>
        <w:tab/>
        <w:t>in relation to the chief executive officer of the Department of the Premier and Cabinet, or a nominated employee, prescribed under regulation 10(2)(h) — to verify and disclose a cardholder’s relevant information to a relying chief executive officer through a digital identity exchange;</w:t>
      </w:r>
    </w:p>
    <w:p>
      <w:pPr>
        <w:pStyle w:val="Indenta"/>
      </w:pPr>
      <w:r>
        <w:tab/>
        <w:t>(b)</w:t>
      </w:r>
      <w:r>
        <w:tab/>
        <w:t>in relation to the Secretary of the Department of Home Affairs of the Commonwealth, prescribed under regulation 10(2)(i) — to verify the authenticity of a photo card using the national Document Verification Service.</w:t>
      </w:r>
    </w:p>
    <w:p>
      <w:pPr>
        <w:pStyle w:val="Footnotesection"/>
        <w:rPr>
          <w:rStyle w:val="DraftersNotes"/>
          <w:b w:val="0"/>
          <w:i/>
          <w:sz w:val="24"/>
        </w:rPr>
      </w:pPr>
      <w:r>
        <w:rPr>
          <w:rStyle w:val="DraftersNotes"/>
          <w:b w:val="0"/>
          <w:i/>
          <w:sz w:val="24"/>
        </w:rPr>
        <w:tab/>
        <w:t>[Regulation 10A inserted: SL 2021/203 r. 6.]</w:t>
      </w:r>
    </w:p>
    <w:p>
      <w:pPr>
        <w:pStyle w:val="Heading5"/>
      </w:pPr>
      <w:bookmarkStart w:id="52" w:name="_Toc200718010"/>
      <w:bookmarkStart w:id="53" w:name="_Toc135221036"/>
      <w:r>
        <w:rPr>
          <w:rStyle w:val="CharSectno"/>
        </w:rPr>
        <w:t>11</w:t>
      </w:r>
      <w:r>
        <w:t>.</w:t>
      </w:r>
      <w:r>
        <w:tab/>
        <w:t>Disclosure of photographs</w:t>
      </w:r>
      <w:bookmarkEnd w:id="52"/>
      <w:bookmarkEnd w:id="53"/>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keepNext/>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nHeading2"/>
      </w:pPr>
      <w:bookmarkStart w:id="54" w:name="_Toc200718011"/>
      <w:bookmarkStart w:id="55" w:name="_Toc135142173"/>
      <w:bookmarkStart w:id="56" w:name="_Toc135142195"/>
      <w:bookmarkStart w:id="57" w:name="_Toc135221037"/>
      <w:r>
        <w:t>Notes</w:t>
      </w:r>
      <w:bookmarkEnd w:id="54"/>
      <w:bookmarkEnd w:id="55"/>
      <w:bookmarkEnd w:id="56"/>
      <w:bookmarkEnd w:id="57"/>
    </w:p>
    <w:p>
      <w:pPr>
        <w:pStyle w:val="nStatement"/>
      </w:pPr>
      <w:r>
        <w:t xml:space="preserve">This is a compilation of the </w:t>
      </w:r>
      <w:r>
        <w:rPr>
          <w:i/>
          <w:noProof/>
        </w:rPr>
        <w:t>Western Australian Photo Card Regulations 2014</w:t>
      </w:r>
      <w:r>
        <w:t xml:space="preserve"> and includes amendments made by other written laws. For provisions that have come into operation, and for information about any reprints, see the compilation table. </w:t>
      </w:r>
      <w:del w:id="58" w:author="Master Repository Process" w:date="2025-06-13T14:40:00Z">
        <w:r>
          <w:delText>For provisions that have not yet come into operation see the uncommenced provisions table.</w:delText>
        </w:r>
      </w:del>
    </w:p>
    <w:p>
      <w:pPr>
        <w:pStyle w:val="nHeading3"/>
      </w:pPr>
      <w:bookmarkStart w:id="59" w:name="_Toc200718012"/>
      <w:bookmarkStart w:id="60" w:name="_Toc135221038"/>
      <w:r>
        <w:t>Compilation table</w:t>
      </w:r>
      <w:bookmarkEnd w:id="59"/>
      <w:bookmarkEnd w:id="6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1276"/>
        <w:gridCol w:w="2720"/>
      </w:tblGrid>
      <w:tr>
        <w:trPr>
          <w:tblHeader/>
        </w:trPr>
        <w:tc>
          <w:tcPr>
            <w:tcW w:w="3091" w:type="dxa"/>
          </w:tcPr>
          <w:p>
            <w:pPr>
              <w:pStyle w:val="nTable"/>
              <w:spacing w:after="40"/>
              <w:rPr>
                <w:b/>
              </w:rPr>
            </w:pPr>
            <w:r>
              <w:rPr>
                <w:b/>
              </w:rPr>
              <w:t>Citation</w:t>
            </w:r>
          </w:p>
        </w:tc>
        <w:tc>
          <w:tcPr>
            <w:tcW w:w="1276" w:type="dxa"/>
          </w:tcPr>
          <w:p>
            <w:pPr>
              <w:pStyle w:val="nTable"/>
              <w:spacing w:after="40"/>
              <w:rPr>
                <w:b/>
              </w:rPr>
            </w:pPr>
            <w:r>
              <w:rPr>
                <w:b/>
              </w:rPr>
              <w:t>Published</w:t>
            </w:r>
          </w:p>
        </w:tc>
        <w:tc>
          <w:tcPr>
            <w:tcW w:w="2720" w:type="dxa"/>
          </w:tcPr>
          <w:p>
            <w:pPr>
              <w:pStyle w:val="nTable"/>
              <w:spacing w:after="40"/>
              <w:rPr>
                <w:b/>
              </w:rPr>
            </w:pPr>
            <w:r>
              <w:rPr>
                <w:b/>
              </w:rPr>
              <w:t>Commencement</w:t>
            </w:r>
          </w:p>
        </w:tc>
      </w:tr>
      <w:tr>
        <w:tc>
          <w:tcPr>
            <w:tcW w:w="3091"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720" w:type="dxa"/>
            <w:tcBorders>
              <w:bottom w:val="nil"/>
            </w:tcBorders>
          </w:tcPr>
          <w:p>
            <w:pPr>
              <w:pStyle w:val="nTable"/>
              <w:spacing w:after="40"/>
            </w:pPr>
            <w:r>
              <w:t>1 Jul 2014 (see r. 2 and </w:t>
            </w:r>
            <w:r>
              <w:rPr>
                <w:i/>
              </w:rPr>
              <w:t>Gazette</w:t>
            </w:r>
            <w:r>
              <w:t xml:space="preserve"> 17 Jun 2014 p. 1955)</w:t>
            </w:r>
          </w:p>
        </w:tc>
      </w:tr>
      <w:tr>
        <w:tc>
          <w:tcPr>
            <w:tcW w:w="3091"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720" w:type="dxa"/>
            <w:tcBorders>
              <w:top w:val="nil"/>
              <w:bottom w:val="nil"/>
            </w:tcBorders>
          </w:tcPr>
          <w:p>
            <w:pPr>
              <w:pStyle w:val="nTable"/>
              <w:spacing w:after="40"/>
            </w:pPr>
            <w:r>
              <w:t>r. 1 and 2: 12 Jun 2015 (see r. 2(a));</w:t>
            </w:r>
            <w:r>
              <w:br/>
              <w:t>Regulations other than r. 1 and 2: 1 Jul 2015 (see r. 2(b))</w:t>
            </w:r>
          </w:p>
        </w:tc>
      </w:tr>
      <w:tr>
        <w:tc>
          <w:tcPr>
            <w:tcW w:w="3091" w:type="dxa"/>
            <w:tcBorders>
              <w:top w:val="nil"/>
              <w:bottom w:val="nil"/>
            </w:tcBorders>
          </w:tcPr>
          <w:p>
            <w:pPr>
              <w:pStyle w:val="nTable"/>
              <w:spacing w:after="40"/>
              <w:rPr>
                <w:i/>
                <w:noProof/>
                <w:snapToGrid w:val="0"/>
              </w:rPr>
            </w:pPr>
            <w:r>
              <w:rPr>
                <w:i/>
              </w:rPr>
              <w:t>Western Australian Photo Card Amendment Regulations 2015</w:t>
            </w:r>
          </w:p>
        </w:tc>
        <w:tc>
          <w:tcPr>
            <w:tcW w:w="1276" w:type="dxa"/>
            <w:tcBorders>
              <w:top w:val="nil"/>
              <w:bottom w:val="nil"/>
            </w:tcBorders>
          </w:tcPr>
          <w:p>
            <w:pPr>
              <w:pStyle w:val="nTable"/>
              <w:spacing w:after="40"/>
            </w:pPr>
            <w:r>
              <w:t>26 Jun 2015 p. 2276</w:t>
            </w:r>
          </w:p>
        </w:tc>
        <w:tc>
          <w:tcPr>
            <w:tcW w:w="2720" w:type="dxa"/>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091" w:type="dxa"/>
            <w:tcBorders>
              <w:top w:val="nil"/>
              <w:bottom w:val="nil"/>
            </w:tcBorders>
          </w:tcPr>
          <w:p>
            <w:pPr>
              <w:pStyle w:val="nTable"/>
              <w:spacing w:after="40"/>
              <w:rPr>
                <w:i/>
              </w:rPr>
            </w:pPr>
            <w:r>
              <w:rPr>
                <w:i/>
              </w:rPr>
              <w:t>Western Australian Photo Card Amendment Regulations 2016</w:t>
            </w:r>
          </w:p>
        </w:tc>
        <w:tc>
          <w:tcPr>
            <w:tcW w:w="1276" w:type="dxa"/>
            <w:tcBorders>
              <w:top w:val="nil"/>
              <w:bottom w:val="nil"/>
            </w:tcBorders>
          </w:tcPr>
          <w:p>
            <w:pPr>
              <w:pStyle w:val="nTable"/>
              <w:spacing w:after="40"/>
            </w:pPr>
            <w:r>
              <w:t>14 Jun 2016 p. 1838</w:t>
            </w:r>
            <w:r>
              <w:noBreakHyphen/>
              <w:t>9</w:t>
            </w:r>
          </w:p>
        </w:tc>
        <w:tc>
          <w:tcPr>
            <w:tcW w:w="2720" w:type="dxa"/>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091"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tcBorders>
              <w:top w:val="nil"/>
              <w:left w:val="nil"/>
              <w:bottom w:val="nil"/>
              <w:right w:val="nil"/>
            </w:tcBorders>
          </w:tcPr>
          <w:p>
            <w:pPr>
              <w:pStyle w:val="nTable"/>
              <w:spacing w:after="40"/>
            </w:pPr>
            <w:r>
              <w:t>14 Jun 2016 p. 1987</w:t>
            </w:r>
            <w:r>
              <w:noBreakHyphen/>
              <w:t>2003</w:t>
            </w:r>
          </w:p>
        </w:tc>
        <w:tc>
          <w:tcPr>
            <w:tcW w:w="2720" w:type="dxa"/>
            <w:tcBorders>
              <w:top w:val="nil"/>
              <w:left w:val="nil"/>
              <w:bottom w:val="nil"/>
            </w:tcBorders>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091" w:type="dxa"/>
            <w:tcBorders>
              <w:top w:val="nil"/>
              <w:bottom w:val="nil"/>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tcBorders>
              <w:top w:val="nil"/>
              <w:bottom w:val="nil"/>
            </w:tcBorders>
            <w:shd w:val="clear" w:color="auto" w:fill="auto"/>
          </w:tcPr>
          <w:p>
            <w:pPr>
              <w:pStyle w:val="nTable"/>
              <w:spacing w:after="40"/>
              <w:rPr>
                <w:b/>
              </w:rPr>
            </w:pPr>
            <w:r>
              <w:t>23 Jun 2017 p. 3253</w:t>
            </w:r>
            <w:r>
              <w:noBreakHyphen/>
              <w:t>78</w:t>
            </w:r>
          </w:p>
        </w:tc>
        <w:tc>
          <w:tcPr>
            <w:tcW w:w="2720" w:type="dxa"/>
            <w:tcBorders>
              <w:top w:val="nil"/>
              <w:bottom w:val="nil"/>
            </w:tcBorders>
            <w:shd w:val="clear" w:color="auto" w:fill="auto"/>
          </w:tcPr>
          <w:p>
            <w:pPr>
              <w:pStyle w:val="nTable"/>
              <w:spacing w:after="40"/>
              <w:rPr>
                <w:b/>
              </w:rPr>
            </w:pPr>
            <w:r>
              <w:t>1 Jul 2017 (see r. 2(b))</w:t>
            </w:r>
          </w:p>
        </w:tc>
      </w:tr>
      <w:tr>
        <w:tc>
          <w:tcPr>
            <w:tcW w:w="3091" w:type="dxa"/>
            <w:tcBorders>
              <w:top w:val="nil"/>
              <w:bottom w:val="nil"/>
            </w:tcBorders>
            <w:shd w:val="clear" w:color="auto" w:fill="auto"/>
          </w:tcPr>
          <w:p>
            <w:pPr>
              <w:pStyle w:val="nTable"/>
              <w:spacing w:after="40"/>
              <w:rPr>
                <w:i/>
              </w:rPr>
            </w:pPr>
            <w:r>
              <w:rPr>
                <w:i/>
              </w:rPr>
              <w:t>Transport Regulations Amendment (Fees and Charges) Regulations (No. 2) 2018</w:t>
            </w:r>
            <w:r>
              <w:t xml:space="preserve"> Pt. 8</w:t>
            </w:r>
          </w:p>
        </w:tc>
        <w:tc>
          <w:tcPr>
            <w:tcW w:w="1276" w:type="dxa"/>
            <w:tcBorders>
              <w:top w:val="nil"/>
              <w:bottom w:val="nil"/>
            </w:tcBorders>
            <w:shd w:val="clear" w:color="auto" w:fill="auto"/>
          </w:tcPr>
          <w:p>
            <w:pPr>
              <w:pStyle w:val="nTable"/>
              <w:spacing w:after="40"/>
            </w:pPr>
            <w:r>
              <w:t>22 Jun 2018 p. 2184</w:t>
            </w:r>
            <w:r>
              <w:noBreakHyphen/>
              <w:t>93</w:t>
            </w:r>
          </w:p>
        </w:tc>
        <w:tc>
          <w:tcPr>
            <w:tcW w:w="2720" w:type="dxa"/>
            <w:tcBorders>
              <w:top w:val="nil"/>
              <w:bottom w:val="nil"/>
            </w:tcBorders>
            <w:shd w:val="clear" w:color="auto" w:fill="auto"/>
          </w:tcPr>
          <w:p>
            <w:pPr>
              <w:pStyle w:val="nTable"/>
              <w:spacing w:after="40"/>
            </w:pPr>
            <w:r>
              <w:rPr>
                <w:snapToGrid w:val="0"/>
                <w:spacing w:val="-2"/>
              </w:rPr>
              <w:t>1 Jul 2018 (see r. 2(b))</w:t>
            </w:r>
          </w:p>
        </w:tc>
      </w:tr>
      <w:tr>
        <w:tc>
          <w:tcPr>
            <w:tcW w:w="3091" w:type="dxa"/>
            <w:tcBorders>
              <w:top w:val="nil"/>
              <w:bottom w:val="nil"/>
            </w:tcBorders>
            <w:shd w:val="clear" w:color="auto" w:fill="auto"/>
          </w:tcPr>
          <w:p>
            <w:pPr>
              <w:pStyle w:val="nTable"/>
              <w:spacing w:after="40"/>
            </w:pPr>
            <w:r>
              <w:rPr>
                <w:i/>
              </w:rPr>
              <w:t>Transport Regulations Amendment (Information) Regulations 2019</w:t>
            </w:r>
            <w:r>
              <w:t xml:space="preserve"> Pt. 4</w:t>
            </w:r>
          </w:p>
        </w:tc>
        <w:tc>
          <w:tcPr>
            <w:tcW w:w="1276" w:type="dxa"/>
            <w:tcBorders>
              <w:top w:val="nil"/>
              <w:bottom w:val="nil"/>
            </w:tcBorders>
            <w:shd w:val="clear" w:color="auto" w:fill="auto"/>
          </w:tcPr>
          <w:p>
            <w:pPr>
              <w:pStyle w:val="nTable"/>
              <w:spacing w:after="40"/>
            </w:pPr>
            <w:r>
              <w:t>29 Mar 2019 p. 972</w:t>
            </w:r>
            <w:r>
              <w:noBreakHyphen/>
              <w:t>80</w:t>
            </w:r>
          </w:p>
        </w:tc>
        <w:tc>
          <w:tcPr>
            <w:tcW w:w="2720" w:type="dxa"/>
            <w:tcBorders>
              <w:top w:val="nil"/>
              <w:bottom w:val="nil"/>
            </w:tcBorders>
            <w:shd w:val="clear" w:color="auto" w:fill="auto"/>
          </w:tcPr>
          <w:p>
            <w:pPr>
              <w:pStyle w:val="nTable"/>
              <w:spacing w:after="40"/>
              <w:rPr>
                <w:snapToGrid w:val="0"/>
                <w:spacing w:val="-2"/>
              </w:rPr>
            </w:pPr>
            <w:r>
              <w:rPr>
                <w:snapToGrid w:val="0"/>
                <w:spacing w:val="-2"/>
              </w:rPr>
              <w:t>30 Mar 2019 (see r. 2(b))</w:t>
            </w:r>
          </w:p>
        </w:tc>
      </w:tr>
      <w:tr>
        <w:tc>
          <w:tcPr>
            <w:tcW w:w="3091"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10</w:t>
            </w:r>
          </w:p>
        </w:tc>
        <w:tc>
          <w:tcPr>
            <w:tcW w:w="1276" w:type="dxa"/>
            <w:tcBorders>
              <w:top w:val="nil"/>
              <w:bottom w:val="nil"/>
            </w:tcBorders>
            <w:shd w:val="clear" w:color="auto" w:fill="auto"/>
          </w:tcPr>
          <w:p>
            <w:pPr>
              <w:pStyle w:val="nTable"/>
              <w:spacing w:after="40"/>
            </w:pPr>
            <w:r>
              <w:t>31 May 2019 p. 1721</w:t>
            </w:r>
            <w:r>
              <w:noBreakHyphen/>
              <w:t>8</w:t>
            </w:r>
          </w:p>
        </w:tc>
        <w:tc>
          <w:tcPr>
            <w:tcW w:w="2720" w:type="dxa"/>
            <w:tcBorders>
              <w:top w:val="nil"/>
              <w:bottom w:val="nil"/>
            </w:tcBorders>
            <w:shd w:val="clear" w:color="auto" w:fill="auto"/>
          </w:tcPr>
          <w:p>
            <w:pPr>
              <w:pStyle w:val="nTable"/>
              <w:spacing w:after="40"/>
              <w:rPr>
                <w:snapToGrid w:val="0"/>
                <w:spacing w:val="-2"/>
              </w:rPr>
            </w:pPr>
            <w:r>
              <w:t>1 Jul 2019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(No. 2) 2020</w:t>
            </w:r>
            <w:r>
              <w:t xml:space="preserve"> Pt. 6</w:t>
            </w:r>
          </w:p>
        </w:tc>
        <w:tc>
          <w:tcPr>
            <w:tcW w:w="1276" w:type="dxa"/>
            <w:tcBorders>
              <w:top w:val="nil"/>
              <w:bottom w:val="nil"/>
            </w:tcBorders>
            <w:shd w:val="clear" w:color="auto" w:fill="auto"/>
          </w:tcPr>
          <w:p>
            <w:pPr>
              <w:pStyle w:val="nTable"/>
              <w:spacing w:after="40"/>
            </w:pPr>
            <w:r>
              <w:t>SL 2020/74 9 Jun 2020</w:t>
            </w:r>
          </w:p>
        </w:tc>
        <w:tc>
          <w:tcPr>
            <w:tcW w:w="2720" w:type="dxa"/>
            <w:tcBorders>
              <w:top w:val="nil"/>
              <w:bottom w:val="nil"/>
            </w:tcBorders>
            <w:shd w:val="clear" w:color="auto" w:fill="auto"/>
          </w:tcPr>
          <w:p>
            <w:pPr>
              <w:pStyle w:val="nTable"/>
              <w:spacing w:after="40"/>
            </w:pPr>
            <w:r>
              <w:t>1 Jul 2020 (see r. 2(b))</w:t>
            </w:r>
          </w:p>
        </w:tc>
      </w:tr>
      <w:tr>
        <w:trPr>
          <w:cantSplit/>
        </w:trPr>
        <w:tc>
          <w:tcPr>
            <w:tcW w:w="3091" w:type="dxa"/>
            <w:tcBorders>
              <w:top w:val="nil"/>
              <w:bottom w:val="nil"/>
            </w:tcBorders>
            <w:shd w:val="clear" w:color="auto" w:fill="auto"/>
          </w:tcPr>
          <w:p>
            <w:pPr>
              <w:pStyle w:val="nTable"/>
              <w:spacing w:after="40"/>
              <w:rPr>
                <w:i/>
              </w:rPr>
            </w:pPr>
            <w:r>
              <w:rPr>
                <w:i/>
              </w:rPr>
              <w:t xml:space="preserve">Transport Regulations Amendment (Document Replacement) Regulations 2020 </w:t>
            </w:r>
            <w:r>
              <w:t>Pt. 3</w:t>
            </w:r>
          </w:p>
        </w:tc>
        <w:tc>
          <w:tcPr>
            <w:tcW w:w="1276" w:type="dxa"/>
            <w:tcBorders>
              <w:top w:val="nil"/>
              <w:bottom w:val="nil"/>
            </w:tcBorders>
            <w:shd w:val="clear" w:color="auto" w:fill="auto"/>
          </w:tcPr>
          <w:p>
            <w:pPr>
              <w:pStyle w:val="nTable"/>
              <w:spacing w:after="40"/>
            </w:pPr>
            <w:r>
              <w:t>SL 2020/123 28 Jul 2020</w:t>
            </w:r>
          </w:p>
        </w:tc>
        <w:tc>
          <w:tcPr>
            <w:tcW w:w="2720" w:type="dxa"/>
            <w:tcBorders>
              <w:top w:val="nil"/>
              <w:bottom w:val="nil"/>
            </w:tcBorders>
            <w:shd w:val="clear" w:color="auto" w:fill="auto"/>
          </w:tcPr>
          <w:p>
            <w:pPr>
              <w:pStyle w:val="nTable"/>
              <w:spacing w:after="40"/>
            </w:pPr>
            <w:r>
              <w:t>29 Jul 2020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11</w:t>
            </w:r>
          </w:p>
        </w:tc>
        <w:tc>
          <w:tcPr>
            <w:tcW w:w="1276" w:type="dxa"/>
            <w:tcBorders>
              <w:top w:val="nil"/>
              <w:bottom w:val="nil"/>
            </w:tcBorders>
            <w:shd w:val="clear" w:color="auto" w:fill="auto"/>
          </w:tcPr>
          <w:p>
            <w:pPr>
              <w:pStyle w:val="nTable"/>
              <w:spacing w:after="40"/>
            </w:pPr>
            <w:r>
              <w:t>SL 2021/92 18 Jun 2021</w:t>
            </w:r>
          </w:p>
        </w:tc>
        <w:tc>
          <w:tcPr>
            <w:tcW w:w="2720" w:type="dxa"/>
            <w:tcBorders>
              <w:top w:val="nil"/>
              <w:bottom w:val="nil"/>
            </w:tcBorders>
            <w:shd w:val="clear" w:color="auto" w:fill="auto"/>
          </w:tcPr>
          <w:p>
            <w:pPr>
              <w:pStyle w:val="nTable"/>
              <w:spacing w:after="40"/>
            </w:pPr>
            <w:r>
              <w:t>1 Jul 2021 (see r. 2(c))</w:t>
            </w:r>
          </w:p>
        </w:tc>
      </w:tr>
      <w:tr>
        <w:trPr>
          <w:cantSplit/>
        </w:trPr>
        <w:tc>
          <w:tcPr>
            <w:tcW w:w="3091" w:type="dxa"/>
            <w:tcBorders>
              <w:top w:val="nil"/>
              <w:bottom w:val="nil"/>
            </w:tcBorders>
            <w:shd w:val="clear" w:color="auto" w:fill="auto"/>
          </w:tcPr>
          <w:p>
            <w:pPr>
              <w:pStyle w:val="nTable"/>
              <w:spacing w:after="40"/>
            </w:pPr>
            <w:r>
              <w:rPr>
                <w:i/>
              </w:rPr>
              <w:t>Transport Regulations Amendment (Digital Identity Exchange) Regulations 2021</w:t>
            </w:r>
            <w:r>
              <w:t xml:space="preserve"> Pt. 3</w:t>
            </w:r>
          </w:p>
        </w:tc>
        <w:tc>
          <w:tcPr>
            <w:tcW w:w="1276" w:type="dxa"/>
            <w:tcBorders>
              <w:top w:val="nil"/>
              <w:bottom w:val="nil"/>
            </w:tcBorders>
            <w:shd w:val="clear" w:color="auto" w:fill="auto"/>
          </w:tcPr>
          <w:p>
            <w:pPr>
              <w:pStyle w:val="nTable"/>
              <w:spacing w:after="40"/>
            </w:pPr>
            <w:r>
              <w:t>SL 2021/203 3 Dec 2021</w:t>
            </w:r>
          </w:p>
        </w:tc>
        <w:tc>
          <w:tcPr>
            <w:tcW w:w="2720" w:type="dxa"/>
            <w:tcBorders>
              <w:top w:val="nil"/>
              <w:bottom w:val="nil"/>
            </w:tcBorders>
            <w:shd w:val="clear" w:color="auto" w:fill="auto"/>
          </w:tcPr>
          <w:p>
            <w:pPr>
              <w:pStyle w:val="nTable"/>
              <w:spacing w:after="40"/>
            </w:pPr>
            <w:r>
              <w:t>4 Dec 2021 (see r. 2(b))</w:t>
            </w:r>
          </w:p>
        </w:tc>
      </w:tr>
      <w:tr>
        <w:trPr>
          <w:cantSplit/>
        </w:trPr>
        <w:tc>
          <w:tcPr>
            <w:tcW w:w="3091"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11</w:t>
            </w:r>
          </w:p>
        </w:tc>
        <w:tc>
          <w:tcPr>
            <w:tcW w:w="1276" w:type="dxa"/>
            <w:tcBorders>
              <w:top w:val="nil"/>
              <w:bottom w:val="nil"/>
            </w:tcBorders>
            <w:shd w:val="clear" w:color="auto" w:fill="auto"/>
          </w:tcPr>
          <w:p>
            <w:pPr>
              <w:pStyle w:val="nTable"/>
              <w:spacing w:after="40"/>
            </w:pPr>
            <w:r>
              <w:t>SL 2022/67 3 Jun 2022</w:t>
            </w:r>
          </w:p>
        </w:tc>
        <w:tc>
          <w:tcPr>
            <w:tcW w:w="2720" w:type="dxa"/>
            <w:tcBorders>
              <w:top w:val="nil"/>
              <w:bottom w:val="nil"/>
            </w:tcBorders>
            <w:shd w:val="clear" w:color="auto" w:fill="auto"/>
          </w:tcPr>
          <w:p>
            <w:pPr>
              <w:pStyle w:val="nTable"/>
              <w:spacing w:after="40"/>
            </w:pPr>
            <w:r>
              <w:t>1 Jul 2022 (see r. 2(b))</w:t>
            </w:r>
          </w:p>
        </w:tc>
      </w:tr>
      <w:tr>
        <w:trPr>
          <w:cantSplit/>
        </w:trPr>
        <w:tc>
          <w:tcPr>
            <w:tcW w:w="3091" w:type="dxa"/>
            <w:tcBorders>
              <w:top w:val="nil"/>
              <w:bottom w:val="nil"/>
            </w:tcBorders>
            <w:shd w:val="clear" w:color="auto" w:fill="auto"/>
          </w:tcPr>
          <w:p>
            <w:pPr>
              <w:pStyle w:val="nTable"/>
              <w:spacing w:after="40"/>
            </w:pPr>
            <w:r>
              <w:rPr>
                <w:i/>
              </w:rPr>
              <w:t xml:space="preserve">Transport Regulations Amendment (Fee Waiver and Refund) Regulations 2022 </w:t>
            </w:r>
            <w:r>
              <w:t>Pt. 3</w:t>
            </w:r>
          </w:p>
        </w:tc>
        <w:tc>
          <w:tcPr>
            <w:tcW w:w="1276" w:type="dxa"/>
            <w:tcBorders>
              <w:top w:val="nil"/>
              <w:bottom w:val="nil"/>
            </w:tcBorders>
            <w:shd w:val="clear" w:color="auto" w:fill="auto"/>
          </w:tcPr>
          <w:p>
            <w:pPr>
              <w:pStyle w:val="nTable"/>
              <w:spacing w:after="40"/>
            </w:pPr>
            <w:r>
              <w:t>SL 2022/181 4 Nov 2022</w:t>
            </w:r>
          </w:p>
        </w:tc>
        <w:tc>
          <w:tcPr>
            <w:tcW w:w="2720" w:type="dxa"/>
            <w:tcBorders>
              <w:top w:val="nil"/>
              <w:bottom w:val="nil"/>
            </w:tcBorders>
            <w:shd w:val="clear" w:color="auto" w:fill="auto"/>
          </w:tcPr>
          <w:p>
            <w:pPr>
              <w:pStyle w:val="nTable"/>
              <w:spacing w:after="40"/>
            </w:pPr>
            <w:r>
              <w:t>5 Nov 2022 (see r. 2(b))</w:t>
            </w:r>
          </w:p>
        </w:tc>
      </w:tr>
    </w:tbl>
    <w:p>
      <w:pPr>
        <w:pStyle w:val="nHeading3"/>
        <w:rPr>
          <w:del w:id="61" w:author="Master Repository Process" w:date="2025-06-13T14:40:00Z"/>
        </w:rPr>
      </w:pPr>
      <w:bookmarkStart w:id="62" w:name="_Toc135221039"/>
      <w:del w:id="63" w:author="Master Repository Process" w:date="2025-06-13T14:40:00Z">
        <w:r>
          <w:delText>Uncommenced provisions table</w:delText>
        </w:r>
        <w:bookmarkEnd w:id="62"/>
      </w:del>
    </w:p>
    <w:p>
      <w:pPr>
        <w:pStyle w:val="nStatement"/>
        <w:keepNext/>
        <w:spacing w:after="240"/>
        <w:rPr>
          <w:del w:id="64" w:author="Master Repository Process" w:date="2025-06-13T14:40:00Z"/>
        </w:rPr>
      </w:pPr>
      <w:del w:id="65" w:author="Master Repository Process" w:date="2025-06-13T14:4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27"/>
        <w:gridCol w:w="1249"/>
        <w:gridCol w:w="27"/>
        <w:gridCol w:w="2693"/>
      </w:tblGrid>
      <w:tr>
        <w:trPr>
          <w:tblHeader/>
          <w:del w:id="66" w:author="Master Repository Process" w:date="2025-06-13T14:40:00Z"/>
        </w:trPr>
        <w:tc>
          <w:tcPr>
            <w:tcW w:w="3118" w:type="dxa"/>
            <w:gridSpan w:val="2"/>
          </w:tcPr>
          <w:p>
            <w:pPr>
              <w:pStyle w:val="nTable"/>
              <w:spacing w:after="40"/>
              <w:rPr>
                <w:del w:id="67" w:author="Master Repository Process" w:date="2025-06-13T14:40:00Z"/>
                <w:b/>
              </w:rPr>
            </w:pPr>
            <w:del w:id="68" w:author="Master Repository Process" w:date="2025-06-13T14:40:00Z">
              <w:r>
                <w:rPr>
                  <w:b/>
                </w:rPr>
                <w:delText>Citation</w:delText>
              </w:r>
            </w:del>
          </w:p>
        </w:tc>
        <w:tc>
          <w:tcPr>
            <w:tcW w:w="1276" w:type="dxa"/>
            <w:gridSpan w:val="2"/>
          </w:tcPr>
          <w:p>
            <w:pPr>
              <w:pStyle w:val="nTable"/>
              <w:spacing w:after="40"/>
              <w:rPr>
                <w:del w:id="69" w:author="Master Repository Process" w:date="2025-06-13T14:40:00Z"/>
                <w:b/>
              </w:rPr>
            </w:pPr>
            <w:del w:id="70" w:author="Master Repository Process" w:date="2025-06-13T14:40:00Z">
              <w:r>
                <w:rPr>
                  <w:b/>
                </w:rPr>
                <w:delText>Published</w:delText>
              </w:r>
            </w:del>
          </w:p>
        </w:tc>
        <w:tc>
          <w:tcPr>
            <w:tcW w:w="2693" w:type="dxa"/>
          </w:tcPr>
          <w:p>
            <w:pPr>
              <w:pStyle w:val="nTable"/>
              <w:spacing w:after="40"/>
              <w:rPr>
                <w:del w:id="71" w:author="Master Repository Process" w:date="2025-06-13T14:40:00Z"/>
                <w:b/>
              </w:rPr>
            </w:pPr>
            <w:del w:id="72" w:author="Master Repository Process" w:date="2025-06-13T14:40:00Z">
              <w:r>
                <w:rPr>
                  <w:b/>
                </w:rPr>
                <w:delText>Commencement</w:delText>
              </w:r>
            </w:del>
          </w:p>
        </w:tc>
      </w:tr>
      <w:tr>
        <w:trPr>
          <w:cantSplit/>
        </w:trPr>
        <w:tc>
          <w:tcPr>
            <w:tcW w:w="3091" w:type="dxa"/>
            <w:tcBorders>
              <w:top w:val="nil"/>
              <w:bottom w:val="single" w:sz="8" w:space="0" w:color="auto"/>
            </w:tcBorders>
            <w:shd w:val="clear" w:color="auto" w:fill="auto"/>
          </w:tcPr>
          <w:p>
            <w:pPr>
              <w:pStyle w:val="nTable"/>
              <w:spacing w:after="40"/>
              <w:rPr>
                <w:i/>
              </w:rPr>
            </w:pPr>
            <w:r>
              <w:rPr>
                <w:i/>
              </w:rPr>
              <w:t>Transport Regulations Amendment (Fees and Charges) Regulations 2023</w:t>
            </w:r>
            <w:r>
              <w:t xml:space="preserve"> Pt. 14</w:t>
            </w:r>
          </w:p>
        </w:tc>
        <w:tc>
          <w:tcPr>
            <w:tcW w:w="1276" w:type="dxa"/>
            <w:gridSpan w:val="2"/>
            <w:tcBorders>
              <w:top w:val="nil"/>
              <w:bottom w:val="single" w:sz="8" w:space="0" w:color="auto"/>
            </w:tcBorders>
            <w:shd w:val="clear" w:color="auto" w:fill="auto"/>
          </w:tcPr>
          <w:p>
            <w:pPr>
              <w:pStyle w:val="nTable"/>
              <w:spacing w:after="40"/>
            </w:pPr>
            <w:r>
              <w:t>SL 2023/45 19 May 2023</w:t>
            </w:r>
          </w:p>
        </w:tc>
        <w:tc>
          <w:tcPr>
            <w:tcW w:w="2720" w:type="dxa"/>
            <w:gridSpan w:val="2"/>
            <w:tcBorders>
              <w:top w:val="nil"/>
              <w:bottom w:val="single" w:sz="8" w:space="0" w:color="auto"/>
            </w:tcBorders>
            <w:shd w:val="clear" w:color="auto" w:fill="auto"/>
          </w:tcPr>
          <w:p>
            <w:pPr>
              <w:pStyle w:val="nTable"/>
              <w:spacing w:after="40"/>
            </w:pPr>
            <w:r>
              <w:t>1 Jul 2023 (see r. 2(c))</w:t>
            </w:r>
          </w:p>
        </w:tc>
      </w:tr>
    </w:tbl>
    <w:p/>
    <w:p>
      <w:pPr>
        <w:sectPr>
          <w:headerReference w:type="even" r:id="rId22"/>
          <w:headerReference w:type="default" r:id="rId23"/>
          <w:pgSz w:w="11907" w:h="16840" w:code="9"/>
          <w:pgMar w:top="2376" w:right="2404" w:bottom="3544" w:left="2404" w:header="720" w:footer="3544" w:gutter="0"/>
          <w:cols w:space="720"/>
          <w:noEndnote/>
          <w:docGrid w:linePitch="326"/>
        </w:sectPr>
      </w:pPr>
    </w:p>
    <w:p>
      <w:ins w:id="74" w:author="Master Repository Process" w:date="2025-06-13T14:40: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5" w:author="Master Repository Process" w:date="2025-06-13T14:40:00Z"/>
                                  <w:sz w:val="16"/>
                                </w:rPr>
                              </w:pPr>
                              <w:ins w:id="76" w:author="Master Repository Process" w:date="2025-06-13T14: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77" w:author="Master Repository Process" w:date="2025-06-13T14:40:00Z"/>
                                  <w:sz w:val="16"/>
                                </w:rPr>
                              </w:pPr>
                              <w:ins w:id="78" w:author="Master Repository Process" w:date="2025-06-13T14: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9" w:author="Master Repository Process" w:date="2025-06-13T14:40:00Z"/>
                                  <w:sz w:val="16"/>
                                </w:rPr>
                              </w:pPr>
                              <w:ins w:id="80" w:author="Master Repository Process" w:date="2025-06-13T14: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1" w:author="Master Repository Process" w:date="2025-06-13T14:40:00Z"/>
                                  <w:rFonts w:ascii="Arial" w:hAnsi="Arial" w:cs="Arial"/>
                                  <w:sz w:val="12"/>
                                </w:rPr>
                              </w:pPr>
                              <w:ins w:id="82" w:author="Master Repository Process" w:date="2025-06-13T14:40: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83" w:author="Master Repository Process" w:date="2025-06-13T14:40:00Z"/>
                            <w:sz w:val="16"/>
                          </w:rPr>
                        </w:pPr>
                        <w:ins w:id="84" w:author="Master Repository Process" w:date="2025-06-13T14:4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5" w:author="Master Repository Process" w:date="2025-06-13T14:40:00Z"/>
                            <w:sz w:val="16"/>
                          </w:rPr>
                        </w:pPr>
                        <w:ins w:id="86" w:author="Master Repository Process" w:date="2025-06-13T14:4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7" w:author="Master Repository Process" w:date="2025-06-13T14:40:00Z"/>
                            <w:sz w:val="16"/>
                          </w:rPr>
                        </w:pPr>
                        <w:ins w:id="88" w:author="Master Repository Process" w:date="2025-06-13T14:4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9" w:author="Master Repository Process" w:date="2025-06-13T14:40:00Z"/>
                            <w:rFonts w:ascii="Arial" w:hAnsi="Arial" w:cs="Arial"/>
                            <w:sz w:val="12"/>
                          </w:rPr>
                        </w:pPr>
                        <w:ins w:id="90" w:author="Master Repository Process" w:date="2025-06-13T14:40:00Z">
                          <w:r>
                            <w:rPr>
                              <w:rFonts w:ascii="Arial" w:hAnsi="Arial" w:cs="Arial"/>
                              <w:sz w:val="12"/>
                            </w:rPr>
                            <w:t>By Authority: GEOFF O. LAWN, Government Printer</w:t>
                          </w:r>
                        </w:ins>
                      </w:p>
                    </w:txbxContent>
                  </v:textbox>
                  <w10:wrap anchorx="page" anchory="page"/>
                </v:shape>
              </w:pict>
            </mc:Fallback>
          </mc:AlternateContent>
        </w:r>
      </w:ins>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01-q0-01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Western Australian Photo Card</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94334"/>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 w:name="WAFER_20200617145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57_GUID" w:val="9545fd7c-2ac9-4396-9692-473ffd262679"/>
    <w:docVar w:name="WAFER_20200727120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0044_GUID" w:val="fe891f77-61af-40c9-ad24-d14e80bcd26e"/>
    <w:docVar w:name="WAFER_20210617135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35750_GUID" w:val="1b50088b-fd2a-4274-a6fa-2f3ef7031636"/>
    <w:docVar w:name="WAFER_20210625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3705_GUID" w:val="01469ba2-b337-40ea-a0a6-d52aa787d966"/>
    <w:docVar w:name="WAFER_20211130145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405_GUID" w:val="e9bbfb34-8fcc-404f-acc0-aaf00602fa5e"/>
    <w:docVar w:name="WAFER_20220601143947"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43947_GUID" w:val="2e782225-b3da-4c7a-b79f-0706db5b2fe5"/>
    <w:docVar w:name="WAFER_20220624122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512_GUID" w:val="bd56bd43-3fe0-4316-9b21-07ffcf93d413"/>
    <w:docVar w:name="WAFER_202211021532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3229_GUID" w:val="14d00257-7889-487c-bab4-4fc7a1f3403a"/>
    <w:docVar w:name="WAFER_20230516144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231_GUID" w:val="f197a4a5-7132-4f3c-abf0-32866a560a83"/>
    <w:docVar w:name="WAFER_20230629112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605_GUID" w:val="41d50497-cfcf-4d23-98ec-b6d742b680fd"/>
    <w:docVar w:name="WAFER_20231229094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334_GUID" w:val="f61f7acc-697e-4983-95a8-a76263afd1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AE05EAE-C25F-476D-80E7-E2B571AF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7FF430-873F-4A12-856F-CCDBBB4D5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3263</Words>
  <Characters>16087</Characters>
  <Application>Microsoft Office Word</Application>
  <DocSecurity>0</DocSecurity>
  <Lines>502</Lines>
  <Paragraphs>251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01-p0-00 - 01-q0-01</dc:title>
  <dc:subject/>
  <dc:creator/>
  <cp:keywords/>
  <dc:description/>
  <cp:lastModifiedBy>Master Repository Process</cp:lastModifiedBy>
  <cp:revision>2</cp:revision>
  <cp:lastPrinted>2019-03-29T07:10:00Z</cp:lastPrinted>
  <dcterms:created xsi:type="dcterms:W3CDTF">2025-06-13T06:40:00Z</dcterms:created>
  <dcterms:modified xsi:type="dcterms:W3CDTF">2025-06-13T06:40:00Z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Official">
    <vt:lpwstr/>
  </property>
  <property fmtid="{D5CDD505-2E9C-101B-9397-08002B2CF9AE}" pid="7" name="CommencementDate">
    <vt:lpwstr>20230701</vt:lpwstr>
  </property>
  <property fmtid="{D5CDD505-2E9C-101B-9397-08002B2CF9AE}" pid="8" name="CommencementAsAt">
    <vt:filetime>2023-06-30T16:00:00Z</vt:filetime>
  </property>
  <property fmtid="{D5CDD505-2E9C-101B-9397-08002B2CF9AE}" pid="9" name="CommencementYear">
    <vt:lpwstr>2023</vt:lpwstr>
  </property>
  <property fmtid="{D5CDD505-2E9C-101B-9397-08002B2CF9AE}" pid="10" name="FromSuffix">
    <vt:lpwstr>01-p0-00</vt:lpwstr>
  </property>
  <property fmtid="{D5CDD505-2E9C-101B-9397-08002B2CF9AE}" pid="11" name="FromAsAtDate">
    <vt:lpwstr>19 May 2023</vt:lpwstr>
  </property>
  <property fmtid="{D5CDD505-2E9C-101B-9397-08002B2CF9AE}" pid="12" name="ToSuffix">
    <vt:lpwstr>01-q0-01</vt:lpwstr>
  </property>
  <property fmtid="{D5CDD505-2E9C-101B-9397-08002B2CF9AE}" pid="13" name="ToAsAtDate">
    <vt:lpwstr>01 Jul 2023</vt:lpwstr>
  </property>
</Properties>
</file>