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Classification (Publications, Films and Computer Games) Enforcement Regulations 1996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2022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02-d0-00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03 Aug 2023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02-e0-01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  <w:rPr>
          <w:snapToGrid w:val="0"/>
        </w:rPr>
      </w:pPr>
      <w:r>
        <w:rPr>
          <w:snapToGrid w:val="0"/>
        </w:rPr>
        <w:lastRenderedPageBreak/>
        <w:t>Classification (Publications, Films and Computer Games) Enforcement Act 1996</w:t>
      </w:r>
    </w:p>
    <w:p>
      <w:pPr>
        <w:pStyle w:val="NameofActReg"/>
      </w:pPr>
      <w:r>
        <w:t>Classification (Publications, Films and Computer Games) Enforcement Regulations 1996</w:t>
      </w:r>
    </w:p>
    <w:p>
      <w:pPr>
        <w:pStyle w:val="Heading5"/>
        <w:rPr>
          <w:snapToGrid w:val="0"/>
        </w:rPr>
      </w:pPr>
      <w:bookmarkStart w:id="1" w:name="_Toc154746589"/>
      <w:bookmarkStart w:id="2" w:name="_Toc107311198"/>
      <w:r>
        <w:rPr>
          <w:rStyle w:val="CharSectno"/>
        </w:rPr>
        <w:t>1</w:t>
      </w:r>
      <w:bookmarkStart w:id="3" w:name="_GoBack"/>
      <w:bookmarkEnd w:id="3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</w:rPr>
        <w:t>Classification (Publications, Films and Computer Games) Enforcement Regulations 1996</w:t>
      </w:r>
      <w:r>
        <w:rPr>
          <w:snapToGrid w:val="0"/>
        </w:rPr>
        <w:t>.</w:t>
      </w:r>
    </w:p>
    <w:p>
      <w:pPr>
        <w:pStyle w:val="Footnotesection"/>
      </w:pPr>
      <w:r>
        <w:tab/>
        <w:t>[Regulation 1 amended: Gazette 14 Dec 2012 p. 6202.]</w:t>
      </w:r>
    </w:p>
    <w:p>
      <w:pPr>
        <w:pStyle w:val="Heading5"/>
        <w:rPr>
          <w:snapToGrid w:val="0"/>
        </w:rPr>
      </w:pPr>
      <w:bookmarkStart w:id="4" w:name="_Toc154746590"/>
      <w:bookmarkStart w:id="5" w:name="_Toc107311199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4"/>
      <w:bookmarkEnd w:id="5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come into operation on the day on which the </w:t>
      </w:r>
      <w:r>
        <w:rPr>
          <w:i/>
          <w:snapToGrid w:val="0"/>
        </w:rPr>
        <w:t>Censorship Act 1996</w:t>
      </w:r>
      <w:r>
        <w:rPr>
          <w:snapToGrid w:val="0"/>
          <w:vertAlign w:val="superscript"/>
        </w:rPr>
        <w:t> 1</w:t>
      </w:r>
      <w:r>
        <w:rPr>
          <w:snapToGrid w:val="0"/>
        </w:rPr>
        <w:t xml:space="preserve"> comes into operation.</w:t>
      </w:r>
    </w:p>
    <w:p>
      <w:pPr>
        <w:pStyle w:val="Heading5"/>
      </w:pPr>
      <w:bookmarkStart w:id="6" w:name="_Toc154746591"/>
      <w:bookmarkStart w:id="7" w:name="_Toc107311200"/>
      <w:r>
        <w:rPr>
          <w:rStyle w:val="CharSectno"/>
        </w:rPr>
        <w:t>3</w:t>
      </w:r>
      <w:r>
        <w:t>.</w:t>
      </w:r>
      <w:r>
        <w:tab/>
        <w:t>Prescribed offences and modified penalties</w:t>
      </w:r>
      <w:bookmarkEnd w:id="6"/>
      <w:bookmarkEnd w:id="7"/>
    </w:p>
    <w:p>
      <w:pPr>
        <w:pStyle w:val="Subsection"/>
      </w:pPr>
      <w:r>
        <w:tab/>
        <w:t>(1)</w:t>
      </w:r>
      <w:r>
        <w:tab/>
        <w:t>The offences set out in Schedule 1 column 1 are prescribed for the purposes of section 117D of the Act.</w:t>
      </w:r>
    </w:p>
    <w:p>
      <w:pPr>
        <w:pStyle w:val="Subsection"/>
      </w:pPr>
      <w:r>
        <w:tab/>
        <w:t>(2)</w:t>
      </w:r>
      <w:r>
        <w:tab/>
        <w:t>For the purposes of section 117E(2) of the Act, the modified penalty set out in Schedule 1 column 2 opposite an offence referred to in Schedule 1 column 1 is the prescribed modified penalty for an individual for that offence.</w:t>
      </w:r>
    </w:p>
    <w:p>
      <w:pPr>
        <w:pStyle w:val="Subsection"/>
      </w:pPr>
      <w:r>
        <w:tab/>
        <w:t>(3)</w:t>
      </w:r>
      <w:r>
        <w:tab/>
        <w:t>For the purposes of section 117E(2) of the Act, the modified penalty set out in Schedule 1 column 3 opposite an offence referred to in Schedule 1 column 1 is the prescribed modified penalty for a body corporate for that offence.</w:t>
      </w:r>
    </w:p>
    <w:p>
      <w:pPr>
        <w:pStyle w:val="Footnotesection"/>
      </w:pPr>
      <w:r>
        <w:tab/>
        <w:t>[Regulation 3 inserted: Gazette 4 Jun 2004 p. 1929</w:t>
      </w:r>
      <w:r>
        <w:noBreakHyphen/>
        <w:t>30.]</w:t>
      </w:r>
    </w:p>
    <w:p>
      <w:pPr>
        <w:pStyle w:val="Heading5"/>
      </w:pPr>
      <w:bookmarkStart w:id="8" w:name="_Toc154746592"/>
      <w:bookmarkStart w:id="9" w:name="_Toc107311201"/>
      <w:r>
        <w:rPr>
          <w:rStyle w:val="CharSectno"/>
        </w:rPr>
        <w:t>4</w:t>
      </w:r>
      <w:r>
        <w:t>.</w:t>
      </w:r>
      <w:r>
        <w:tab/>
        <w:t>Form of an infringement notice</w:t>
      </w:r>
      <w:bookmarkEnd w:id="8"/>
      <w:bookmarkEnd w:id="9"/>
    </w:p>
    <w:p>
      <w:pPr>
        <w:pStyle w:val="Subsection"/>
      </w:pPr>
      <w:r>
        <w:tab/>
      </w:r>
      <w:r>
        <w:tab/>
        <w:t>Schedule 2 Form 1 is prescribed for the purposes of section 117E(1) of the Act.</w:t>
      </w:r>
    </w:p>
    <w:p>
      <w:pPr>
        <w:pStyle w:val="Footnotesection"/>
      </w:pPr>
      <w:r>
        <w:tab/>
        <w:t>[Regulation 4 inserted: Gazette 4 Jun 2004 p. 1930.]</w:t>
      </w:r>
    </w:p>
    <w:p>
      <w:pPr>
        <w:pStyle w:val="Heading5"/>
      </w:pPr>
      <w:bookmarkStart w:id="10" w:name="_Toc154746593"/>
      <w:bookmarkStart w:id="11" w:name="_Toc107311202"/>
      <w:r>
        <w:rPr>
          <w:rStyle w:val="CharSectno"/>
        </w:rPr>
        <w:t>5</w:t>
      </w:r>
      <w:r>
        <w:t>.</w:t>
      </w:r>
      <w:r>
        <w:tab/>
        <w:t>Form of notice of withdrawal of an infringement notice</w:t>
      </w:r>
      <w:bookmarkEnd w:id="10"/>
      <w:bookmarkEnd w:id="11"/>
    </w:p>
    <w:p>
      <w:pPr>
        <w:pStyle w:val="Subsection"/>
      </w:pPr>
      <w:r>
        <w:tab/>
      </w:r>
      <w:r>
        <w:tab/>
        <w:t>Schedule 2 Form 2 is prescribed for the purposes of section 117G(1) of the Act.</w:t>
      </w:r>
    </w:p>
    <w:p>
      <w:pPr>
        <w:pStyle w:val="Footnotesection"/>
      </w:pPr>
      <w:r>
        <w:tab/>
        <w:t>[Regulation 5 inserted: Gazette 4 Jun 2004 p. 1930.]</w:t>
      </w:r>
    </w:p>
    <w:p>
      <w:pPr>
        <w:pStyle w:val="Ednotesection"/>
        <w:rPr>
          <w:b/>
        </w:rPr>
      </w:pPr>
      <w:r>
        <w:t>[</w:t>
      </w:r>
      <w:r>
        <w:rPr>
          <w:b/>
        </w:rPr>
        <w:t>6</w:t>
      </w:r>
      <w:r>
        <w:rPr>
          <w:b/>
        </w:rPr>
        <w:noBreakHyphen/>
        <w:t>8.</w:t>
      </w:r>
      <w:r>
        <w:rPr>
          <w:b/>
        </w:rPr>
        <w:tab/>
      </w:r>
      <w:r>
        <w:t>Deleted: Gazette 27 Jun 2003 p. 2384-5.]</w:t>
      </w:r>
    </w:p>
    <w:p>
      <w:pPr>
        <w:pStyle w:val="Heading5"/>
        <w:rPr>
          <w:snapToGrid w:val="0"/>
        </w:rPr>
      </w:pPr>
      <w:bookmarkStart w:id="12" w:name="_Toc154746594"/>
      <w:bookmarkStart w:id="13" w:name="_Toc107311203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Fee for registration, or renewal of registration, of premises</w:t>
      </w:r>
      <w:bookmarkEnd w:id="12"/>
      <w:bookmarkEnd w:id="13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131(1)(d) of the Act a fee of $</w:t>
      </w:r>
      <w:del w:id="14" w:author="Master Repository Process" w:date="2023-12-29T12:49:00Z">
        <w:r>
          <w:delText>76.50</w:delText>
        </w:r>
      </w:del>
      <w:ins w:id="15" w:author="Master Repository Process" w:date="2023-12-29T12:49:00Z">
        <w:r>
          <w:rPr>
            <w:snapToGrid w:val="0"/>
          </w:rPr>
          <w:t>79.00</w:t>
        </w:r>
      </w:ins>
      <w:r>
        <w:rPr>
          <w:snapToGrid w:val="0"/>
        </w:rPr>
        <w:t xml:space="preserve"> in respect of each premises proposed to be registered, or registered, in the name of the applicant is prescribed.</w:t>
      </w:r>
    </w:p>
    <w:p>
      <w:pPr>
        <w:pStyle w:val="Footnotesection"/>
      </w:pPr>
      <w:r>
        <w:tab/>
        <w:t>[Regulation 9 amended: SL 2022/111 r.</w:t>
      </w:r>
      <w:ins w:id="16" w:author="Master Repository Process" w:date="2023-12-29T12:49:00Z">
        <w:r>
          <w:t> 10; SL 2023/120 r.</w:t>
        </w:r>
      </w:ins>
      <w:r>
        <w:t> 10.]</w:t>
      </w:r>
    </w:p>
    <w:p>
      <w:pPr>
        <w:pStyle w:val="Heading5"/>
        <w:rPr>
          <w:snapToGrid w:val="0"/>
        </w:rPr>
      </w:pPr>
      <w:bookmarkStart w:id="17" w:name="_Toc154746595"/>
      <w:bookmarkStart w:id="18" w:name="_Toc107311204"/>
      <w:r>
        <w:rPr>
          <w:rStyle w:val="CharSectno"/>
        </w:rPr>
        <w:t>10</w:t>
      </w:r>
      <w:r>
        <w:rPr>
          <w:snapToGrid w:val="0"/>
        </w:rPr>
        <w:t>.</w:t>
      </w:r>
      <w:r>
        <w:rPr>
          <w:snapToGrid w:val="0"/>
        </w:rPr>
        <w:tab/>
        <w:t>Fee for inspecting or copying register</w:t>
      </w:r>
      <w:bookmarkEnd w:id="17"/>
      <w:bookmarkEnd w:id="18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135(5) of the Act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a fee of $5 is prescribed for inspecting the register;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a fee of $1 per page is prescribed for copies of the register.</w:t>
      </w:r>
    </w:p>
    <w:p>
      <w:pPr>
        <w:pStyle w:val="Ednotesection"/>
      </w:pPr>
      <w:r>
        <w:t>[</w:t>
      </w:r>
      <w:r>
        <w:rPr>
          <w:b/>
        </w:rPr>
        <w:t>11, 12.</w:t>
      </w:r>
      <w:r>
        <w:tab/>
        <w:t>Deleted: Gazette 27 Jun 2003 p. 2385.]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9" w:name="_Toc154746596"/>
      <w:bookmarkStart w:id="20" w:name="_Toc107238366"/>
      <w:bookmarkStart w:id="21" w:name="_Toc107238464"/>
      <w:bookmarkStart w:id="22" w:name="_Toc107238743"/>
      <w:bookmarkStart w:id="23" w:name="_Toc107239014"/>
      <w:bookmarkStart w:id="24" w:name="_Toc107311205"/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>Prescribed offences and modified penalties</w:t>
      </w:r>
      <w:bookmarkEnd w:id="19"/>
      <w:bookmarkEnd w:id="20"/>
      <w:bookmarkEnd w:id="21"/>
      <w:bookmarkEnd w:id="22"/>
      <w:bookmarkEnd w:id="23"/>
      <w:bookmarkEnd w:id="24"/>
    </w:p>
    <w:p>
      <w:pPr>
        <w:pStyle w:val="yShoulderClause"/>
      </w:pPr>
      <w:r>
        <w:t>[r. 3]</w:t>
      </w:r>
    </w:p>
    <w:p>
      <w:pPr>
        <w:pStyle w:val="yFootnoteheading"/>
      </w:pPr>
      <w:r>
        <w:tab/>
        <w:t>[Heading inserted: Gazette 4 Jun 2004 p. 1930.]</w:t>
      </w:r>
    </w:p>
    <w:tbl>
      <w:tblPr>
        <w:tblW w:w="0" w:type="auto"/>
        <w:tblInd w:w="392" w:type="dxa"/>
        <w:tblLayout w:type="fixed"/>
        <w:tblLook w:val="0000" w:firstRow="0" w:lastRow="0" w:firstColumn="0" w:lastColumn="0" w:noHBand="0" w:noVBand="0"/>
      </w:tblPr>
      <w:tblGrid>
        <w:gridCol w:w="2045"/>
        <w:gridCol w:w="2437"/>
        <w:gridCol w:w="2180"/>
      </w:tblGrid>
      <w:tr>
        <w:trPr>
          <w:tblHeader/>
        </w:trPr>
        <w:tc>
          <w:tcPr>
            <w:tcW w:w="2045" w:type="dxa"/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Offence</w:t>
            </w:r>
          </w:p>
        </w:tc>
        <w:tc>
          <w:tcPr>
            <w:tcW w:w="2437" w:type="dxa"/>
          </w:tcPr>
          <w:p>
            <w:pPr>
              <w:pStyle w:val="yTable"/>
              <w:rPr>
                <w:b/>
                <w:spacing w:val="-2"/>
              </w:rPr>
            </w:pPr>
            <w:r>
              <w:rPr>
                <w:b/>
                <w:spacing w:val="-2"/>
              </w:rPr>
              <w:t>Modified penalty (individual)</w:t>
            </w:r>
          </w:p>
        </w:tc>
        <w:tc>
          <w:tcPr>
            <w:tcW w:w="2180" w:type="dxa"/>
          </w:tcPr>
          <w:p>
            <w:pPr>
              <w:pStyle w:val="yTable"/>
              <w:rPr>
                <w:b/>
                <w:spacing w:val="-2"/>
              </w:rPr>
            </w:pPr>
            <w:r>
              <w:rPr>
                <w:b/>
                <w:spacing w:val="-2"/>
              </w:rPr>
              <w:t>Modified penalty</w:t>
            </w:r>
            <w:r>
              <w:rPr>
                <w:b/>
                <w:spacing w:val="-2"/>
              </w:rPr>
              <w:br/>
              <w:t>(body corporate)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64(1)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64(4)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65(5)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65(6)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65A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65B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65C(1)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65C(2)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65D(5)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N/A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67(1)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$100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70(1)(b)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71(2)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N/A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72(1)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75(1)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$100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76(1)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76(2)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76(3)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77(1)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79(1)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79(3)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N/A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79(4)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83(1)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$100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84(2)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N/A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85(1)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85(2)(b)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85(3)(b)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86(1)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86(2)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86(3)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86(4)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87(1)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 88(1A)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88(1)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90(1)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91(1)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92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93(1)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94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95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96(1)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97(1)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97(2)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97A(2)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98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113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$100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N/A</w:t>
            </w:r>
          </w:p>
        </w:tc>
      </w:tr>
    </w:tbl>
    <w:p>
      <w:pPr>
        <w:pStyle w:val="yFootnotesection"/>
      </w:pPr>
      <w:r>
        <w:tab/>
        <w:t>[Schedule 1 inserted: Gazette 4 Jun 2004 p. 1930</w:t>
      </w:r>
      <w:r>
        <w:noBreakHyphen/>
        <w:t>1; amended: Gazette 14 Dec 2012 p. 6202.]</w:t>
      </w:r>
    </w:p>
    <w:p>
      <w:pPr>
        <w:pStyle w:val="yScheduleHeading"/>
      </w:pPr>
      <w:bookmarkStart w:id="25" w:name="_Toc154746597"/>
      <w:bookmarkStart w:id="26" w:name="_Toc107238367"/>
      <w:bookmarkStart w:id="27" w:name="_Toc107238465"/>
      <w:bookmarkStart w:id="28" w:name="_Toc107238744"/>
      <w:bookmarkStart w:id="29" w:name="_Toc107239015"/>
      <w:bookmarkStart w:id="30" w:name="_Toc107311206"/>
      <w:r>
        <w:rPr>
          <w:rStyle w:val="CharSchNo"/>
        </w:rPr>
        <w:t>Schedule 2</w:t>
      </w:r>
      <w:r>
        <w:t> — </w:t>
      </w:r>
      <w:r>
        <w:rPr>
          <w:rStyle w:val="CharSchText"/>
        </w:rPr>
        <w:t>Forms</w:t>
      </w:r>
      <w:bookmarkEnd w:id="25"/>
      <w:bookmarkEnd w:id="26"/>
      <w:bookmarkEnd w:id="27"/>
      <w:bookmarkEnd w:id="28"/>
      <w:bookmarkEnd w:id="29"/>
      <w:bookmarkEnd w:id="30"/>
    </w:p>
    <w:p>
      <w:pPr>
        <w:pStyle w:val="yShoulderClause"/>
      </w:pPr>
      <w:r>
        <w:t>[r. 4 and 5]</w:t>
      </w:r>
    </w:p>
    <w:p>
      <w:pPr>
        <w:pStyle w:val="yFootnoteheading"/>
      </w:pPr>
      <w:r>
        <w:tab/>
        <w:t>[Heading inserted: Gazette 4 Jun 2004 p. 1931.]</w:t>
      </w:r>
    </w:p>
    <w:p>
      <w:pPr>
        <w:pStyle w:val="yMiscellaneousHeading"/>
        <w:spacing w:after="120"/>
        <w:rPr>
          <w:b/>
        </w:rPr>
      </w:pPr>
      <w:r>
        <w:rPr>
          <w:b/>
        </w:rPr>
        <w:t>Form 1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1134"/>
        <w:gridCol w:w="1843"/>
        <w:gridCol w:w="142"/>
        <w:gridCol w:w="1701"/>
      </w:tblGrid>
      <w:tr>
        <w:trPr>
          <w:cantSplit/>
          <w:trHeight w:val="282"/>
        </w:trPr>
        <w:tc>
          <w:tcPr>
            <w:tcW w:w="5103" w:type="dxa"/>
            <w:gridSpan w:val="4"/>
          </w:tcPr>
          <w:p>
            <w:pPr>
              <w:pStyle w:val="yTable"/>
              <w:rPr>
                <w:sz w:val="18"/>
              </w:rPr>
            </w:pPr>
            <w:r>
              <w:rPr>
                <w:i/>
                <w:sz w:val="18"/>
                <w:szCs w:val="18"/>
              </w:rPr>
              <w:t xml:space="preserve">Classification (Publications, Films and Computer Games) Enforcement Act 1996 </w:t>
            </w:r>
            <w:r>
              <w:rPr>
                <w:i/>
                <w:sz w:val="18"/>
              </w:rPr>
              <w:t>s. 117E(1)</w:t>
            </w:r>
          </w:p>
          <w:p>
            <w:pPr>
              <w:pStyle w:val="yTable"/>
              <w:spacing w:before="0"/>
              <w:rPr>
                <w:b/>
              </w:rPr>
            </w:pPr>
            <w:r>
              <w:rPr>
                <w:b/>
              </w:rPr>
              <w:t>Infringement Notice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Notice No:</w:t>
            </w:r>
          </w:p>
        </w:tc>
      </w:tr>
      <w:tr>
        <w:trPr>
          <w:cantSplit/>
        </w:trPr>
        <w:tc>
          <w:tcPr>
            <w:tcW w:w="1134" w:type="dxa"/>
            <w:vMerge w:val="restart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Alleged offender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Family name:</w:t>
            </w: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Other names:</w:t>
            </w:r>
          </w:p>
        </w:tc>
      </w:tr>
      <w:tr>
        <w:trPr>
          <w:cantSplit/>
          <w:trHeight w:val="282"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992" w:type="dxa"/>
            <w:vMerge w:val="restart"/>
            <w:tcBorders>
              <w:bottom w:val="nil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Address: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No.:</w:t>
            </w:r>
          </w:p>
        </w:tc>
        <w:tc>
          <w:tcPr>
            <w:tcW w:w="3686" w:type="dxa"/>
            <w:gridSpan w:val="3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Street name:</w:t>
            </w:r>
          </w:p>
        </w:tc>
      </w:tr>
      <w:tr>
        <w:trPr>
          <w:cantSplit/>
          <w:trHeight w:val="282"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3119" w:type="dxa"/>
            <w:gridSpan w:val="3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Suburb: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Postcode:</w:t>
            </w:r>
          </w:p>
        </w:tc>
      </w:tr>
      <w:tr>
        <w:trPr>
          <w:cantSplit/>
        </w:trPr>
        <w:tc>
          <w:tcPr>
            <w:tcW w:w="1134" w:type="dxa"/>
            <w:vMerge w:val="restart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Alleged offence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tabs>
                <w:tab w:val="left" w:pos="563"/>
              </w:tabs>
              <w:rPr>
                <w:sz w:val="18"/>
              </w:rPr>
            </w:pPr>
            <w:r>
              <w:rPr>
                <w:sz w:val="18"/>
              </w:rPr>
              <w:t>Details of alleged offence:</w:t>
            </w:r>
          </w:p>
          <w:p>
            <w:pPr>
              <w:pStyle w:val="yTable"/>
              <w:tabs>
                <w:tab w:val="left" w:pos="563"/>
              </w:tabs>
              <w:rPr>
                <w:sz w:val="18"/>
              </w:rPr>
            </w:pP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Description of alleged offence:</w:t>
            </w:r>
          </w:p>
          <w:p>
            <w:pPr>
              <w:pStyle w:val="yTable"/>
              <w:rPr>
                <w:sz w:val="18"/>
              </w:rPr>
            </w:pP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Where and when:</w:t>
            </w:r>
          </w:p>
        </w:tc>
      </w:tr>
      <w:tr>
        <w:tc>
          <w:tcPr>
            <w:tcW w:w="1134" w:type="dxa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Amount of modified penalty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keepLines/>
              <w:rPr>
                <w:sz w:val="18"/>
              </w:rPr>
            </w:pPr>
          </w:p>
          <w:p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>
        <w:trPr>
          <w:cantSplit/>
          <w:trHeight w:val="289"/>
        </w:trPr>
        <w:tc>
          <w:tcPr>
            <w:tcW w:w="1134" w:type="dxa"/>
            <w:vMerge w:val="restart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Police officer who issued this notice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tabs>
                <w:tab w:val="left" w:pos="563"/>
              </w:tabs>
              <w:rPr>
                <w:sz w:val="18"/>
              </w:rPr>
            </w:pPr>
            <w:r>
              <w:rPr>
                <w:sz w:val="18"/>
              </w:rPr>
              <w:t>Name:</w:t>
            </w:r>
          </w:p>
        </w:tc>
      </w:tr>
      <w:tr>
        <w:trPr>
          <w:cantSplit/>
          <w:trHeight w:val="289"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Signature:</w:t>
            </w:r>
          </w:p>
        </w:tc>
      </w:tr>
      <w:tr>
        <w:trPr>
          <w:cantSplit/>
          <w:trHeight w:val="290"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Date:</w:t>
            </w:r>
          </w:p>
        </w:tc>
      </w:tr>
    </w:tbl>
    <w:p>
      <w:pPr>
        <w:pStyle w:val="yMiscellaneousBody"/>
        <w:spacing w:before="0"/>
        <w:rPr>
          <w:sz w:val="18"/>
          <w:szCs w:val="1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5812"/>
      </w:tblGrid>
      <w:tr>
        <w:trPr>
          <w:cantSplit/>
        </w:trPr>
        <w:tc>
          <w:tcPr>
            <w:tcW w:w="1134" w:type="dxa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What you must do</w:t>
            </w:r>
          </w:p>
        </w:tc>
        <w:tc>
          <w:tcPr>
            <w:tcW w:w="5812" w:type="dxa"/>
          </w:tcPr>
          <w:p>
            <w:pPr>
              <w:pStyle w:val="yTable"/>
              <w:tabs>
                <w:tab w:val="left" w:pos="407"/>
              </w:tabs>
              <w:ind w:left="408" w:hanging="408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z w:val="18"/>
              </w:rPr>
              <w:tab/>
              <w:t>You may elect to have this matter heard and determined by a court.  To do this, complete the details in “</w:t>
            </w:r>
            <w:r>
              <w:rPr>
                <w:b/>
                <w:sz w:val="18"/>
              </w:rPr>
              <w:t>Electing action by a court</w:t>
            </w:r>
            <w:r>
              <w:rPr>
                <w:sz w:val="18"/>
              </w:rPr>
              <w:t>” on the reverse of this notice and return this notice to [details to be inserted here] within 28 days after the service of this notice.</w:t>
            </w:r>
          </w:p>
          <w:p>
            <w:pPr>
              <w:pStyle w:val="yTable"/>
              <w:tabs>
                <w:tab w:val="left" w:pos="407"/>
              </w:tabs>
              <w:ind w:left="408" w:hanging="408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z w:val="18"/>
              </w:rPr>
              <w:tab/>
              <w:t>If you do not wish to have this matter heard and determined by a court you may dispose of this matter within 28 days after the service of this notice by paying the modified penalty (see “</w:t>
            </w:r>
            <w:r>
              <w:rPr>
                <w:b/>
                <w:sz w:val="18"/>
              </w:rPr>
              <w:t>Paying the modified penalty</w:t>
            </w:r>
            <w:r>
              <w:rPr>
                <w:sz w:val="18"/>
              </w:rPr>
              <w:t>” on the reverse of this notice).</w:t>
            </w:r>
          </w:p>
          <w:p>
            <w:pPr>
              <w:pStyle w:val="yTable"/>
              <w:tabs>
                <w:tab w:val="left" w:pos="407"/>
              </w:tabs>
              <w:rPr>
                <w:rFonts w:ascii="Times" w:hAnsi="Times"/>
                <w:sz w:val="18"/>
              </w:rPr>
            </w:pPr>
            <w:r>
              <w:rPr>
                <w:rFonts w:ascii="Times" w:hAnsi="Times"/>
                <w:sz w:val="18"/>
              </w:rPr>
              <w:t>Should you not pursue either of the above options within 28 days, additional administrative charges may be incurred</w:t>
            </w:r>
            <w:r>
              <w:rPr>
                <w:sz w:val="18"/>
                <w:szCs w:val="18"/>
              </w:rPr>
              <w:t xml:space="preserve"> and enforcement action may be taken under the </w:t>
            </w:r>
            <w:r>
              <w:rPr>
                <w:i/>
                <w:sz w:val="18"/>
                <w:szCs w:val="18"/>
              </w:rPr>
              <w:t>Fines, Penalties and Infringement Notices Enforcement Act 1994</w:t>
            </w:r>
            <w:r>
              <w:rPr>
                <w:sz w:val="18"/>
                <w:szCs w:val="18"/>
              </w:rPr>
              <w:t>.  Under that Act, some or all of the following action may be taken — your driver’s licence may be suspended, your vehicle licence may be suspended or cancelled, you may be disqualified from holding or obtaining a driver’s licence or vehicle licence, your vehicle may be immobilised or have its number plates removed, your details may be published on a website, your earnings or bank accounts may be garnished, and your property may be seized and sold.</w:t>
            </w:r>
          </w:p>
        </w:tc>
      </w:tr>
    </w:tbl>
    <w:p>
      <w:pPr>
        <w:pStyle w:val="yTable"/>
        <w:keepNext/>
        <w:keepLines/>
        <w:jc w:val="center"/>
        <w:rPr>
          <w:i/>
          <w:sz w:val="18"/>
        </w:rPr>
      </w:pPr>
      <w:r>
        <w:rPr>
          <w:i/>
          <w:sz w:val="18"/>
        </w:rPr>
        <w:t>Reverse of Form 1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6"/>
        <w:gridCol w:w="5760"/>
      </w:tblGrid>
      <w:tr>
        <w:trPr>
          <w:cantSplit/>
        </w:trPr>
        <w:tc>
          <w:tcPr>
            <w:tcW w:w="1186" w:type="dxa"/>
            <w:vMerge w:val="restart"/>
          </w:tcPr>
          <w:p>
            <w:pPr>
              <w:pStyle w:val="yTable"/>
              <w:keepNext/>
              <w:keepLines/>
              <w:rPr>
                <w:b/>
                <w:sz w:val="18"/>
              </w:rPr>
            </w:pPr>
            <w:r>
              <w:rPr>
                <w:b/>
                <w:sz w:val="18"/>
              </w:rPr>
              <w:t>Electing action by a court</w:t>
            </w:r>
          </w:p>
        </w:tc>
        <w:tc>
          <w:tcPr>
            <w:tcW w:w="5760" w:type="dxa"/>
          </w:tcPr>
          <w:p>
            <w:pPr>
              <w:pStyle w:val="yTable"/>
              <w:keepNext/>
              <w:keepLines/>
              <w:tabs>
                <w:tab w:val="left" w:pos="407"/>
              </w:tabs>
              <w:rPr>
                <w:sz w:val="18"/>
              </w:rPr>
            </w:pPr>
            <w:r>
              <w:rPr>
                <w:sz w:val="18"/>
              </w:rPr>
              <w:t>I elect to have the offence alleged in this notice dealt with by a court.  I understand that I may receive a summons for the alleged offence.</w:t>
            </w:r>
          </w:p>
        </w:tc>
      </w:tr>
      <w:tr>
        <w:trPr>
          <w:cantSplit/>
        </w:trPr>
        <w:tc>
          <w:tcPr>
            <w:tcW w:w="1186" w:type="dxa"/>
            <w:vMerge/>
          </w:tcPr>
          <w:p>
            <w:pPr>
              <w:pStyle w:val="yTable"/>
              <w:keepNext/>
              <w:keepLines/>
              <w:spacing w:before="0"/>
              <w:rPr>
                <w:b/>
                <w:sz w:val="18"/>
              </w:rPr>
            </w:pPr>
          </w:p>
        </w:tc>
        <w:tc>
          <w:tcPr>
            <w:tcW w:w="5760" w:type="dxa"/>
          </w:tcPr>
          <w:p>
            <w:pPr>
              <w:pStyle w:val="yTable"/>
              <w:keepNext/>
              <w:keepLines/>
              <w:tabs>
                <w:tab w:val="left" w:pos="407"/>
              </w:tabs>
              <w:rPr>
                <w:sz w:val="18"/>
              </w:rPr>
            </w:pPr>
            <w:r>
              <w:rPr>
                <w:sz w:val="18"/>
              </w:rPr>
              <w:t>Signature:</w:t>
            </w:r>
          </w:p>
        </w:tc>
      </w:tr>
      <w:tr>
        <w:trPr>
          <w:cantSplit/>
        </w:trPr>
        <w:tc>
          <w:tcPr>
            <w:tcW w:w="1186" w:type="dxa"/>
            <w:vMerge/>
          </w:tcPr>
          <w:p>
            <w:pPr>
              <w:pStyle w:val="yTable"/>
              <w:keepNext/>
              <w:keepLines/>
              <w:spacing w:before="0"/>
              <w:rPr>
                <w:b/>
                <w:sz w:val="18"/>
              </w:rPr>
            </w:pPr>
          </w:p>
        </w:tc>
        <w:tc>
          <w:tcPr>
            <w:tcW w:w="5760" w:type="dxa"/>
          </w:tcPr>
          <w:p>
            <w:pPr>
              <w:pStyle w:val="yTable"/>
              <w:keepNext/>
              <w:keepLines/>
              <w:tabs>
                <w:tab w:val="left" w:pos="407"/>
              </w:tabs>
              <w:rPr>
                <w:sz w:val="18"/>
              </w:rPr>
            </w:pPr>
            <w:r>
              <w:rPr>
                <w:sz w:val="18"/>
              </w:rPr>
              <w:t>Date:</w:t>
            </w:r>
          </w:p>
        </w:tc>
      </w:tr>
      <w:tr>
        <w:trPr>
          <w:cantSplit/>
        </w:trPr>
        <w:tc>
          <w:tcPr>
            <w:tcW w:w="1186" w:type="dxa"/>
            <w:vMerge/>
          </w:tcPr>
          <w:p>
            <w:pPr>
              <w:pStyle w:val="yTable"/>
              <w:spacing w:before="0"/>
              <w:rPr>
                <w:b/>
                <w:sz w:val="18"/>
              </w:rPr>
            </w:pPr>
          </w:p>
        </w:tc>
        <w:tc>
          <w:tcPr>
            <w:tcW w:w="5760" w:type="dxa"/>
          </w:tcPr>
          <w:p>
            <w:pPr>
              <w:pStyle w:val="yTable"/>
              <w:tabs>
                <w:tab w:val="left" w:pos="407"/>
              </w:tabs>
              <w:rPr>
                <w:sz w:val="18"/>
              </w:rPr>
            </w:pPr>
            <w:r>
              <w:rPr>
                <w:sz w:val="18"/>
              </w:rPr>
              <w:t>Address for service:</w:t>
            </w:r>
          </w:p>
        </w:tc>
      </w:tr>
    </w:tbl>
    <w:p>
      <w:pPr>
        <w:pStyle w:val="yMiscellaneousBody"/>
        <w:spacing w:before="0"/>
        <w:rPr>
          <w:sz w:val="1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6"/>
        <w:gridCol w:w="5760"/>
      </w:tblGrid>
      <w:tr>
        <w:trPr>
          <w:cantSplit/>
        </w:trPr>
        <w:tc>
          <w:tcPr>
            <w:tcW w:w="1186" w:type="dxa"/>
            <w:tcBorders>
              <w:bottom w:val="single" w:sz="4" w:space="0" w:color="auto"/>
            </w:tcBorders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Paying the modified penalty</w:t>
            </w:r>
          </w:p>
        </w:tc>
        <w:tc>
          <w:tcPr>
            <w:tcW w:w="5760" w:type="dxa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407"/>
              </w:tabs>
              <w:rPr>
                <w:sz w:val="18"/>
              </w:rPr>
            </w:pPr>
            <w:r>
              <w:rPr>
                <w:sz w:val="18"/>
              </w:rPr>
              <w:t>You may pay the modified penalty —</w:t>
            </w:r>
          </w:p>
          <w:p>
            <w:pPr>
              <w:pStyle w:val="yTable"/>
              <w:tabs>
                <w:tab w:val="left" w:pos="407"/>
              </w:tabs>
              <w:ind w:left="408" w:hanging="408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z w:val="18"/>
              </w:rPr>
              <w:tab/>
              <w:t>BY POSTING a cheque or money order made payable to [details to be inserted here];</w:t>
            </w:r>
          </w:p>
          <w:p>
            <w:pPr>
              <w:pStyle w:val="yTable"/>
              <w:tabs>
                <w:tab w:val="left" w:pos="549"/>
                <w:tab w:val="left" w:pos="974"/>
              </w:tabs>
              <w:spacing w:before="0"/>
              <w:ind w:left="974" w:hanging="974"/>
              <w:rPr>
                <w:sz w:val="18"/>
              </w:rPr>
            </w:pPr>
            <w:r>
              <w:rPr>
                <w:sz w:val="18"/>
              </w:rPr>
              <w:t>OR</w:t>
            </w:r>
          </w:p>
          <w:p>
            <w:pPr>
              <w:pStyle w:val="yTable"/>
              <w:tabs>
                <w:tab w:val="left" w:pos="407"/>
              </w:tabs>
              <w:ind w:left="408" w:hanging="408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z w:val="18"/>
              </w:rPr>
              <w:tab/>
              <w:t>IN PERSON to [details to be inserted here].</w:t>
            </w:r>
          </w:p>
        </w:tc>
      </w:tr>
    </w:tbl>
    <w:p>
      <w:pPr>
        <w:pStyle w:val="yFootnotesection"/>
        <w:rPr>
          <w:b/>
        </w:rPr>
      </w:pPr>
      <w:r>
        <w:tab/>
        <w:t>[Form 1 inserted: Gazette 4 Jun 2004 p. 1931-2; amended: Gazette 14 Dec 2012 p. 6203; 20 Aug 2013 p. 3860; SL 2020/162 r. 4.]</w:t>
      </w:r>
    </w:p>
    <w:p>
      <w:pPr>
        <w:pStyle w:val="yMiscellaneousHeading"/>
        <w:spacing w:before="400" w:after="120"/>
        <w:rPr>
          <w:b/>
        </w:rPr>
      </w:pPr>
      <w:r>
        <w:rPr>
          <w:b/>
        </w:rPr>
        <w:t>Form 2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1276"/>
        <w:gridCol w:w="1701"/>
        <w:gridCol w:w="284"/>
        <w:gridCol w:w="1559"/>
      </w:tblGrid>
      <w:tr>
        <w:trPr>
          <w:cantSplit/>
          <w:trHeight w:val="282"/>
        </w:trPr>
        <w:tc>
          <w:tcPr>
            <w:tcW w:w="5103" w:type="dxa"/>
            <w:gridSpan w:val="4"/>
          </w:tcPr>
          <w:p>
            <w:pPr>
              <w:pStyle w:val="yTable"/>
              <w:keepNext/>
              <w:rPr>
                <w:sz w:val="16"/>
              </w:rPr>
            </w:pPr>
            <w:r>
              <w:rPr>
                <w:i/>
                <w:sz w:val="18"/>
                <w:szCs w:val="18"/>
              </w:rPr>
              <w:t xml:space="preserve">Classification (Publications, Films and Computer Games) Enforcement Act 1996 </w:t>
            </w:r>
            <w:r>
              <w:rPr>
                <w:i/>
                <w:sz w:val="16"/>
              </w:rPr>
              <w:t>s. 117G(1)</w:t>
            </w:r>
          </w:p>
          <w:p>
            <w:pPr>
              <w:pStyle w:val="yTable"/>
              <w:keepNext/>
              <w:spacing w:before="0"/>
              <w:rPr>
                <w:b/>
              </w:rPr>
            </w:pPr>
            <w:r>
              <w:rPr>
                <w:b/>
              </w:rPr>
              <w:t>Withdrawal of Infringement Notice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Notice No:</w:t>
            </w:r>
          </w:p>
        </w:tc>
      </w:tr>
      <w:tr>
        <w:trPr>
          <w:cantSplit/>
        </w:trPr>
        <w:tc>
          <w:tcPr>
            <w:tcW w:w="1134" w:type="dxa"/>
            <w:vMerge w:val="restart"/>
          </w:tcPr>
          <w:p>
            <w:pPr>
              <w:pStyle w:val="yTable"/>
              <w:keepNext/>
              <w:rPr>
                <w:b/>
                <w:sz w:val="18"/>
              </w:rPr>
            </w:pPr>
            <w:r>
              <w:rPr>
                <w:b/>
                <w:sz w:val="18"/>
              </w:rPr>
              <w:t>To</w:t>
            </w:r>
          </w:p>
          <w:p>
            <w:pPr>
              <w:pStyle w:val="yTable"/>
              <w:keepNext/>
              <w:rPr>
                <w:sz w:val="14"/>
              </w:rPr>
            </w:pPr>
            <w:r>
              <w:rPr>
                <w:sz w:val="14"/>
              </w:rPr>
              <w:t>[Details of alleged offender]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Family name:</w:t>
            </w: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keepNext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Other names:</w:t>
            </w:r>
          </w:p>
        </w:tc>
      </w:tr>
      <w:tr>
        <w:trPr>
          <w:cantSplit/>
          <w:trHeight w:val="282"/>
        </w:trPr>
        <w:tc>
          <w:tcPr>
            <w:tcW w:w="1134" w:type="dxa"/>
            <w:vMerge/>
          </w:tcPr>
          <w:p>
            <w:pPr>
              <w:pStyle w:val="yTable"/>
              <w:keepNext/>
              <w:rPr>
                <w:sz w:val="18"/>
              </w:rPr>
            </w:pPr>
          </w:p>
        </w:tc>
        <w:tc>
          <w:tcPr>
            <w:tcW w:w="992" w:type="dxa"/>
            <w:vMerge w:val="restart"/>
            <w:tcBorders>
              <w:bottom w:val="nil"/>
            </w:tcBorders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Address: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No.: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Street name:</w:t>
            </w:r>
          </w:p>
        </w:tc>
      </w:tr>
      <w:tr>
        <w:trPr>
          <w:cantSplit/>
          <w:trHeight w:val="282"/>
        </w:trPr>
        <w:tc>
          <w:tcPr>
            <w:tcW w:w="1134" w:type="dxa"/>
            <w:vMerge/>
          </w:tcPr>
          <w:p>
            <w:pPr>
              <w:pStyle w:val="yTable"/>
              <w:keepNext/>
              <w:rPr>
                <w:sz w:val="1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>
            <w:pPr>
              <w:pStyle w:val="yTable"/>
              <w:keepNext/>
              <w:rPr>
                <w:sz w:val="18"/>
              </w:rPr>
            </w:pPr>
          </w:p>
        </w:tc>
        <w:tc>
          <w:tcPr>
            <w:tcW w:w="3261" w:type="dxa"/>
            <w:gridSpan w:val="3"/>
            <w:tcBorders>
              <w:bottom w:val="single" w:sz="4" w:space="0" w:color="auto"/>
            </w:tcBorders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Suburb: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Postcode:</w:t>
            </w:r>
          </w:p>
        </w:tc>
      </w:tr>
      <w:tr>
        <w:tc>
          <w:tcPr>
            <w:tcW w:w="6946" w:type="dxa"/>
            <w:gridSpan w:val="6"/>
          </w:tcPr>
          <w:p>
            <w:pPr>
              <w:pStyle w:val="yTable"/>
              <w:keepNext/>
              <w:keepLines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AN INFRINGEMENT NOTICE SERVED ON YOU HAS BEEN WITHDRAWN.  ANY PAYMENT THAT HAS BEEN MADE WILL BE REFUNDED AND — </w:t>
            </w:r>
          </w:p>
          <w:p>
            <w:pPr>
              <w:pStyle w:val="yTable"/>
              <w:keepNext/>
              <w:keepLines/>
              <w:numPr>
                <w:ilvl w:val="0"/>
                <w:numId w:val="1"/>
              </w:numPr>
              <w:ind w:left="450" w:hanging="416"/>
              <w:rPr>
                <w:b/>
                <w:sz w:val="18"/>
              </w:rPr>
            </w:pPr>
            <w:r>
              <w:rPr>
                <w:b/>
                <w:sz w:val="18"/>
              </w:rPr>
              <w:t>NO FURTHER ACTION WILL BE TAKEN*</w:t>
            </w:r>
          </w:p>
          <w:p>
            <w:pPr>
              <w:pStyle w:val="yTable"/>
              <w:keepNext/>
              <w:keepLines/>
              <w:numPr>
                <w:ilvl w:val="0"/>
                <w:numId w:val="1"/>
              </w:numPr>
              <w:ind w:left="450" w:hanging="416"/>
              <w:rPr>
                <w:b/>
                <w:sz w:val="18"/>
              </w:rPr>
            </w:pPr>
            <w:r>
              <w:rPr>
                <w:b/>
                <w:sz w:val="18"/>
              </w:rPr>
              <w:t>A SUMMONS WILL BE ISSUED*</w:t>
            </w:r>
          </w:p>
          <w:p>
            <w:pPr>
              <w:pStyle w:val="yTable"/>
              <w:keepNext/>
              <w:keepLines/>
              <w:tabs>
                <w:tab w:val="left" w:pos="4536"/>
              </w:tabs>
              <w:ind w:left="4536" w:hanging="4536"/>
              <w:rPr>
                <w:sz w:val="18"/>
              </w:rPr>
            </w:pPr>
            <w:r>
              <w:rPr>
                <w:sz w:val="18"/>
              </w:rPr>
              <w:t>[*</w:t>
            </w:r>
            <w:r>
              <w:rPr>
                <w:i/>
                <w:sz w:val="18"/>
              </w:rPr>
              <w:t xml:space="preserve"> delete whichever is not applicable</w:t>
            </w:r>
            <w:r>
              <w:rPr>
                <w:sz w:val="18"/>
              </w:rPr>
              <w:t>]</w:t>
            </w:r>
          </w:p>
        </w:tc>
      </w:tr>
      <w:tr>
        <w:trPr>
          <w:cantSplit/>
        </w:trPr>
        <w:tc>
          <w:tcPr>
            <w:tcW w:w="1134" w:type="dxa"/>
            <w:vMerge w:val="restart"/>
          </w:tcPr>
          <w:p>
            <w:pPr>
              <w:pStyle w:val="yTable"/>
              <w:keepNext/>
              <w:keepLines/>
              <w:spacing w:before="0"/>
              <w:rPr>
                <w:b/>
                <w:sz w:val="18"/>
              </w:rPr>
            </w:pPr>
            <w:r>
              <w:rPr>
                <w:b/>
                <w:sz w:val="18"/>
              </w:rPr>
              <w:t>Details of withdrawn notice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Date notice given:</w:t>
            </w: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keepNext/>
              <w:keepLines/>
              <w:spacing w:before="0"/>
              <w:rPr>
                <w:b/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Notice number:</w:t>
            </w: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keepNext/>
              <w:keepLines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Alleged offence:</w:t>
            </w:r>
          </w:p>
        </w:tc>
      </w:tr>
      <w:tr>
        <w:trPr>
          <w:cantSplit/>
        </w:trPr>
        <w:tc>
          <w:tcPr>
            <w:tcW w:w="1134" w:type="dxa"/>
            <w:vMerge w:val="restart"/>
          </w:tcPr>
          <w:p>
            <w:pPr>
              <w:pStyle w:val="yTable"/>
              <w:spacing w:before="0"/>
              <w:rPr>
                <w:b/>
                <w:sz w:val="18"/>
              </w:rPr>
            </w:pPr>
            <w:r>
              <w:rPr>
                <w:b/>
                <w:sz w:val="18"/>
              </w:rPr>
              <w:t>Authorised person who issued this notice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tabs>
                <w:tab w:val="left" w:pos="563"/>
              </w:tabs>
              <w:rPr>
                <w:sz w:val="18"/>
              </w:rPr>
            </w:pPr>
            <w:r>
              <w:rPr>
                <w:sz w:val="18"/>
              </w:rPr>
              <w:t>Name:</w:t>
            </w: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keepNext/>
              <w:keepLines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Signature:</w:t>
            </w: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keepNext/>
              <w:keepLines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Date:</w:t>
            </w:r>
          </w:p>
        </w:tc>
      </w:tr>
    </w:tbl>
    <w:p>
      <w:pPr>
        <w:pStyle w:val="yFootnotesection"/>
        <w:rPr>
          <w:b/>
        </w:rPr>
      </w:pPr>
      <w:r>
        <w:tab/>
        <w:t>[Form 2 inserted: Gazette 4 Jun 2004 p. 1932; amended: Gazette 14 Dec 2012 p. 6203.]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>
      <w:pPr>
        <w:pStyle w:val="nHeading2"/>
      </w:pPr>
      <w:bookmarkStart w:id="32" w:name="_Toc154746598"/>
      <w:bookmarkStart w:id="33" w:name="_Toc107238368"/>
      <w:bookmarkStart w:id="34" w:name="_Toc107238466"/>
      <w:bookmarkStart w:id="35" w:name="_Toc107238745"/>
      <w:bookmarkStart w:id="36" w:name="_Toc107239016"/>
      <w:bookmarkStart w:id="37" w:name="_Toc107311207"/>
      <w:r>
        <w:t>Notes</w:t>
      </w:r>
      <w:bookmarkEnd w:id="32"/>
      <w:bookmarkEnd w:id="33"/>
      <w:bookmarkEnd w:id="34"/>
      <w:bookmarkEnd w:id="35"/>
      <w:bookmarkEnd w:id="36"/>
      <w:bookmarkEnd w:id="37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Classification (Publications, Films and Computer Games) Enforcement Regulations 1996</w:t>
      </w:r>
      <w:r>
        <w:t xml:space="preserve"> and includes amendments made by other written laws. For provisions that have come into operation, and for information about any reprints, see the compilation table.</w:t>
      </w:r>
    </w:p>
    <w:p>
      <w:pPr>
        <w:pStyle w:val="nHeading3"/>
      </w:pPr>
      <w:bookmarkStart w:id="38" w:name="_Toc154746599"/>
      <w:bookmarkStart w:id="39" w:name="_Toc107311208"/>
      <w:r>
        <w:t>Compilation table</w:t>
      </w:r>
      <w:bookmarkEnd w:id="38"/>
      <w:bookmarkEnd w:id="39"/>
    </w:p>
    <w:tbl>
      <w:tblPr>
        <w:tblW w:w="7088" w:type="dxa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4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vertAlign w:val="superscript"/>
              </w:rPr>
            </w:pPr>
            <w:r>
              <w:rPr>
                <w:i/>
              </w:rPr>
              <w:t>Censorship Regulations 1996 </w:t>
            </w:r>
            <w:r>
              <w:rPr>
                <w:vertAlign w:val="superscript"/>
              </w:rPr>
              <w:t>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Nov 1996 p. 5755</w:t>
            </w:r>
            <w:r>
              <w:noBreakHyphen/>
              <w:t>62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 xml:space="preserve">5 Nov 1996 (see r. 2 and </w:t>
            </w:r>
            <w:r>
              <w:rPr>
                <w:i/>
              </w:rPr>
              <w:t>Gazette</w:t>
            </w:r>
            <w:r>
              <w:t xml:space="preserve"> 5 Nov 1996 p. 5845)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Censorship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2003 p. 2384</w:t>
            </w:r>
            <w:r>
              <w:noBreakHyphen/>
              <w:t>5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i/>
              </w:rPr>
            </w:pPr>
            <w:r>
              <w:t xml:space="preserve">1 Jul 2003 (see r. 2 and </w:t>
            </w:r>
            <w:r>
              <w:rPr>
                <w:i/>
              </w:rPr>
              <w:t>Gazette</w:t>
            </w:r>
            <w:r>
              <w:t xml:space="preserve"> 27 Jun 2003 p. 2383)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>Censorship Regulations 1996</w:t>
            </w:r>
            <w:r>
              <w:rPr>
                <w:b/>
              </w:rPr>
              <w:t xml:space="preserve"> as at 5 Dec 2003 </w:t>
            </w:r>
            <w:r>
              <w:t>(includes amendment listed above)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Censorship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4 Jun 2004 p. 1929</w:t>
            </w:r>
            <w:r>
              <w:noBreakHyphen/>
              <w:t>32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 xml:space="preserve">4 Jun 2004 (see r. 2 and </w:t>
            </w:r>
            <w:r>
              <w:rPr>
                <w:i/>
              </w:rPr>
              <w:t xml:space="preserve">Gazette </w:t>
            </w:r>
            <w:r>
              <w:t>4 Jun 2004 p. 1933)</w:t>
            </w:r>
          </w:p>
        </w:tc>
      </w:tr>
      <w:t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Censorship Amendment Regulations 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14 Dec 2012 p. 6202</w:t>
            </w:r>
            <w:r>
              <w:noBreakHyphen/>
              <w:t>3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 1 and 2: 14 Dec 2012 (see r. 2(a));</w:t>
            </w:r>
            <w:r>
              <w:rPr>
                <w:snapToGrid w:val="0"/>
                <w:spacing w:val="-2"/>
              </w:rPr>
              <w:br/>
              <w:t>Regulations other than r. 1 and 2: 1 Jan 2013 (see r. 2(b) and Act No. 53 of 2012 s. 2(b)(i))</w:t>
            </w:r>
          </w:p>
        </w:tc>
      </w:tr>
      <w:tr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2: The </w:t>
            </w:r>
            <w:r>
              <w:rPr>
                <w:b/>
                <w:i/>
              </w:rPr>
              <w:t>Classification (Publications, Films and Computer Games) Enforcement Regulations 1996</w:t>
            </w:r>
            <w:r>
              <w:rPr>
                <w:b/>
              </w:rPr>
              <w:t xml:space="preserve"> as at 19 Apr 2013 </w:t>
            </w:r>
            <w:r>
              <w:t>(includes amendment listed above)</w:t>
            </w:r>
          </w:p>
        </w:tc>
      </w:tr>
      <w:t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Classification (Publications, Films and Computer Games) Enforcement Amendment Regulations 2013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20 Aug 2013 p. 3859-60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 1 and 2: 20 Aug 2013 (see r. 2(a));</w:t>
            </w:r>
            <w:r>
              <w:rPr>
                <w:snapToGrid w:val="0"/>
                <w:spacing w:val="-2"/>
              </w:rPr>
              <w:br/>
              <w:t xml:space="preserve">Regulations other than r. 1 and 2: 21 Aug 2013 (see r. 2(b) and </w:t>
            </w:r>
            <w:r>
              <w:rPr>
                <w:i/>
                <w:snapToGrid w:val="0"/>
                <w:spacing w:val="-2"/>
              </w:rPr>
              <w:t>Gazette</w:t>
            </w:r>
            <w:r>
              <w:rPr>
                <w:snapToGrid w:val="0"/>
                <w:spacing w:val="-2"/>
              </w:rPr>
              <w:t xml:space="preserve"> 20 Aug 2013 p. 3815)</w:t>
            </w:r>
          </w:p>
        </w:tc>
      </w:tr>
      <w:t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Attorney General Regulations Amendment (Infringement Notices) Regulations 2020</w:t>
            </w:r>
            <w:r>
              <w:t xml:space="preserve"> Pt. 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SL 2020/162 25 Sep 2020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29 Sep 2020 (see r. 2(b) and SL 2020/159 cl. 2(a))</w:t>
            </w:r>
          </w:p>
        </w:tc>
      </w:tr>
      <w:t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Attorney General Regulations Amendment (Fees and Charges) Regulations 2022</w:t>
            </w:r>
            <w:r>
              <w:t xml:space="preserve"> Pt. 5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SL 2022/111</w:t>
            </w:r>
            <w:r>
              <w:br/>
              <w:t>30 Jun 2022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t>1 Jul 2022 (see r. 2(b))</w:t>
            </w:r>
          </w:p>
        </w:tc>
      </w:tr>
      <w:tr>
        <w:trPr>
          <w:ins w:id="40" w:author="Master Repository Process" w:date="2023-12-29T12:49:00Z"/>
        </w:trPr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41" w:author="Master Repository Process" w:date="2023-12-29T12:49:00Z"/>
                <w:i/>
              </w:rPr>
            </w:pPr>
            <w:ins w:id="42" w:author="Master Repository Process" w:date="2023-12-29T12:49:00Z">
              <w:r>
                <w:rPr>
                  <w:i/>
                </w:rPr>
                <w:t>Attorney General Regulations Amendment (Fees and Charges) Regulations 2023</w:t>
              </w:r>
              <w:r>
                <w:t xml:space="preserve"> Pt. 5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43" w:author="Master Repository Process" w:date="2023-12-29T12:49:00Z"/>
              </w:rPr>
            </w:pPr>
            <w:ins w:id="44" w:author="Master Repository Process" w:date="2023-12-29T12:49:00Z">
              <w:r>
                <w:t>SL 2023/120 2 Aug 2023</w:t>
              </w:r>
            </w:ins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45" w:author="Master Repository Process" w:date="2023-12-29T12:49:00Z"/>
              </w:rPr>
            </w:pPr>
            <w:ins w:id="46" w:author="Master Repository Process" w:date="2023-12-29T12:49:00Z">
              <w:r>
                <w:t>3 Aug 2023 (see r. 2(b))</w:t>
              </w:r>
            </w:ins>
          </w:p>
        </w:tc>
      </w:tr>
    </w:tbl>
    <w:p>
      <w:pPr>
        <w:pStyle w:val="nHeading3"/>
      </w:pPr>
      <w:bookmarkStart w:id="47" w:name="_Toc154746600"/>
      <w:bookmarkStart w:id="48" w:name="_Toc107311209"/>
      <w:r>
        <w:t>Other notes</w:t>
      </w:r>
      <w:bookmarkEnd w:id="47"/>
      <w:bookmarkEnd w:id="48"/>
    </w:p>
    <w:p>
      <w:pPr>
        <w:pStyle w:val="nNote"/>
      </w:pPr>
      <w:r>
        <w:rPr>
          <w:vertAlign w:val="superscript"/>
        </w:rPr>
        <w:t>1</w:t>
      </w:r>
      <w:r>
        <w:tab/>
        <w:t xml:space="preserve">Now known as the </w:t>
      </w:r>
      <w:r>
        <w:rPr>
          <w:i/>
        </w:rPr>
        <w:t>Classification (Publications, Films and Computer Games) Enforcement Act 1996</w:t>
      </w:r>
      <w:r>
        <w:t>.</w:t>
      </w:r>
    </w:p>
    <w:p>
      <w:pPr>
        <w:pStyle w:val="nNote"/>
      </w:pPr>
      <w:r>
        <w:rPr>
          <w:vertAlign w:val="superscript"/>
        </w:rPr>
        <w:t>2</w:t>
      </w:r>
      <w:r>
        <w:tab/>
        <w:t xml:space="preserve">Now known as the </w:t>
      </w:r>
      <w:r>
        <w:rPr>
          <w:i/>
        </w:rPr>
        <w:t>Classification (Publications, Films and Computer Games) Enforcement Regulations 1996</w:t>
      </w:r>
      <w:r>
        <w:t>; citation changed (see note under r. 1).</w:t>
      </w:r>
    </w:p>
    <w:p/>
    <w:p>
      <w:pPr>
        <w:sectPr>
          <w:headerReference w:type="even" r:id="rId24"/>
          <w:headerReference w:type="default" r:id="rId25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ins w:id="50" w:author="Master Repository Process" w:date="2023-12-29T12:49:00Z"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page">
                    <wp:align>center</wp:align>
                  </wp:positionH>
                  <wp:positionV relativeFrom="page">
                    <wp:posOffset>7505700</wp:posOffset>
                  </wp:positionV>
                  <wp:extent cx="127000" cy="647700"/>
                  <wp:effectExtent l="0" t="0" r="1905" b="0"/>
                  <wp:wrapNone/>
                  <wp:docPr id="1" name="Authority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27000" cy="647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txbx>
                          <w:txbxContent>
                            <w:p>
                              <w:pPr>
                                <w:ind w:left="2835" w:right="2268"/>
                                <w:rPr>
                                  <w:ins w:id="51" w:author="Master Repository Process" w:date="2023-12-29T12:49:00Z"/>
                                  <w:sz w:val="16"/>
                                </w:rPr>
                              </w:pPr>
                              <w:ins w:id="52" w:author="Master Repository Process" w:date="2023-12-29T12:49:00Z">
                                <w:r>
                                  <w:rPr>
                                    <w:sz w:val="16"/>
                                  </w:rPr>
                                  <w:t xml:space="preserve">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t>2023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835" w:right="2268"/>
                                <w:rPr>
                                  <w:ins w:id="53" w:author="Master Repository Process" w:date="2023-12-29T12:49:00Z"/>
                                  <w:sz w:val="16"/>
                                </w:rPr>
                              </w:pPr>
                              <w:ins w:id="54" w:author="Master Repository Process" w:date="2023-12-29T12:49:00Z">
                                <w:r>
                                  <w:rPr>
                                    <w:sz w:val="16"/>
                                  </w:rPr>
                                  <w:t xml:space="preserve">This work is licensed under a Creative Commons Attribution 4.0 International Licence (CC BY 4.0). To view relevant information and for a link to a copy of the licence, visit </w:t>
                                </w:r>
                                <w:r>
                                  <w:rPr>
                                    <w:sz w:val="16"/>
                                    <w:u w:val="single"/>
                                  </w:rPr>
                                  <w:t>www.legislation.wa.gov.au</w:t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835" w:right="2268"/>
                                <w:rPr>
                                  <w:ins w:id="55" w:author="Master Repository Process" w:date="2023-12-29T12:49:00Z"/>
                                  <w:sz w:val="16"/>
                                </w:rPr>
                              </w:pPr>
                              <w:ins w:id="56" w:author="Master Repository Process" w:date="2023-12-29T12:49:00Z">
                                <w:r>
                                  <w:rPr>
                                    <w:sz w:val="16"/>
                                  </w:rPr>
                                  <w:t xml:space="preserve">Attribute work as: 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t>2023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438" w:right="2098"/>
                                <w:jc w:val="center"/>
                                <w:rPr>
                                  <w:ins w:id="57" w:author="Master Repository Process" w:date="2023-12-29T12:49:00Z"/>
                                  <w:rFonts w:ascii="Arial" w:hAnsi="Arial" w:cs="Arial"/>
                                  <w:sz w:val="12"/>
                                </w:rPr>
                              </w:pPr>
                              <w:ins w:id="58" w:author="Master Repository Process" w:date="2023-12-29T12:49:00Z">
                                <w:r>
                                  <w:rPr>
                                    <w:rFonts w:ascii="Arial" w:hAnsi="Arial" w:cs="Arial"/>
                                    <w:sz w:val="12"/>
                                  </w:rPr>
                                  <w:t>By Authority: GEOFF O. LAWN, Government Printer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100000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" stroked="f" strokeweight=".5pt">
                  <v:textbox>
                    <w:txbxContent>
                      <w:p>
                        <w:pPr>
                          <w:ind w:left="2835" w:right="2268"/>
                          <w:rPr>
                            <w:ins w:id="59" w:author="Master Repository Process" w:date="2023-12-29T12:49:00Z"/>
                            <w:sz w:val="16"/>
                          </w:rPr>
                        </w:pPr>
                        <w:ins w:id="60" w:author="Master Repository Process" w:date="2023-12-29T12:49:00Z">
                          <w:r>
                            <w:rPr>
                              <w:sz w:val="16"/>
                            </w:rPr>
                            <w:t xml:space="preserve">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2023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835" w:right="2268"/>
                          <w:rPr>
                            <w:ins w:id="61" w:author="Master Repository Process" w:date="2023-12-29T12:49:00Z"/>
                            <w:sz w:val="16"/>
                          </w:rPr>
                        </w:pPr>
                        <w:ins w:id="62" w:author="Master Repository Process" w:date="2023-12-29T12:49:00Z">
                          <w:r>
                            <w:rPr>
                              <w:sz w:val="16"/>
                            </w:rPr>
                            <w:t xml:space="preserve">This work is licensed under a Creative Commons Attribution 4.0 International Licence (CC BY 4.0). To view relevant information and for a link to a copy of the licence, visit </w:t>
                          </w:r>
                          <w:r>
                            <w:rPr>
                              <w:sz w:val="16"/>
                              <w:u w:val="single"/>
                            </w:rPr>
                            <w:t>www.legislation.wa.gov.au</w:t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835" w:right="2268"/>
                          <w:rPr>
                            <w:ins w:id="63" w:author="Master Repository Process" w:date="2023-12-29T12:49:00Z"/>
                            <w:sz w:val="16"/>
                          </w:rPr>
                        </w:pPr>
                        <w:ins w:id="64" w:author="Master Repository Process" w:date="2023-12-29T12:49:00Z">
                          <w:r>
                            <w:rPr>
                              <w:sz w:val="16"/>
                            </w:rPr>
                            <w:t xml:space="preserve">Attribute work as: 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2023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438" w:right="2098"/>
                          <w:jc w:val="center"/>
                          <w:rPr>
                            <w:ins w:id="65" w:author="Master Repository Process" w:date="2023-12-29T12:49:00Z"/>
                            <w:rFonts w:ascii="Arial" w:hAnsi="Arial" w:cs="Arial"/>
                            <w:sz w:val="12"/>
                          </w:rPr>
                        </w:pPr>
                        <w:ins w:id="66" w:author="Master Repository Process" w:date="2023-12-29T12:49:00Z">
                          <w:r>
                            <w:rPr>
                              <w:rFonts w:ascii="Arial" w:hAnsi="Arial" w:cs="Arial"/>
                              <w:sz w:val="12"/>
                            </w:rPr>
                            <w:t>By Authority: GEOFF O. LAWN, Government Printer</w:t>
                          </w:r>
                        </w:ins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ins>
    </w:p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type w:val="continuous"/>
      <w:pgSz w:w="11907" w:h="16840" w:code="9"/>
      <w:pgMar w:top="2381" w:right="2410" w:bottom="2977" w:left="2410" w:header="720" w:footer="3544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02-d0-00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03 Aug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02-e0-01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02-d0-00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03 Aug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02-e0-01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02-d0-00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03 Aug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02-e0-01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1" w:name="Schedule"/>
    <w:bookmarkEnd w:id="31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9" w:name="Compilation"/>
    <w:bookmarkEnd w:id="49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67" w:name="Coversheet"/>
    <w:bookmarkEnd w:id="6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5D128B2"/>
    <w:multiLevelType w:val="hybridMultilevel"/>
    <w:tmpl w:val="E2800A06"/>
    <w:lvl w:ilvl="0" w:tplc="0C090001">
      <w:start w:val="1"/>
      <w:numFmt w:val="bullet"/>
      <w:lvlText w:val=""/>
      <w:lvlJc w:val="left"/>
      <w:pPr>
        <w:ind w:left="10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6B2068"/>
    <w:multiLevelType w:val="singleLevel"/>
    <w:tmpl w:val="86C81D94"/>
    <w:lvl w:ilvl="0">
      <w:start w:val="1"/>
      <w:numFmt w:val="bullet"/>
      <w:lvlText w:val=""/>
      <w:lvlJc w:val="left"/>
      <w:pPr>
        <w:tabs>
          <w:tab w:val="num" w:pos="360"/>
        </w:tabs>
        <w:ind w:left="360" w:hanging="360"/>
      </w:pPr>
      <w:rPr>
        <w:rFonts w:ascii="Marlett" w:hAnsi="Marlett" w:hint="default"/>
        <w:sz w:val="18"/>
      </w:rPr>
    </w:lvl>
  </w:abstractNum>
  <w:num w:numId="1">
    <w:abstractNumId w:val="2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31227161117"/>
    <w:docVar w:name="WAFER_20140115092047" w:val="RemoveTocBookmarks,RemoveUnusedBookmarks,RemoveLanguageTags,UsedStyles,ResetPageSize,UpdateArrangement"/>
    <w:docVar w:name="WAFER_20140115092047_GUID" w:val="a0bb85bb-c912-4d6b-8cc3-4a0e8deea2c9"/>
    <w:docVar w:name="WAFER_20140115092052" w:val="RemoveTocBookmarks,RunningHeaders"/>
    <w:docVar w:name="WAFER_20140115092052_GUID" w:val="dd286856-075b-4541-ab1a-797fa8e7a308"/>
    <w:docVar w:name="WAFER_20150401113300" w:val="ResetPageSize,UpdateArrangement,UpdateNTable"/>
    <w:docVar w:name="WAFER_20150401113300_GUID" w:val="1e9db3c1-3470-40c8-9b56-bb3594fb77db"/>
    <w:docVar w:name="WAFER_20151102152701" w:val="UpdateStyles,UsedStyles"/>
    <w:docVar w:name="WAFER_20151102152701_GUID" w:val="21757a6d-074e-4487-b347-3f14636f1a70"/>
    <w:docVar w:name="WAFER_2020092209265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2092656_GUID" w:val="fdba8917-689b-4ed0-822f-79f2394a00d3"/>
    <w:docVar w:name="WAFER_20220627160322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7160322_GUID" w:val="b1ba9a77-d8dc-4ac8-85a1-e79bf7e539dd"/>
    <w:docVar w:name="WAFER_2023080116150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801161501_GUID" w:val="5371cecf-63f8-42f3-ae9d-df5dc6bb64eb"/>
    <w:docVar w:name="WAFER_2023122716111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7161117_GUID" w:val="19b9a495-3364-4814-a09a-c777c343caf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239DB7E-61C3-48AA-8567-49A1865BB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"/>
    <w:rPr>
      <w:b/>
      <w:noProof/>
      <w:sz w:val="28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png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4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1556</Words>
  <Characters>7299</Characters>
  <Application>Microsoft Office Word</Application>
  <DocSecurity>0</DocSecurity>
  <Lines>456</Lines>
  <Paragraphs>354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Censorship Regulations 1996</vt:lpstr>
    </vt:vector>
  </TitlesOfParts>
  <Manager/>
  <Company/>
  <LinksUpToDate>false</LinksUpToDate>
  <CharactersWithSpaces>8501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Classification (Publications, Films and Computer Games) Enforcement Regulations 1996 02-d0-00 - 02-e0-01</dc:title>
  <dc:subject/>
  <dc:creator/>
  <cp:keywords/>
  <dc:description/>
  <cp:lastModifiedBy>Master Repository Process</cp:lastModifiedBy>
  <cp:revision>2</cp:revision>
  <cp:lastPrinted>2013-04-15T00:30:00Z</cp:lastPrinted>
  <dcterms:created xsi:type="dcterms:W3CDTF">2023-12-29T04:49:00Z</dcterms:created>
  <dcterms:modified xsi:type="dcterms:W3CDTF">2023-12-29T04:50:00Z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01 November 1996 pp.5755-62</vt:lpwstr>
  </property>
  <property fmtid="{D5CDD505-2E9C-101B-9397-08002B2CF9AE}" pid="3" name="DocumentType">
    <vt:lpwstr>Reg</vt:lpwstr>
  </property>
  <property fmtid="{D5CDD505-2E9C-101B-9397-08002B2CF9AE}" pid="4" name="OwlsUID">
    <vt:i4>4343</vt:i4>
  </property>
  <property fmtid="{D5CDD505-2E9C-101B-9397-08002B2CF9AE}" pid="5" name="ReprintNo">
    <vt:lpwstr>2</vt:lpwstr>
  </property>
  <property fmtid="{D5CDD505-2E9C-101B-9397-08002B2CF9AE}" pid="6" name="ReprintedAsAt">
    <vt:filetime>2013-04-18T16:00:00Z</vt:filetime>
  </property>
  <property fmtid="{D5CDD505-2E9C-101B-9397-08002B2CF9AE}" pid="7" name="Official">
    <vt:lpwstr/>
  </property>
  <property fmtid="{D5CDD505-2E9C-101B-9397-08002B2CF9AE}" pid="8" name="CommencementDate">
    <vt:lpwstr>20230803</vt:lpwstr>
  </property>
  <property fmtid="{D5CDD505-2E9C-101B-9397-08002B2CF9AE}" pid="9" name="CommencementAsAt">
    <vt:filetime>2023-08-02T16:00:00Z</vt:filetime>
  </property>
  <property fmtid="{D5CDD505-2E9C-101B-9397-08002B2CF9AE}" pid="10" name="CommencementYear">
    <vt:lpwstr>2023</vt:lpwstr>
  </property>
  <property fmtid="{D5CDD505-2E9C-101B-9397-08002B2CF9AE}" pid="11" name="FromSuffix">
    <vt:lpwstr>02-d0-00</vt:lpwstr>
  </property>
  <property fmtid="{D5CDD505-2E9C-101B-9397-08002B2CF9AE}" pid="12" name="FromAsAtDate">
    <vt:lpwstr>01 Jul 2022</vt:lpwstr>
  </property>
  <property fmtid="{D5CDD505-2E9C-101B-9397-08002B2CF9AE}" pid="13" name="ToSuffix">
    <vt:lpwstr>02-e0-01</vt:lpwstr>
  </property>
  <property fmtid="{D5CDD505-2E9C-101B-9397-08002B2CF9AE}" pid="14" name="ToAsAtDate">
    <vt:lpwstr>03 Aug 2023</vt:lpwstr>
  </property>
</Properties>
</file>