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2023</w:t>
      </w:r>
      <w:r>
        <w:fldChar w:fldCharType="end"/>
      </w:r>
      <w:r>
        <w:t xml:space="preserve">, </w:t>
      </w:r>
      <w:r>
        <w:fldChar w:fldCharType="begin"/>
      </w:r>
      <w:r>
        <w:instrText xml:space="preserve"> DocProperty FromSuffix </w:instrText>
      </w:r>
      <w:r>
        <w:fldChar w:fldCharType="separate"/>
      </w:r>
      <w:r>
        <w:t>07-l0-01</w:t>
      </w:r>
      <w:r>
        <w:fldChar w:fldCharType="end"/>
      </w:r>
      <w:r>
        <w:t>] and [</w:t>
      </w:r>
      <w:r>
        <w:fldChar w:fldCharType="begin"/>
      </w:r>
      <w:r>
        <w:instrText xml:space="preserve"> DocProperty ToAsAtDate</w:instrText>
      </w:r>
      <w:r>
        <w:fldChar w:fldCharType="separate"/>
      </w:r>
      <w:r>
        <w:t>24 Oct 2023</w:t>
      </w:r>
      <w:r>
        <w:fldChar w:fldCharType="end"/>
      </w:r>
      <w:r>
        <w:t xml:space="preserve">, </w:t>
      </w:r>
      <w:r>
        <w:fldChar w:fldCharType="begin"/>
      </w:r>
      <w:r>
        <w:instrText xml:space="preserve"> DocProperty ToSuffix</w:instrText>
      </w:r>
      <w:r>
        <w:fldChar w:fldCharType="separate"/>
      </w:r>
      <w:r>
        <w:t>07-m0-01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1</w:t>
      </w:r>
      <w:r>
        <w:rPr>
          <w:snapToGrid w:val="0"/>
        </w:rPr>
        <w:t xml:space="preserve">, and for related purposes. </w:t>
      </w:r>
    </w:p>
    <w:p>
      <w:pPr>
        <w:pStyle w:val="Heading2"/>
      </w:pPr>
      <w:bookmarkStart w:id="1" w:name="_Toc200718586"/>
      <w:bookmarkStart w:id="2" w:name="_Toc138690942"/>
      <w:bookmarkStart w:id="3" w:name="_Toc138692436"/>
      <w:bookmarkStart w:id="4" w:name="_Toc138749710"/>
      <w:bookmarkStart w:id="5" w:name="_Toc13875234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200718587"/>
      <w:bookmarkStart w:id="7" w:name="_Toc138752345"/>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w:t>
      </w:r>
    </w:p>
    <w:p>
      <w:pPr>
        <w:pStyle w:val="Heading5"/>
        <w:rPr>
          <w:snapToGrid w:val="0"/>
        </w:rPr>
      </w:pPr>
      <w:bookmarkStart w:id="8" w:name="_Toc200718588"/>
      <w:bookmarkStart w:id="9" w:name="_Toc138752346"/>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0" w:name="_Toc200718589"/>
      <w:bookmarkStart w:id="11" w:name="_Toc138752347"/>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r>
      <w:r>
        <w:t>(1)</w:t>
      </w:r>
      <w:r>
        <w:tab/>
        <w:t xml:space="preserve">In this Act, </w:t>
      </w:r>
      <w:r>
        <w:rPr>
          <w:snapToGrid w:val="0"/>
        </w:rPr>
        <w:t>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tab/>
      </w:r>
      <w:r>
        <w:rPr>
          <w:rStyle w:val="CharDefText"/>
        </w:rPr>
        <w:t>category 1 offender</w:t>
      </w:r>
      <w:r>
        <w:t xml:space="preserve"> </w:t>
      </w:r>
      <w:r>
        <w:rPr>
          <w:szCs w:val="24"/>
        </w:rPr>
        <w:t>means —</w:t>
      </w:r>
    </w:p>
    <w:p>
      <w:pPr>
        <w:pStyle w:val="Defpara"/>
      </w:pPr>
      <w:r>
        <w:tab/>
        <w:t>(a)</w:t>
      </w:r>
      <w:r>
        <w:tab/>
      </w:r>
      <w:r>
        <w:rPr>
          <w:szCs w:val="24"/>
        </w:rPr>
        <w:t xml:space="preserve">an offender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r>
      <w:r>
        <w:rPr>
          <w:szCs w:val="24"/>
        </w:rPr>
        <w:t xml:space="preserve">an offender </w:t>
      </w:r>
      <w:r>
        <w:t>who has been subject to an interim control order or a confirmed control order at any time during —</w:t>
      </w:r>
    </w:p>
    <w:p>
      <w:pPr>
        <w:pStyle w:val="Defsubpara"/>
      </w:pPr>
      <w:r>
        <w:tab/>
        <w:t>(i)</w:t>
      </w:r>
      <w:r>
        <w:tab/>
        <w:t xml:space="preserve">the period of the offender’s sentence (the </w:t>
      </w:r>
      <w:r>
        <w:rPr>
          <w:rStyle w:val="CharDefText"/>
        </w:rPr>
        <w:t>current sentence</w:t>
      </w:r>
      <w:r>
        <w:t>); or</w:t>
      </w:r>
    </w:p>
    <w:p>
      <w:pPr>
        <w:pStyle w:val="Defsubpara"/>
        <w:keepNext/>
      </w:pPr>
      <w:r>
        <w:tab/>
        <w:t>(ii)</w:t>
      </w:r>
      <w:r>
        <w:tab/>
        <w:t xml:space="preserve">the period of 4 years ending on the day on which the offender’s current sentence begins or is taken to have begun; </w:t>
      </w:r>
    </w:p>
    <w:p>
      <w:pPr>
        <w:pStyle w:val="Defpara"/>
      </w:pPr>
      <w:r>
        <w:tab/>
      </w:r>
      <w:r>
        <w:tab/>
        <w:t>or</w:t>
      </w:r>
    </w:p>
    <w:p>
      <w:pPr>
        <w:pStyle w:val="Defpara"/>
      </w:pPr>
      <w:r>
        <w:lastRenderedPageBreak/>
        <w:tab/>
        <w:t>(c)</w:t>
      </w:r>
      <w:r>
        <w:tab/>
      </w:r>
      <w:r>
        <w:rPr>
          <w:szCs w:val="24"/>
        </w:rPr>
        <w:t xml:space="preserve">an </w:t>
      </w:r>
      <w:r>
        <w:t>offender</w:t>
      </w:r>
      <w:r>
        <w:rPr>
          <w:szCs w:val="24"/>
        </w:rPr>
        <w:t xml:space="preserve"> </w:t>
      </w:r>
      <w:r>
        <w:t xml:space="preserve">for whom an interim control order </w:t>
      </w:r>
      <w:r>
        <w:rPr>
          <w:szCs w:val="24"/>
        </w:rPr>
        <w:t xml:space="preserve">in respect of </w:t>
      </w:r>
      <w:r>
        <w:t xml:space="preserve">the offender is being sought under the </w:t>
      </w:r>
      <w:r>
        <w:rPr>
          <w:szCs w:val="24"/>
        </w:rPr>
        <w:t>Commonwealth Criminal Code section 104.3;</w:t>
      </w:r>
    </w:p>
    <w:p>
      <w:pPr>
        <w:pStyle w:val="Defstart"/>
      </w:pPr>
      <w:r>
        <w:tab/>
      </w:r>
      <w:r>
        <w:rPr>
          <w:rStyle w:val="CharDefText"/>
        </w:rPr>
        <w:t>category 2 offender</w:t>
      </w:r>
      <w:r>
        <w:t xml:space="preserve"> </w:t>
      </w:r>
      <w:r>
        <w:rPr>
          <w:szCs w:val="24"/>
        </w:rPr>
        <w:t xml:space="preserve">means an offender who </w:t>
      </w:r>
      <w:r>
        <w:t>has been charged with, or convicted of, an offence against the Commonwealth Criminal Code section 80.2C(1);</w:t>
      </w:r>
    </w:p>
    <w:p>
      <w:pPr>
        <w:pStyle w:val="Defstart"/>
      </w:pPr>
      <w:r>
        <w:tab/>
      </w:r>
      <w:r>
        <w:rPr>
          <w:rStyle w:val="CharDefText"/>
        </w:rPr>
        <w:t>chairperson</w:t>
      </w:r>
      <w:r>
        <w:t xml:space="preserve"> means the person appointed under section 152(1)(a);</w:t>
      </w:r>
    </w:p>
    <w:p>
      <w:pPr>
        <w:pStyle w:val="Defstart"/>
      </w:pPr>
      <w:r>
        <w:rPr>
          <w:b/>
        </w:rPr>
        <w:tab/>
      </w:r>
      <w:r>
        <w:rPr>
          <w:rStyle w:val="CharDefText"/>
        </w:rPr>
        <w:t>chief executive officer</w:t>
      </w:r>
      <w:r>
        <w:t xml:space="preserve"> means the chief executive officer of the Department;</w:t>
      </w:r>
    </w:p>
    <w:p>
      <w:pPr>
        <w:pStyle w:val="Defstart"/>
      </w:pPr>
      <w:r>
        <w:tab/>
      </w:r>
      <w:r>
        <w:rPr>
          <w:rStyle w:val="CharDefText"/>
        </w:rPr>
        <w:t>Commissioner of Police report</w:t>
      </w:r>
      <w:r>
        <w:t xml:space="preserve"> means a written report referred to in section 150D(1)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interim control order</w:t>
      </w:r>
      <w:r>
        <w:t xml:space="preserve"> </w:t>
      </w:r>
      <w:r>
        <w:rPr>
          <w:szCs w:val="24"/>
        </w:rPr>
        <w:t>has the meaning given in the Commonwealth Criminal Code section 100.1(1);</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rPr>
          <w:szCs w:val="24"/>
        </w:rPr>
      </w:pPr>
      <w:r>
        <w:tab/>
      </w:r>
      <w:r>
        <w:rPr>
          <w:rStyle w:val="CharDefText"/>
        </w:rPr>
        <w:t>offender with links to terrorism</w:t>
      </w:r>
      <w:r>
        <w:t xml:space="preserve"> </w:t>
      </w:r>
      <w:r>
        <w:rPr>
          <w:szCs w:val="24"/>
        </w:rPr>
        <w:t xml:space="preserve">means — </w:t>
      </w:r>
    </w:p>
    <w:p>
      <w:pPr>
        <w:pStyle w:val="Defpara"/>
      </w:pPr>
      <w:r>
        <w:rPr>
          <w:szCs w:val="24"/>
        </w:rPr>
        <w:tab/>
        <w:t>(a)</w:t>
      </w:r>
      <w:r>
        <w:rPr>
          <w:szCs w:val="24"/>
        </w:rPr>
        <w:tab/>
        <w:t>a category 1 offender; or</w:t>
      </w:r>
    </w:p>
    <w:p>
      <w:pPr>
        <w:pStyle w:val="Defpara"/>
      </w:pPr>
      <w:r>
        <w:tab/>
        <w:t>(b)</w:t>
      </w:r>
      <w:r>
        <w:tab/>
        <w:t>a category 2 offender who is subject to a Commissioner of Police report; or</w:t>
      </w:r>
    </w:p>
    <w:p>
      <w:pPr>
        <w:pStyle w:val="Defpara"/>
      </w:pPr>
      <w:r>
        <w:tab/>
        <w:t>(c)</w:t>
      </w:r>
      <w:r>
        <w:tab/>
        <w:t>an offender who —</w:t>
      </w:r>
    </w:p>
    <w:p>
      <w:pPr>
        <w:pStyle w:val="Defsubpara"/>
      </w:pPr>
      <w:r>
        <w:tab/>
        <w:t>(i)</w:t>
      </w:r>
      <w:r>
        <w:tab/>
        <w:t>is subject to a Commissioner of Police report; and</w:t>
      </w:r>
    </w:p>
    <w:p>
      <w:pPr>
        <w:pStyle w:val="Defsubpara"/>
      </w:pPr>
      <w:r>
        <w:tab/>
        <w:t>(ii)</w:t>
      </w:r>
      <w:r>
        <w:tab/>
        <w:t>the Supervised Release Review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tab/>
        <w:t>(d)</w:t>
      </w:r>
      <w:r>
        <w:tab/>
        <w:t>an offence against the Commonwealth Criminal Code Part 5.5; or</w:t>
      </w:r>
    </w:p>
    <w:p>
      <w:pPr>
        <w:pStyle w:val="Defpara"/>
      </w:pPr>
      <w:r>
        <w:tab/>
        <w:t>(e)</w:t>
      </w:r>
      <w:r>
        <w:tab/>
        <w:t xml:space="preserve">an offence against the following provisions of the </w:t>
      </w:r>
      <w:r>
        <w:rPr>
          <w:i/>
        </w:rPr>
        <w:t xml:space="preserve">Charter of the United Nations Act 1945 </w:t>
      </w:r>
      <w:r>
        <w:t>(Commonwealth)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 xml:space="preserve">Crimes (Foreign Incursions and Recruitment) Act 1978 </w:t>
      </w:r>
      <w:r>
        <w:rPr>
          <w:szCs w:val="24"/>
        </w:rPr>
        <w:t>(Commonwealth) (repealed); or</w:t>
      </w:r>
    </w:p>
    <w:p>
      <w:pPr>
        <w:pStyle w:val="Defpara"/>
        <w:rPr>
          <w:szCs w:val="24"/>
        </w:rPr>
      </w:pPr>
      <w:r>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Subsection"/>
      </w:pPr>
      <w:r>
        <w:tab/>
        <w:t>(2)</w:t>
      </w:r>
      <w:r>
        <w:tab/>
        <w:t xml:space="preserve">For the purposes of the definition of </w:t>
      </w:r>
      <w:r>
        <w:rPr>
          <w:b/>
          <w:i/>
        </w:rPr>
        <w:t>terrorist intelligence information</w:t>
      </w:r>
      <w:r>
        <w:t xml:space="preserve">, a </w:t>
      </w:r>
      <w:r>
        <w:rPr>
          <w:rStyle w:val="CharDefText"/>
        </w:rPr>
        <w:t>prohibited act</w:t>
      </w:r>
      <w:r>
        <w:t xml:space="preserve"> is — </w:t>
      </w:r>
    </w:p>
    <w:p>
      <w:pPr>
        <w:pStyle w:val="Indenta"/>
      </w:pPr>
      <w:r>
        <w:tab/>
        <w:t>(a)</w:t>
      </w:r>
      <w:r>
        <w:tab/>
        <w:t>a terrorism offence</w:t>
      </w:r>
      <w:r>
        <w:rPr>
          <w:szCs w:val="24"/>
        </w:rPr>
        <w:t>; or</w:t>
      </w:r>
    </w:p>
    <w:p>
      <w:pPr>
        <w:pStyle w:val="Indenta"/>
      </w:pPr>
      <w:r>
        <w:tab/>
        <w:t>(b)</w:t>
      </w:r>
      <w:r>
        <w:tab/>
        <w:t xml:space="preserve">an offence against the Commonwealth Criminal Code section 80.2C(1); or </w:t>
      </w:r>
    </w:p>
    <w:p>
      <w:pPr>
        <w:pStyle w:val="Indenta"/>
      </w:pPr>
      <w:r>
        <w:tab/>
        <w:t>(c)</w:t>
      </w:r>
      <w:r>
        <w:tab/>
        <w:t>a terrorist act (whether in this State or elsewhere).</w:t>
      </w:r>
    </w:p>
    <w:p>
      <w:pPr>
        <w:pStyle w:val="Footnotesection"/>
        <w:spacing w:before="80"/>
      </w:pPr>
      <w:r>
        <w:tab/>
        <w:t xml:space="preserve">[Section 3 amended: No. 47 of 1999 s. 40; </w:t>
      </w:r>
      <w:r>
        <w:rPr>
          <w:spacing w:val="-6"/>
        </w:rPr>
        <w:t>No. 34 of 2004 s. </w:t>
      </w:r>
      <w:r>
        <w:t>251; No. 58 of 2004 s. 4; No. 59 of 2004 s. 141; No. 29 of 2014 s. 11; No. 14 of 2022 s. 30.]</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12" w:name="_Toc200718590"/>
      <w:bookmarkStart w:id="13" w:name="_Toc138752348"/>
      <w:r>
        <w:rPr>
          <w:rStyle w:val="CharSectno"/>
        </w:rPr>
        <w:t>4</w:t>
      </w:r>
      <w:r>
        <w:rPr>
          <w:snapToGrid w:val="0"/>
        </w:rPr>
        <w:t>.</w:t>
      </w:r>
      <w:r>
        <w:rPr>
          <w:snapToGrid w:val="0"/>
        </w:rPr>
        <w:tab/>
        <w:t>Young offenders reaching 18</w:t>
      </w:r>
      <w:bookmarkEnd w:id="12"/>
      <w:bookmarkEnd w:id="13"/>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14" w:name="_Toc200718591"/>
      <w:bookmarkStart w:id="15" w:name="_Toc138752349"/>
      <w:r>
        <w:rPr>
          <w:rStyle w:val="CharSectno"/>
        </w:rPr>
        <w:t>5</w:t>
      </w:r>
      <w:r>
        <w:rPr>
          <w:snapToGrid w:val="0"/>
        </w:rPr>
        <w:t>.</w:t>
      </w:r>
      <w:r>
        <w:rPr>
          <w:snapToGrid w:val="0"/>
        </w:rPr>
        <w:tab/>
      </w:r>
      <w:r>
        <w:rPr>
          <w:i/>
        </w:rPr>
        <w:t>Criminal Procedure Act 2004</w:t>
      </w:r>
      <w:r>
        <w:t xml:space="preserve"> </w:t>
      </w:r>
      <w:r>
        <w:rPr>
          <w:snapToGrid w:val="0"/>
        </w:rPr>
        <w:t>overridden</w:t>
      </w:r>
      <w:bookmarkEnd w:id="14"/>
      <w:bookmarkEnd w:id="15"/>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No. 59 of 2004 s. 141; No. 84 of 2004 s. 77.]</w:t>
      </w:r>
    </w:p>
    <w:p>
      <w:pPr>
        <w:pStyle w:val="Heading5"/>
      </w:pPr>
      <w:bookmarkStart w:id="16" w:name="_Toc200718592"/>
      <w:bookmarkStart w:id="17" w:name="_Toc138752350"/>
      <w:r>
        <w:rPr>
          <w:rStyle w:val="CharSectno"/>
        </w:rPr>
        <w:t>6A</w:t>
      </w:r>
      <w:r>
        <w:t>.</w:t>
      </w:r>
      <w:r>
        <w:tab/>
      </w:r>
      <w:r>
        <w:rPr>
          <w:i/>
        </w:rPr>
        <w:t>Courts and Tribunals (Electronic Processes Facilitation) Act 2013</w:t>
      </w:r>
      <w:r>
        <w:t xml:space="preserve"> Part 2 applies</w:t>
      </w:r>
      <w:bookmarkEnd w:id="16"/>
      <w:bookmarkEnd w:id="17"/>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137.]</w:t>
      </w:r>
    </w:p>
    <w:p>
      <w:pPr>
        <w:pStyle w:val="Heading2"/>
      </w:pPr>
      <w:bookmarkStart w:id="18" w:name="_Toc200718593"/>
      <w:bookmarkStart w:id="19" w:name="_Toc138690949"/>
      <w:bookmarkStart w:id="20" w:name="_Toc138692443"/>
      <w:bookmarkStart w:id="21" w:name="_Toc138749717"/>
      <w:bookmarkStart w:id="22" w:name="_Toc138752351"/>
      <w:r>
        <w:rPr>
          <w:rStyle w:val="CharPartNo"/>
        </w:rPr>
        <w:t>Part 2</w:t>
      </w:r>
      <w:r>
        <w:rPr>
          <w:rStyle w:val="CharDivNo"/>
        </w:rPr>
        <w:t> </w:t>
      </w:r>
      <w:r>
        <w:t>—</w:t>
      </w:r>
      <w:r>
        <w:rPr>
          <w:rStyle w:val="CharDivText"/>
        </w:rPr>
        <w:t> </w:t>
      </w:r>
      <w:r>
        <w:rPr>
          <w:rStyle w:val="CharPartText"/>
        </w:rPr>
        <w:t>Objectives and principles</w:t>
      </w:r>
      <w:bookmarkEnd w:id="18"/>
      <w:bookmarkEnd w:id="19"/>
      <w:bookmarkEnd w:id="20"/>
      <w:bookmarkEnd w:id="21"/>
      <w:bookmarkEnd w:id="22"/>
      <w:r>
        <w:rPr>
          <w:rStyle w:val="CharPartText"/>
        </w:rPr>
        <w:t xml:space="preserve"> </w:t>
      </w:r>
    </w:p>
    <w:p>
      <w:pPr>
        <w:pStyle w:val="Heading5"/>
        <w:rPr>
          <w:snapToGrid w:val="0"/>
        </w:rPr>
      </w:pPr>
      <w:bookmarkStart w:id="23" w:name="_Toc200718594"/>
      <w:bookmarkStart w:id="24" w:name="_Toc138752352"/>
      <w:r>
        <w:rPr>
          <w:rStyle w:val="CharSectno"/>
        </w:rPr>
        <w:t>6</w:t>
      </w:r>
      <w:r>
        <w:rPr>
          <w:snapToGrid w:val="0"/>
        </w:rPr>
        <w:t>.</w:t>
      </w:r>
      <w:r>
        <w:rPr>
          <w:snapToGrid w:val="0"/>
        </w:rPr>
        <w:tab/>
        <w:t>Objectives</w:t>
      </w:r>
      <w:bookmarkEnd w:id="23"/>
      <w:bookmarkEnd w:id="24"/>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25" w:name="_Toc200718595"/>
      <w:bookmarkStart w:id="26" w:name="_Toc138752353"/>
      <w:r>
        <w:rPr>
          <w:rStyle w:val="CharSectno"/>
        </w:rPr>
        <w:t>7</w:t>
      </w:r>
      <w:r>
        <w:rPr>
          <w:snapToGrid w:val="0"/>
        </w:rPr>
        <w:t>.</w:t>
      </w:r>
      <w:r>
        <w:rPr>
          <w:snapToGrid w:val="0"/>
        </w:rPr>
        <w:tab/>
        <w:t>General principles of juvenile justice</w:t>
      </w:r>
      <w:bookmarkEnd w:id="25"/>
      <w:bookmarkEnd w:id="26"/>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No. 82 of 1994 s. 20; No. 78 of 1995 s. 145; No. 29 of 1998 s. 20.] </w:t>
      </w:r>
    </w:p>
    <w:p>
      <w:pPr>
        <w:pStyle w:val="Heading5"/>
        <w:rPr>
          <w:snapToGrid w:val="0"/>
        </w:rPr>
      </w:pPr>
      <w:bookmarkStart w:id="27" w:name="_Toc200718596"/>
      <w:bookmarkStart w:id="28" w:name="_Toc138752354"/>
      <w:r>
        <w:rPr>
          <w:rStyle w:val="CharSectno"/>
        </w:rPr>
        <w:t>8</w:t>
      </w:r>
      <w:r>
        <w:rPr>
          <w:snapToGrid w:val="0"/>
        </w:rPr>
        <w:t>.</w:t>
      </w:r>
      <w:r>
        <w:rPr>
          <w:snapToGrid w:val="0"/>
        </w:rPr>
        <w:tab/>
        <w:t>Responsible adults, role of</w:t>
      </w:r>
      <w:bookmarkEnd w:id="27"/>
      <w:bookmarkEnd w:id="28"/>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29" w:name="_Toc200718597"/>
      <w:bookmarkStart w:id="30" w:name="_Toc138690953"/>
      <w:bookmarkStart w:id="31" w:name="_Toc138692447"/>
      <w:bookmarkStart w:id="32" w:name="_Toc138749721"/>
      <w:bookmarkStart w:id="33" w:name="_Toc138752355"/>
      <w:r>
        <w:rPr>
          <w:rStyle w:val="CharPartNo"/>
        </w:rPr>
        <w:t>Part 3</w:t>
      </w:r>
      <w:r>
        <w:t> — </w:t>
      </w:r>
      <w:r>
        <w:rPr>
          <w:rStyle w:val="CharPartText"/>
        </w:rPr>
        <w:t>Administration</w:t>
      </w:r>
      <w:bookmarkEnd w:id="29"/>
      <w:bookmarkEnd w:id="30"/>
      <w:bookmarkEnd w:id="31"/>
      <w:bookmarkEnd w:id="32"/>
      <w:bookmarkEnd w:id="33"/>
      <w:r>
        <w:rPr>
          <w:rStyle w:val="CharPartText"/>
        </w:rPr>
        <w:t xml:space="preserve"> </w:t>
      </w:r>
    </w:p>
    <w:p>
      <w:pPr>
        <w:pStyle w:val="Heading3"/>
        <w:spacing w:before="260"/>
      </w:pPr>
      <w:bookmarkStart w:id="34" w:name="_Toc200718598"/>
      <w:bookmarkStart w:id="35" w:name="_Toc138690954"/>
      <w:bookmarkStart w:id="36" w:name="_Toc138692448"/>
      <w:bookmarkStart w:id="37" w:name="_Toc138749722"/>
      <w:bookmarkStart w:id="38" w:name="_Toc138752356"/>
      <w:r>
        <w:rPr>
          <w:rStyle w:val="CharDivNo"/>
        </w:rPr>
        <w:t>Division 1</w:t>
      </w:r>
      <w:r>
        <w:t> — </w:t>
      </w:r>
      <w:r>
        <w:rPr>
          <w:rStyle w:val="CharDivText"/>
        </w:rPr>
        <w:t>Chief executive officer</w:t>
      </w:r>
      <w:bookmarkEnd w:id="34"/>
      <w:bookmarkEnd w:id="35"/>
      <w:bookmarkEnd w:id="36"/>
      <w:bookmarkEnd w:id="37"/>
      <w:bookmarkEnd w:id="38"/>
    </w:p>
    <w:p>
      <w:pPr>
        <w:pStyle w:val="Footnoteheading"/>
        <w:tabs>
          <w:tab w:val="left" w:pos="851"/>
        </w:tabs>
      </w:pPr>
      <w:r>
        <w:tab/>
        <w:t>[Heading inserted: No. 29 of 2014 s. 12.]</w:t>
      </w:r>
    </w:p>
    <w:p>
      <w:pPr>
        <w:pStyle w:val="Heading5"/>
        <w:spacing w:before="240"/>
        <w:rPr>
          <w:snapToGrid w:val="0"/>
        </w:rPr>
      </w:pPr>
      <w:bookmarkStart w:id="39" w:name="_Toc200718599"/>
      <w:bookmarkStart w:id="40" w:name="_Toc138752357"/>
      <w:r>
        <w:rPr>
          <w:rStyle w:val="CharSectno"/>
        </w:rPr>
        <w:t>9</w:t>
      </w:r>
      <w:r>
        <w:rPr>
          <w:snapToGrid w:val="0"/>
        </w:rPr>
        <w:t>.</w:t>
      </w:r>
      <w:r>
        <w:rPr>
          <w:snapToGrid w:val="0"/>
        </w:rPr>
        <w:tab/>
        <w:t>Chief executive officer, functions of</w:t>
      </w:r>
      <w:bookmarkEnd w:id="39"/>
      <w:bookmarkEnd w:id="40"/>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41" w:name="_Toc200718600"/>
      <w:bookmarkStart w:id="42" w:name="_Toc138752358"/>
      <w:r>
        <w:rPr>
          <w:rStyle w:val="CharSectno"/>
        </w:rPr>
        <w:t>10</w:t>
      </w:r>
      <w:r>
        <w:rPr>
          <w:snapToGrid w:val="0"/>
        </w:rPr>
        <w:t>.</w:t>
      </w:r>
      <w:r>
        <w:rPr>
          <w:snapToGrid w:val="0"/>
        </w:rPr>
        <w:tab/>
        <w:t>Chief executive officer may delegate</w:t>
      </w:r>
      <w:bookmarkEnd w:id="41"/>
      <w:bookmarkEnd w:id="42"/>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43" w:name="_Toc200718601"/>
      <w:bookmarkStart w:id="44" w:name="_Toc138690957"/>
      <w:bookmarkStart w:id="45" w:name="_Toc138692451"/>
      <w:bookmarkStart w:id="46" w:name="_Toc138749725"/>
      <w:bookmarkStart w:id="47" w:name="_Toc138752359"/>
      <w:r>
        <w:rPr>
          <w:rStyle w:val="CharDivNo"/>
        </w:rPr>
        <w:t>Division 2</w:t>
      </w:r>
      <w:r>
        <w:t> — </w:t>
      </w:r>
      <w:r>
        <w:rPr>
          <w:rStyle w:val="CharDivText"/>
        </w:rPr>
        <w:t>Other officers and employees</w:t>
      </w:r>
      <w:bookmarkEnd w:id="43"/>
      <w:bookmarkEnd w:id="44"/>
      <w:bookmarkEnd w:id="45"/>
      <w:bookmarkEnd w:id="46"/>
      <w:bookmarkEnd w:id="47"/>
    </w:p>
    <w:p>
      <w:pPr>
        <w:pStyle w:val="Footnoteheading"/>
        <w:tabs>
          <w:tab w:val="left" w:pos="851"/>
        </w:tabs>
      </w:pPr>
      <w:r>
        <w:tab/>
        <w:t>[Heading inserted: No. 29 of 2014 s. 13.]</w:t>
      </w:r>
    </w:p>
    <w:p>
      <w:pPr>
        <w:pStyle w:val="Heading5"/>
        <w:spacing w:before="240"/>
        <w:rPr>
          <w:snapToGrid w:val="0"/>
        </w:rPr>
      </w:pPr>
      <w:bookmarkStart w:id="48" w:name="_Toc200718602"/>
      <w:bookmarkStart w:id="49" w:name="_Toc138752360"/>
      <w:r>
        <w:rPr>
          <w:rStyle w:val="CharSectno"/>
        </w:rPr>
        <w:t>11</w:t>
      </w:r>
      <w:r>
        <w:rPr>
          <w:snapToGrid w:val="0"/>
        </w:rPr>
        <w:t>.</w:t>
      </w:r>
      <w:r>
        <w:rPr>
          <w:snapToGrid w:val="0"/>
        </w:rPr>
        <w:tab/>
        <w:t>Officers and employees, appointment of</w:t>
      </w:r>
      <w:bookmarkEnd w:id="48"/>
      <w:bookmarkEnd w:id="49"/>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50" w:name="_Toc200718603"/>
      <w:bookmarkStart w:id="51" w:name="_Toc138752361"/>
      <w:r>
        <w:rPr>
          <w:rStyle w:val="CharSectno"/>
        </w:rPr>
        <w:t>11A</w:t>
      </w:r>
      <w:r>
        <w:t>.</w:t>
      </w:r>
      <w:r>
        <w:tab/>
        <w:t>Duties of all officers and employees</w:t>
      </w:r>
      <w:bookmarkEnd w:id="50"/>
      <w:bookmarkEnd w:id="51"/>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52" w:name="_Toc200718604"/>
      <w:bookmarkStart w:id="53" w:name="_Toc138752362"/>
      <w:r>
        <w:rPr>
          <w:rStyle w:val="CharSectno"/>
        </w:rPr>
        <w:t>11B</w:t>
      </w:r>
      <w:r>
        <w:t>.</w:t>
      </w:r>
      <w:r>
        <w:tab/>
        <w:t>Powers and duties of custodial officers</w:t>
      </w:r>
      <w:bookmarkEnd w:id="52"/>
      <w:bookmarkEnd w:id="53"/>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No. 58 of 2004 s. 7; amended: No. 29 of 2014 s. 15.]</w:t>
      </w:r>
    </w:p>
    <w:p>
      <w:pPr>
        <w:pStyle w:val="Heading3"/>
      </w:pPr>
      <w:bookmarkStart w:id="54" w:name="_Toc200718605"/>
      <w:bookmarkStart w:id="55" w:name="_Toc138690961"/>
      <w:bookmarkStart w:id="56" w:name="_Toc138692455"/>
      <w:bookmarkStart w:id="57" w:name="_Toc138749729"/>
      <w:bookmarkStart w:id="58" w:name="_Toc138752363"/>
      <w:r>
        <w:rPr>
          <w:rStyle w:val="CharDivNo"/>
        </w:rPr>
        <w:t>Division 3</w:t>
      </w:r>
      <w:r>
        <w:t> — </w:t>
      </w:r>
      <w:r>
        <w:rPr>
          <w:rStyle w:val="CharDivText"/>
        </w:rPr>
        <w:t>Removal of custodial officers due to loss of confidence</w:t>
      </w:r>
      <w:bookmarkEnd w:id="54"/>
      <w:bookmarkEnd w:id="55"/>
      <w:bookmarkEnd w:id="56"/>
      <w:bookmarkEnd w:id="57"/>
      <w:bookmarkEnd w:id="58"/>
    </w:p>
    <w:p>
      <w:pPr>
        <w:pStyle w:val="Footnoteheading"/>
      </w:pPr>
      <w:r>
        <w:tab/>
        <w:t>[Heading inserted: No. 29 of 2014 s. 16.]</w:t>
      </w:r>
    </w:p>
    <w:p>
      <w:pPr>
        <w:pStyle w:val="Heading4"/>
      </w:pPr>
      <w:bookmarkStart w:id="59" w:name="_Toc200718606"/>
      <w:bookmarkStart w:id="60" w:name="_Toc138690962"/>
      <w:bookmarkStart w:id="61" w:name="_Toc138692456"/>
      <w:bookmarkStart w:id="62" w:name="_Toc138749730"/>
      <w:bookmarkStart w:id="63" w:name="_Toc138752364"/>
      <w:r>
        <w:t>Subdivision 1 — Preliminary</w:t>
      </w:r>
      <w:bookmarkEnd w:id="59"/>
      <w:bookmarkEnd w:id="60"/>
      <w:bookmarkEnd w:id="61"/>
      <w:bookmarkEnd w:id="62"/>
      <w:bookmarkEnd w:id="63"/>
    </w:p>
    <w:p>
      <w:pPr>
        <w:pStyle w:val="Footnoteheading"/>
      </w:pPr>
      <w:r>
        <w:tab/>
        <w:t>[Heading inserted: No. 29 of 2014 s. 16.]</w:t>
      </w:r>
    </w:p>
    <w:p>
      <w:pPr>
        <w:pStyle w:val="Heading5"/>
        <w:spacing w:before="180"/>
      </w:pPr>
      <w:bookmarkStart w:id="64" w:name="_Toc200718607"/>
      <w:bookmarkStart w:id="65" w:name="_Toc138752365"/>
      <w:r>
        <w:rPr>
          <w:rStyle w:val="CharSectno"/>
        </w:rPr>
        <w:t>11CA</w:t>
      </w:r>
      <w:r>
        <w:t>.</w:t>
      </w:r>
      <w:r>
        <w:tab/>
        <w:t>Terms used</w:t>
      </w:r>
      <w:bookmarkEnd w:id="64"/>
      <w:bookmarkEnd w:id="65"/>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No. 29 of 2014 s. 16.]</w:t>
      </w:r>
    </w:p>
    <w:p>
      <w:pPr>
        <w:pStyle w:val="Heading4"/>
      </w:pPr>
      <w:bookmarkStart w:id="66" w:name="_Toc200718608"/>
      <w:bookmarkStart w:id="67" w:name="_Toc138690964"/>
      <w:bookmarkStart w:id="68" w:name="_Toc138692458"/>
      <w:bookmarkStart w:id="69" w:name="_Toc138749732"/>
      <w:bookmarkStart w:id="70" w:name="_Toc138752366"/>
      <w:r>
        <w:t>Subdivision 2 — Removal of custodial officers</w:t>
      </w:r>
      <w:bookmarkEnd w:id="66"/>
      <w:bookmarkEnd w:id="67"/>
      <w:bookmarkEnd w:id="68"/>
      <w:bookmarkEnd w:id="69"/>
      <w:bookmarkEnd w:id="70"/>
    </w:p>
    <w:p>
      <w:pPr>
        <w:pStyle w:val="Footnoteheading"/>
      </w:pPr>
      <w:r>
        <w:tab/>
        <w:t>[Heading inserted: No. 29 of 2014 s. 16.]</w:t>
      </w:r>
    </w:p>
    <w:p>
      <w:pPr>
        <w:pStyle w:val="Heading5"/>
      </w:pPr>
      <w:bookmarkStart w:id="71" w:name="_Toc200718609"/>
      <w:bookmarkStart w:id="72" w:name="_Toc138752367"/>
      <w:r>
        <w:rPr>
          <w:rStyle w:val="CharSectno"/>
        </w:rPr>
        <w:t>11CB</w:t>
      </w:r>
      <w:r>
        <w:t>.</w:t>
      </w:r>
      <w:r>
        <w:tab/>
        <w:t>Application of Subdivision</w:t>
      </w:r>
      <w:bookmarkEnd w:id="71"/>
      <w:bookmarkEnd w:id="72"/>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No. 29 of 2014 s. 16.]</w:t>
      </w:r>
    </w:p>
    <w:p>
      <w:pPr>
        <w:pStyle w:val="Heading5"/>
      </w:pPr>
      <w:bookmarkStart w:id="73" w:name="_Toc200718610"/>
      <w:bookmarkStart w:id="74" w:name="_Toc138752368"/>
      <w:r>
        <w:rPr>
          <w:rStyle w:val="CharSectno"/>
        </w:rPr>
        <w:t>11CC</w:t>
      </w:r>
      <w:r>
        <w:t>.</w:t>
      </w:r>
      <w:r>
        <w:tab/>
        <w:t>Removal action</w:t>
      </w:r>
      <w:bookmarkEnd w:id="73"/>
      <w:bookmarkEnd w:id="74"/>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No. 29 of 2014 s. 16.]</w:t>
      </w:r>
    </w:p>
    <w:p>
      <w:pPr>
        <w:pStyle w:val="Heading5"/>
      </w:pPr>
      <w:bookmarkStart w:id="75" w:name="_Toc200718611"/>
      <w:bookmarkStart w:id="76" w:name="_Toc138752369"/>
      <w:r>
        <w:rPr>
          <w:rStyle w:val="CharSectno"/>
        </w:rPr>
        <w:t>11CD</w:t>
      </w:r>
      <w:r>
        <w:t>.</w:t>
      </w:r>
      <w:r>
        <w:tab/>
        <w:t>Notice of loss of confidence</w:t>
      </w:r>
      <w:bookmarkEnd w:id="75"/>
      <w:bookmarkEnd w:id="76"/>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No. 29 of 2014 s. 16.]</w:t>
      </w:r>
    </w:p>
    <w:p>
      <w:pPr>
        <w:pStyle w:val="Heading5"/>
      </w:pPr>
      <w:bookmarkStart w:id="77" w:name="_Toc200718612"/>
      <w:bookmarkStart w:id="78" w:name="_Toc138752370"/>
      <w:r>
        <w:rPr>
          <w:rStyle w:val="CharSectno"/>
        </w:rPr>
        <w:t>11CE</w:t>
      </w:r>
      <w:r>
        <w:t>.</w:t>
      </w:r>
      <w:r>
        <w:tab/>
        <w:t>Maintenance payment</w:t>
      </w:r>
      <w:bookmarkEnd w:id="77"/>
      <w:bookmarkEnd w:id="78"/>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No. 29 of 2014 s. 16.]</w:t>
      </w:r>
    </w:p>
    <w:p>
      <w:pPr>
        <w:pStyle w:val="Heading5"/>
      </w:pPr>
      <w:bookmarkStart w:id="79" w:name="_Toc200718613"/>
      <w:bookmarkStart w:id="80" w:name="_Toc138752371"/>
      <w:r>
        <w:rPr>
          <w:rStyle w:val="CharSectno"/>
        </w:rPr>
        <w:t>11CF</w:t>
      </w:r>
      <w:r>
        <w:t>.</w:t>
      </w:r>
      <w:r>
        <w:tab/>
        <w:t>Withdrawal of removal action and revocation of removal</w:t>
      </w:r>
      <w:bookmarkEnd w:id="79"/>
      <w:bookmarkEnd w:id="80"/>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No. 29 of 2014 s. 16.]</w:t>
      </w:r>
    </w:p>
    <w:p>
      <w:pPr>
        <w:pStyle w:val="Heading5"/>
      </w:pPr>
      <w:bookmarkStart w:id="81" w:name="_Toc200718614"/>
      <w:bookmarkStart w:id="82" w:name="_Toc138752372"/>
      <w:r>
        <w:rPr>
          <w:rStyle w:val="CharSectno"/>
        </w:rPr>
        <w:t>11CG</w:t>
      </w:r>
      <w:r>
        <w:t>.</w:t>
      </w:r>
      <w:r>
        <w:tab/>
        <w:t>Resignation of custodial officer who has been removed</w:t>
      </w:r>
      <w:bookmarkEnd w:id="81"/>
      <w:bookmarkEnd w:id="82"/>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No. 29 of 2014 s. 16.]</w:t>
      </w:r>
    </w:p>
    <w:p>
      <w:pPr>
        <w:pStyle w:val="Heading4"/>
      </w:pPr>
      <w:bookmarkStart w:id="83" w:name="_Toc200718615"/>
      <w:bookmarkStart w:id="84" w:name="_Toc138690971"/>
      <w:bookmarkStart w:id="85" w:name="_Toc138692465"/>
      <w:bookmarkStart w:id="86" w:name="_Toc138749739"/>
      <w:bookmarkStart w:id="87" w:name="_Toc138752373"/>
      <w:r>
        <w:t>Subdivision 3 — Appeal against removal of custodial officer</w:t>
      </w:r>
      <w:bookmarkEnd w:id="83"/>
      <w:bookmarkEnd w:id="84"/>
      <w:bookmarkEnd w:id="85"/>
      <w:bookmarkEnd w:id="86"/>
      <w:bookmarkEnd w:id="87"/>
    </w:p>
    <w:p>
      <w:pPr>
        <w:pStyle w:val="Footnoteheading"/>
      </w:pPr>
      <w:r>
        <w:tab/>
        <w:t>[Heading inserted: No. 29 of 2014 s. 16.]</w:t>
      </w:r>
    </w:p>
    <w:p>
      <w:pPr>
        <w:pStyle w:val="Heading5"/>
      </w:pPr>
      <w:bookmarkStart w:id="88" w:name="_Toc200718616"/>
      <w:bookmarkStart w:id="89" w:name="_Toc138752374"/>
      <w:r>
        <w:rPr>
          <w:rStyle w:val="CharSectno"/>
        </w:rPr>
        <w:t>11CH</w:t>
      </w:r>
      <w:r>
        <w:t>.</w:t>
      </w:r>
      <w:r>
        <w:tab/>
        <w:t>Appeal right</w:t>
      </w:r>
      <w:bookmarkEnd w:id="88"/>
      <w:bookmarkEnd w:id="89"/>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No. 29 of 2014 s. 16.]</w:t>
      </w:r>
    </w:p>
    <w:p>
      <w:pPr>
        <w:pStyle w:val="Heading5"/>
      </w:pPr>
      <w:bookmarkStart w:id="90" w:name="_Toc200718617"/>
      <w:bookmarkStart w:id="91" w:name="_Toc138752375"/>
      <w:r>
        <w:rPr>
          <w:rStyle w:val="CharSectno"/>
        </w:rPr>
        <w:t>11CI</w:t>
      </w:r>
      <w:r>
        <w:t>.</w:t>
      </w:r>
      <w:r>
        <w:tab/>
        <w:t>Proceedings on appeal</w:t>
      </w:r>
      <w:bookmarkEnd w:id="90"/>
      <w:bookmarkEnd w:id="91"/>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No. 29 of 2014 s. 16.]</w:t>
      </w:r>
    </w:p>
    <w:p>
      <w:pPr>
        <w:pStyle w:val="Heading5"/>
      </w:pPr>
      <w:bookmarkStart w:id="92" w:name="_Toc200718618"/>
      <w:bookmarkStart w:id="93" w:name="_Toc138752376"/>
      <w:r>
        <w:rPr>
          <w:rStyle w:val="CharSectno"/>
        </w:rPr>
        <w:t>11CJ</w:t>
      </w:r>
      <w:r>
        <w:t>.</w:t>
      </w:r>
      <w:r>
        <w:tab/>
        <w:t>Leave to tender new evidence on appeal</w:t>
      </w:r>
      <w:bookmarkEnd w:id="92"/>
      <w:bookmarkEnd w:id="93"/>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No. 29 of 2014 s. 16.]</w:t>
      </w:r>
    </w:p>
    <w:p>
      <w:pPr>
        <w:pStyle w:val="Heading5"/>
        <w:keepNext w:val="0"/>
        <w:keepLines w:val="0"/>
        <w:pageBreakBefore/>
        <w:spacing w:before="0"/>
      </w:pPr>
      <w:bookmarkStart w:id="94" w:name="_Toc200718619"/>
      <w:bookmarkStart w:id="95" w:name="_Toc138752377"/>
      <w:r>
        <w:rPr>
          <w:rStyle w:val="CharSectno"/>
        </w:rPr>
        <w:t>11CK</w:t>
      </w:r>
      <w:r>
        <w:t>.</w:t>
      </w:r>
      <w:r>
        <w:tab/>
        <w:t>Opportunity to consider new evidence</w:t>
      </w:r>
      <w:bookmarkEnd w:id="94"/>
      <w:bookmarkEnd w:id="95"/>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No. 29 of 2014 s. 16.]</w:t>
      </w:r>
    </w:p>
    <w:p>
      <w:pPr>
        <w:pStyle w:val="Heading5"/>
      </w:pPr>
      <w:bookmarkStart w:id="96" w:name="_Toc200718620"/>
      <w:bookmarkStart w:id="97" w:name="_Toc138752378"/>
      <w:r>
        <w:rPr>
          <w:rStyle w:val="CharSectno"/>
        </w:rPr>
        <w:t>11CL</w:t>
      </w:r>
      <w:r>
        <w:t>.</w:t>
      </w:r>
      <w:r>
        <w:tab/>
        <w:t>Revocation of removal after consideration of new evidence</w:t>
      </w:r>
      <w:bookmarkEnd w:id="96"/>
      <w:bookmarkEnd w:id="97"/>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No. 29 of 2014 s. 16.]</w:t>
      </w:r>
    </w:p>
    <w:p>
      <w:pPr>
        <w:pStyle w:val="Heading5"/>
      </w:pPr>
      <w:bookmarkStart w:id="98" w:name="_Toc200718621"/>
      <w:bookmarkStart w:id="99" w:name="_Toc138752379"/>
      <w:r>
        <w:rPr>
          <w:rStyle w:val="CharSectno"/>
        </w:rPr>
        <w:t>11CM</w:t>
      </w:r>
      <w:r>
        <w:t>.</w:t>
      </w:r>
      <w:r>
        <w:tab/>
        <w:t xml:space="preserve">Application of </w:t>
      </w:r>
      <w:r>
        <w:rPr>
          <w:i/>
        </w:rPr>
        <w:t>Industrial Relations Act 1979</w:t>
      </w:r>
      <w:r>
        <w:t xml:space="preserve"> to appeals</w:t>
      </w:r>
      <w:bookmarkEnd w:id="98"/>
      <w:bookmarkEnd w:id="99"/>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pPr>
        <w:pStyle w:val="Footnotesection"/>
      </w:pPr>
      <w:r>
        <w:tab/>
        <w:t>[Section 11CM inserted: No. 29 of 2014 s. 16; amended: No. 39 of 2018 s. 72.]</w:t>
      </w:r>
    </w:p>
    <w:p>
      <w:pPr>
        <w:pStyle w:val="Heading5"/>
      </w:pPr>
      <w:bookmarkStart w:id="100" w:name="_Toc200718622"/>
      <w:bookmarkStart w:id="101" w:name="_Toc138752380"/>
      <w:r>
        <w:rPr>
          <w:rStyle w:val="CharSectno"/>
        </w:rPr>
        <w:t>11CN</w:t>
      </w:r>
      <w:r>
        <w:t>.</w:t>
      </w:r>
      <w:r>
        <w:tab/>
        <w:t>Adjournment of appeal if appellant charged with offence</w:t>
      </w:r>
      <w:bookmarkEnd w:id="100"/>
      <w:bookmarkEnd w:id="101"/>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No. 29 of 2014 s. 16.]</w:t>
      </w:r>
    </w:p>
    <w:p>
      <w:pPr>
        <w:pStyle w:val="Heading5"/>
        <w:spacing w:before="180"/>
      </w:pPr>
      <w:bookmarkStart w:id="102" w:name="_Toc200718623"/>
      <w:bookmarkStart w:id="103" w:name="_Toc138752381"/>
      <w:r>
        <w:rPr>
          <w:rStyle w:val="CharSectno"/>
        </w:rPr>
        <w:t>11CO</w:t>
      </w:r>
      <w:r>
        <w:t>.</w:t>
      </w:r>
      <w:r>
        <w:tab/>
        <w:t>Resumption of appeal before end of adjournment</w:t>
      </w:r>
      <w:bookmarkEnd w:id="102"/>
      <w:bookmarkEnd w:id="103"/>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No. 29 of 2014 s. 16.]</w:t>
      </w:r>
    </w:p>
    <w:p>
      <w:pPr>
        <w:pStyle w:val="Heading5"/>
        <w:spacing w:before="180"/>
      </w:pPr>
      <w:bookmarkStart w:id="104" w:name="_Toc200718624"/>
      <w:bookmarkStart w:id="105" w:name="_Toc138752382"/>
      <w:r>
        <w:rPr>
          <w:rStyle w:val="CharSectno"/>
        </w:rPr>
        <w:t>11CP</w:t>
      </w:r>
      <w:r>
        <w:t>.</w:t>
      </w:r>
      <w:r>
        <w:tab/>
        <w:t>Decision by WAIRC</w:t>
      </w:r>
      <w:bookmarkEnd w:id="104"/>
      <w:bookmarkEnd w:id="105"/>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No. 29 of 2014 s. 16.]</w:t>
      </w:r>
    </w:p>
    <w:p>
      <w:pPr>
        <w:pStyle w:val="Heading5"/>
      </w:pPr>
      <w:bookmarkStart w:id="106" w:name="_Toc200718625"/>
      <w:bookmarkStart w:id="107" w:name="_Toc138752383"/>
      <w:r>
        <w:rPr>
          <w:rStyle w:val="CharSectno"/>
        </w:rPr>
        <w:t>11CQ</w:t>
      </w:r>
      <w:r>
        <w:t>.</w:t>
      </w:r>
      <w:r>
        <w:tab/>
        <w:t>Determining amount of compensation</w:t>
      </w:r>
      <w:bookmarkEnd w:id="106"/>
      <w:bookmarkEnd w:id="107"/>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No. 29 of 2014 s. 16.]</w:t>
      </w:r>
    </w:p>
    <w:p>
      <w:pPr>
        <w:pStyle w:val="Heading5"/>
        <w:keepLines w:val="0"/>
      </w:pPr>
      <w:bookmarkStart w:id="108" w:name="_Toc200718626"/>
      <w:bookmarkStart w:id="109" w:name="_Toc138752384"/>
      <w:r>
        <w:rPr>
          <w:rStyle w:val="CharSectno"/>
        </w:rPr>
        <w:t>11CR</w:t>
      </w:r>
      <w:r>
        <w:t>.</w:t>
      </w:r>
      <w:r>
        <w:tab/>
        <w:t>Restriction on publication</w:t>
      </w:r>
      <w:bookmarkEnd w:id="108"/>
      <w:bookmarkEnd w:id="109"/>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No. 29 of 2014 s. 16.]</w:t>
      </w:r>
    </w:p>
    <w:p>
      <w:pPr>
        <w:pStyle w:val="Heading4"/>
        <w:spacing w:before="200"/>
      </w:pPr>
      <w:bookmarkStart w:id="110" w:name="_Toc200718627"/>
      <w:bookmarkStart w:id="111" w:name="_Toc138690983"/>
      <w:bookmarkStart w:id="112" w:name="_Toc138692477"/>
      <w:bookmarkStart w:id="113" w:name="_Toc138749751"/>
      <w:bookmarkStart w:id="114" w:name="_Toc138752385"/>
      <w:r>
        <w:t>Subdivision 4 — General</w:t>
      </w:r>
      <w:bookmarkEnd w:id="110"/>
      <w:bookmarkEnd w:id="111"/>
      <w:bookmarkEnd w:id="112"/>
      <w:bookmarkEnd w:id="113"/>
      <w:bookmarkEnd w:id="114"/>
    </w:p>
    <w:p>
      <w:pPr>
        <w:pStyle w:val="Footnoteheading"/>
      </w:pPr>
      <w:r>
        <w:tab/>
        <w:t>[Heading inserted: No. 29 of 2014 s. 16.]</w:t>
      </w:r>
    </w:p>
    <w:p>
      <w:pPr>
        <w:pStyle w:val="Heading5"/>
        <w:spacing w:before="180"/>
      </w:pPr>
      <w:bookmarkStart w:id="115" w:name="_Toc200718628"/>
      <w:bookmarkStart w:id="116" w:name="_Toc138752386"/>
      <w:r>
        <w:rPr>
          <w:rStyle w:val="CharSectno"/>
        </w:rPr>
        <w:t>11CS</w:t>
      </w:r>
      <w:r>
        <w:t>.</w:t>
      </w:r>
      <w:r>
        <w:tab/>
        <w:t>Effect of charge for, or conviction or acquittal of, offence</w:t>
      </w:r>
      <w:bookmarkEnd w:id="115"/>
      <w:bookmarkEnd w:id="116"/>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No. 29 of 2014 s. 16.]</w:t>
      </w:r>
    </w:p>
    <w:p>
      <w:pPr>
        <w:pStyle w:val="Heading5"/>
        <w:spacing w:before="180"/>
      </w:pPr>
      <w:bookmarkStart w:id="117" w:name="_Toc200718629"/>
      <w:bookmarkStart w:id="118" w:name="_Toc138752387"/>
      <w:r>
        <w:rPr>
          <w:rStyle w:val="CharSectno"/>
        </w:rPr>
        <w:t>11CT</w:t>
      </w:r>
      <w:r>
        <w:t>.</w:t>
      </w:r>
      <w:r>
        <w:tab/>
        <w:t>Failure to comply with procedure</w:t>
      </w:r>
      <w:bookmarkEnd w:id="117"/>
      <w:bookmarkEnd w:id="118"/>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keepNext/>
      </w:pPr>
      <w:r>
        <w:tab/>
        <w:t>(b)</w:t>
      </w:r>
      <w:r>
        <w:tab/>
        <w:t>the failure is not substantive.</w:t>
      </w:r>
    </w:p>
    <w:p>
      <w:pPr>
        <w:pStyle w:val="Footnotesection"/>
      </w:pPr>
      <w:r>
        <w:tab/>
        <w:t>[Section 11CT inserted: No. 29 of 2014 s. 16.]</w:t>
      </w:r>
    </w:p>
    <w:p>
      <w:pPr>
        <w:pStyle w:val="Heading5"/>
        <w:spacing w:before="180"/>
      </w:pPr>
      <w:bookmarkStart w:id="119" w:name="_Toc200718630"/>
      <w:bookmarkStart w:id="120" w:name="_Toc138752388"/>
      <w:r>
        <w:rPr>
          <w:rStyle w:val="CharSectno"/>
        </w:rPr>
        <w:t>11CU</w:t>
      </w:r>
      <w:r>
        <w:t>.</w:t>
      </w:r>
      <w:r>
        <w:tab/>
        <w:t>Transfer, standing down and leave of custodial officer</w:t>
      </w:r>
      <w:bookmarkEnd w:id="119"/>
      <w:bookmarkEnd w:id="120"/>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No. 29 of 2014 s. 16.]</w:t>
      </w:r>
    </w:p>
    <w:p>
      <w:pPr>
        <w:pStyle w:val="Heading5"/>
      </w:pPr>
      <w:bookmarkStart w:id="121" w:name="_Toc200718631"/>
      <w:bookmarkStart w:id="122" w:name="_Toc138752389"/>
      <w:r>
        <w:rPr>
          <w:rStyle w:val="CharSectno"/>
        </w:rPr>
        <w:t>11CV</w:t>
      </w:r>
      <w:r>
        <w:t>.</w:t>
      </w:r>
      <w:r>
        <w:tab/>
        <w:t>Review of Division</w:t>
      </w:r>
      <w:bookmarkEnd w:id="121"/>
      <w:bookmarkEnd w:id="12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No. 29 of 2014 s. 16.]</w:t>
      </w:r>
    </w:p>
    <w:p>
      <w:pPr>
        <w:pStyle w:val="Heading3"/>
      </w:pPr>
      <w:bookmarkStart w:id="123" w:name="_Toc200718632"/>
      <w:bookmarkStart w:id="124" w:name="_Toc138690988"/>
      <w:bookmarkStart w:id="125" w:name="_Toc138692482"/>
      <w:bookmarkStart w:id="126" w:name="_Toc138749756"/>
      <w:bookmarkStart w:id="127" w:name="_Toc138752390"/>
      <w:r>
        <w:rPr>
          <w:rStyle w:val="CharDivNo"/>
        </w:rPr>
        <w:t>Division 4</w:t>
      </w:r>
      <w:r>
        <w:t> — </w:t>
      </w:r>
      <w:r>
        <w:rPr>
          <w:rStyle w:val="CharDivText"/>
        </w:rPr>
        <w:t>Management, control, security and wellbeing of young offenders</w:t>
      </w:r>
      <w:bookmarkEnd w:id="123"/>
      <w:bookmarkEnd w:id="124"/>
      <w:bookmarkEnd w:id="125"/>
      <w:bookmarkEnd w:id="126"/>
      <w:bookmarkEnd w:id="127"/>
    </w:p>
    <w:p>
      <w:pPr>
        <w:pStyle w:val="Footnoteheading"/>
      </w:pPr>
      <w:r>
        <w:tab/>
        <w:t>[Heading inserted: No. 29 of 2014 s. 17.]</w:t>
      </w:r>
    </w:p>
    <w:p>
      <w:pPr>
        <w:pStyle w:val="Heading5"/>
      </w:pPr>
      <w:bookmarkStart w:id="128" w:name="_Toc200718633"/>
      <w:bookmarkStart w:id="129" w:name="_Toc138752391"/>
      <w:r>
        <w:rPr>
          <w:rStyle w:val="CharSectno"/>
        </w:rPr>
        <w:t>11C</w:t>
      </w:r>
      <w:r>
        <w:t>.</w:t>
      </w:r>
      <w:r>
        <w:tab/>
        <w:t>Use of force</w:t>
      </w:r>
      <w:bookmarkEnd w:id="128"/>
      <w:bookmarkEnd w:id="129"/>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No. 58 of 2004 s. 7; amended: No. 29 of 2014 s. 18.]</w:t>
      </w:r>
    </w:p>
    <w:p>
      <w:pPr>
        <w:pStyle w:val="Heading5"/>
      </w:pPr>
      <w:bookmarkStart w:id="130" w:name="_Toc200718634"/>
      <w:bookmarkStart w:id="131" w:name="_Toc138752392"/>
      <w:r>
        <w:rPr>
          <w:rStyle w:val="CharSectno"/>
        </w:rPr>
        <w:t>11D</w:t>
      </w:r>
      <w:r>
        <w:t>.</w:t>
      </w:r>
      <w:r>
        <w:tab/>
        <w:t>Use of restraints</w:t>
      </w:r>
      <w:bookmarkEnd w:id="130"/>
      <w:bookmarkEnd w:id="131"/>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No. 58 of 2004 s. 7.]</w:t>
      </w:r>
    </w:p>
    <w:p>
      <w:pPr>
        <w:pStyle w:val="Heading5"/>
      </w:pPr>
      <w:bookmarkStart w:id="132" w:name="_Toc200718635"/>
      <w:bookmarkStart w:id="133" w:name="_Toc138752393"/>
      <w:r>
        <w:rPr>
          <w:rStyle w:val="CharSectno"/>
        </w:rPr>
        <w:t>11E</w:t>
      </w:r>
      <w:r>
        <w:t>.</w:t>
      </w:r>
      <w:r>
        <w:tab/>
        <w:t>Assistance by prison officers</w:t>
      </w:r>
      <w:bookmarkEnd w:id="132"/>
      <w:bookmarkEnd w:id="133"/>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No. 58 of 2004 s. 7; amended: No. 29 of 2014 s. 19.]</w:t>
      </w:r>
    </w:p>
    <w:p>
      <w:pPr>
        <w:pStyle w:val="Heading5"/>
      </w:pPr>
      <w:bookmarkStart w:id="134" w:name="_Toc200718636"/>
      <w:bookmarkStart w:id="135" w:name="_Toc138752394"/>
      <w:r>
        <w:rPr>
          <w:rStyle w:val="CharSectno"/>
        </w:rPr>
        <w:t>11F</w:t>
      </w:r>
      <w:r>
        <w:t>.</w:t>
      </w:r>
      <w:r>
        <w:tab/>
        <w:t>Assistance by police officers</w:t>
      </w:r>
      <w:bookmarkEnd w:id="134"/>
      <w:bookmarkEnd w:id="135"/>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No. 58 of 2004 s. 7; amended: No. 29 of 2014 s. 20.]</w:t>
      </w:r>
    </w:p>
    <w:p>
      <w:pPr>
        <w:pStyle w:val="Heading5"/>
        <w:rPr>
          <w:snapToGrid w:val="0"/>
        </w:rPr>
      </w:pPr>
      <w:bookmarkStart w:id="136" w:name="_Toc200718637"/>
      <w:bookmarkStart w:id="137" w:name="_Toc138752395"/>
      <w:r>
        <w:rPr>
          <w:rStyle w:val="CharSectno"/>
        </w:rPr>
        <w:t>12</w:t>
      </w:r>
      <w:r>
        <w:rPr>
          <w:snapToGrid w:val="0"/>
        </w:rPr>
        <w:t>.</w:t>
      </w:r>
      <w:r>
        <w:rPr>
          <w:snapToGrid w:val="0"/>
        </w:rPr>
        <w:tab/>
        <w:t>Departmental and subsidised facilities, establishment of</w:t>
      </w:r>
      <w:bookmarkEnd w:id="136"/>
      <w:bookmarkEnd w:id="137"/>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No. 58 of 2004 s. 8; No. 65 of 2006 s. 75.]</w:t>
      </w:r>
    </w:p>
    <w:p>
      <w:pPr>
        <w:pStyle w:val="Heading5"/>
        <w:rPr>
          <w:snapToGrid w:val="0"/>
        </w:rPr>
      </w:pPr>
      <w:bookmarkStart w:id="138" w:name="_Toc200718638"/>
      <w:bookmarkStart w:id="139" w:name="_Toc138752396"/>
      <w:r>
        <w:rPr>
          <w:rStyle w:val="CharSectno"/>
        </w:rPr>
        <w:t>13</w:t>
      </w:r>
      <w:r>
        <w:rPr>
          <w:snapToGrid w:val="0"/>
        </w:rPr>
        <w:t>.</w:t>
      </w:r>
      <w:r>
        <w:rPr>
          <w:snapToGrid w:val="0"/>
        </w:rPr>
        <w:tab/>
        <w:t>Detention centres, establishing</w:t>
      </w:r>
      <w:bookmarkEnd w:id="138"/>
      <w:bookmarkEnd w:id="139"/>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140" w:name="_Toc200718639"/>
      <w:bookmarkStart w:id="141" w:name="_Toc138752397"/>
      <w:r>
        <w:rPr>
          <w:rStyle w:val="CharSectno"/>
        </w:rPr>
        <w:t>14</w:t>
      </w:r>
      <w:r>
        <w:rPr>
          <w:snapToGrid w:val="0"/>
        </w:rPr>
        <w:t>.</w:t>
      </w:r>
      <w:r>
        <w:rPr>
          <w:snapToGrid w:val="0"/>
        </w:rPr>
        <w:tab/>
        <w:t>Records of young offenders, duty to keep</w:t>
      </w:r>
      <w:bookmarkEnd w:id="140"/>
      <w:bookmarkEnd w:id="141"/>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142" w:name="_Toc200718640"/>
      <w:bookmarkStart w:id="143" w:name="_Toc138752398"/>
      <w:r>
        <w:rPr>
          <w:rStyle w:val="CharSectno"/>
        </w:rPr>
        <w:t>15</w:t>
      </w:r>
      <w:r>
        <w:rPr>
          <w:snapToGrid w:val="0"/>
        </w:rPr>
        <w:t>.</w:t>
      </w:r>
      <w:r>
        <w:rPr>
          <w:snapToGrid w:val="0"/>
        </w:rPr>
        <w:tab/>
        <w:t>Records of young offenders, access to</w:t>
      </w:r>
      <w:bookmarkEnd w:id="142"/>
      <w:bookmarkEnd w:id="143"/>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No. 47 of 1999 s. 41.]</w:t>
      </w:r>
    </w:p>
    <w:p>
      <w:pPr>
        <w:pStyle w:val="Heading5"/>
      </w:pPr>
      <w:bookmarkStart w:id="144" w:name="_Toc200718641"/>
      <w:bookmarkStart w:id="145" w:name="_Toc138752399"/>
      <w:r>
        <w:rPr>
          <w:rStyle w:val="CharSectno"/>
        </w:rPr>
        <w:t>15A</w:t>
      </w:r>
      <w:r>
        <w:t>.</w:t>
      </w:r>
      <w:r>
        <w:tab/>
        <w:t>Disclosure of personal information relating to young offenders</w:t>
      </w:r>
      <w:bookmarkEnd w:id="144"/>
      <w:bookmarkEnd w:id="145"/>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keepNext/>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(7A)</w:t>
      </w:r>
      <w:r>
        <w:tab/>
        <w:t>Despite this section, the chief executive officer may provide information relating to a person who is, or was, a young offender or detainee (as the case may be) to 1 or more of the individuals referred to in subsection (5)(a) if —</w:t>
      </w:r>
    </w:p>
    <w:p>
      <w:pPr>
        <w:pStyle w:val="Indenta"/>
      </w:pPr>
      <w:r>
        <w:tab/>
        <w:t>(a)</w:t>
      </w:r>
      <w:r>
        <w:tab/>
        <w:t xml:space="preserve">the person is transferred under section 21(2); or </w:t>
      </w:r>
    </w:p>
    <w:p>
      <w:pPr>
        <w:pStyle w:val="Indenta"/>
      </w:pPr>
      <w:r>
        <w:tab/>
        <w:t>(b)</w:t>
      </w:r>
      <w:r>
        <w:tab/>
        <w:t>a direction is made in respect of the person under section 178(3); or</w:t>
      </w:r>
    </w:p>
    <w:p>
      <w:pPr>
        <w:pStyle w:val="Indenta"/>
      </w:pPr>
      <w:r>
        <w:tab/>
        <w:t>(c)</w:t>
      </w:r>
      <w:r>
        <w:tab/>
        <w:t>the person is transferred under section 178A(2).</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No. 58 of 2004 s. 9; amended: No. 84 of 2004 s. 82; No. 41 of 2006 s. 86; No. 65 of 2006 s. 76; No. 14 of 2008 s. 44; No. 23 of 2015 s. 22; No. 15 of 2023 s. 4.]</w:t>
      </w:r>
    </w:p>
    <w:p>
      <w:pPr>
        <w:pStyle w:val="Heading5"/>
      </w:pPr>
      <w:bookmarkStart w:id="146" w:name="_Toc200718642"/>
      <w:bookmarkStart w:id="147" w:name="_Toc138752400"/>
      <w:r>
        <w:rPr>
          <w:rStyle w:val="CharSectno"/>
        </w:rPr>
        <w:t>16</w:t>
      </w:r>
      <w:r>
        <w:t>.</w:t>
      </w:r>
      <w:r>
        <w:tab/>
        <w:t>Exchange of information</w:t>
      </w:r>
      <w:bookmarkEnd w:id="146"/>
      <w:bookmarkEnd w:id="147"/>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keepNex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No. 65 of 2006 s. 77; amended: No. 26 of 2011 s. 8; No. 4 of 2015 s. 89.]</w:t>
      </w:r>
    </w:p>
    <w:p>
      <w:pPr>
        <w:pStyle w:val="Heading5"/>
      </w:pPr>
      <w:bookmarkStart w:id="148" w:name="_Toc200718643"/>
      <w:bookmarkStart w:id="149" w:name="_Toc138752401"/>
      <w:r>
        <w:rPr>
          <w:rStyle w:val="CharSectno"/>
        </w:rPr>
        <w:t>16A</w:t>
      </w:r>
      <w:r>
        <w:t>.</w:t>
      </w:r>
      <w:r>
        <w:tab/>
        <w:t>Disclosure authorised</w:t>
      </w:r>
      <w:bookmarkEnd w:id="148"/>
      <w:bookmarkEnd w:id="149"/>
    </w:p>
    <w:p>
      <w:pPr>
        <w:pStyle w:val="Subsection"/>
      </w:pPr>
      <w:r>
        <w:tab/>
        <w:t>(1)</w:t>
      </w:r>
      <w:r>
        <w:tab/>
        <w:t>Information may be disclosed under section 15 or 16 despite any written law relating to confidentiality or secrecy.</w:t>
      </w:r>
    </w:p>
    <w:p>
      <w:pPr>
        <w:pStyle w:val="Subsection"/>
        <w:keepNext/>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No. 65 of 2006 s. 77.]</w:t>
      </w:r>
    </w:p>
    <w:p>
      <w:pPr>
        <w:pStyle w:val="Heading5"/>
      </w:pPr>
      <w:bookmarkStart w:id="150" w:name="_Toc200718644"/>
      <w:bookmarkStart w:id="151" w:name="_Toc138752402"/>
      <w:r>
        <w:rPr>
          <w:rStyle w:val="CharSectno"/>
        </w:rPr>
        <w:t>16B</w:t>
      </w:r>
      <w:r>
        <w:t>.</w:t>
      </w:r>
      <w:r>
        <w:tab/>
        <w:t>Protection of Commissioner of Police reports that may be withdrawn</w:t>
      </w:r>
      <w:bookmarkEnd w:id="150"/>
      <w:bookmarkEnd w:id="151"/>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This section applies if the Board must, under section 150E(2), give the Commissioner of Police an opportunity to withdraw a Commissioner of Police report.</w:t>
      </w:r>
    </w:p>
    <w:p>
      <w:pPr>
        <w:pStyle w:val="Subsection"/>
      </w:pPr>
      <w:r>
        <w:tab/>
        <w:t>(3)</w:t>
      </w:r>
      <w:r>
        <w:tab/>
        <w:t>Until the Commissioner of Police is given a reasonable opportunity to withdraw the report, the Board must take all reasonable steps to prohibit the publication of, or a reference to, the report.</w:t>
      </w:r>
    </w:p>
    <w:p>
      <w:pPr>
        <w:pStyle w:val="Footnotesection"/>
      </w:pPr>
      <w:r>
        <w:tab/>
        <w:t>[Section 16B inserted: No. 14 of 2022 s. 31.]</w:t>
      </w:r>
    </w:p>
    <w:p>
      <w:pPr>
        <w:pStyle w:val="Heading5"/>
      </w:pPr>
      <w:bookmarkStart w:id="152" w:name="_Toc200718645"/>
      <w:bookmarkStart w:id="153" w:name="_Toc138752403"/>
      <w:r>
        <w:rPr>
          <w:rStyle w:val="CharSectno"/>
        </w:rPr>
        <w:t>16C</w:t>
      </w:r>
      <w:r>
        <w:t>.</w:t>
      </w:r>
      <w:r>
        <w:tab/>
        <w:t>Protection of Commissioner of Police reports containing terrorist intelligence information</w:t>
      </w:r>
      <w:bookmarkEnd w:id="152"/>
      <w:bookmarkEnd w:id="153"/>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The Board must take all reasonable steps to maintain the confidentiality of a Commissioner of Police report that the 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w:t>
      </w:r>
    </w:p>
    <w:p>
      <w:pPr>
        <w:pStyle w:val="Subsection"/>
      </w:pPr>
      <w:r>
        <w:tab/>
        <w:t>(3)</w:t>
      </w:r>
      <w:r>
        <w:tab/>
        <w:t xml:space="preserve">Despite subsection (2), the Board may give the report to — </w:t>
      </w:r>
    </w:p>
    <w:p>
      <w:pPr>
        <w:pStyle w:val="Indenta"/>
      </w:pPr>
      <w:r>
        <w:tab/>
        <w:t>(a)</w:t>
      </w:r>
      <w:r>
        <w:tab/>
        <w:t>the Attorney</w:t>
      </w:r>
      <w:r>
        <w:rPr>
          <w:szCs w:val="24"/>
        </w:rPr>
        <w:t xml:space="preserve"> General; or </w:t>
      </w:r>
    </w:p>
    <w:p>
      <w:pPr>
        <w:pStyle w:val="Indenta"/>
      </w:pPr>
      <w:r>
        <w:tab/>
        <w:t>(b)</w:t>
      </w:r>
      <w:r>
        <w:tab/>
        <w:t>a court; or</w:t>
      </w:r>
    </w:p>
    <w:p>
      <w:pPr>
        <w:pStyle w:val="Indenta"/>
      </w:pPr>
      <w:r>
        <w:tab/>
        <w:t>(c)</w:t>
      </w:r>
      <w:r>
        <w:tab/>
        <w:t>a person to whom the Board authorises disclosure.</w:t>
      </w:r>
    </w:p>
    <w:p>
      <w:pPr>
        <w:pStyle w:val="Subsection"/>
      </w:pPr>
      <w:r>
        <w:tab/>
        <w:t>(4)</w:t>
      </w:r>
      <w:r>
        <w:tab/>
        <w:t>Before giving a report under subsection (3)(b) or (c), the Board must, in writing, notify the Commissioner of Police of the Board’s intention to give the report.</w:t>
      </w:r>
    </w:p>
    <w:p>
      <w:pPr>
        <w:pStyle w:val="Footnotesection"/>
      </w:pPr>
      <w:r>
        <w:tab/>
        <w:t>[Section 16C inserted: No. 14 of 2022 s. 31.]</w:t>
      </w:r>
    </w:p>
    <w:p>
      <w:pPr>
        <w:pStyle w:val="Heading5"/>
      </w:pPr>
      <w:bookmarkStart w:id="154" w:name="_Toc200718646"/>
      <w:bookmarkStart w:id="155" w:name="_Toc138752404"/>
      <w:r>
        <w:rPr>
          <w:rStyle w:val="CharSectno"/>
        </w:rPr>
        <w:t>16D</w:t>
      </w:r>
      <w:r>
        <w:t>.</w:t>
      </w:r>
      <w:r>
        <w:tab/>
        <w:t>Protection of terrorist intelligence information in legal proceedings</w:t>
      </w:r>
      <w:bookmarkEnd w:id="154"/>
      <w:bookmarkEnd w:id="155"/>
    </w:p>
    <w:p>
      <w:pPr>
        <w:pStyle w:val="Subsection"/>
      </w:pPr>
      <w:r>
        <w:tab/>
        <w:t>(1)</w:t>
      </w:r>
      <w:r>
        <w:tab/>
        <w:t xml:space="preserve">In this section — </w:t>
      </w:r>
    </w:p>
    <w:p>
      <w:pPr>
        <w:pStyle w:val="Defstart"/>
      </w:pPr>
      <w:r>
        <w:tab/>
      </w:r>
      <w:r>
        <w:rPr>
          <w:rStyle w:val="CharDefText"/>
        </w:rPr>
        <w:t>court</w:t>
      </w:r>
      <w:r>
        <w:t xml:space="preserve"> includes any tribunal, authority or person having power to require the production of documents or the answering of questions;</w:t>
      </w:r>
    </w:p>
    <w:p>
      <w:pPr>
        <w:pStyle w:val="Defstart"/>
      </w:pPr>
      <w:r>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pPr>
      <w:r>
        <w:tab/>
        <w:t>(2)</w:t>
      </w:r>
      <w:r>
        <w:tab/>
      </w:r>
      <w:r>
        <w:rPr>
          <w:szCs w:val="24"/>
        </w:rPr>
        <w:t xml:space="preserve">In any legal proceedings relating to, or requiring the disclosure of, information included in a </w:t>
      </w:r>
      <w:r>
        <w:t>Commissioner of Police report that 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16D inserted: No. 14 of 2022 s. 31.]</w:t>
      </w:r>
    </w:p>
    <w:p>
      <w:pPr>
        <w:pStyle w:val="Heading5"/>
        <w:rPr>
          <w:snapToGrid w:val="0"/>
        </w:rPr>
      </w:pPr>
      <w:bookmarkStart w:id="156" w:name="_Toc200718647"/>
      <w:bookmarkStart w:id="157" w:name="_Toc138752405"/>
      <w:r>
        <w:rPr>
          <w:rStyle w:val="CharSectno"/>
        </w:rPr>
        <w:t>17</w:t>
      </w:r>
      <w:r>
        <w:rPr>
          <w:snapToGrid w:val="0"/>
        </w:rPr>
        <w:t>.</w:t>
      </w:r>
      <w:r>
        <w:rPr>
          <w:snapToGrid w:val="0"/>
        </w:rPr>
        <w:tab/>
        <w:t>Confidentiality</w:t>
      </w:r>
      <w:bookmarkEnd w:id="156"/>
      <w:bookmarkEnd w:id="157"/>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No. 58 of 2004 s. 10.]</w:t>
      </w:r>
    </w:p>
    <w:p>
      <w:pPr>
        <w:pStyle w:val="Heading3"/>
        <w:keepNext w:val="0"/>
        <w:spacing w:before="180"/>
      </w:pPr>
      <w:bookmarkStart w:id="158" w:name="_Toc200718648"/>
      <w:bookmarkStart w:id="159" w:name="_Toc138691004"/>
      <w:bookmarkStart w:id="160" w:name="_Toc138692498"/>
      <w:bookmarkStart w:id="161" w:name="_Toc138749772"/>
      <w:bookmarkStart w:id="162" w:name="_Toc138752406"/>
      <w:r>
        <w:rPr>
          <w:rStyle w:val="CharDivNo"/>
        </w:rPr>
        <w:t>Division 5</w:t>
      </w:r>
      <w:r>
        <w:t> — </w:t>
      </w:r>
      <w:r>
        <w:rPr>
          <w:rStyle w:val="CharDivText"/>
        </w:rPr>
        <w:t>Arrangements with councils of Aboriginal communities</w:t>
      </w:r>
      <w:bookmarkEnd w:id="158"/>
      <w:bookmarkEnd w:id="159"/>
      <w:bookmarkEnd w:id="160"/>
      <w:bookmarkEnd w:id="161"/>
      <w:bookmarkEnd w:id="162"/>
    </w:p>
    <w:p>
      <w:pPr>
        <w:pStyle w:val="Footnotesection"/>
      </w:pPr>
      <w:r>
        <w:tab/>
        <w:t>[Division 5 heading, formerly Division 2 heading inserted: No. 29 of 2014 s. 21.]</w:t>
      </w:r>
    </w:p>
    <w:p>
      <w:pPr>
        <w:pStyle w:val="Heading5"/>
        <w:spacing w:before="180"/>
      </w:pPr>
      <w:bookmarkStart w:id="163" w:name="_Toc200718649"/>
      <w:bookmarkStart w:id="164" w:name="_Toc138752407"/>
      <w:r>
        <w:rPr>
          <w:rStyle w:val="CharSectno"/>
        </w:rPr>
        <w:t>17A</w:t>
      </w:r>
      <w:r>
        <w:t>.</w:t>
      </w:r>
      <w:r>
        <w:tab/>
        <w:t>Terms used</w:t>
      </w:r>
      <w:bookmarkEnd w:id="163"/>
      <w:bookmarkEnd w:id="164"/>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165" w:name="_Toc200718650"/>
      <w:bookmarkStart w:id="166" w:name="_Toc138752408"/>
      <w:r>
        <w:rPr>
          <w:rStyle w:val="CharSectno"/>
        </w:rPr>
        <w:t>17B</w:t>
      </w:r>
      <w:r>
        <w:t>.</w:t>
      </w:r>
      <w:r>
        <w:tab/>
        <w:t>Community supervision agreement</w:t>
      </w:r>
      <w:bookmarkEnd w:id="165"/>
      <w:bookmarkEnd w:id="166"/>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No. 58 of 2004 s. 11.]</w:t>
      </w:r>
    </w:p>
    <w:p>
      <w:pPr>
        <w:pStyle w:val="Heading5"/>
        <w:spacing w:before="180"/>
      </w:pPr>
      <w:bookmarkStart w:id="167" w:name="_Toc200718651"/>
      <w:bookmarkStart w:id="168" w:name="_Toc138752409"/>
      <w:r>
        <w:rPr>
          <w:rStyle w:val="CharSectno"/>
        </w:rPr>
        <w:t>17C</w:t>
      </w:r>
      <w:r>
        <w:t>.</w:t>
      </w:r>
      <w:r>
        <w:tab/>
        <w:t>Appointment of monitor</w:t>
      </w:r>
      <w:bookmarkEnd w:id="167"/>
      <w:bookmarkEnd w:id="168"/>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keepNext/>
        <w:spacing w:before="140"/>
      </w:pPr>
      <w:r>
        <w:tab/>
        <w:t>(4)</w:t>
      </w:r>
      <w:r>
        <w:tab/>
        <w:t>The chief executive officer may at any time cancel the appointment of a monitor.</w:t>
      </w:r>
    </w:p>
    <w:p>
      <w:pPr>
        <w:pStyle w:val="Footnotesection"/>
        <w:spacing w:before="100"/>
        <w:ind w:left="890" w:hanging="890"/>
      </w:pPr>
      <w:r>
        <w:tab/>
        <w:t>[Section 17C inserted: No. 58 of 2004 s. 11.]</w:t>
      </w:r>
    </w:p>
    <w:p>
      <w:pPr>
        <w:pStyle w:val="Heading5"/>
        <w:spacing w:before="180"/>
      </w:pPr>
      <w:bookmarkStart w:id="169" w:name="_Toc200718652"/>
      <w:bookmarkStart w:id="170" w:name="_Toc138752410"/>
      <w:r>
        <w:rPr>
          <w:rStyle w:val="CharSectno"/>
        </w:rPr>
        <w:t>17D</w:t>
      </w:r>
      <w:r>
        <w:t>.</w:t>
      </w:r>
      <w:r>
        <w:tab/>
        <w:t>Compensation for injury</w:t>
      </w:r>
      <w:bookmarkEnd w:id="169"/>
      <w:bookmarkEnd w:id="170"/>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2</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No. 58 of 2004 s. 11.]</w:t>
      </w:r>
    </w:p>
    <w:p>
      <w:pPr>
        <w:pStyle w:val="Heading2"/>
      </w:pPr>
      <w:bookmarkStart w:id="171" w:name="_Toc200718653"/>
      <w:bookmarkStart w:id="172" w:name="_Toc138691009"/>
      <w:bookmarkStart w:id="173" w:name="_Toc138692503"/>
      <w:bookmarkStart w:id="174" w:name="_Toc138749777"/>
      <w:bookmarkStart w:id="175" w:name="_Toc138752411"/>
      <w:r>
        <w:rPr>
          <w:rStyle w:val="CharPartNo"/>
        </w:rPr>
        <w:t>Part 4</w:t>
      </w:r>
      <w:r>
        <w:rPr>
          <w:rStyle w:val="CharDivNo"/>
        </w:rPr>
        <w:t> </w:t>
      </w:r>
      <w:r>
        <w:t>—</w:t>
      </w:r>
      <w:r>
        <w:rPr>
          <w:rStyle w:val="CharDivText"/>
        </w:rPr>
        <w:t> </w:t>
      </w:r>
      <w:r>
        <w:rPr>
          <w:rStyle w:val="CharPartText"/>
        </w:rPr>
        <w:t>Young persons in custody before being dealt with for an offence</w:t>
      </w:r>
      <w:bookmarkEnd w:id="171"/>
      <w:bookmarkEnd w:id="172"/>
      <w:bookmarkEnd w:id="173"/>
      <w:bookmarkEnd w:id="174"/>
      <w:bookmarkEnd w:id="175"/>
      <w:r>
        <w:rPr>
          <w:rStyle w:val="CharPartText"/>
        </w:rPr>
        <w:t xml:space="preserve"> </w:t>
      </w:r>
    </w:p>
    <w:p>
      <w:pPr>
        <w:pStyle w:val="Ednotesection"/>
      </w:pPr>
      <w:r>
        <w:t>[</w:t>
      </w:r>
      <w:r>
        <w:rPr>
          <w:b/>
        </w:rPr>
        <w:t>18.</w:t>
      </w:r>
      <w:r>
        <w:tab/>
        <w:t xml:space="preserve">Deleted: No. 50 of 2000 s. 30.] </w:t>
      </w:r>
    </w:p>
    <w:p>
      <w:pPr>
        <w:pStyle w:val="Heading5"/>
        <w:rPr>
          <w:snapToGrid w:val="0"/>
        </w:rPr>
      </w:pPr>
      <w:bookmarkStart w:id="176" w:name="_Toc200718654"/>
      <w:bookmarkStart w:id="177" w:name="_Toc138752412"/>
      <w:r>
        <w:rPr>
          <w:rStyle w:val="CharSectno"/>
        </w:rPr>
        <w:t>19</w:t>
      </w:r>
      <w:r>
        <w:rPr>
          <w:snapToGrid w:val="0"/>
        </w:rPr>
        <w:t>.</w:t>
      </w:r>
      <w:r>
        <w:rPr>
          <w:snapToGrid w:val="0"/>
        </w:rPr>
        <w:tab/>
      </w:r>
      <w:r>
        <w:t>Detention of young persons apprehended by police</w:t>
      </w:r>
      <w:bookmarkEnd w:id="176"/>
      <w:bookmarkEnd w:id="177"/>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t>
      </w:r>
      <w:r>
        <w:t>who is under 18 years old and</w:t>
      </w:r>
      <w:r>
        <w:rPr>
          <w:snapToGrid w:val="0"/>
        </w:rPr>
        <w:t xml:space="preserve">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 xml:space="preserve">A young person </w:t>
      </w:r>
      <w:r>
        <w:t>who is under 18 years old</w:t>
      </w:r>
      <w:r>
        <w:rPr>
          <w:snapToGrid w:val="0"/>
        </w:rPr>
        <w:t xml:space="preserve"> may be held in the custody of the police until arrangements can be made for the person to be taken to and placed in a detention centre in accordance with subsection (2).</w:t>
      </w:r>
    </w:p>
    <w:p>
      <w:pPr>
        <w:pStyle w:val="Footnotesection"/>
        <w:spacing w:before="100"/>
        <w:ind w:left="890" w:hanging="890"/>
      </w:pPr>
      <w:r>
        <w:tab/>
        <w:t>[Section 19 amended: No. 15 of 2023 s. 5.]</w:t>
      </w:r>
    </w:p>
    <w:p>
      <w:pPr>
        <w:pStyle w:val="Heading5"/>
        <w:rPr>
          <w:snapToGrid w:val="0"/>
        </w:rPr>
      </w:pPr>
      <w:bookmarkStart w:id="178" w:name="_Toc200718655"/>
      <w:bookmarkStart w:id="179" w:name="_Toc138752413"/>
      <w:r>
        <w:rPr>
          <w:rStyle w:val="CharSectno"/>
        </w:rPr>
        <w:t>20</w:t>
      </w:r>
      <w:r>
        <w:rPr>
          <w:snapToGrid w:val="0"/>
        </w:rPr>
        <w:t>.</w:t>
      </w:r>
      <w:r>
        <w:rPr>
          <w:snapToGrid w:val="0"/>
        </w:rPr>
        <w:tab/>
        <w:t>Responsible adult to be notified</w:t>
      </w:r>
      <w:bookmarkEnd w:id="178"/>
      <w:bookmarkEnd w:id="179"/>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180" w:name="_Toc200718656"/>
      <w:bookmarkStart w:id="181" w:name="_Toc138752414"/>
      <w:r>
        <w:rPr>
          <w:rStyle w:val="CharSectno"/>
        </w:rPr>
        <w:t>21</w:t>
      </w:r>
      <w:r>
        <w:rPr>
          <w:snapToGrid w:val="0"/>
        </w:rPr>
        <w:t>.</w:t>
      </w:r>
      <w:r>
        <w:rPr>
          <w:snapToGrid w:val="0"/>
        </w:rPr>
        <w:tab/>
        <w:t>Young person in custody awaiting trial</w:t>
      </w:r>
      <w:bookmarkEnd w:id="180"/>
      <w:bookmarkEnd w:id="181"/>
      <w:r>
        <w:rPr>
          <w:snapToGrid w:val="0"/>
        </w:rPr>
        <w:t xml:space="preserve"> </w:t>
      </w:r>
    </w:p>
    <w:p>
      <w:pPr>
        <w:pStyle w:val="Subsection"/>
        <w:keepNext/>
        <w:rPr>
          <w:snapToGrid w:val="0"/>
        </w:rPr>
      </w:pPr>
      <w:r>
        <w:rPr>
          <w:snapToGrid w:val="0"/>
        </w:rPr>
        <w:tab/>
        <w:t>(1)</w:t>
      </w:r>
      <w:r>
        <w:rPr>
          <w:snapToGrid w:val="0"/>
        </w:rPr>
        <w:tab/>
      </w:r>
      <w:r>
        <w:t>Subject</w:t>
      </w:r>
      <w:r>
        <w:rPr>
          <w:snapToGrid w:val="0"/>
        </w:rPr>
        <w:t xml:space="preserve"> to the </w:t>
      </w:r>
      <w:r>
        <w:rPr>
          <w:i/>
          <w:snapToGrid w:val="0"/>
        </w:rPr>
        <w:t>Bail Act 1982</w:t>
      </w:r>
      <w:r>
        <w:rPr>
          <w:snapToGrid w:val="0"/>
        </w:rPr>
        <w:t xml:space="preserve"> — </w:t>
      </w:r>
    </w:p>
    <w:p>
      <w:pPr>
        <w:pStyle w:val="Indenta"/>
        <w:rPr>
          <w:snapToGrid w:val="0"/>
        </w:rPr>
      </w:pPr>
      <w:r>
        <w:rPr>
          <w:snapToGrid w:val="0"/>
        </w:rPr>
        <w:tab/>
        <w:t>(a)</w:t>
      </w:r>
      <w:r>
        <w:rPr>
          <w:snapToGrid w:val="0"/>
        </w:rPr>
        <w:tab/>
        <w:t xml:space="preserve">a </w:t>
      </w:r>
      <w:r>
        <w:t>young</w:t>
      </w:r>
      <w:r>
        <w:rPr>
          <w:snapToGrid w:val="0"/>
        </w:rPr>
        <w:t xml:space="preserve"> person who is under 18 years old may be detained in a detention centre during the period for which the person has been remanded by a court, or during the period of the person’s detention on committal for trial in the Supreme Court or the District Court; and</w:t>
      </w:r>
    </w:p>
    <w:p>
      <w:pPr>
        <w:pStyle w:val="Indenta"/>
        <w:rPr>
          <w:snapToGrid w:val="0"/>
        </w:rPr>
      </w:pPr>
      <w:r>
        <w:rPr>
          <w:snapToGrid w:val="0"/>
        </w:rPr>
        <w:tab/>
        <w:t>(b)</w:t>
      </w:r>
      <w:r>
        <w:rPr>
          <w:snapToGrid w:val="0"/>
        </w:rPr>
        <w:tab/>
        <w:t xml:space="preserve">a </w:t>
      </w:r>
      <w:r>
        <w:t>young</w:t>
      </w:r>
      <w:r>
        <w:rPr>
          <w:snapToGrid w:val="0"/>
        </w:rPr>
        <w:t xml:space="preserve"> person who has reached the age of 18 years must not be detained in a detention centre during either of the periods described in paragraph (a) unless a direction under section 21A(1) or 178B(1) in respect of the young person is in force.</w:t>
      </w:r>
    </w:p>
    <w:p>
      <w:pPr>
        <w:pStyle w:val="Subsection"/>
        <w:rPr>
          <w:snapToGrid w:val="0"/>
        </w:rPr>
      </w:pPr>
      <w:r>
        <w:rPr>
          <w:snapToGrid w:val="0"/>
        </w:rPr>
        <w:tab/>
        <w:t>(2)</w:t>
      </w:r>
      <w:r>
        <w:rPr>
          <w:snapToGrid w:val="0"/>
        </w:rPr>
        <w:tab/>
        <w:t xml:space="preserve">If a young person reaches the age of 18 years while detained in a detention centre as described in </w:t>
      </w:r>
      <w:r>
        <w:t xml:space="preserve">subsection (1)(a), the chief executive officer must transfer the young person to a prison under the </w:t>
      </w:r>
      <w:r>
        <w:rPr>
          <w:i/>
        </w:rPr>
        <w:t>Prisons Act 1981</w:t>
      </w:r>
      <w:r>
        <w:t xml:space="preserve"> unless a direction under section 21A(1) or 178B(1) in respect of the young person is in force.</w:t>
      </w:r>
    </w:p>
    <w:p>
      <w:pPr>
        <w:pStyle w:val="Subsection"/>
      </w:pPr>
      <w:bookmarkStart w:id="182" w:name="_Toc138691013"/>
      <w:r>
        <w:tab/>
        <w:t>(3)</w:t>
      </w:r>
      <w:r>
        <w:tab/>
        <w:t xml:space="preserve">A transfer under subsection (2) must be made within 30 days after — </w:t>
      </w:r>
    </w:p>
    <w:p>
      <w:pPr>
        <w:pStyle w:val="Indenta"/>
      </w:pPr>
      <w:r>
        <w:tab/>
        <w:t>(a)</w:t>
      </w:r>
      <w:r>
        <w:tab/>
        <w:t>the day on which the young person reaches the age of 18 years; or</w:t>
      </w:r>
    </w:p>
    <w:p>
      <w:pPr>
        <w:pStyle w:val="Indenta"/>
      </w:pPr>
      <w:r>
        <w:tab/>
        <w:t>(b)</w:t>
      </w:r>
      <w:r>
        <w:tab/>
        <w:t>if the chief executive officer revokes under section 21A(3) or 178B(3) a direction in respect of the young person — the day on which the direction is revoked.</w:t>
      </w:r>
    </w:p>
    <w:p>
      <w:pPr>
        <w:pStyle w:val="Subsection"/>
      </w:pPr>
      <w:r>
        <w:tab/>
        <w:t>(4)</w:t>
      </w:r>
      <w:r>
        <w:tab/>
        <w:t>A failure to comply with subsection (3) does not invalidate the transfer.</w:t>
      </w:r>
    </w:p>
    <w:p>
      <w:pPr>
        <w:pStyle w:val="Subsection"/>
      </w:pPr>
      <w:r>
        <w:tab/>
        <w:t>(5)</w:t>
      </w:r>
      <w:r>
        <w:tab/>
        <w:t>A young person transferred to a prison under subsection (2) is taken to be an adult prisoner on remand.</w:t>
      </w:r>
    </w:p>
    <w:p>
      <w:pPr>
        <w:pStyle w:val="Footnotesection"/>
        <w:spacing w:before="100"/>
        <w:ind w:left="890" w:hanging="890"/>
      </w:pPr>
      <w:r>
        <w:tab/>
        <w:t>[Section 21 amended: No. 15 of 2023 s. 6.]</w:t>
      </w:r>
    </w:p>
    <w:p>
      <w:pPr>
        <w:pStyle w:val="Heading5"/>
        <w:rPr>
          <w:snapToGrid w:val="0"/>
        </w:rPr>
      </w:pPr>
      <w:bookmarkStart w:id="183" w:name="_Toc200718657"/>
      <w:bookmarkStart w:id="184" w:name="_Toc138685551"/>
      <w:bookmarkStart w:id="185" w:name="_Toc138752415"/>
      <w:r>
        <w:rPr>
          <w:rStyle w:val="CharSectno"/>
        </w:rPr>
        <w:t>21A</w:t>
      </w:r>
      <w:r>
        <w:rPr>
          <w:snapToGrid w:val="0"/>
        </w:rPr>
        <w:t>.</w:t>
      </w:r>
      <w:r>
        <w:rPr>
          <w:snapToGrid w:val="0"/>
        </w:rPr>
        <w:tab/>
        <w:t>Chief executive officer may direct that mandatory transfer does not apply</w:t>
      </w:r>
      <w:bookmarkEnd w:id="183"/>
      <w:bookmarkEnd w:id="184"/>
      <w:bookmarkEnd w:id="185"/>
    </w:p>
    <w:p>
      <w:pPr>
        <w:pStyle w:val="Subsection"/>
        <w:rPr>
          <w:snapToGrid w:val="0"/>
        </w:rPr>
      </w:pPr>
      <w:r>
        <w:rPr>
          <w:snapToGrid w:val="0"/>
        </w:rPr>
        <w:tab/>
        <w:t>(1)</w:t>
      </w:r>
      <w:r>
        <w:rPr>
          <w:snapToGrid w:val="0"/>
        </w:rPr>
        <w:tab/>
        <w:t>The chief executive officer may, in writing, direct that a transfer under section 21(2) does not apply in relation to a particular young person.</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young person;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rPr>
          <w:snapToGrid w:val="0"/>
        </w:rPr>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young person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spacing w:before="100"/>
        <w:ind w:left="890" w:hanging="890"/>
      </w:pPr>
      <w:r>
        <w:tab/>
        <w:t>[Section 21A inserted: No. 15 of 2023 s. 7.]</w:t>
      </w:r>
    </w:p>
    <w:p>
      <w:pPr>
        <w:pStyle w:val="Heading2"/>
      </w:pPr>
      <w:bookmarkStart w:id="186" w:name="_Toc200718658"/>
      <w:bookmarkStart w:id="187" w:name="_Toc138692508"/>
      <w:bookmarkStart w:id="188" w:name="_Toc138749782"/>
      <w:bookmarkStart w:id="189" w:name="_Toc138752416"/>
      <w:r>
        <w:rPr>
          <w:rStyle w:val="CharPartNo"/>
        </w:rPr>
        <w:t>Part 5</w:t>
      </w:r>
      <w:r>
        <w:t> — </w:t>
      </w:r>
      <w:r>
        <w:rPr>
          <w:rStyle w:val="CharPartText"/>
        </w:rPr>
        <w:t>Dealing with young offenders without taking court proceedings</w:t>
      </w:r>
      <w:bookmarkEnd w:id="186"/>
      <w:bookmarkEnd w:id="182"/>
      <w:bookmarkEnd w:id="187"/>
      <w:bookmarkEnd w:id="188"/>
      <w:bookmarkEnd w:id="189"/>
      <w:r>
        <w:rPr>
          <w:rStyle w:val="CharPartText"/>
        </w:rPr>
        <w:t xml:space="preserve"> </w:t>
      </w:r>
    </w:p>
    <w:p>
      <w:pPr>
        <w:pStyle w:val="Heading3"/>
        <w:rPr>
          <w:snapToGrid w:val="0"/>
        </w:rPr>
      </w:pPr>
      <w:bookmarkStart w:id="190" w:name="_Toc200718659"/>
      <w:bookmarkStart w:id="191" w:name="_Toc138691014"/>
      <w:bookmarkStart w:id="192" w:name="_Toc138692509"/>
      <w:bookmarkStart w:id="193" w:name="_Toc138749783"/>
      <w:bookmarkStart w:id="194" w:name="_Toc138752417"/>
      <w:r>
        <w:rPr>
          <w:rStyle w:val="CharDivNo"/>
        </w:rPr>
        <w:t>Division 1</w:t>
      </w:r>
      <w:r>
        <w:rPr>
          <w:snapToGrid w:val="0"/>
        </w:rPr>
        <w:t> — </w:t>
      </w:r>
      <w:r>
        <w:rPr>
          <w:rStyle w:val="CharDivText"/>
        </w:rPr>
        <w:t>Cautioning</w:t>
      </w:r>
      <w:bookmarkEnd w:id="190"/>
      <w:bookmarkEnd w:id="191"/>
      <w:bookmarkEnd w:id="192"/>
      <w:bookmarkEnd w:id="193"/>
      <w:bookmarkEnd w:id="194"/>
      <w:r>
        <w:rPr>
          <w:rStyle w:val="CharDivText"/>
        </w:rPr>
        <w:t xml:space="preserve"> </w:t>
      </w:r>
    </w:p>
    <w:p>
      <w:pPr>
        <w:pStyle w:val="Heading5"/>
        <w:rPr>
          <w:snapToGrid w:val="0"/>
        </w:rPr>
      </w:pPr>
      <w:bookmarkStart w:id="195" w:name="_Toc200718660"/>
      <w:bookmarkStart w:id="196" w:name="_Toc138752418"/>
      <w:r>
        <w:rPr>
          <w:rStyle w:val="CharSectno"/>
        </w:rPr>
        <w:t>22A</w:t>
      </w:r>
      <w:r>
        <w:rPr>
          <w:snapToGrid w:val="0"/>
        </w:rPr>
        <w:t>.</w:t>
      </w:r>
      <w:r>
        <w:rPr>
          <w:snapToGrid w:val="0"/>
        </w:rPr>
        <w:tab/>
        <w:t>Purpose of this Division</w:t>
      </w:r>
      <w:bookmarkEnd w:id="195"/>
      <w:bookmarkEnd w:id="196"/>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197" w:name="_Toc200718661"/>
      <w:bookmarkStart w:id="198" w:name="_Toc138752419"/>
      <w:r>
        <w:rPr>
          <w:rStyle w:val="CharSectno"/>
        </w:rPr>
        <w:t>22B</w:t>
      </w:r>
      <w:r>
        <w:rPr>
          <w:snapToGrid w:val="0"/>
        </w:rPr>
        <w:t>.</w:t>
      </w:r>
      <w:r>
        <w:rPr>
          <w:snapToGrid w:val="0"/>
        </w:rPr>
        <w:tab/>
        <w:t>Police officer to consider alternatives to court proceedings</w:t>
      </w:r>
      <w:bookmarkEnd w:id="197"/>
      <w:bookmarkEnd w:id="198"/>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199" w:name="_Toc200718662"/>
      <w:bookmarkStart w:id="200" w:name="_Toc138752420"/>
      <w:r>
        <w:rPr>
          <w:rStyle w:val="CharSectno"/>
        </w:rPr>
        <w:t>22</w:t>
      </w:r>
      <w:r>
        <w:rPr>
          <w:snapToGrid w:val="0"/>
        </w:rPr>
        <w:t>.</w:t>
      </w:r>
      <w:r>
        <w:rPr>
          <w:snapToGrid w:val="0"/>
        </w:rPr>
        <w:tab/>
        <w:t>Cautions may be given except for Sch. 1 or 2 offences</w:t>
      </w:r>
      <w:bookmarkEnd w:id="199"/>
      <w:bookmarkEnd w:id="200"/>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201" w:name="_Toc200718663"/>
      <w:bookmarkStart w:id="202" w:name="_Toc138752421"/>
      <w:r>
        <w:rPr>
          <w:rStyle w:val="CharSectno"/>
        </w:rPr>
        <w:t>23</w:t>
      </w:r>
      <w:r>
        <w:rPr>
          <w:snapToGrid w:val="0"/>
        </w:rPr>
        <w:t>.</w:t>
      </w:r>
      <w:r>
        <w:rPr>
          <w:snapToGrid w:val="0"/>
        </w:rPr>
        <w:tab/>
        <w:t>Cautioning to be preferred in certain cases</w:t>
      </w:r>
      <w:bookmarkEnd w:id="201"/>
      <w:bookmarkEnd w:id="202"/>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203" w:name="_Toc200718664"/>
      <w:bookmarkStart w:id="204" w:name="_Toc138752422"/>
      <w:r>
        <w:rPr>
          <w:rStyle w:val="CharSectno"/>
        </w:rPr>
        <w:t>23A</w:t>
      </w:r>
      <w:r>
        <w:rPr>
          <w:snapToGrid w:val="0"/>
        </w:rPr>
        <w:t>.</w:t>
      </w:r>
      <w:r>
        <w:rPr>
          <w:snapToGrid w:val="0"/>
        </w:rPr>
        <w:tab/>
        <w:t>Caution certificate to be given</w:t>
      </w:r>
      <w:bookmarkEnd w:id="203"/>
      <w:bookmarkEnd w:id="204"/>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No. 47 of 1998 s. 8.]</w:t>
      </w:r>
    </w:p>
    <w:p>
      <w:pPr>
        <w:pStyle w:val="Heading5"/>
        <w:rPr>
          <w:snapToGrid w:val="0"/>
        </w:rPr>
      </w:pPr>
      <w:bookmarkStart w:id="205" w:name="_Toc200718665"/>
      <w:bookmarkStart w:id="206" w:name="_Toc138752423"/>
      <w:r>
        <w:rPr>
          <w:rStyle w:val="CharSectno"/>
        </w:rPr>
        <w:t>23B</w:t>
      </w:r>
      <w:r>
        <w:rPr>
          <w:snapToGrid w:val="0"/>
        </w:rPr>
        <w:t>.</w:t>
      </w:r>
      <w:r>
        <w:rPr>
          <w:snapToGrid w:val="0"/>
        </w:rPr>
        <w:tab/>
        <w:t>Police officer may retain a thing relating to an offence</w:t>
      </w:r>
      <w:bookmarkEnd w:id="205"/>
      <w:bookmarkEnd w:id="206"/>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No. 47 of 1998 s. 9.]</w:t>
      </w:r>
    </w:p>
    <w:p>
      <w:pPr>
        <w:pStyle w:val="Heading3"/>
        <w:rPr>
          <w:snapToGrid w:val="0"/>
        </w:rPr>
      </w:pPr>
      <w:bookmarkStart w:id="207" w:name="_Toc200718666"/>
      <w:bookmarkStart w:id="208" w:name="_Toc138691021"/>
      <w:bookmarkStart w:id="209" w:name="_Toc138692516"/>
      <w:bookmarkStart w:id="210" w:name="_Toc138749790"/>
      <w:bookmarkStart w:id="211" w:name="_Toc138752424"/>
      <w:r>
        <w:rPr>
          <w:rStyle w:val="CharDivNo"/>
        </w:rPr>
        <w:t>Division 2</w:t>
      </w:r>
      <w:r>
        <w:rPr>
          <w:snapToGrid w:val="0"/>
        </w:rPr>
        <w:t> — </w:t>
      </w:r>
      <w:r>
        <w:rPr>
          <w:rStyle w:val="CharDivText"/>
        </w:rPr>
        <w:t>Referral to juvenile justice team</w:t>
      </w:r>
      <w:bookmarkEnd w:id="207"/>
      <w:bookmarkEnd w:id="208"/>
      <w:bookmarkEnd w:id="209"/>
      <w:bookmarkEnd w:id="210"/>
      <w:bookmarkEnd w:id="211"/>
      <w:r>
        <w:rPr>
          <w:rStyle w:val="CharDivText"/>
        </w:rPr>
        <w:t xml:space="preserve"> </w:t>
      </w:r>
    </w:p>
    <w:p>
      <w:pPr>
        <w:pStyle w:val="Heading5"/>
        <w:rPr>
          <w:snapToGrid w:val="0"/>
        </w:rPr>
      </w:pPr>
      <w:bookmarkStart w:id="212" w:name="_Toc200718667"/>
      <w:bookmarkStart w:id="213" w:name="_Toc138752425"/>
      <w:r>
        <w:rPr>
          <w:rStyle w:val="CharSectno"/>
        </w:rPr>
        <w:t>24</w:t>
      </w:r>
      <w:r>
        <w:rPr>
          <w:snapToGrid w:val="0"/>
        </w:rPr>
        <w:t>.</w:t>
      </w:r>
      <w:r>
        <w:rPr>
          <w:snapToGrid w:val="0"/>
        </w:rPr>
        <w:tab/>
        <w:t>Principles</w:t>
      </w:r>
      <w:bookmarkEnd w:id="212"/>
      <w:bookmarkEnd w:id="213"/>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214" w:name="_Toc200718668"/>
      <w:bookmarkStart w:id="215" w:name="_Toc138752426"/>
      <w:r>
        <w:rPr>
          <w:rStyle w:val="CharSectno"/>
        </w:rPr>
        <w:t>25</w:t>
      </w:r>
      <w:r>
        <w:rPr>
          <w:snapToGrid w:val="0"/>
        </w:rPr>
        <w:t>.</w:t>
      </w:r>
      <w:r>
        <w:rPr>
          <w:snapToGrid w:val="0"/>
        </w:rPr>
        <w:tab/>
        <w:t>Only certain matters may be referred to teams</w:t>
      </w:r>
      <w:bookmarkEnd w:id="214"/>
      <w:bookmarkEnd w:id="215"/>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No. 58 of 2004 s. 12; No. 45 of 2010 s. 12.]</w:t>
      </w:r>
    </w:p>
    <w:p>
      <w:pPr>
        <w:pStyle w:val="Heading5"/>
        <w:rPr>
          <w:snapToGrid w:val="0"/>
        </w:rPr>
      </w:pPr>
      <w:bookmarkStart w:id="216" w:name="_Toc200718669"/>
      <w:bookmarkStart w:id="217" w:name="_Toc138752427"/>
      <w:r>
        <w:rPr>
          <w:rStyle w:val="CharSectno"/>
        </w:rPr>
        <w:t>26</w:t>
      </w:r>
      <w:r>
        <w:rPr>
          <w:snapToGrid w:val="0"/>
        </w:rPr>
        <w:t>.</w:t>
      </w:r>
      <w:r>
        <w:rPr>
          <w:snapToGrid w:val="0"/>
        </w:rPr>
        <w:tab/>
        <w:t>Release of young person under arrest</w:t>
      </w:r>
      <w:bookmarkEnd w:id="216"/>
      <w:bookmarkEnd w:id="217"/>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218" w:name="_Toc200718670"/>
      <w:bookmarkStart w:id="219" w:name="_Toc138752428"/>
      <w:r>
        <w:rPr>
          <w:rStyle w:val="CharSectno"/>
        </w:rPr>
        <w:t>27</w:t>
      </w:r>
      <w:r>
        <w:rPr>
          <w:snapToGrid w:val="0"/>
        </w:rPr>
        <w:t>.</w:t>
      </w:r>
      <w:r>
        <w:rPr>
          <w:snapToGrid w:val="0"/>
        </w:rPr>
        <w:tab/>
        <w:t>Referral to team by prosecutor</w:t>
      </w:r>
      <w:bookmarkEnd w:id="218"/>
      <w:bookmarkEnd w:id="219"/>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220" w:name="_Toc200718671"/>
      <w:bookmarkStart w:id="221" w:name="_Toc138752429"/>
      <w:r>
        <w:rPr>
          <w:rStyle w:val="CharSectno"/>
        </w:rPr>
        <w:t>28</w:t>
      </w:r>
      <w:r>
        <w:t>.</w:t>
      </w:r>
      <w:r>
        <w:tab/>
      </w:r>
      <w:r>
        <w:rPr>
          <w:snapToGrid w:val="0"/>
        </w:rPr>
        <w:t>Referral to team by court</w:t>
      </w:r>
      <w:bookmarkEnd w:id="220"/>
      <w:bookmarkEnd w:id="221"/>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No. 58 of 2004 s. 13.]</w:t>
      </w:r>
    </w:p>
    <w:p>
      <w:pPr>
        <w:pStyle w:val="Heading5"/>
        <w:rPr>
          <w:snapToGrid w:val="0"/>
        </w:rPr>
      </w:pPr>
      <w:bookmarkStart w:id="222" w:name="_Toc200718672"/>
      <w:bookmarkStart w:id="223" w:name="_Toc138752430"/>
      <w:r>
        <w:rPr>
          <w:rStyle w:val="CharSectno"/>
        </w:rPr>
        <w:t>29</w:t>
      </w:r>
      <w:r>
        <w:rPr>
          <w:snapToGrid w:val="0"/>
        </w:rPr>
        <w:t>.</w:t>
      </w:r>
      <w:r>
        <w:rPr>
          <w:snapToGrid w:val="0"/>
        </w:rPr>
        <w:tab/>
        <w:t>First offenders usually should be referred to team</w:t>
      </w:r>
      <w:bookmarkEnd w:id="222"/>
      <w:bookmarkEnd w:id="223"/>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No. 58 of 2004 s. 14; No. 45 of 2010 s. 13.]</w:t>
      </w:r>
    </w:p>
    <w:p>
      <w:pPr>
        <w:pStyle w:val="Heading5"/>
        <w:rPr>
          <w:snapToGrid w:val="0"/>
        </w:rPr>
      </w:pPr>
      <w:bookmarkStart w:id="224" w:name="_Toc200718673"/>
      <w:bookmarkStart w:id="225" w:name="_Toc138752431"/>
      <w:r>
        <w:rPr>
          <w:rStyle w:val="CharSectno"/>
        </w:rPr>
        <w:t>30</w:t>
      </w:r>
      <w:r>
        <w:rPr>
          <w:snapToGrid w:val="0"/>
        </w:rPr>
        <w:t>.</w:t>
      </w:r>
      <w:r>
        <w:rPr>
          <w:snapToGrid w:val="0"/>
        </w:rPr>
        <w:tab/>
        <w:t>Role of responsible adult</w:t>
      </w:r>
      <w:bookmarkEnd w:id="224"/>
      <w:bookmarkEnd w:id="225"/>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226" w:name="_Toc200718674"/>
      <w:bookmarkStart w:id="227" w:name="_Toc138752432"/>
      <w:r>
        <w:rPr>
          <w:rStyle w:val="CharSectno"/>
        </w:rPr>
        <w:t>31</w:t>
      </w:r>
      <w:r>
        <w:rPr>
          <w:snapToGrid w:val="0"/>
        </w:rPr>
        <w:t>.</w:t>
      </w:r>
      <w:r>
        <w:rPr>
          <w:snapToGrid w:val="0"/>
        </w:rPr>
        <w:tab/>
        <w:t>Role of victim</w:t>
      </w:r>
      <w:bookmarkEnd w:id="226"/>
      <w:bookmarkEnd w:id="227"/>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No. 58 of 2004 s. 15.]</w:t>
      </w:r>
    </w:p>
    <w:p>
      <w:pPr>
        <w:pStyle w:val="Heading5"/>
        <w:rPr>
          <w:snapToGrid w:val="0"/>
        </w:rPr>
      </w:pPr>
      <w:bookmarkStart w:id="228" w:name="_Toc200718675"/>
      <w:bookmarkStart w:id="229" w:name="_Toc138752433"/>
      <w:r>
        <w:rPr>
          <w:rStyle w:val="CharSectno"/>
        </w:rPr>
        <w:t>32</w:t>
      </w:r>
      <w:r>
        <w:rPr>
          <w:snapToGrid w:val="0"/>
        </w:rPr>
        <w:t>.</w:t>
      </w:r>
      <w:r>
        <w:rPr>
          <w:snapToGrid w:val="0"/>
        </w:rPr>
        <w:tab/>
        <w:t>Powers of juvenile justice team</w:t>
      </w:r>
      <w:bookmarkEnd w:id="228"/>
      <w:bookmarkEnd w:id="229"/>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No. 58 of 2004 s. 16.]</w:t>
      </w:r>
    </w:p>
    <w:p>
      <w:pPr>
        <w:pStyle w:val="Heading5"/>
        <w:rPr>
          <w:snapToGrid w:val="0"/>
        </w:rPr>
      </w:pPr>
      <w:bookmarkStart w:id="230" w:name="_Toc200718676"/>
      <w:bookmarkStart w:id="231" w:name="_Toc138752434"/>
      <w:r>
        <w:rPr>
          <w:rStyle w:val="CharSectno"/>
        </w:rPr>
        <w:t>33</w:t>
      </w:r>
      <w:r>
        <w:rPr>
          <w:snapToGrid w:val="0"/>
        </w:rPr>
        <w:t>.</w:t>
      </w:r>
      <w:r>
        <w:rPr>
          <w:snapToGrid w:val="0"/>
        </w:rPr>
        <w:tab/>
        <w:t>Effect on liability to be dealt with by court</w:t>
      </w:r>
      <w:bookmarkEnd w:id="230"/>
      <w:bookmarkEnd w:id="231"/>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No. 84 of 2004 s. 80.]</w:t>
      </w:r>
    </w:p>
    <w:p>
      <w:pPr>
        <w:pStyle w:val="Heading5"/>
        <w:rPr>
          <w:snapToGrid w:val="0"/>
        </w:rPr>
      </w:pPr>
      <w:bookmarkStart w:id="232" w:name="_Toc200718677"/>
      <w:bookmarkStart w:id="233" w:name="_Toc138752435"/>
      <w:r>
        <w:rPr>
          <w:rStyle w:val="CharSectno"/>
        </w:rPr>
        <w:t>34</w:t>
      </w:r>
      <w:r>
        <w:rPr>
          <w:snapToGrid w:val="0"/>
        </w:rPr>
        <w:t>.</w:t>
      </w:r>
      <w:r>
        <w:rPr>
          <w:snapToGrid w:val="0"/>
        </w:rPr>
        <w:tab/>
        <w:t>Civil liability not affected</w:t>
      </w:r>
      <w:bookmarkEnd w:id="232"/>
      <w:bookmarkEnd w:id="233"/>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234" w:name="_Toc200718678"/>
      <w:bookmarkStart w:id="235" w:name="_Toc138691033"/>
      <w:bookmarkStart w:id="236" w:name="_Toc138692528"/>
      <w:bookmarkStart w:id="237" w:name="_Toc138749802"/>
      <w:bookmarkStart w:id="238" w:name="_Toc138752436"/>
      <w:r>
        <w:rPr>
          <w:rStyle w:val="CharDivNo"/>
        </w:rPr>
        <w:t>Division 3</w:t>
      </w:r>
      <w:r>
        <w:rPr>
          <w:snapToGrid w:val="0"/>
        </w:rPr>
        <w:t> — </w:t>
      </w:r>
      <w:r>
        <w:rPr>
          <w:rStyle w:val="CharDivText"/>
        </w:rPr>
        <w:t>Juvenile justice teams</w:t>
      </w:r>
      <w:bookmarkEnd w:id="234"/>
      <w:bookmarkEnd w:id="235"/>
      <w:bookmarkEnd w:id="236"/>
      <w:bookmarkEnd w:id="237"/>
      <w:bookmarkEnd w:id="238"/>
      <w:r>
        <w:rPr>
          <w:rStyle w:val="CharDivText"/>
        </w:rPr>
        <w:t xml:space="preserve"> </w:t>
      </w:r>
    </w:p>
    <w:p>
      <w:pPr>
        <w:pStyle w:val="Heading5"/>
        <w:spacing w:before="180"/>
        <w:rPr>
          <w:snapToGrid w:val="0"/>
        </w:rPr>
      </w:pPr>
      <w:bookmarkStart w:id="239" w:name="_Toc200718679"/>
      <w:bookmarkStart w:id="240" w:name="_Toc138752437"/>
      <w:r>
        <w:rPr>
          <w:rStyle w:val="CharSectno"/>
        </w:rPr>
        <w:t>35</w:t>
      </w:r>
      <w:r>
        <w:rPr>
          <w:snapToGrid w:val="0"/>
        </w:rPr>
        <w:t>.</w:t>
      </w:r>
      <w:r>
        <w:rPr>
          <w:snapToGrid w:val="0"/>
        </w:rPr>
        <w:tab/>
        <w:t>Terms used</w:t>
      </w:r>
      <w:bookmarkEnd w:id="239"/>
      <w:bookmarkEnd w:id="240"/>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No. 58 of 2004 s. 17.]</w:t>
      </w:r>
    </w:p>
    <w:p>
      <w:pPr>
        <w:pStyle w:val="Heading5"/>
        <w:spacing w:before="180"/>
        <w:rPr>
          <w:snapToGrid w:val="0"/>
        </w:rPr>
      </w:pPr>
      <w:bookmarkStart w:id="241" w:name="_Toc200718680"/>
      <w:bookmarkStart w:id="242" w:name="_Toc138752438"/>
      <w:r>
        <w:rPr>
          <w:rStyle w:val="CharSectno"/>
        </w:rPr>
        <w:t>36</w:t>
      </w:r>
      <w:r>
        <w:rPr>
          <w:snapToGrid w:val="0"/>
        </w:rPr>
        <w:t>.</w:t>
      </w:r>
      <w:r>
        <w:rPr>
          <w:snapToGrid w:val="0"/>
        </w:rPr>
        <w:tab/>
        <w:t>Juvenile Justice Team Coordinator, appointment of</w:t>
      </w:r>
      <w:bookmarkEnd w:id="241"/>
      <w:bookmarkEnd w:id="242"/>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243" w:name="_Toc200718681"/>
      <w:bookmarkStart w:id="244" w:name="_Toc138752439"/>
      <w:r>
        <w:rPr>
          <w:rStyle w:val="CharSectno"/>
        </w:rPr>
        <w:t>37</w:t>
      </w:r>
      <w:r>
        <w:rPr>
          <w:snapToGrid w:val="0"/>
        </w:rPr>
        <w:t>.</w:t>
      </w:r>
      <w:r>
        <w:rPr>
          <w:snapToGrid w:val="0"/>
        </w:rPr>
        <w:tab/>
        <w:t>Establishing juvenile justice teams</w:t>
      </w:r>
      <w:bookmarkEnd w:id="243"/>
      <w:bookmarkEnd w:id="244"/>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No. 36 of 1999 s. 247; No. 58 of 2004 s. 19.]</w:t>
      </w:r>
    </w:p>
    <w:p>
      <w:pPr>
        <w:pStyle w:val="Heading5"/>
      </w:pPr>
      <w:bookmarkStart w:id="245" w:name="_Toc200718682"/>
      <w:bookmarkStart w:id="246" w:name="_Toc138752440"/>
      <w:r>
        <w:rPr>
          <w:rStyle w:val="CharSectno"/>
        </w:rPr>
        <w:t>37A</w:t>
      </w:r>
      <w:r>
        <w:t>.</w:t>
      </w:r>
      <w:r>
        <w:tab/>
        <w:t>No representation by lawyer or agent</w:t>
      </w:r>
      <w:bookmarkEnd w:id="245"/>
      <w:bookmarkEnd w:id="246"/>
    </w:p>
    <w:p>
      <w:pPr>
        <w:pStyle w:val="Ednotesubsection"/>
        <w:keepNext/>
      </w:pPr>
      <w:r>
        <w:tab/>
        <w:t>[(1)</w:t>
      </w:r>
      <w:r>
        <w:tab/>
        <w:t>deleted]</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No. 58 of 2004 s. 20; amended: No. 21 of 2008 s. 714(2) and (3); No. 9 of 2022 s. 422.]</w:t>
      </w:r>
    </w:p>
    <w:p>
      <w:pPr>
        <w:pStyle w:val="Heading5"/>
        <w:keepNext w:val="0"/>
        <w:keepLines w:val="0"/>
        <w:spacing w:before="240"/>
        <w:rPr>
          <w:snapToGrid w:val="0"/>
        </w:rPr>
      </w:pPr>
      <w:bookmarkStart w:id="247" w:name="_Toc200718683"/>
      <w:bookmarkStart w:id="248" w:name="_Toc138752441"/>
      <w:r>
        <w:rPr>
          <w:rStyle w:val="CharSectno"/>
        </w:rPr>
        <w:t>38</w:t>
      </w:r>
      <w:r>
        <w:rPr>
          <w:snapToGrid w:val="0"/>
        </w:rPr>
        <w:t>.</w:t>
      </w:r>
      <w:r>
        <w:rPr>
          <w:snapToGrid w:val="0"/>
        </w:rPr>
        <w:tab/>
        <w:t>Decisions to be unanimous</w:t>
      </w:r>
      <w:bookmarkEnd w:id="247"/>
      <w:bookmarkEnd w:id="248"/>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249" w:name="_Toc200718684"/>
      <w:bookmarkStart w:id="250" w:name="_Toc138752442"/>
      <w:r>
        <w:rPr>
          <w:rStyle w:val="CharSectno"/>
        </w:rPr>
        <w:t>39</w:t>
      </w:r>
      <w:r>
        <w:rPr>
          <w:snapToGrid w:val="0"/>
        </w:rPr>
        <w:t>.</w:t>
      </w:r>
      <w:r>
        <w:rPr>
          <w:snapToGrid w:val="0"/>
        </w:rPr>
        <w:tab/>
        <w:t>Records to be kept</w:t>
      </w:r>
      <w:bookmarkEnd w:id="249"/>
      <w:bookmarkEnd w:id="250"/>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251" w:name="_Toc200718685"/>
      <w:bookmarkStart w:id="252" w:name="_Toc138752443"/>
      <w:r>
        <w:rPr>
          <w:rStyle w:val="CharSectno"/>
        </w:rPr>
        <w:t>40</w:t>
      </w:r>
      <w:r>
        <w:rPr>
          <w:snapToGrid w:val="0"/>
        </w:rPr>
        <w:t>.</w:t>
      </w:r>
      <w:r>
        <w:rPr>
          <w:snapToGrid w:val="0"/>
        </w:rPr>
        <w:tab/>
        <w:t>No report of proceedings to be published</w:t>
      </w:r>
      <w:bookmarkEnd w:id="251"/>
      <w:bookmarkEnd w:id="252"/>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253" w:name="_Toc200718686"/>
      <w:bookmarkStart w:id="254" w:name="_Toc138691041"/>
      <w:bookmarkStart w:id="255" w:name="_Toc138692536"/>
      <w:bookmarkStart w:id="256" w:name="_Toc138749810"/>
      <w:bookmarkStart w:id="257" w:name="_Toc138752444"/>
      <w:r>
        <w:rPr>
          <w:rStyle w:val="CharPartNo"/>
        </w:rPr>
        <w:t>Part 6</w:t>
      </w:r>
      <w:r>
        <w:rPr>
          <w:rStyle w:val="CharDivNo"/>
        </w:rPr>
        <w:t> </w:t>
      </w:r>
      <w:r>
        <w:t>—</w:t>
      </w:r>
      <w:r>
        <w:rPr>
          <w:rStyle w:val="CharDivText"/>
        </w:rPr>
        <w:t> </w:t>
      </w:r>
      <w:r>
        <w:rPr>
          <w:rStyle w:val="CharPartText"/>
        </w:rPr>
        <w:t>Court proceedings</w:t>
      </w:r>
      <w:bookmarkEnd w:id="253"/>
      <w:bookmarkEnd w:id="254"/>
      <w:bookmarkEnd w:id="255"/>
      <w:bookmarkEnd w:id="256"/>
      <w:bookmarkEnd w:id="257"/>
      <w:r>
        <w:rPr>
          <w:rStyle w:val="CharPartText"/>
        </w:rPr>
        <w:t xml:space="preserve"> </w:t>
      </w:r>
    </w:p>
    <w:p>
      <w:pPr>
        <w:pStyle w:val="Heading5"/>
        <w:rPr>
          <w:snapToGrid w:val="0"/>
        </w:rPr>
      </w:pPr>
      <w:bookmarkStart w:id="258" w:name="_Toc200718687"/>
      <w:bookmarkStart w:id="259" w:name="_Toc138752445"/>
      <w:r>
        <w:rPr>
          <w:rStyle w:val="CharSectno"/>
        </w:rPr>
        <w:t>41</w:t>
      </w:r>
      <w:r>
        <w:rPr>
          <w:snapToGrid w:val="0"/>
        </w:rPr>
        <w:t>.</w:t>
      </w:r>
      <w:r>
        <w:rPr>
          <w:snapToGrid w:val="0"/>
        </w:rPr>
        <w:tab/>
        <w:t>Preliminary considerations for police before prosecuting</w:t>
      </w:r>
      <w:bookmarkEnd w:id="258"/>
      <w:bookmarkEnd w:id="259"/>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260" w:name="_Toc200718688"/>
      <w:bookmarkStart w:id="261" w:name="_Toc138752446"/>
      <w:r>
        <w:rPr>
          <w:rStyle w:val="CharSectno"/>
        </w:rPr>
        <w:t>42</w:t>
      </w:r>
      <w:r>
        <w:rPr>
          <w:snapToGrid w:val="0"/>
        </w:rPr>
        <w:t>.</w:t>
      </w:r>
      <w:r>
        <w:rPr>
          <w:snapToGrid w:val="0"/>
        </w:rPr>
        <w:tab/>
        <w:t>Notice to attend court usually preferable to summons</w:t>
      </w:r>
      <w:bookmarkEnd w:id="260"/>
      <w:bookmarkEnd w:id="261"/>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No. 84 of 2004 s. 80.]</w:t>
      </w:r>
    </w:p>
    <w:p>
      <w:pPr>
        <w:pStyle w:val="Heading5"/>
        <w:rPr>
          <w:snapToGrid w:val="0"/>
        </w:rPr>
      </w:pPr>
      <w:bookmarkStart w:id="262" w:name="_Toc200718689"/>
      <w:bookmarkStart w:id="263" w:name="_Toc138752447"/>
      <w:r>
        <w:rPr>
          <w:rStyle w:val="CharSectno"/>
        </w:rPr>
        <w:t>43</w:t>
      </w:r>
      <w:r>
        <w:rPr>
          <w:snapToGrid w:val="0"/>
        </w:rPr>
        <w:t>.</w:t>
      </w:r>
      <w:r>
        <w:rPr>
          <w:snapToGrid w:val="0"/>
        </w:rPr>
        <w:tab/>
        <w:t>Notices to attend court, general provisions about</w:t>
      </w:r>
      <w:bookmarkEnd w:id="262"/>
      <w:bookmarkEnd w:id="263"/>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264" w:name="_Toc200718690"/>
      <w:bookmarkStart w:id="265" w:name="_Toc138752448"/>
      <w:r>
        <w:rPr>
          <w:rStyle w:val="CharSectno"/>
        </w:rPr>
        <w:t>44</w:t>
      </w:r>
      <w:r>
        <w:rPr>
          <w:snapToGrid w:val="0"/>
        </w:rPr>
        <w:t>.</w:t>
      </w:r>
      <w:r>
        <w:rPr>
          <w:snapToGrid w:val="0"/>
        </w:rPr>
        <w:tab/>
        <w:t>Proceedings to be explained to young persons</w:t>
      </w:r>
      <w:bookmarkEnd w:id="264"/>
      <w:bookmarkEnd w:id="265"/>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266" w:name="_Toc200718691"/>
      <w:bookmarkStart w:id="267" w:name="_Toc138752449"/>
      <w:r>
        <w:rPr>
          <w:rStyle w:val="CharSectno"/>
        </w:rPr>
        <w:t>45</w:t>
      </w:r>
      <w:r>
        <w:rPr>
          <w:snapToGrid w:val="0"/>
        </w:rPr>
        <w:t>.</w:t>
      </w:r>
      <w:r>
        <w:rPr>
          <w:snapToGrid w:val="0"/>
        </w:rPr>
        <w:tab/>
        <w:t>Responsible adult may be required to attend court</w:t>
      </w:r>
      <w:bookmarkEnd w:id="266"/>
      <w:bookmarkEnd w:id="267"/>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268" w:name="_Toc200718692"/>
      <w:bookmarkStart w:id="269" w:name="_Toc138691047"/>
      <w:bookmarkStart w:id="270" w:name="_Toc138692542"/>
      <w:bookmarkStart w:id="271" w:name="_Toc138749816"/>
      <w:bookmarkStart w:id="272" w:name="_Toc138752450"/>
      <w:r>
        <w:rPr>
          <w:rStyle w:val="CharPartNo"/>
        </w:rPr>
        <w:t>Part 7</w:t>
      </w:r>
      <w:r>
        <w:t> — </w:t>
      </w:r>
      <w:r>
        <w:rPr>
          <w:rStyle w:val="CharPartText"/>
        </w:rPr>
        <w:t>Sentencing and related matters</w:t>
      </w:r>
      <w:bookmarkEnd w:id="268"/>
      <w:bookmarkEnd w:id="269"/>
      <w:bookmarkEnd w:id="270"/>
      <w:bookmarkEnd w:id="271"/>
      <w:bookmarkEnd w:id="272"/>
      <w:r>
        <w:rPr>
          <w:rStyle w:val="CharPartText"/>
        </w:rPr>
        <w:t xml:space="preserve"> </w:t>
      </w:r>
    </w:p>
    <w:p>
      <w:pPr>
        <w:pStyle w:val="Heading3"/>
        <w:rPr>
          <w:snapToGrid w:val="0"/>
        </w:rPr>
      </w:pPr>
      <w:bookmarkStart w:id="273" w:name="_Toc200718693"/>
      <w:bookmarkStart w:id="274" w:name="_Toc138691048"/>
      <w:bookmarkStart w:id="275" w:name="_Toc138692543"/>
      <w:bookmarkStart w:id="276" w:name="_Toc138749817"/>
      <w:bookmarkStart w:id="277" w:name="_Toc138752451"/>
      <w:r>
        <w:rPr>
          <w:rStyle w:val="CharDivNo"/>
        </w:rPr>
        <w:t>Division 1</w:t>
      </w:r>
      <w:r>
        <w:rPr>
          <w:snapToGrid w:val="0"/>
        </w:rPr>
        <w:t> — </w:t>
      </w:r>
      <w:r>
        <w:rPr>
          <w:rStyle w:val="CharDivText"/>
        </w:rPr>
        <w:t>General</w:t>
      </w:r>
      <w:bookmarkEnd w:id="273"/>
      <w:bookmarkEnd w:id="274"/>
      <w:bookmarkEnd w:id="275"/>
      <w:bookmarkEnd w:id="276"/>
      <w:bookmarkEnd w:id="277"/>
      <w:r>
        <w:rPr>
          <w:rStyle w:val="CharDivText"/>
        </w:rPr>
        <w:t xml:space="preserve"> </w:t>
      </w:r>
    </w:p>
    <w:p>
      <w:pPr>
        <w:pStyle w:val="Heading5"/>
        <w:spacing w:before="120"/>
        <w:rPr>
          <w:snapToGrid w:val="0"/>
        </w:rPr>
      </w:pPr>
      <w:bookmarkStart w:id="278" w:name="_Toc200718694"/>
      <w:bookmarkStart w:id="279" w:name="_Toc138752452"/>
      <w:r>
        <w:rPr>
          <w:rStyle w:val="CharSectno"/>
        </w:rPr>
        <w:t>46</w:t>
      </w:r>
      <w:r>
        <w:rPr>
          <w:snapToGrid w:val="0"/>
        </w:rPr>
        <w:t>.</w:t>
      </w:r>
      <w:r>
        <w:rPr>
          <w:snapToGrid w:val="0"/>
        </w:rPr>
        <w:tab/>
        <w:t>Principles and considerations to be applied to young offenders</w:t>
      </w:r>
      <w:bookmarkEnd w:id="278"/>
      <w:bookmarkEnd w:id="279"/>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No. 78 of 1995 s. 145; No. 8 of 2012 s. 201; No. 23 of 2015 s. 23; No. 16 of 2016 s. 44.] </w:t>
      </w:r>
    </w:p>
    <w:p>
      <w:pPr>
        <w:pStyle w:val="Heading5"/>
        <w:rPr>
          <w:snapToGrid w:val="0"/>
        </w:rPr>
      </w:pPr>
      <w:bookmarkStart w:id="280" w:name="_Toc200718695"/>
      <w:bookmarkStart w:id="281" w:name="_Toc138752453"/>
      <w:r>
        <w:rPr>
          <w:rStyle w:val="CharSectno"/>
        </w:rPr>
        <w:t>46A</w:t>
      </w:r>
      <w:r>
        <w:rPr>
          <w:snapToGrid w:val="0"/>
        </w:rPr>
        <w:t>.</w:t>
      </w:r>
      <w:r>
        <w:rPr>
          <w:snapToGrid w:val="0"/>
        </w:rPr>
        <w:tab/>
        <w:t xml:space="preserve">Application of </w:t>
      </w:r>
      <w:r>
        <w:rPr>
          <w:i/>
          <w:snapToGrid w:val="0"/>
        </w:rPr>
        <w:t>Sentencing Act 1995</w:t>
      </w:r>
      <w:bookmarkEnd w:id="280"/>
      <w:bookmarkEnd w:id="281"/>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No. 78 of 1995 s. 140.] </w:t>
      </w:r>
    </w:p>
    <w:p>
      <w:pPr>
        <w:pStyle w:val="Heading5"/>
        <w:rPr>
          <w:snapToGrid w:val="0"/>
        </w:rPr>
      </w:pPr>
      <w:bookmarkStart w:id="282" w:name="_Toc200718696"/>
      <w:bookmarkStart w:id="283" w:name="_Toc138752454"/>
      <w:r>
        <w:rPr>
          <w:rStyle w:val="CharSectno"/>
        </w:rPr>
        <w:t>47</w:t>
      </w:r>
      <w:r>
        <w:rPr>
          <w:snapToGrid w:val="0"/>
        </w:rPr>
        <w:t>.</w:t>
      </w:r>
      <w:r>
        <w:rPr>
          <w:snapToGrid w:val="0"/>
        </w:rPr>
        <w:tab/>
        <w:t>Court may request information</w:t>
      </w:r>
      <w:bookmarkEnd w:id="282"/>
      <w:bookmarkEnd w:id="283"/>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284" w:name="_Toc200718697"/>
      <w:bookmarkStart w:id="285" w:name="_Toc138752455"/>
      <w:r>
        <w:rPr>
          <w:rStyle w:val="CharSectno"/>
        </w:rPr>
        <w:t>48</w:t>
      </w:r>
      <w:r>
        <w:rPr>
          <w:snapToGrid w:val="0"/>
        </w:rPr>
        <w:t>.</w:t>
      </w:r>
      <w:r>
        <w:rPr>
          <w:snapToGrid w:val="0"/>
        </w:rPr>
        <w:tab/>
        <w:t>Certain reports required</w:t>
      </w:r>
      <w:bookmarkEnd w:id="284"/>
      <w:bookmarkEnd w:id="285"/>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286" w:name="_Toc200718698"/>
      <w:bookmarkStart w:id="287" w:name="_Toc138752456"/>
      <w:r>
        <w:rPr>
          <w:rStyle w:val="CharSectno"/>
        </w:rPr>
        <w:t>49</w:t>
      </w:r>
      <w:r>
        <w:rPr>
          <w:snapToGrid w:val="0"/>
        </w:rPr>
        <w:t>.</w:t>
      </w:r>
      <w:r>
        <w:rPr>
          <w:snapToGrid w:val="0"/>
        </w:rPr>
        <w:tab/>
        <w:t>Remand for observation</w:t>
      </w:r>
      <w:bookmarkEnd w:id="286"/>
      <w:bookmarkEnd w:id="287"/>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288" w:name="_Toc200718699"/>
      <w:bookmarkStart w:id="289" w:name="_Toc138752457"/>
      <w:r>
        <w:rPr>
          <w:rStyle w:val="CharSectno"/>
        </w:rPr>
        <w:t>50</w:t>
      </w:r>
      <w:r>
        <w:rPr>
          <w:snapToGrid w:val="0"/>
        </w:rPr>
        <w:t>.</w:t>
      </w:r>
      <w:r>
        <w:rPr>
          <w:snapToGrid w:val="0"/>
        </w:rPr>
        <w:tab/>
        <w:t>Offender aged under 17 at time of sentence, options</w:t>
      </w:r>
      <w:bookmarkEnd w:id="288"/>
      <w:bookmarkEnd w:id="289"/>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No. 78 of 1995 s. 142.] </w:t>
      </w:r>
    </w:p>
    <w:p>
      <w:pPr>
        <w:pStyle w:val="Heading5"/>
        <w:spacing w:before="180"/>
        <w:rPr>
          <w:snapToGrid w:val="0"/>
        </w:rPr>
      </w:pPr>
      <w:bookmarkStart w:id="290" w:name="_Toc200718700"/>
      <w:bookmarkStart w:id="291" w:name="_Toc138752458"/>
      <w:r>
        <w:rPr>
          <w:rStyle w:val="CharSectno"/>
        </w:rPr>
        <w:t>50A</w:t>
      </w:r>
      <w:r>
        <w:rPr>
          <w:snapToGrid w:val="0"/>
        </w:rPr>
        <w:t>.</w:t>
      </w:r>
      <w:r>
        <w:rPr>
          <w:snapToGrid w:val="0"/>
        </w:rPr>
        <w:tab/>
        <w:t>Offender aged 17 or over but under 18 at time of sentence, options</w:t>
      </w:r>
      <w:bookmarkEnd w:id="290"/>
      <w:bookmarkEnd w:id="291"/>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No. 78 of 1995 s. 142; amended: No. 50 of 2003 s. 29(3).] </w:t>
      </w:r>
    </w:p>
    <w:p>
      <w:pPr>
        <w:pStyle w:val="Heading5"/>
        <w:rPr>
          <w:snapToGrid w:val="0"/>
        </w:rPr>
      </w:pPr>
      <w:bookmarkStart w:id="292" w:name="_Toc200718701"/>
      <w:bookmarkStart w:id="293" w:name="_Toc138752459"/>
      <w:r>
        <w:rPr>
          <w:rStyle w:val="CharSectno"/>
        </w:rPr>
        <w:t>50B</w:t>
      </w:r>
      <w:r>
        <w:rPr>
          <w:snapToGrid w:val="0"/>
        </w:rPr>
        <w:t>.</w:t>
      </w:r>
      <w:r>
        <w:rPr>
          <w:snapToGrid w:val="0"/>
        </w:rPr>
        <w:tab/>
        <w:t>Offender aged 18 or over at time of sentence, options</w:t>
      </w:r>
      <w:bookmarkEnd w:id="292"/>
      <w:bookmarkEnd w:id="293"/>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No. 78 of 1995 s. 142; amended: No. 50 of 2003 s. 29(3).] </w:t>
      </w:r>
    </w:p>
    <w:p>
      <w:pPr>
        <w:pStyle w:val="Heading5"/>
        <w:rPr>
          <w:snapToGrid w:val="0"/>
        </w:rPr>
      </w:pPr>
      <w:bookmarkStart w:id="294" w:name="_Toc200718702"/>
      <w:bookmarkStart w:id="295" w:name="_Toc138752460"/>
      <w:r>
        <w:rPr>
          <w:rStyle w:val="CharSectno"/>
        </w:rPr>
        <w:t>51</w:t>
      </w:r>
      <w:r>
        <w:rPr>
          <w:snapToGrid w:val="0"/>
        </w:rPr>
        <w:t>.</w:t>
      </w:r>
      <w:r>
        <w:rPr>
          <w:snapToGrid w:val="0"/>
        </w:rPr>
        <w:tab/>
        <w:t>Responsible adult to be present for certain orders</w:t>
      </w:r>
      <w:bookmarkEnd w:id="294"/>
      <w:bookmarkEnd w:id="295"/>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296" w:name="_Toc200718703"/>
      <w:bookmarkStart w:id="297" w:name="_Toc138752461"/>
      <w:r>
        <w:rPr>
          <w:rStyle w:val="CharSectno"/>
        </w:rPr>
        <w:t>52</w:t>
      </w:r>
      <w:r>
        <w:rPr>
          <w:snapToGrid w:val="0"/>
        </w:rPr>
        <w:t>.</w:t>
      </w:r>
      <w:r>
        <w:rPr>
          <w:snapToGrid w:val="0"/>
        </w:rPr>
        <w:tab/>
        <w:t>Order requiring consent to be explained</w:t>
      </w:r>
      <w:bookmarkEnd w:id="296"/>
      <w:bookmarkEnd w:id="297"/>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No. 78 of 1995 s. 145.] </w:t>
      </w:r>
    </w:p>
    <w:p>
      <w:pPr>
        <w:pStyle w:val="Heading5"/>
        <w:spacing w:before="240"/>
        <w:rPr>
          <w:snapToGrid w:val="0"/>
        </w:rPr>
      </w:pPr>
      <w:bookmarkStart w:id="298" w:name="_Toc200718704"/>
      <w:bookmarkStart w:id="299" w:name="_Toc138752462"/>
      <w:r>
        <w:rPr>
          <w:rStyle w:val="CharSectno"/>
        </w:rPr>
        <w:t>54</w:t>
      </w:r>
      <w:r>
        <w:rPr>
          <w:snapToGrid w:val="0"/>
        </w:rPr>
        <w:t>.</w:t>
      </w:r>
      <w:r>
        <w:rPr>
          <w:snapToGrid w:val="0"/>
        </w:rPr>
        <w:tab/>
        <w:t>Body samples may be required to be provided</w:t>
      </w:r>
      <w:bookmarkEnd w:id="298"/>
      <w:bookmarkEnd w:id="299"/>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No. 58 of 2004 s. 21.]</w:t>
      </w:r>
    </w:p>
    <w:p>
      <w:pPr>
        <w:pStyle w:val="Heading5"/>
        <w:rPr>
          <w:snapToGrid w:val="0"/>
        </w:rPr>
      </w:pPr>
      <w:bookmarkStart w:id="300" w:name="_Toc200718705"/>
      <w:bookmarkStart w:id="301" w:name="_Toc138752463"/>
      <w:r>
        <w:rPr>
          <w:rStyle w:val="CharSectno"/>
        </w:rPr>
        <w:t>55</w:t>
      </w:r>
      <w:r>
        <w:rPr>
          <w:snapToGrid w:val="0"/>
        </w:rPr>
        <w:t>.</w:t>
      </w:r>
      <w:r>
        <w:rPr>
          <w:snapToGrid w:val="0"/>
        </w:rPr>
        <w:tab/>
        <w:t>Conviction, when to be recorded</w:t>
      </w:r>
      <w:bookmarkEnd w:id="300"/>
      <w:bookmarkEnd w:id="301"/>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No. 84 of 2004 s. 74; No. 8 of 2012 s. 202.]</w:t>
      </w:r>
    </w:p>
    <w:p>
      <w:pPr>
        <w:pStyle w:val="Heading5"/>
        <w:spacing w:before="180"/>
        <w:rPr>
          <w:snapToGrid w:val="0"/>
        </w:rPr>
      </w:pPr>
      <w:bookmarkStart w:id="302" w:name="_Toc200718706"/>
      <w:bookmarkStart w:id="303" w:name="_Toc138752464"/>
      <w:r>
        <w:rPr>
          <w:rStyle w:val="CharSectno"/>
        </w:rPr>
        <w:t>56</w:t>
      </w:r>
      <w:r>
        <w:rPr>
          <w:snapToGrid w:val="0"/>
        </w:rPr>
        <w:t>.</w:t>
      </w:r>
      <w:r>
        <w:rPr>
          <w:snapToGrid w:val="0"/>
        </w:rPr>
        <w:tab/>
        <w:t>Compensation and restitution, orders for</w:t>
      </w:r>
      <w:bookmarkEnd w:id="302"/>
      <w:bookmarkEnd w:id="303"/>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No. 59 of 2004 s. 141.]</w:t>
      </w:r>
    </w:p>
    <w:p>
      <w:pPr>
        <w:pStyle w:val="Heading5"/>
        <w:rPr>
          <w:snapToGrid w:val="0"/>
        </w:rPr>
      </w:pPr>
      <w:bookmarkStart w:id="304" w:name="_Toc200718707"/>
      <w:bookmarkStart w:id="305" w:name="_Toc138752465"/>
      <w:r>
        <w:rPr>
          <w:rStyle w:val="CharSectno"/>
        </w:rPr>
        <w:t>57</w:t>
      </w:r>
      <w:r>
        <w:rPr>
          <w:snapToGrid w:val="0"/>
        </w:rPr>
        <w:t>.</w:t>
      </w:r>
      <w:r>
        <w:rPr>
          <w:snapToGrid w:val="0"/>
        </w:rPr>
        <w:tab/>
        <w:t>Costs may be ordered to be paid</w:t>
      </w:r>
      <w:bookmarkEnd w:id="304"/>
      <w:bookmarkEnd w:id="305"/>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306" w:name="_Toc200718708"/>
      <w:bookmarkStart w:id="307" w:name="_Toc138752466"/>
      <w:r>
        <w:rPr>
          <w:rStyle w:val="CharSectno"/>
        </w:rPr>
        <w:t>58</w:t>
      </w:r>
      <w:r>
        <w:rPr>
          <w:snapToGrid w:val="0"/>
        </w:rPr>
        <w:t>.</w:t>
      </w:r>
      <w:r>
        <w:rPr>
          <w:snapToGrid w:val="0"/>
        </w:rPr>
        <w:tab/>
        <w:t>Responsible adult may be made liable for fine etc.</w:t>
      </w:r>
      <w:bookmarkEnd w:id="306"/>
      <w:bookmarkEnd w:id="307"/>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308" w:name="_Toc200718709"/>
      <w:bookmarkStart w:id="309" w:name="_Toc138752467"/>
      <w:r>
        <w:rPr>
          <w:rStyle w:val="CharSectno"/>
        </w:rPr>
        <w:t>59</w:t>
      </w:r>
      <w:r>
        <w:rPr>
          <w:snapToGrid w:val="0"/>
        </w:rPr>
        <w:t>.</w:t>
      </w:r>
      <w:r>
        <w:rPr>
          <w:snapToGrid w:val="0"/>
        </w:rPr>
        <w:tab/>
        <w:t>Court orders to be provided in writing</w:t>
      </w:r>
      <w:bookmarkEnd w:id="308"/>
      <w:bookmarkEnd w:id="309"/>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No. 59 of 2004 s. 141.]</w:t>
      </w:r>
    </w:p>
    <w:p>
      <w:pPr>
        <w:pStyle w:val="Heading5"/>
      </w:pPr>
      <w:bookmarkStart w:id="310" w:name="_Toc200718710"/>
      <w:bookmarkStart w:id="311" w:name="_Toc138752468"/>
      <w:r>
        <w:rPr>
          <w:rStyle w:val="CharSectno"/>
        </w:rPr>
        <w:t>60</w:t>
      </w:r>
      <w:r>
        <w:t>.</w:t>
      </w:r>
      <w:r>
        <w:tab/>
        <w:t>Orders etc. under this Part are sentences</w:t>
      </w:r>
      <w:bookmarkEnd w:id="310"/>
      <w:bookmarkEnd w:id="311"/>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No. 84 of 2004 s. 75.]</w:t>
      </w:r>
    </w:p>
    <w:p>
      <w:pPr>
        <w:pStyle w:val="Ednotesection"/>
      </w:pPr>
      <w:r>
        <w:t>[</w:t>
      </w:r>
      <w:r>
        <w:rPr>
          <w:b/>
        </w:rPr>
        <w:t>61.</w:t>
      </w:r>
      <w:r>
        <w:tab/>
        <w:t xml:space="preserve">Deleted: No. 92 of 1994 s. 44.] </w:t>
      </w:r>
    </w:p>
    <w:p>
      <w:pPr>
        <w:pStyle w:val="Heading5"/>
        <w:rPr>
          <w:snapToGrid w:val="0"/>
        </w:rPr>
      </w:pPr>
      <w:bookmarkStart w:id="312" w:name="_Toc200718711"/>
      <w:bookmarkStart w:id="313" w:name="_Toc138752469"/>
      <w:r>
        <w:rPr>
          <w:rStyle w:val="CharSectno"/>
        </w:rPr>
        <w:t>62</w:t>
      </w:r>
      <w:r>
        <w:rPr>
          <w:snapToGrid w:val="0"/>
        </w:rPr>
        <w:t>.</w:t>
      </w:r>
      <w:r>
        <w:rPr>
          <w:snapToGrid w:val="0"/>
        </w:rPr>
        <w:tab/>
        <w:t>Workers’ compensation for compulsory work</w:t>
      </w:r>
      <w:bookmarkEnd w:id="312"/>
      <w:bookmarkEnd w:id="313"/>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No. 42 of 2004 s. 174.]</w:t>
      </w:r>
    </w:p>
    <w:p>
      <w:pPr>
        <w:pStyle w:val="Heading5"/>
        <w:rPr>
          <w:snapToGrid w:val="0"/>
        </w:rPr>
      </w:pPr>
      <w:bookmarkStart w:id="314" w:name="_Toc200718712"/>
      <w:bookmarkStart w:id="315" w:name="_Toc138752470"/>
      <w:r>
        <w:rPr>
          <w:rStyle w:val="CharSectno"/>
        </w:rPr>
        <w:t>63</w:t>
      </w:r>
      <w:r>
        <w:rPr>
          <w:snapToGrid w:val="0"/>
        </w:rPr>
        <w:t>.</w:t>
      </w:r>
      <w:r>
        <w:rPr>
          <w:snapToGrid w:val="0"/>
        </w:rPr>
        <w:tab/>
        <w:t>Terms used</w:t>
      </w:r>
      <w:bookmarkEnd w:id="314"/>
      <w:bookmarkEnd w:id="315"/>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No. 92 of 1994 s. 45.] </w:t>
      </w:r>
    </w:p>
    <w:p>
      <w:pPr>
        <w:pStyle w:val="Heading5"/>
        <w:rPr>
          <w:snapToGrid w:val="0"/>
        </w:rPr>
      </w:pPr>
      <w:bookmarkStart w:id="316" w:name="_Toc200718713"/>
      <w:bookmarkStart w:id="317" w:name="_Toc138752471"/>
      <w:r>
        <w:rPr>
          <w:rStyle w:val="CharSectno"/>
        </w:rPr>
        <w:t>64</w:t>
      </w:r>
      <w:r>
        <w:rPr>
          <w:snapToGrid w:val="0"/>
        </w:rPr>
        <w:t>.</w:t>
      </w:r>
      <w:r>
        <w:rPr>
          <w:snapToGrid w:val="0"/>
        </w:rPr>
        <w:tab/>
        <w:t>Enforcing payment by young person who has reached 18</w:t>
      </w:r>
      <w:bookmarkEnd w:id="316"/>
      <w:bookmarkEnd w:id="317"/>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No. 92 of 1994 s. 45; amended: No. 20 of 2013 s. 140.] </w:t>
      </w:r>
    </w:p>
    <w:p>
      <w:pPr>
        <w:pStyle w:val="Heading5"/>
        <w:rPr>
          <w:snapToGrid w:val="0"/>
        </w:rPr>
      </w:pPr>
      <w:bookmarkStart w:id="318" w:name="_Toc200718714"/>
      <w:bookmarkStart w:id="319" w:name="_Toc138752472"/>
      <w:r>
        <w:rPr>
          <w:rStyle w:val="CharSectno"/>
        </w:rPr>
        <w:t>65</w:t>
      </w:r>
      <w:r>
        <w:rPr>
          <w:snapToGrid w:val="0"/>
        </w:rPr>
        <w:t>.</w:t>
      </w:r>
      <w:r>
        <w:rPr>
          <w:snapToGrid w:val="0"/>
        </w:rPr>
        <w:tab/>
        <w:t>Enforcing payment by young person who has not reached 18</w:t>
      </w:r>
      <w:bookmarkEnd w:id="318"/>
      <w:bookmarkEnd w:id="319"/>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No. 92 of 1994 s. 45; amended: No. 20 of 2013 s. 141.] </w:t>
      </w:r>
    </w:p>
    <w:p>
      <w:pPr>
        <w:pStyle w:val="Heading5"/>
        <w:rPr>
          <w:snapToGrid w:val="0"/>
        </w:rPr>
      </w:pPr>
      <w:bookmarkStart w:id="320" w:name="_Toc200718715"/>
      <w:bookmarkStart w:id="321" w:name="_Toc138752473"/>
      <w:r>
        <w:rPr>
          <w:rStyle w:val="CharSectno"/>
        </w:rPr>
        <w:t>65A</w:t>
      </w:r>
      <w:r>
        <w:rPr>
          <w:snapToGrid w:val="0"/>
        </w:rPr>
        <w:t>.</w:t>
      </w:r>
      <w:r>
        <w:rPr>
          <w:snapToGrid w:val="0"/>
        </w:rPr>
        <w:tab/>
        <w:t>Court’s powers to deal with defaulter</w:t>
      </w:r>
      <w:bookmarkEnd w:id="320"/>
      <w:bookmarkEnd w:id="321"/>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322" w:name="_Toc200718716"/>
      <w:bookmarkStart w:id="323" w:name="_Toc138752474"/>
      <w:r>
        <w:rPr>
          <w:rStyle w:val="CharSectno"/>
        </w:rPr>
        <w:t>65B</w:t>
      </w:r>
      <w:r>
        <w:rPr>
          <w:snapToGrid w:val="0"/>
        </w:rPr>
        <w:t>.</w:t>
      </w:r>
      <w:r>
        <w:rPr>
          <w:snapToGrid w:val="0"/>
        </w:rPr>
        <w:tab/>
        <w:t>Community work order</w:t>
      </w:r>
      <w:bookmarkEnd w:id="322"/>
      <w:bookmarkEnd w:id="323"/>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No. 92 of 1994 s. 45.] </w:t>
      </w:r>
    </w:p>
    <w:p>
      <w:pPr>
        <w:pStyle w:val="Heading5"/>
        <w:spacing w:before="240"/>
        <w:rPr>
          <w:snapToGrid w:val="0"/>
        </w:rPr>
      </w:pPr>
      <w:bookmarkStart w:id="324" w:name="_Toc200718717"/>
      <w:bookmarkStart w:id="325" w:name="_Toc138752475"/>
      <w:r>
        <w:rPr>
          <w:rStyle w:val="CharSectno"/>
        </w:rPr>
        <w:t>65C</w:t>
      </w:r>
      <w:r>
        <w:rPr>
          <w:snapToGrid w:val="0"/>
        </w:rPr>
        <w:t>.</w:t>
      </w:r>
      <w:r>
        <w:rPr>
          <w:snapToGrid w:val="0"/>
        </w:rPr>
        <w:tab/>
        <w:t>Detention order</w:t>
      </w:r>
      <w:bookmarkEnd w:id="324"/>
      <w:bookmarkEnd w:id="325"/>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326" w:name="_Toc200718718"/>
      <w:bookmarkStart w:id="327" w:name="_Toc138691073"/>
      <w:bookmarkStart w:id="328" w:name="_Toc138692568"/>
      <w:bookmarkStart w:id="329" w:name="_Toc138749842"/>
      <w:bookmarkStart w:id="330" w:name="_Toc138752476"/>
      <w:r>
        <w:rPr>
          <w:rStyle w:val="CharDivNo"/>
        </w:rPr>
        <w:t>Division 2</w:t>
      </w:r>
      <w:r>
        <w:rPr>
          <w:snapToGrid w:val="0"/>
        </w:rPr>
        <w:t> — </w:t>
      </w:r>
      <w:r>
        <w:rPr>
          <w:rStyle w:val="CharDivText"/>
        </w:rPr>
        <w:t>No punishment and no conditions</w:t>
      </w:r>
      <w:bookmarkEnd w:id="326"/>
      <w:bookmarkEnd w:id="327"/>
      <w:bookmarkEnd w:id="328"/>
      <w:bookmarkEnd w:id="329"/>
      <w:bookmarkEnd w:id="330"/>
      <w:r>
        <w:rPr>
          <w:rStyle w:val="CharDivText"/>
        </w:rPr>
        <w:t xml:space="preserve"> </w:t>
      </w:r>
    </w:p>
    <w:p>
      <w:pPr>
        <w:pStyle w:val="Heading5"/>
        <w:spacing w:before="180"/>
        <w:rPr>
          <w:snapToGrid w:val="0"/>
        </w:rPr>
      </w:pPr>
      <w:bookmarkStart w:id="331" w:name="_Toc200718719"/>
      <w:bookmarkStart w:id="332" w:name="_Toc138752477"/>
      <w:r>
        <w:rPr>
          <w:rStyle w:val="CharSectno"/>
        </w:rPr>
        <w:t>66</w:t>
      </w:r>
      <w:r>
        <w:rPr>
          <w:snapToGrid w:val="0"/>
        </w:rPr>
        <w:t>.</w:t>
      </w:r>
      <w:r>
        <w:rPr>
          <w:snapToGrid w:val="0"/>
        </w:rPr>
        <w:tab/>
        <w:t>Court may refrain from punishing in some cases</w:t>
      </w:r>
      <w:bookmarkEnd w:id="331"/>
      <w:bookmarkEnd w:id="332"/>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333" w:name="_Toc200718720"/>
      <w:bookmarkStart w:id="334" w:name="_Toc138691075"/>
      <w:bookmarkStart w:id="335" w:name="_Toc138692570"/>
      <w:bookmarkStart w:id="336" w:name="_Toc138749844"/>
      <w:bookmarkStart w:id="337" w:name="_Toc138752478"/>
      <w:r>
        <w:rPr>
          <w:rStyle w:val="CharDivNo"/>
        </w:rPr>
        <w:t>Division 3</w:t>
      </w:r>
      <w:r>
        <w:rPr>
          <w:snapToGrid w:val="0"/>
        </w:rPr>
        <w:t> — </w:t>
      </w:r>
      <w:r>
        <w:rPr>
          <w:rStyle w:val="CharDivText"/>
        </w:rPr>
        <w:t>No punishment but conditions</w:t>
      </w:r>
      <w:bookmarkEnd w:id="333"/>
      <w:bookmarkEnd w:id="334"/>
      <w:bookmarkEnd w:id="335"/>
      <w:bookmarkEnd w:id="336"/>
      <w:bookmarkEnd w:id="337"/>
      <w:r>
        <w:rPr>
          <w:rStyle w:val="CharDivText"/>
        </w:rPr>
        <w:t xml:space="preserve"> </w:t>
      </w:r>
    </w:p>
    <w:p>
      <w:pPr>
        <w:pStyle w:val="Heading5"/>
        <w:spacing w:before="180"/>
        <w:rPr>
          <w:snapToGrid w:val="0"/>
        </w:rPr>
      </w:pPr>
      <w:bookmarkStart w:id="338" w:name="_Toc200718721"/>
      <w:bookmarkStart w:id="339" w:name="_Toc138752479"/>
      <w:r>
        <w:rPr>
          <w:rStyle w:val="CharSectno"/>
        </w:rPr>
        <w:t>67</w:t>
      </w:r>
      <w:r>
        <w:rPr>
          <w:snapToGrid w:val="0"/>
        </w:rPr>
        <w:t>.</w:t>
      </w:r>
      <w:r>
        <w:rPr>
          <w:snapToGrid w:val="0"/>
        </w:rPr>
        <w:tab/>
        <w:t>Undertakings and informal punishment</w:t>
      </w:r>
      <w:bookmarkEnd w:id="338"/>
      <w:bookmarkEnd w:id="339"/>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340" w:name="_Toc200718722"/>
      <w:bookmarkStart w:id="341" w:name="_Toc138752480"/>
      <w:r>
        <w:rPr>
          <w:rStyle w:val="CharSectno"/>
        </w:rPr>
        <w:t>68</w:t>
      </w:r>
      <w:r>
        <w:rPr>
          <w:snapToGrid w:val="0"/>
        </w:rPr>
        <w:t>.</w:t>
      </w:r>
      <w:r>
        <w:rPr>
          <w:snapToGrid w:val="0"/>
        </w:rPr>
        <w:tab/>
        <w:t>Adjournment</w:t>
      </w:r>
      <w:bookmarkEnd w:id="340"/>
      <w:bookmarkEnd w:id="341"/>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342" w:name="_Toc200718723"/>
      <w:bookmarkStart w:id="343" w:name="_Toc138691078"/>
      <w:bookmarkStart w:id="344" w:name="_Toc138692573"/>
      <w:bookmarkStart w:id="345" w:name="_Toc138749847"/>
      <w:bookmarkStart w:id="346" w:name="_Toc138752481"/>
      <w:r>
        <w:rPr>
          <w:rStyle w:val="CharDivNo"/>
        </w:rPr>
        <w:t>Division 4</w:t>
      </w:r>
      <w:r>
        <w:rPr>
          <w:snapToGrid w:val="0"/>
        </w:rPr>
        <w:t> — </w:t>
      </w:r>
      <w:r>
        <w:rPr>
          <w:rStyle w:val="CharDivText"/>
        </w:rPr>
        <w:t>No punishment but security or recognisance</w:t>
      </w:r>
      <w:bookmarkEnd w:id="342"/>
      <w:bookmarkEnd w:id="343"/>
      <w:bookmarkEnd w:id="344"/>
      <w:bookmarkEnd w:id="345"/>
      <w:bookmarkEnd w:id="346"/>
      <w:r>
        <w:rPr>
          <w:rStyle w:val="CharDivText"/>
        </w:rPr>
        <w:t xml:space="preserve"> </w:t>
      </w:r>
    </w:p>
    <w:p>
      <w:pPr>
        <w:pStyle w:val="Heading5"/>
        <w:rPr>
          <w:snapToGrid w:val="0"/>
        </w:rPr>
      </w:pPr>
      <w:bookmarkStart w:id="347" w:name="_Toc200718724"/>
      <w:bookmarkStart w:id="348" w:name="_Toc138752482"/>
      <w:r>
        <w:rPr>
          <w:rStyle w:val="CharSectno"/>
        </w:rPr>
        <w:t>69</w:t>
      </w:r>
      <w:r>
        <w:rPr>
          <w:snapToGrid w:val="0"/>
        </w:rPr>
        <w:t>.</w:t>
      </w:r>
      <w:r>
        <w:rPr>
          <w:snapToGrid w:val="0"/>
        </w:rPr>
        <w:tab/>
        <w:t>Recognisance by offender to be of good behaviour etc.</w:t>
      </w:r>
      <w:bookmarkEnd w:id="347"/>
      <w:bookmarkEnd w:id="348"/>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349" w:name="_Toc200718725"/>
      <w:bookmarkStart w:id="350" w:name="_Toc138752483"/>
      <w:r>
        <w:rPr>
          <w:rStyle w:val="CharSectno"/>
        </w:rPr>
        <w:t>70</w:t>
      </w:r>
      <w:r>
        <w:rPr>
          <w:snapToGrid w:val="0"/>
        </w:rPr>
        <w:t>.</w:t>
      </w:r>
      <w:r>
        <w:rPr>
          <w:snapToGrid w:val="0"/>
        </w:rPr>
        <w:tab/>
        <w:t>Responsible adult may give security for offender’s good behaviour etc.</w:t>
      </w:r>
      <w:bookmarkEnd w:id="349"/>
      <w:bookmarkEnd w:id="350"/>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351" w:name="_Toc200718726"/>
      <w:bookmarkStart w:id="352" w:name="_Toc138691081"/>
      <w:bookmarkStart w:id="353" w:name="_Toc138692576"/>
      <w:bookmarkStart w:id="354" w:name="_Toc138749850"/>
      <w:bookmarkStart w:id="355" w:name="_Toc138752484"/>
      <w:r>
        <w:rPr>
          <w:rStyle w:val="CharDivNo"/>
        </w:rPr>
        <w:t>Division 5</w:t>
      </w:r>
      <w:r>
        <w:rPr>
          <w:snapToGrid w:val="0"/>
        </w:rPr>
        <w:t> — </w:t>
      </w:r>
      <w:r>
        <w:rPr>
          <w:rStyle w:val="CharDivText"/>
        </w:rPr>
        <w:t>Fine</w:t>
      </w:r>
      <w:bookmarkEnd w:id="351"/>
      <w:bookmarkEnd w:id="352"/>
      <w:bookmarkEnd w:id="353"/>
      <w:bookmarkEnd w:id="354"/>
      <w:bookmarkEnd w:id="355"/>
      <w:r>
        <w:rPr>
          <w:rStyle w:val="CharDivText"/>
        </w:rPr>
        <w:t xml:space="preserve"> </w:t>
      </w:r>
    </w:p>
    <w:p>
      <w:pPr>
        <w:pStyle w:val="Heading5"/>
        <w:rPr>
          <w:snapToGrid w:val="0"/>
        </w:rPr>
      </w:pPr>
      <w:bookmarkStart w:id="356" w:name="_Toc200718727"/>
      <w:bookmarkStart w:id="357" w:name="_Toc138752485"/>
      <w:r>
        <w:rPr>
          <w:rStyle w:val="CharSectno"/>
        </w:rPr>
        <w:t>71</w:t>
      </w:r>
      <w:r>
        <w:rPr>
          <w:snapToGrid w:val="0"/>
        </w:rPr>
        <w:t>.</w:t>
      </w:r>
      <w:r>
        <w:rPr>
          <w:snapToGrid w:val="0"/>
        </w:rPr>
        <w:tab/>
        <w:t>Fine instead of imprisonment</w:t>
      </w:r>
      <w:bookmarkEnd w:id="356"/>
      <w:bookmarkEnd w:id="357"/>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358" w:name="_Toc200718728"/>
      <w:bookmarkStart w:id="359" w:name="_Toc138752486"/>
      <w:r>
        <w:rPr>
          <w:rStyle w:val="CharSectno"/>
        </w:rPr>
        <w:t>72</w:t>
      </w:r>
      <w:r>
        <w:rPr>
          <w:snapToGrid w:val="0"/>
        </w:rPr>
        <w:t>.</w:t>
      </w:r>
      <w:r>
        <w:rPr>
          <w:snapToGrid w:val="0"/>
        </w:rPr>
        <w:tab/>
        <w:t>Offender must be able to pay</w:t>
      </w:r>
      <w:bookmarkEnd w:id="358"/>
      <w:bookmarkEnd w:id="359"/>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360" w:name="_Toc200718729"/>
      <w:bookmarkStart w:id="361" w:name="_Toc138691084"/>
      <w:bookmarkStart w:id="362" w:name="_Toc138692579"/>
      <w:bookmarkStart w:id="363" w:name="_Toc138749853"/>
      <w:bookmarkStart w:id="364" w:name="_Toc138752487"/>
      <w:r>
        <w:rPr>
          <w:rStyle w:val="CharDivNo"/>
        </w:rPr>
        <w:t>Division 6</w:t>
      </w:r>
      <w:r>
        <w:rPr>
          <w:snapToGrid w:val="0"/>
        </w:rPr>
        <w:t> — </w:t>
      </w:r>
      <w:r>
        <w:rPr>
          <w:rStyle w:val="CharDivText"/>
        </w:rPr>
        <w:t>Youth community based order</w:t>
      </w:r>
      <w:bookmarkEnd w:id="360"/>
      <w:bookmarkEnd w:id="361"/>
      <w:bookmarkEnd w:id="362"/>
      <w:bookmarkEnd w:id="363"/>
      <w:bookmarkEnd w:id="364"/>
      <w:r>
        <w:rPr>
          <w:rStyle w:val="CharDivText"/>
        </w:rPr>
        <w:t xml:space="preserve"> </w:t>
      </w:r>
    </w:p>
    <w:p>
      <w:pPr>
        <w:pStyle w:val="Heading5"/>
        <w:rPr>
          <w:snapToGrid w:val="0"/>
        </w:rPr>
      </w:pPr>
      <w:bookmarkStart w:id="365" w:name="_Toc200718730"/>
      <w:bookmarkStart w:id="366" w:name="_Toc138752488"/>
      <w:r>
        <w:rPr>
          <w:rStyle w:val="CharSectno"/>
        </w:rPr>
        <w:t>73</w:t>
      </w:r>
      <w:r>
        <w:rPr>
          <w:snapToGrid w:val="0"/>
        </w:rPr>
        <w:t>.</w:t>
      </w:r>
      <w:r>
        <w:rPr>
          <w:snapToGrid w:val="0"/>
        </w:rPr>
        <w:tab/>
        <w:t>Youth community based order, nature of</w:t>
      </w:r>
      <w:bookmarkEnd w:id="365"/>
      <w:bookmarkEnd w:id="366"/>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367" w:name="_Toc200718731"/>
      <w:bookmarkStart w:id="368" w:name="_Toc138752489"/>
      <w:r>
        <w:rPr>
          <w:rStyle w:val="CharSectno"/>
        </w:rPr>
        <w:t>74</w:t>
      </w:r>
      <w:r>
        <w:rPr>
          <w:snapToGrid w:val="0"/>
        </w:rPr>
        <w:t>.</w:t>
      </w:r>
      <w:r>
        <w:rPr>
          <w:snapToGrid w:val="0"/>
        </w:rPr>
        <w:tab/>
        <w:t>Offender must be suitable and consent</w:t>
      </w:r>
      <w:bookmarkEnd w:id="367"/>
      <w:bookmarkEnd w:id="368"/>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369" w:name="_Toc200718732"/>
      <w:bookmarkStart w:id="370" w:name="_Toc138752490"/>
      <w:r>
        <w:rPr>
          <w:rStyle w:val="CharSectno"/>
        </w:rPr>
        <w:t>75</w:t>
      </w:r>
      <w:r>
        <w:rPr>
          <w:snapToGrid w:val="0"/>
        </w:rPr>
        <w:t>.</w:t>
      </w:r>
      <w:r>
        <w:rPr>
          <w:snapToGrid w:val="0"/>
        </w:rPr>
        <w:tab/>
        <w:t>Proposed agenda required for suitable person</w:t>
      </w:r>
      <w:bookmarkEnd w:id="369"/>
      <w:bookmarkEnd w:id="370"/>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371" w:name="_Toc200718733"/>
      <w:bookmarkStart w:id="372" w:name="_Toc138752491"/>
      <w:r>
        <w:rPr>
          <w:rStyle w:val="CharSectno"/>
        </w:rPr>
        <w:t>76</w:t>
      </w:r>
      <w:r>
        <w:rPr>
          <w:snapToGrid w:val="0"/>
        </w:rPr>
        <w:t>.</w:t>
      </w:r>
      <w:r>
        <w:rPr>
          <w:snapToGrid w:val="0"/>
        </w:rPr>
        <w:tab/>
        <w:t>Duration of order</w:t>
      </w:r>
      <w:bookmarkEnd w:id="371"/>
      <w:bookmarkEnd w:id="372"/>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373" w:name="_Toc200718734"/>
      <w:bookmarkStart w:id="374" w:name="_Toc138752492"/>
      <w:r>
        <w:rPr>
          <w:rStyle w:val="CharSectno"/>
        </w:rPr>
        <w:t>77</w:t>
      </w:r>
      <w:r>
        <w:rPr>
          <w:snapToGrid w:val="0"/>
        </w:rPr>
        <w:t>.</w:t>
      </w:r>
      <w:r>
        <w:rPr>
          <w:snapToGrid w:val="0"/>
        </w:rPr>
        <w:tab/>
        <w:t>Supervising officer</w:t>
      </w:r>
      <w:bookmarkEnd w:id="373"/>
      <w:bookmarkEnd w:id="374"/>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375" w:name="_Toc200718735"/>
      <w:bookmarkStart w:id="376" w:name="_Toc138752493"/>
      <w:r>
        <w:rPr>
          <w:rStyle w:val="CharSectno"/>
        </w:rPr>
        <w:t>78</w:t>
      </w:r>
      <w:r>
        <w:rPr>
          <w:snapToGrid w:val="0"/>
        </w:rPr>
        <w:t>.</w:t>
      </w:r>
      <w:r>
        <w:rPr>
          <w:snapToGrid w:val="0"/>
        </w:rPr>
        <w:tab/>
        <w:t>Conditions implied in order</w:t>
      </w:r>
      <w:bookmarkEnd w:id="375"/>
      <w:bookmarkEnd w:id="376"/>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377" w:name="_Toc200718736"/>
      <w:bookmarkStart w:id="378" w:name="_Toc138752494"/>
      <w:r>
        <w:rPr>
          <w:rStyle w:val="CharSectno"/>
        </w:rPr>
        <w:t>79</w:t>
      </w:r>
      <w:r>
        <w:rPr>
          <w:snapToGrid w:val="0"/>
        </w:rPr>
        <w:t>.</w:t>
      </w:r>
      <w:r>
        <w:rPr>
          <w:snapToGrid w:val="0"/>
        </w:rPr>
        <w:tab/>
        <w:t>Obligations under order may be suspended</w:t>
      </w:r>
      <w:bookmarkEnd w:id="377"/>
      <w:bookmarkEnd w:id="378"/>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379" w:name="_Toc200718737"/>
      <w:bookmarkStart w:id="380" w:name="_Toc138752495"/>
      <w:r>
        <w:rPr>
          <w:rStyle w:val="CharSectno"/>
        </w:rPr>
        <w:t>80</w:t>
      </w:r>
      <w:r>
        <w:rPr>
          <w:snapToGrid w:val="0"/>
        </w:rPr>
        <w:t>.</w:t>
      </w:r>
      <w:r>
        <w:rPr>
          <w:snapToGrid w:val="0"/>
        </w:rPr>
        <w:tab/>
        <w:t>Amendment of order, extent of power</w:t>
      </w:r>
      <w:bookmarkEnd w:id="379"/>
      <w:bookmarkEnd w:id="380"/>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381" w:name="_Toc200718738"/>
      <w:bookmarkStart w:id="382" w:name="_Toc138752496"/>
      <w:r>
        <w:rPr>
          <w:rStyle w:val="CharSectno"/>
        </w:rPr>
        <w:t>81</w:t>
      </w:r>
      <w:r>
        <w:rPr>
          <w:snapToGrid w:val="0"/>
        </w:rPr>
        <w:t>.</w:t>
      </w:r>
      <w:r>
        <w:rPr>
          <w:snapToGrid w:val="0"/>
        </w:rPr>
        <w:tab/>
        <w:t>Amendment of order</w:t>
      </w:r>
      <w:bookmarkEnd w:id="381"/>
      <w:bookmarkEnd w:id="382"/>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383" w:name="_Toc200718739"/>
      <w:bookmarkStart w:id="384" w:name="_Toc138752497"/>
      <w:r>
        <w:rPr>
          <w:rStyle w:val="CharSectno"/>
        </w:rPr>
        <w:t>82</w:t>
      </w:r>
      <w:r>
        <w:rPr>
          <w:snapToGrid w:val="0"/>
        </w:rPr>
        <w:t>.</w:t>
      </w:r>
      <w:r>
        <w:rPr>
          <w:snapToGrid w:val="0"/>
        </w:rPr>
        <w:tab/>
        <w:t>Breach of order, CEO may require offender to attend court</w:t>
      </w:r>
      <w:bookmarkEnd w:id="383"/>
      <w:bookmarkEnd w:id="384"/>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385" w:name="_Toc200718740"/>
      <w:bookmarkStart w:id="386" w:name="_Toc138752498"/>
      <w:r>
        <w:rPr>
          <w:rStyle w:val="CharSectno"/>
        </w:rPr>
        <w:t>83</w:t>
      </w:r>
      <w:r>
        <w:rPr>
          <w:snapToGrid w:val="0"/>
        </w:rPr>
        <w:t>.</w:t>
      </w:r>
      <w:r>
        <w:rPr>
          <w:snapToGrid w:val="0"/>
        </w:rPr>
        <w:tab/>
        <w:t>Breach of order, powers to deal with</w:t>
      </w:r>
      <w:bookmarkEnd w:id="385"/>
      <w:bookmarkEnd w:id="386"/>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387" w:name="_Toc200718741"/>
      <w:bookmarkStart w:id="388" w:name="_Toc138752499"/>
      <w:r>
        <w:rPr>
          <w:rStyle w:val="CharSectno"/>
        </w:rPr>
        <w:t>84</w:t>
      </w:r>
      <w:r>
        <w:rPr>
          <w:snapToGrid w:val="0"/>
        </w:rPr>
        <w:t>.</w:t>
      </w:r>
      <w:r>
        <w:rPr>
          <w:snapToGrid w:val="0"/>
        </w:rPr>
        <w:tab/>
        <w:t>Breach of order by re</w:t>
      </w:r>
      <w:r>
        <w:rPr>
          <w:snapToGrid w:val="0"/>
        </w:rPr>
        <w:noBreakHyphen/>
        <w:t>offending, new order may be made</w:t>
      </w:r>
      <w:bookmarkEnd w:id="387"/>
      <w:bookmarkEnd w:id="388"/>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389" w:name="_Toc200718742"/>
      <w:bookmarkStart w:id="390" w:name="_Toc138752500"/>
      <w:r>
        <w:rPr>
          <w:rStyle w:val="CharSectno"/>
        </w:rPr>
        <w:t>85</w:t>
      </w:r>
      <w:r>
        <w:rPr>
          <w:snapToGrid w:val="0"/>
        </w:rPr>
        <w:t>.</w:t>
      </w:r>
      <w:r>
        <w:rPr>
          <w:snapToGrid w:val="0"/>
        </w:rPr>
        <w:tab/>
        <w:t>Discharge or fulfillment of order, effect of</w:t>
      </w:r>
      <w:bookmarkEnd w:id="389"/>
      <w:bookmarkEnd w:id="390"/>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391" w:name="_Toc200718743"/>
      <w:bookmarkStart w:id="392" w:name="_Toc138752501"/>
      <w:r>
        <w:rPr>
          <w:rStyle w:val="CharSectno"/>
        </w:rPr>
        <w:t>86</w:t>
      </w:r>
      <w:r>
        <w:rPr>
          <w:snapToGrid w:val="0"/>
        </w:rPr>
        <w:t>.</w:t>
      </w:r>
      <w:r>
        <w:rPr>
          <w:snapToGrid w:val="0"/>
        </w:rPr>
        <w:tab/>
        <w:t>Proof of identity in proceedings for breach of order</w:t>
      </w:r>
      <w:bookmarkEnd w:id="391"/>
      <w:bookmarkEnd w:id="392"/>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393" w:name="_Toc200718744"/>
      <w:bookmarkStart w:id="394" w:name="_Toc138752502"/>
      <w:r>
        <w:rPr>
          <w:rStyle w:val="CharSectno"/>
        </w:rPr>
        <w:t>87</w:t>
      </w:r>
      <w:r>
        <w:rPr>
          <w:snapToGrid w:val="0"/>
        </w:rPr>
        <w:t>.</w:t>
      </w:r>
      <w:r>
        <w:rPr>
          <w:snapToGrid w:val="0"/>
        </w:rPr>
        <w:tab/>
        <w:t>Notice of court applications</w:t>
      </w:r>
      <w:bookmarkEnd w:id="393"/>
      <w:bookmarkEnd w:id="394"/>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395" w:name="_Toc200718745"/>
      <w:bookmarkStart w:id="396" w:name="_Toc138691100"/>
      <w:bookmarkStart w:id="397" w:name="_Toc138692595"/>
      <w:bookmarkStart w:id="398" w:name="_Toc138749869"/>
      <w:bookmarkStart w:id="399" w:name="_Toc138752503"/>
      <w:r>
        <w:rPr>
          <w:snapToGrid w:val="0"/>
        </w:rPr>
        <w:t>Subdivision 1 — Attendance conditions</w:t>
      </w:r>
      <w:bookmarkEnd w:id="395"/>
      <w:bookmarkEnd w:id="396"/>
      <w:bookmarkEnd w:id="397"/>
      <w:bookmarkEnd w:id="398"/>
      <w:bookmarkEnd w:id="399"/>
      <w:r>
        <w:rPr>
          <w:snapToGrid w:val="0"/>
        </w:rPr>
        <w:t xml:space="preserve"> </w:t>
      </w:r>
    </w:p>
    <w:p>
      <w:pPr>
        <w:pStyle w:val="Heading5"/>
        <w:spacing w:before="180"/>
        <w:rPr>
          <w:snapToGrid w:val="0"/>
        </w:rPr>
      </w:pPr>
      <w:bookmarkStart w:id="400" w:name="_Toc200718746"/>
      <w:bookmarkStart w:id="401" w:name="_Toc138752504"/>
      <w:r>
        <w:rPr>
          <w:rStyle w:val="CharSectno"/>
        </w:rPr>
        <w:t>88</w:t>
      </w:r>
      <w:r>
        <w:rPr>
          <w:snapToGrid w:val="0"/>
        </w:rPr>
        <w:t>.</w:t>
      </w:r>
      <w:r>
        <w:rPr>
          <w:snapToGrid w:val="0"/>
        </w:rPr>
        <w:tab/>
        <w:t>Requirement to attend courses</w:t>
      </w:r>
      <w:bookmarkEnd w:id="400"/>
      <w:bookmarkEnd w:id="401"/>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402" w:name="_Toc200718747"/>
      <w:bookmarkStart w:id="403" w:name="_Toc138691102"/>
      <w:bookmarkStart w:id="404" w:name="_Toc138692597"/>
      <w:bookmarkStart w:id="405" w:name="_Toc138749871"/>
      <w:bookmarkStart w:id="406" w:name="_Toc138752505"/>
      <w:r>
        <w:rPr>
          <w:snapToGrid w:val="0"/>
        </w:rPr>
        <w:t>Subdivision 2 — Community work conditions</w:t>
      </w:r>
      <w:bookmarkEnd w:id="402"/>
      <w:bookmarkEnd w:id="403"/>
      <w:bookmarkEnd w:id="404"/>
      <w:bookmarkEnd w:id="405"/>
      <w:bookmarkEnd w:id="406"/>
      <w:r>
        <w:rPr>
          <w:snapToGrid w:val="0"/>
        </w:rPr>
        <w:t xml:space="preserve"> </w:t>
      </w:r>
    </w:p>
    <w:p>
      <w:pPr>
        <w:pStyle w:val="Heading5"/>
        <w:spacing w:before="180"/>
        <w:rPr>
          <w:snapToGrid w:val="0"/>
        </w:rPr>
      </w:pPr>
      <w:bookmarkStart w:id="407" w:name="_Toc200718748"/>
      <w:bookmarkStart w:id="408" w:name="_Toc138752506"/>
      <w:r>
        <w:rPr>
          <w:rStyle w:val="CharSectno"/>
        </w:rPr>
        <w:t>89</w:t>
      </w:r>
      <w:r>
        <w:rPr>
          <w:snapToGrid w:val="0"/>
        </w:rPr>
        <w:t>.</w:t>
      </w:r>
      <w:r>
        <w:rPr>
          <w:snapToGrid w:val="0"/>
        </w:rPr>
        <w:tab/>
        <w:t>Requirement to perform unpaid work</w:t>
      </w:r>
      <w:bookmarkEnd w:id="407"/>
      <w:bookmarkEnd w:id="408"/>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409" w:name="_Toc200718749"/>
      <w:bookmarkStart w:id="410" w:name="_Toc138752507"/>
      <w:r>
        <w:rPr>
          <w:rStyle w:val="CharSectno"/>
        </w:rPr>
        <w:t>90</w:t>
      </w:r>
      <w:r>
        <w:rPr>
          <w:snapToGrid w:val="0"/>
        </w:rPr>
        <w:t>.</w:t>
      </w:r>
      <w:r>
        <w:rPr>
          <w:snapToGrid w:val="0"/>
        </w:rPr>
        <w:tab/>
        <w:t>Conditions cannot be imposed on child under 12</w:t>
      </w:r>
      <w:bookmarkEnd w:id="409"/>
      <w:bookmarkEnd w:id="410"/>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411" w:name="_Toc200718750"/>
      <w:bookmarkStart w:id="412" w:name="_Toc138752508"/>
      <w:r>
        <w:rPr>
          <w:rStyle w:val="CharSectno"/>
        </w:rPr>
        <w:t>91</w:t>
      </w:r>
      <w:r>
        <w:rPr>
          <w:snapToGrid w:val="0"/>
        </w:rPr>
        <w:t>.</w:t>
      </w:r>
      <w:r>
        <w:rPr>
          <w:snapToGrid w:val="0"/>
        </w:rPr>
        <w:tab/>
        <w:t>Community work, minimum and maximum hours of</w:t>
      </w:r>
      <w:bookmarkEnd w:id="411"/>
      <w:bookmarkEnd w:id="412"/>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413" w:name="_Toc200718751"/>
      <w:bookmarkStart w:id="414" w:name="_Toc138752509"/>
      <w:r>
        <w:rPr>
          <w:rStyle w:val="CharSectno"/>
        </w:rPr>
        <w:t>92</w:t>
      </w:r>
      <w:r>
        <w:rPr>
          <w:snapToGrid w:val="0"/>
        </w:rPr>
        <w:t>.</w:t>
      </w:r>
      <w:r>
        <w:rPr>
          <w:snapToGrid w:val="0"/>
        </w:rPr>
        <w:tab/>
        <w:t>Offender to attend before Departmental officer</w:t>
      </w:r>
      <w:bookmarkEnd w:id="413"/>
      <w:bookmarkEnd w:id="414"/>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415" w:name="_Toc200718752"/>
      <w:bookmarkStart w:id="416" w:name="_Toc138752510"/>
      <w:r>
        <w:rPr>
          <w:rStyle w:val="CharSectno"/>
        </w:rPr>
        <w:t>93</w:t>
      </w:r>
      <w:r>
        <w:rPr>
          <w:snapToGrid w:val="0"/>
        </w:rPr>
        <w:t>.</w:t>
      </w:r>
      <w:r>
        <w:rPr>
          <w:snapToGrid w:val="0"/>
        </w:rPr>
        <w:tab/>
        <w:t>Performing the work</w:t>
      </w:r>
      <w:bookmarkEnd w:id="415"/>
      <w:bookmarkEnd w:id="416"/>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417" w:name="_Toc200718753"/>
      <w:bookmarkStart w:id="418" w:name="_Toc138752511"/>
      <w:r>
        <w:rPr>
          <w:rStyle w:val="CharSectno"/>
        </w:rPr>
        <w:t>94</w:t>
      </w:r>
      <w:r>
        <w:rPr>
          <w:snapToGrid w:val="0"/>
        </w:rPr>
        <w:t>.</w:t>
      </w:r>
      <w:r>
        <w:rPr>
          <w:snapToGrid w:val="0"/>
        </w:rPr>
        <w:tab/>
        <w:t>Regulations relating to community work conditions</w:t>
      </w:r>
      <w:bookmarkEnd w:id="417"/>
      <w:bookmarkEnd w:id="418"/>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419" w:name="_Toc200718754"/>
      <w:bookmarkStart w:id="420" w:name="_Toc138691109"/>
      <w:bookmarkStart w:id="421" w:name="_Toc138692604"/>
      <w:bookmarkStart w:id="422" w:name="_Toc138749878"/>
      <w:bookmarkStart w:id="423" w:name="_Toc138752512"/>
      <w:r>
        <w:rPr>
          <w:snapToGrid w:val="0"/>
        </w:rPr>
        <w:t>Subdivision 3 — Supervision conditions</w:t>
      </w:r>
      <w:bookmarkEnd w:id="419"/>
      <w:bookmarkEnd w:id="420"/>
      <w:bookmarkEnd w:id="421"/>
      <w:bookmarkEnd w:id="422"/>
      <w:bookmarkEnd w:id="423"/>
      <w:r>
        <w:rPr>
          <w:snapToGrid w:val="0"/>
        </w:rPr>
        <w:t xml:space="preserve"> </w:t>
      </w:r>
    </w:p>
    <w:p>
      <w:pPr>
        <w:pStyle w:val="Heading5"/>
        <w:spacing w:before="180"/>
        <w:rPr>
          <w:snapToGrid w:val="0"/>
        </w:rPr>
      </w:pPr>
      <w:bookmarkStart w:id="424" w:name="_Toc200718755"/>
      <w:bookmarkStart w:id="425" w:name="_Toc138752513"/>
      <w:r>
        <w:rPr>
          <w:rStyle w:val="CharSectno"/>
        </w:rPr>
        <w:t>95</w:t>
      </w:r>
      <w:r>
        <w:rPr>
          <w:snapToGrid w:val="0"/>
        </w:rPr>
        <w:t>.</w:t>
      </w:r>
      <w:r>
        <w:rPr>
          <w:snapToGrid w:val="0"/>
        </w:rPr>
        <w:tab/>
        <w:t>Requirement to be supervised</w:t>
      </w:r>
      <w:bookmarkEnd w:id="424"/>
      <w:bookmarkEnd w:id="425"/>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426" w:name="_Toc200718756"/>
      <w:bookmarkStart w:id="427" w:name="_Toc138752514"/>
      <w:r>
        <w:rPr>
          <w:rStyle w:val="CharSectno"/>
        </w:rPr>
        <w:t>96</w:t>
      </w:r>
      <w:r>
        <w:rPr>
          <w:snapToGrid w:val="0"/>
        </w:rPr>
        <w:t>.</w:t>
      </w:r>
      <w:r>
        <w:rPr>
          <w:snapToGrid w:val="0"/>
        </w:rPr>
        <w:tab/>
        <w:t>Duration of supervision</w:t>
      </w:r>
      <w:bookmarkEnd w:id="426"/>
      <w:bookmarkEnd w:id="427"/>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No. 5 of 2008 s. 132(2).]</w:t>
      </w:r>
    </w:p>
    <w:p>
      <w:pPr>
        <w:pStyle w:val="Heading5"/>
        <w:rPr>
          <w:snapToGrid w:val="0"/>
        </w:rPr>
      </w:pPr>
      <w:bookmarkStart w:id="428" w:name="_Toc200718757"/>
      <w:bookmarkStart w:id="429" w:name="_Toc138752515"/>
      <w:r>
        <w:rPr>
          <w:rStyle w:val="CharSectno"/>
        </w:rPr>
        <w:t>97</w:t>
      </w:r>
      <w:r>
        <w:rPr>
          <w:snapToGrid w:val="0"/>
        </w:rPr>
        <w:t>.</w:t>
      </w:r>
      <w:r>
        <w:rPr>
          <w:snapToGrid w:val="0"/>
        </w:rPr>
        <w:tab/>
        <w:t>Changing duration of supervision</w:t>
      </w:r>
      <w:bookmarkEnd w:id="428"/>
      <w:bookmarkEnd w:id="429"/>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430" w:name="_Toc200718758"/>
      <w:bookmarkStart w:id="431" w:name="_Toc138691113"/>
      <w:bookmarkStart w:id="432" w:name="_Toc138692608"/>
      <w:bookmarkStart w:id="433" w:name="_Toc138749882"/>
      <w:bookmarkStart w:id="434" w:name="_Toc138752516"/>
      <w:r>
        <w:rPr>
          <w:rStyle w:val="CharDivNo"/>
        </w:rPr>
        <w:t>Division 7</w:t>
      </w:r>
      <w:r>
        <w:rPr>
          <w:snapToGrid w:val="0"/>
        </w:rPr>
        <w:t> — </w:t>
      </w:r>
      <w:r>
        <w:rPr>
          <w:rStyle w:val="CharDivText"/>
        </w:rPr>
        <w:t>Intensive youth supervision order</w:t>
      </w:r>
      <w:bookmarkEnd w:id="430"/>
      <w:bookmarkEnd w:id="431"/>
      <w:bookmarkEnd w:id="432"/>
      <w:bookmarkEnd w:id="433"/>
      <w:bookmarkEnd w:id="434"/>
      <w:r>
        <w:rPr>
          <w:rStyle w:val="CharDivText"/>
        </w:rPr>
        <w:t xml:space="preserve"> </w:t>
      </w:r>
    </w:p>
    <w:p>
      <w:pPr>
        <w:pStyle w:val="Heading5"/>
        <w:rPr>
          <w:snapToGrid w:val="0"/>
        </w:rPr>
      </w:pPr>
      <w:bookmarkStart w:id="435" w:name="_Toc200718759"/>
      <w:bookmarkStart w:id="436" w:name="_Toc138752517"/>
      <w:r>
        <w:rPr>
          <w:rStyle w:val="CharSectno"/>
        </w:rPr>
        <w:t>98</w:t>
      </w:r>
      <w:r>
        <w:rPr>
          <w:snapToGrid w:val="0"/>
        </w:rPr>
        <w:t>.</w:t>
      </w:r>
      <w:r>
        <w:rPr>
          <w:snapToGrid w:val="0"/>
        </w:rPr>
        <w:tab/>
        <w:t>Intensive youth supervision order, nature of</w:t>
      </w:r>
      <w:bookmarkEnd w:id="435"/>
      <w:bookmarkEnd w:id="436"/>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437" w:name="_Toc200718760"/>
      <w:bookmarkStart w:id="438" w:name="_Toc138752518"/>
      <w:r>
        <w:rPr>
          <w:rStyle w:val="CharSectno"/>
        </w:rPr>
        <w:t>99</w:t>
      </w:r>
      <w:r>
        <w:rPr>
          <w:snapToGrid w:val="0"/>
        </w:rPr>
        <w:t>.</w:t>
      </w:r>
      <w:r>
        <w:rPr>
          <w:snapToGrid w:val="0"/>
        </w:rPr>
        <w:tab/>
        <w:t>Order may be made with or without custodial sentence</w:t>
      </w:r>
      <w:bookmarkEnd w:id="437"/>
      <w:bookmarkEnd w:id="438"/>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439" w:name="_Toc200718761"/>
      <w:bookmarkStart w:id="440" w:name="_Toc138752519"/>
      <w:r>
        <w:rPr>
          <w:rStyle w:val="CharSectno"/>
        </w:rPr>
        <w:t>100</w:t>
      </w:r>
      <w:r>
        <w:rPr>
          <w:snapToGrid w:val="0"/>
        </w:rPr>
        <w:t>.</w:t>
      </w:r>
      <w:r>
        <w:rPr>
          <w:snapToGrid w:val="0"/>
        </w:rPr>
        <w:tab/>
        <w:t>Order without custodial sentence</w:t>
      </w:r>
      <w:bookmarkEnd w:id="439"/>
      <w:bookmarkEnd w:id="440"/>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441" w:name="_Toc200718762"/>
      <w:bookmarkStart w:id="442" w:name="_Toc138752520"/>
      <w:r>
        <w:rPr>
          <w:rStyle w:val="CharSectno"/>
        </w:rPr>
        <w:t>101</w:t>
      </w:r>
      <w:r>
        <w:rPr>
          <w:snapToGrid w:val="0"/>
        </w:rPr>
        <w:t>.</w:t>
      </w:r>
      <w:r>
        <w:rPr>
          <w:snapToGrid w:val="0"/>
        </w:rPr>
        <w:tab/>
        <w:t>Order with custodial sentence (conditional release order)</w:t>
      </w:r>
      <w:bookmarkEnd w:id="441"/>
      <w:bookmarkEnd w:id="442"/>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443" w:name="_Toc200718763"/>
      <w:bookmarkStart w:id="444" w:name="_Toc138752521"/>
      <w:r>
        <w:rPr>
          <w:rStyle w:val="CharSectno"/>
        </w:rPr>
        <w:t>102</w:t>
      </w:r>
      <w:r>
        <w:rPr>
          <w:snapToGrid w:val="0"/>
        </w:rPr>
        <w:t>.</w:t>
      </w:r>
      <w:r>
        <w:rPr>
          <w:snapToGrid w:val="0"/>
        </w:rPr>
        <w:tab/>
        <w:t>Conditional release order to include agenda of conditions</w:t>
      </w:r>
      <w:bookmarkEnd w:id="443"/>
      <w:bookmarkEnd w:id="444"/>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445" w:name="_Toc200718764"/>
      <w:bookmarkStart w:id="446" w:name="_Toc138752522"/>
      <w:r>
        <w:rPr>
          <w:rStyle w:val="CharSectno"/>
        </w:rPr>
        <w:t>103</w:t>
      </w:r>
      <w:r>
        <w:rPr>
          <w:snapToGrid w:val="0"/>
        </w:rPr>
        <w:t>.</w:t>
      </w:r>
      <w:r>
        <w:rPr>
          <w:snapToGrid w:val="0"/>
        </w:rPr>
        <w:tab/>
        <w:t>Offender must be suitable and consent</w:t>
      </w:r>
      <w:bookmarkEnd w:id="445"/>
      <w:bookmarkEnd w:id="446"/>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No. 58 of 2004 s. 22.]</w:t>
      </w:r>
    </w:p>
    <w:p>
      <w:pPr>
        <w:pStyle w:val="Heading5"/>
        <w:spacing w:before="180"/>
        <w:rPr>
          <w:snapToGrid w:val="0"/>
        </w:rPr>
      </w:pPr>
      <w:bookmarkStart w:id="447" w:name="_Toc200718765"/>
      <w:bookmarkStart w:id="448" w:name="_Toc138752523"/>
      <w:r>
        <w:rPr>
          <w:rStyle w:val="CharSectno"/>
        </w:rPr>
        <w:t>104</w:t>
      </w:r>
      <w:r>
        <w:rPr>
          <w:snapToGrid w:val="0"/>
        </w:rPr>
        <w:t>.</w:t>
      </w:r>
      <w:r>
        <w:rPr>
          <w:snapToGrid w:val="0"/>
        </w:rPr>
        <w:tab/>
        <w:t>Agenda proposal required for suitable person</w:t>
      </w:r>
      <w:bookmarkEnd w:id="447"/>
      <w:bookmarkEnd w:id="448"/>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449" w:name="_Toc200718766"/>
      <w:bookmarkStart w:id="450" w:name="_Toc138752524"/>
      <w:r>
        <w:rPr>
          <w:rStyle w:val="CharSectno"/>
        </w:rPr>
        <w:t>105</w:t>
      </w:r>
      <w:r>
        <w:rPr>
          <w:snapToGrid w:val="0"/>
        </w:rPr>
        <w:t>.</w:t>
      </w:r>
      <w:r>
        <w:rPr>
          <w:snapToGrid w:val="0"/>
        </w:rPr>
        <w:tab/>
        <w:t>Conditional release order, duration of</w:t>
      </w:r>
      <w:bookmarkEnd w:id="449"/>
      <w:bookmarkEnd w:id="450"/>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451" w:name="_Toc200718767"/>
      <w:bookmarkStart w:id="452" w:name="_Toc138752525"/>
      <w:r>
        <w:rPr>
          <w:rStyle w:val="CharSectno"/>
        </w:rPr>
        <w:t>106</w:t>
      </w:r>
      <w:r>
        <w:rPr>
          <w:snapToGrid w:val="0"/>
        </w:rPr>
        <w:t>.</w:t>
      </w:r>
      <w:r>
        <w:rPr>
          <w:snapToGrid w:val="0"/>
        </w:rPr>
        <w:tab/>
        <w:t>Conditional release order may relate to several sentences</w:t>
      </w:r>
      <w:bookmarkEnd w:id="451"/>
      <w:bookmarkEnd w:id="452"/>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453" w:name="_Toc200718768"/>
      <w:bookmarkStart w:id="454" w:name="_Toc138752526"/>
      <w:r>
        <w:rPr>
          <w:rStyle w:val="CharSectno"/>
        </w:rPr>
        <w:t>107</w:t>
      </w:r>
      <w:r>
        <w:rPr>
          <w:snapToGrid w:val="0"/>
        </w:rPr>
        <w:t>.</w:t>
      </w:r>
      <w:r>
        <w:rPr>
          <w:snapToGrid w:val="0"/>
        </w:rPr>
        <w:tab/>
        <w:t>Conditional release not to exceed 12 months</w:t>
      </w:r>
      <w:bookmarkEnd w:id="453"/>
      <w:bookmarkEnd w:id="454"/>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455" w:name="_Toc200718769"/>
      <w:bookmarkStart w:id="456" w:name="_Toc138752527"/>
      <w:r>
        <w:rPr>
          <w:rStyle w:val="CharSectno"/>
        </w:rPr>
        <w:t>108</w:t>
      </w:r>
      <w:r>
        <w:rPr>
          <w:snapToGrid w:val="0"/>
        </w:rPr>
        <w:t>.</w:t>
      </w:r>
      <w:r>
        <w:rPr>
          <w:snapToGrid w:val="0"/>
        </w:rPr>
        <w:tab/>
        <w:t>Supervising officer</w:t>
      </w:r>
      <w:bookmarkEnd w:id="455"/>
      <w:bookmarkEnd w:id="45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457" w:name="_Toc200718770"/>
      <w:bookmarkStart w:id="458" w:name="_Toc138752528"/>
      <w:r>
        <w:rPr>
          <w:rStyle w:val="CharSectno"/>
        </w:rPr>
        <w:t>109</w:t>
      </w:r>
      <w:r>
        <w:rPr>
          <w:snapToGrid w:val="0"/>
        </w:rPr>
        <w:t>.</w:t>
      </w:r>
      <w:r>
        <w:rPr>
          <w:snapToGrid w:val="0"/>
        </w:rPr>
        <w:tab/>
        <w:t>Conditional release order, implied conditions of</w:t>
      </w:r>
      <w:bookmarkEnd w:id="457"/>
      <w:bookmarkEnd w:id="458"/>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459" w:name="_Toc200718771"/>
      <w:bookmarkStart w:id="460" w:name="_Toc138752529"/>
      <w:r>
        <w:rPr>
          <w:rStyle w:val="CharSectno"/>
        </w:rPr>
        <w:t>109A</w:t>
      </w:r>
      <w:r>
        <w:rPr>
          <w:snapToGrid w:val="0"/>
        </w:rPr>
        <w:t>.</w:t>
      </w:r>
      <w:r>
        <w:rPr>
          <w:snapToGrid w:val="0"/>
        </w:rPr>
        <w:tab/>
        <w:t>Conditional release order: specified places</w:t>
      </w:r>
      <w:bookmarkEnd w:id="459"/>
      <w:bookmarkEnd w:id="460"/>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No. 58 of 2004 s. 23.]</w:t>
      </w:r>
    </w:p>
    <w:p>
      <w:pPr>
        <w:pStyle w:val="Heading5"/>
        <w:spacing w:before="180"/>
        <w:rPr>
          <w:snapToGrid w:val="0"/>
        </w:rPr>
      </w:pPr>
      <w:bookmarkStart w:id="461" w:name="_Toc200718772"/>
      <w:bookmarkStart w:id="462" w:name="_Toc138752530"/>
      <w:r>
        <w:rPr>
          <w:rStyle w:val="CharSectno"/>
        </w:rPr>
        <w:t>109B</w:t>
      </w:r>
      <w:r>
        <w:rPr>
          <w:snapToGrid w:val="0"/>
        </w:rPr>
        <w:t>.</w:t>
      </w:r>
      <w:r>
        <w:rPr>
          <w:snapToGrid w:val="0"/>
        </w:rPr>
        <w:tab/>
        <w:t>Conditional release order: devices</w:t>
      </w:r>
      <w:bookmarkEnd w:id="461"/>
      <w:bookmarkEnd w:id="462"/>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No. 58 of 2004 s. 23.]</w:t>
      </w:r>
    </w:p>
    <w:p>
      <w:pPr>
        <w:pStyle w:val="Heading5"/>
        <w:spacing w:before="240"/>
        <w:rPr>
          <w:snapToGrid w:val="0"/>
        </w:rPr>
      </w:pPr>
      <w:bookmarkStart w:id="463" w:name="_Toc200718773"/>
      <w:bookmarkStart w:id="464" w:name="_Toc138752531"/>
      <w:r>
        <w:rPr>
          <w:rStyle w:val="CharSectno"/>
        </w:rPr>
        <w:t>110</w:t>
      </w:r>
      <w:r>
        <w:rPr>
          <w:snapToGrid w:val="0"/>
        </w:rPr>
        <w:t>.</w:t>
      </w:r>
      <w:r>
        <w:rPr>
          <w:snapToGrid w:val="0"/>
        </w:rPr>
        <w:tab/>
        <w:t>Obligations under order may be suspended</w:t>
      </w:r>
      <w:bookmarkEnd w:id="463"/>
      <w:bookmarkEnd w:id="464"/>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465" w:name="_Toc200718774"/>
      <w:bookmarkStart w:id="466" w:name="_Toc138752532"/>
      <w:r>
        <w:rPr>
          <w:rStyle w:val="CharSectno"/>
        </w:rPr>
        <w:t>111</w:t>
      </w:r>
      <w:r>
        <w:rPr>
          <w:snapToGrid w:val="0"/>
        </w:rPr>
        <w:t>.</w:t>
      </w:r>
      <w:r>
        <w:rPr>
          <w:snapToGrid w:val="0"/>
        </w:rPr>
        <w:tab/>
        <w:t>Amendment of order, extent of power</w:t>
      </w:r>
      <w:bookmarkEnd w:id="465"/>
      <w:bookmarkEnd w:id="466"/>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467" w:name="_Toc200718775"/>
      <w:bookmarkStart w:id="468" w:name="_Toc138752533"/>
      <w:r>
        <w:rPr>
          <w:rStyle w:val="CharSectno"/>
        </w:rPr>
        <w:t>112</w:t>
      </w:r>
      <w:r>
        <w:rPr>
          <w:snapToGrid w:val="0"/>
        </w:rPr>
        <w:t>.</w:t>
      </w:r>
      <w:r>
        <w:rPr>
          <w:snapToGrid w:val="0"/>
        </w:rPr>
        <w:tab/>
        <w:t>Amendment or cancellation of order</w:t>
      </w:r>
      <w:bookmarkEnd w:id="467"/>
      <w:bookmarkEnd w:id="468"/>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469" w:name="_Toc200718776"/>
      <w:bookmarkStart w:id="470" w:name="_Toc138752534"/>
      <w:r>
        <w:rPr>
          <w:rStyle w:val="CharSectno"/>
        </w:rPr>
        <w:t>113</w:t>
      </w:r>
      <w:r>
        <w:rPr>
          <w:snapToGrid w:val="0"/>
        </w:rPr>
        <w:t>.</w:t>
      </w:r>
      <w:r>
        <w:rPr>
          <w:snapToGrid w:val="0"/>
        </w:rPr>
        <w:tab/>
        <w:t>Breach of order, CEO may require offender to attend court</w:t>
      </w:r>
      <w:bookmarkEnd w:id="469"/>
      <w:bookmarkEnd w:id="470"/>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471" w:name="_Toc200718777"/>
      <w:bookmarkStart w:id="472" w:name="_Toc138752535"/>
      <w:r>
        <w:rPr>
          <w:rStyle w:val="CharSectno"/>
        </w:rPr>
        <w:t>114</w:t>
      </w:r>
      <w:r>
        <w:rPr>
          <w:snapToGrid w:val="0"/>
        </w:rPr>
        <w:t>.</w:t>
      </w:r>
      <w:r>
        <w:rPr>
          <w:snapToGrid w:val="0"/>
        </w:rPr>
        <w:tab/>
        <w:t>Breach of order, powers to deal with</w:t>
      </w:r>
      <w:bookmarkEnd w:id="471"/>
      <w:bookmarkEnd w:id="472"/>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No. 58 of 2004 s. 24.]</w:t>
      </w:r>
    </w:p>
    <w:p>
      <w:pPr>
        <w:pStyle w:val="Heading5"/>
        <w:rPr>
          <w:snapToGrid w:val="0"/>
        </w:rPr>
      </w:pPr>
      <w:bookmarkStart w:id="473" w:name="_Toc200718778"/>
      <w:bookmarkStart w:id="474" w:name="_Toc138752536"/>
      <w:r>
        <w:rPr>
          <w:rStyle w:val="CharSectno"/>
        </w:rPr>
        <w:t>115</w:t>
      </w:r>
      <w:r>
        <w:rPr>
          <w:snapToGrid w:val="0"/>
        </w:rPr>
        <w:t>.</w:t>
      </w:r>
      <w:r>
        <w:rPr>
          <w:snapToGrid w:val="0"/>
        </w:rPr>
        <w:tab/>
        <w:t>Conditional release order, effect of expiry of</w:t>
      </w:r>
      <w:bookmarkEnd w:id="473"/>
      <w:bookmarkEnd w:id="474"/>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No. 58 of 2004 s. 25.]</w:t>
      </w:r>
    </w:p>
    <w:p>
      <w:pPr>
        <w:pStyle w:val="Heading5"/>
        <w:rPr>
          <w:snapToGrid w:val="0"/>
        </w:rPr>
      </w:pPr>
      <w:bookmarkStart w:id="475" w:name="_Toc200718779"/>
      <w:bookmarkStart w:id="476" w:name="_Toc138752537"/>
      <w:r>
        <w:rPr>
          <w:rStyle w:val="CharSectno"/>
        </w:rPr>
        <w:t>116</w:t>
      </w:r>
      <w:r>
        <w:rPr>
          <w:snapToGrid w:val="0"/>
        </w:rPr>
        <w:t>.</w:t>
      </w:r>
      <w:r>
        <w:rPr>
          <w:snapToGrid w:val="0"/>
        </w:rPr>
        <w:tab/>
        <w:t>Cancellation of conditional release order, effect of</w:t>
      </w:r>
      <w:bookmarkEnd w:id="475"/>
      <w:bookmarkEnd w:id="476"/>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No. 78 of 1995 s. 145.] </w:t>
      </w:r>
    </w:p>
    <w:p>
      <w:pPr>
        <w:pStyle w:val="Heading5"/>
        <w:spacing w:before="180"/>
        <w:rPr>
          <w:snapToGrid w:val="0"/>
        </w:rPr>
      </w:pPr>
      <w:bookmarkStart w:id="477" w:name="_Toc200718780"/>
      <w:bookmarkStart w:id="478" w:name="_Toc138752538"/>
      <w:r>
        <w:rPr>
          <w:rStyle w:val="CharSectno"/>
        </w:rPr>
        <w:t>117</w:t>
      </w:r>
      <w:r>
        <w:rPr>
          <w:snapToGrid w:val="0"/>
        </w:rPr>
        <w:t>.</w:t>
      </w:r>
      <w:r>
        <w:rPr>
          <w:snapToGrid w:val="0"/>
        </w:rPr>
        <w:tab/>
        <w:t>Notice of court applications</w:t>
      </w:r>
      <w:bookmarkEnd w:id="477"/>
      <w:bookmarkEnd w:id="478"/>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479" w:name="_Toc200718781"/>
      <w:bookmarkStart w:id="480" w:name="_Toc138691136"/>
      <w:bookmarkStart w:id="481" w:name="_Toc138692631"/>
      <w:bookmarkStart w:id="482" w:name="_Toc138749905"/>
      <w:bookmarkStart w:id="483" w:name="_Toc138752539"/>
      <w:r>
        <w:rPr>
          <w:rStyle w:val="CharDivNo"/>
        </w:rPr>
        <w:t>Division 8</w:t>
      </w:r>
      <w:r>
        <w:rPr>
          <w:snapToGrid w:val="0"/>
        </w:rPr>
        <w:t> — </w:t>
      </w:r>
      <w:r>
        <w:rPr>
          <w:rStyle w:val="CharDivText"/>
        </w:rPr>
        <w:t>Custodial sentence</w:t>
      </w:r>
      <w:bookmarkEnd w:id="479"/>
      <w:bookmarkEnd w:id="480"/>
      <w:bookmarkEnd w:id="481"/>
      <w:bookmarkEnd w:id="482"/>
      <w:bookmarkEnd w:id="483"/>
      <w:r>
        <w:rPr>
          <w:rStyle w:val="CharDivText"/>
        </w:rPr>
        <w:t xml:space="preserve"> </w:t>
      </w:r>
    </w:p>
    <w:p>
      <w:pPr>
        <w:pStyle w:val="Heading5"/>
        <w:spacing w:before="180"/>
        <w:rPr>
          <w:snapToGrid w:val="0"/>
        </w:rPr>
      </w:pPr>
      <w:bookmarkStart w:id="484" w:name="_Toc200718782"/>
      <w:bookmarkStart w:id="485" w:name="_Toc138752540"/>
      <w:r>
        <w:rPr>
          <w:rStyle w:val="CharSectno"/>
        </w:rPr>
        <w:t>118</w:t>
      </w:r>
      <w:r>
        <w:rPr>
          <w:snapToGrid w:val="0"/>
        </w:rPr>
        <w:t>.</w:t>
      </w:r>
      <w:r>
        <w:rPr>
          <w:snapToGrid w:val="0"/>
        </w:rPr>
        <w:tab/>
      </w:r>
      <w:r>
        <w:t>Sentencing for offences punishable by imprisonment</w:t>
      </w:r>
      <w:bookmarkEnd w:id="484"/>
      <w:bookmarkEnd w:id="485"/>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w:t>
      </w:r>
      <w:r>
        <w:t>section 178(4),</w:t>
      </w:r>
      <w:r>
        <w:rPr>
          <w:snapToGrid w:val="0"/>
        </w:rPr>
        <w:t xml:space="preserve">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No. 78 of 1995 s. 143; amended: No. 29 of 1998 s. 21; No. 50 of 2003 s. 29(3) and 104(2); No. 27 of 2004 s. 17; No. 5 of 2008 s. 132(3); No. 15 of 2023 s. 8.] </w:t>
      </w:r>
    </w:p>
    <w:p>
      <w:pPr>
        <w:pStyle w:val="Heading5"/>
        <w:rPr>
          <w:snapToGrid w:val="0"/>
        </w:rPr>
      </w:pPr>
      <w:bookmarkStart w:id="486" w:name="_Toc200718783"/>
      <w:bookmarkStart w:id="487" w:name="_Toc138752541"/>
      <w:r>
        <w:rPr>
          <w:rStyle w:val="CharSectno"/>
        </w:rPr>
        <w:t>118A</w:t>
      </w:r>
      <w:r>
        <w:rPr>
          <w:snapToGrid w:val="0"/>
        </w:rPr>
        <w:t>.</w:t>
      </w:r>
      <w:r>
        <w:rPr>
          <w:snapToGrid w:val="0"/>
        </w:rPr>
        <w:tab/>
        <w:t>Where sentence of imprisonment to be served</w:t>
      </w:r>
      <w:bookmarkEnd w:id="486"/>
      <w:bookmarkEnd w:id="487"/>
      <w:r>
        <w:rPr>
          <w:snapToGrid w:val="0"/>
        </w:rPr>
        <w:t xml:space="preserve"> </w:t>
      </w:r>
    </w:p>
    <w:p>
      <w:pPr>
        <w:pStyle w:val="Subsection"/>
        <w:keepNext/>
        <w:rPr>
          <w:snapToGrid w:val="0"/>
        </w:rPr>
      </w:pPr>
      <w:r>
        <w:rPr>
          <w:snapToGrid w:val="0"/>
        </w:rPr>
        <w:tab/>
        <w:t>(1)</w:t>
      </w:r>
      <w:r>
        <w:rPr>
          <w:snapToGrid w:val="0"/>
        </w:rPr>
        <w:tab/>
      </w:r>
      <w:r>
        <w:t>Subsection (1A)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is under 18 years old at the time when under that sentence </w:t>
      </w:r>
      <w:r>
        <w:t>the young person is to be imprisoned.</w:t>
      </w:r>
    </w:p>
    <w:p>
      <w:pPr>
        <w:pStyle w:val="Subsection"/>
      </w:pPr>
      <w:r>
        <w:tab/>
        <w:t>(1A)</w:t>
      </w:r>
      <w:r>
        <w:tab/>
        <w:t xml:space="preserve">The young person must serve the sentence in a detention centre and not in a prison unless — </w:t>
      </w:r>
    </w:p>
    <w:p>
      <w:pPr>
        <w:pStyle w:val="Indenta"/>
      </w:pPr>
      <w:r>
        <w:tab/>
        <w:t>(a)</w:t>
      </w:r>
      <w:r>
        <w:tab/>
        <w:t>a direction is made in respect of the young person under section 118(4) or 178(3); or</w:t>
      </w:r>
    </w:p>
    <w:p>
      <w:pPr>
        <w:pStyle w:val="Indenta"/>
      </w:pPr>
      <w:r>
        <w:tab/>
        <w:t>(b)</w:t>
      </w:r>
      <w:r>
        <w:tab/>
        <w:t>the young person is transferred under section 178A(2).</w:t>
      </w:r>
    </w:p>
    <w:p>
      <w:pPr>
        <w:pStyle w:val="Subsection"/>
        <w:keepNext/>
        <w:rPr>
          <w:snapToGrid w:val="0"/>
        </w:rPr>
      </w:pPr>
      <w:r>
        <w:rPr>
          <w:snapToGrid w:val="0"/>
        </w:rPr>
        <w:tab/>
        <w:t>(2)</w:t>
      </w:r>
      <w:r>
        <w:rPr>
          <w:snapToGrid w:val="0"/>
        </w:rPr>
        <w:tab/>
      </w:r>
      <w:r>
        <w:t>Subsection (2A)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has reached the age of 18 years at the time when under that sentence </w:t>
      </w:r>
      <w:r>
        <w:t>the young person is to be imprisoned.</w:t>
      </w:r>
    </w:p>
    <w:p>
      <w:pPr>
        <w:pStyle w:val="Subsection"/>
      </w:pPr>
      <w:r>
        <w:tab/>
        <w:t>(2A)</w:t>
      </w:r>
      <w:r>
        <w:tab/>
        <w:t>The young person must serve the sentence in a prison.</w:t>
      </w:r>
    </w:p>
    <w:p>
      <w:pPr>
        <w:pStyle w:val="Subsection"/>
        <w:rPr>
          <w:snapToGrid w:val="0"/>
        </w:rPr>
      </w:pPr>
      <w:r>
        <w:rPr>
          <w:snapToGrid w:val="0"/>
        </w:rPr>
        <w:tab/>
        <w:t>(3)</w:t>
      </w:r>
      <w:r>
        <w:rPr>
          <w:snapToGrid w:val="0"/>
        </w:rPr>
        <w:tab/>
        <w:t xml:space="preserve">If it is not practicable to immediately transport a young person to a detention centre in accordance with </w:t>
      </w:r>
      <w:r>
        <w:t>subsection (1A),</w:t>
      </w:r>
      <w:r>
        <w:rPr>
          <w:snapToGrid w:val="0"/>
        </w:rPr>
        <w:t xml:space="preserve"> the </w:t>
      </w:r>
      <w:r>
        <w:t>young person</w:t>
      </w:r>
      <w:r>
        <w:rPr>
          <w:snapToGrid w:val="0"/>
        </w:rPr>
        <w:t xml:space="preserve"> may be held in a prison or a lock</w:t>
      </w:r>
      <w:r>
        <w:rPr>
          <w:snapToGrid w:val="0"/>
        </w:rPr>
        <w:noBreakHyphen/>
        <w:t>up until transport to a detention centre is practicable.</w:t>
      </w:r>
    </w:p>
    <w:p>
      <w:pPr>
        <w:pStyle w:val="Footnotesection"/>
      </w:pPr>
      <w:r>
        <w:tab/>
        <w:t xml:space="preserve">[Section 118A inserted: No. 78 of 1995 s. 143; amended: No. 47 of 1999 s. 43; No. 15 of 2023 s. 9.] </w:t>
      </w:r>
    </w:p>
    <w:p>
      <w:pPr>
        <w:pStyle w:val="Heading5"/>
        <w:rPr>
          <w:b w:val="0"/>
          <w:spacing w:val="-2"/>
        </w:rPr>
      </w:pPr>
      <w:bookmarkStart w:id="488" w:name="_Toc200718784"/>
      <w:bookmarkStart w:id="489" w:name="_Toc138752542"/>
      <w:r>
        <w:rPr>
          <w:rStyle w:val="CharSectno"/>
        </w:rPr>
        <w:t>119</w:t>
      </w:r>
      <w:r>
        <w:t>.</w:t>
      </w:r>
      <w:r>
        <w:tab/>
        <w:t>Taking time on remand into account</w:t>
      </w:r>
      <w:bookmarkEnd w:id="488"/>
      <w:bookmarkEnd w:id="489"/>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No. 29 of 1998 s. 22.]</w:t>
      </w:r>
    </w:p>
    <w:p>
      <w:pPr>
        <w:pStyle w:val="Heading5"/>
      </w:pPr>
      <w:bookmarkStart w:id="490" w:name="_Toc200718785"/>
      <w:bookmarkStart w:id="491" w:name="_Toc138752543"/>
      <w:r>
        <w:rPr>
          <w:rStyle w:val="CharSectno"/>
        </w:rPr>
        <w:t>119A</w:t>
      </w:r>
      <w:r>
        <w:t>.</w:t>
      </w:r>
      <w:r>
        <w:tab/>
        <w:t>Effect of not being in custody</w:t>
      </w:r>
      <w:bookmarkEnd w:id="490"/>
      <w:bookmarkEnd w:id="491"/>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No. 58 of 2004 s. 26.]</w:t>
      </w:r>
    </w:p>
    <w:p>
      <w:pPr>
        <w:pStyle w:val="Heading5"/>
        <w:rPr>
          <w:snapToGrid w:val="0"/>
        </w:rPr>
      </w:pPr>
      <w:bookmarkStart w:id="492" w:name="_Toc200718786"/>
      <w:bookmarkStart w:id="493" w:name="_Toc138752544"/>
      <w:r>
        <w:rPr>
          <w:rStyle w:val="CharSectno"/>
        </w:rPr>
        <w:t>120</w:t>
      </w:r>
      <w:r>
        <w:rPr>
          <w:snapToGrid w:val="0"/>
        </w:rPr>
        <w:t>.</w:t>
      </w:r>
      <w:r>
        <w:rPr>
          <w:snapToGrid w:val="0"/>
        </w:rPr>
        <w:tab/>
        <w:t>Custodial sentence is sentence of last resort</w:t>
      </w:r>
      <w:bookmarkEnd w:id="492"/>
      <w:bookmarkEnd w:id="493"/>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No. 20 of 2013 s. 142.]</w:t>
      </w:r>
    </w:p>
    <w:p>
      <w:pPr>
        <w:pStyle w:val="Heading5"/>
        <w:rPr>
          <w:snapToGrid w:val="0"/>
        </w:rPr>
      </w:pPr>
      <w:bookmarkStart w:id="494" w:name="_Toc200718787"/>
      <w:bookmarkStart w:id="495" w:name="_Toc138752545"/>
      <w:r>
        <w:rPr>
          <w:rStyle w:val="CharSectno"/>
        </w:rPr>
        <w:t>121</w:t>
      </w:r>
      <w:r>
        <w:rPr>
          <w:snapToGrid w:val="0"/>
        </w:rPr>
        <w:t>.</w:t>
      </w:r>
      <w:r>
        <w:rPr>
          <w:snapToGrid w:val="0"/>
        </w:rPr>
        <w:tab/>
        <w:t>Minimum period before release from detention</w:t>
      </w:r>
      <w:bookmarkEnd w:id="494"/>
      <w:bookmarkEnd w:id="495"/>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drawing>
          <wp:inline distT="0" distB="0" distL="0" distR="0">
            <wp:extent cx="88265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82650" cy="414655"/>
                    </a:xfrm>
                    <a:prstGeom prst="rect">
                      <a:avLst/>
                    </a:prstGeom>
                    <a:noFill/>
                    <a:ln>
                      <a:noFill/>
                    </a:ln>
                  </pic:spPr>
                </pic:pic>
              </a:graphicData>
            </a:graphic>
          </wp:inline>
        </w:drawing>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No. 29 of 1998 s. 23.]</w:t>
      </w:r>
    </w:p>
    <w:p>
      <w:pPr>
        <w:pStyle w:val="Heading5"/>
        <w:rPr>
          <w:snapToGrid w:val="0"/>
        </w:rPr>
      </w:pPr>
      <w:bookmarkStart w:id="496" w:name="_Toc200718788"/>
      <w:bookmarkStart w:id="497" w:name="_Toc138752546"/>
      <w:r>
        <w:rPr>
          <w:rStyle w:val="CharSectno"/>
        </w:rPr>
        <w:t>122</w:t>
      </w:r>
      <w:r>
        <w:rPr>
          <w:snapToGrid w:val="0"/>
        </w:rPr>
        <w:t>.</w:t>
      </w:r>
      <w:r>
        <w:rPr>
          <w:snapToGrid w:val="0"/>
        </w:rPr>
        <w:tab/>
        <w:t>Aggregation of multiple sentences of detention</w:t>
      </w:r>
      <w:bookmarkEnd w:id="496"/>
      <w:bookmarkEnd w:id="497"/>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498" w:name="_Toc200718789"/>
      <w:bookmarkStart w:id="499" w:name="_Toc138752547"/>
      <w:r>
        <w:rPr>
          <w:rStyle w:val="CharSectno"/>
        </w:rPr>
        <w:t>123</w:t>
      </w:r>
      <w:r>
        <w:rPr>
          <w:snapToGrid w:val="0"/>
        </w:rPr>
        <w:t>.</w:t>
      </w:r>
      <w:r>
        <w:rPr>
          <w:snapToGrid w:val="0"/>
        </w:rPr>
        <w:tab/>
        <w:t>Cumulative sentences of detention, service of</w:t>
      </w:r>
      <w:bookmarkEnd w:id="498"/>
      <w:bookmarkEnd w:id="499"/>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500" w:name="_Toc200718790"/>
      <w:bookmarkStart w:id="501" w:name="_Toc138691145"/>
      <w:bookmarkStart w:id="502" w:name="_Toc138692640"/>
      <w:bookmarkStart w:id="503" w:name="_Toc138749914"/>
      <w:bookmarkStart w:id="504" w:name="_Toc138752548"/>
      <w:r>
        <w:rPr>
          <w:rStyle w:val="CharDivNo"/>
        </w:rPr>
        <w:t>Division 9</w:t>
      </w:r>
      <w:r>
        <w:rPr>
          <w:snapToGrid w:val="0"/>
        </w:rPr>
        <w:t> — </w:t>
      </w:r>
      <w:r>
        <w:rPr>
          <w:rStyle w:val="CharDivText"/>
        </w:rPr>
        <w:t>Dealing with young person who repeatedly commits serious offences</w:t>
      </w:r>
      <w:bookmarkEnd w:id="500"/>
      <w:bookmarkEnd w:id="501"/>
      <w:bookmarkEnd w:id="502"/>
      <w:bookmarkEnd w:id="503"/>
      <w:bookmarkEnd w:id="504"/>
      <w:r>
        <w:rPr>
          <w:rStyle w:val="CharDivText"/>
        </w:rPr>
        <w:t xml:space="preserve"> </w:t>
      </w:r>
    </w:p>
    <w:p>
      <w:pPr>
        <w:pStyle w:val="Heading5"/>
        <w:spacing w:before="180"/>
        <w:rPr>
          <w:snapToGrid w:val="0"/>
        </w:rPr>
      </w:pPr>
      <w:bookmarkStart w:id="505" w:name="_Toc200718791"/>
      <w:bookmarkStart w:id="506" w:name="_Toc138752549"/>
      <w:r>
        <w:rPr>
          <w:rStyle w:val="CharSectno"/>
        </w:rPr>
        <w:t>124</w:t>
      </w:r>
      <w:r>
        <w:rPr>
          <w:snapToGrid w:val="0"/>
        </w:rPr>
        <w:t>.</w:t>
      </w:r>
      <w:r>
        <w:rPr>
          <w:snapToGrid w:val="0"/>
        </w:rPr>
        <w:tab/>
        <w:t>When this Division applies</w:t>
      </w:r>
      <w:bookmarkEnd w:id="505"/>
      <w:bookmarkEnd w:id="506"/>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507" w:name="_Toc200718792"/>
      <w:bookmarkStart w:id="508" w:name="_Toc138752550"/>
      <w:r>
        <w:rPr>
          <w:rStyle w:val="CharSectno"/>
        </w:rPr>
        <w:t>125</w:t>
      </w:r>
      <w:r>
        <w:rPr>
          <w:snapToGrid w:val="0"/>
        </w:rPr>
        <w:t>.</w:t>
      </w:r>
      <w:r>
        <w:rPr>
          <w:snapToGrid w:val="0"/>
        </w:rPr>
        <w:tab/>
        <w:t>Protection of the community paramount</w:t>
      </w:r>
      <w:bookmarkEnd w:id="507"/>
      <w:bookmarkEnd w:id="508"/>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509" w:name="_Toc200718793"/>
      <w:bookmarkStart w:id="510" w:name="_Toc138752551"/>
      <w:r>
        <w:rPr>
          <w:rStyle w:val="CharSectno"/>
        </w:rPr>
        <w:t>126</w:t>
      </w:r>
      <w:r>
        <w:rPr>
          <w:snapToGrid w:val="0"/>
        </w:rPr>
        <w:t>.</w:t>
      </w:r>
      <w:r>
        <w:rPr>
          <w:snapToGrid w:val="0"/>
        </w:rPr>
        <w:tab/>
        <w:t>Special order, making of</w:t>
      </w:r>
      <w:bookmarkEnd w:id="509"/>
      <w:bookmarkEnd w:id="510"/>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No. 78 of 1995 s. 145.] </w:t>
      </w:r>
    </w:p>
    <w:p>
      <w:pPr>
        <w:pStyle w:val="Heading5"/>
        <w:spacing w:before="180"/>
        <w:rPr>
          <w:snapToGrid w:val="0"/>
        </w:rPr>
      </w:pPr>
      <w:bookmarkStart w:id="511" w:name="_Toc200718794"/>
      <w:bookmarkStart w:id="512" w:name="_Toc138752552"/>
      <w:r>
        <w:rPr>
          <w:rStyle w:val="CharSectno"/>
        </w:rPr>
        <w:t>127</w:t>
      </w:r>
      <w:r>
        <w:rPr>
          <w:snapToGrid w:val="0"/>
        </w:rPr>
        <w:t>.</w:t>
      </w:r>
      <w:r>
        <w:rPr>
          <w:snapToGrid w:val="0"/>
        </w:rPr>
        <w:tab/>
        <w:t>Special order, time of operation</w:t>
      </w:r>
      <w:bookmarkEnd w:id="511"/>
      <w:bookmarkEnd w:id="512"/>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513" w:name="_Toc200718795"/>
      <w:bookmarkStart w:id="514" w:name="_Toc138752553"/>
      <w:r>
        <w:rPr>
          <w:rStyle w:val="CharSectno"/>
        </w:rPr>
        <w:t>128</w:t>
      </w:r>
      <w:r>
        <w:rPr>
          <w:snapToGrid w:val="0"/>
        </w:rPr>
        <w:t>.</w:t>
      </w:r>
      <w:r>
        <w:rPr>
          <w:snapToGrid w:val="0"/>
        </w:rPr>
        <w:tab/>
        <w:t>Special order, effect of</w:t>
      </w:r>
      <w:bookmarkEnd w:id="513"/>
      <w:bookmarkEnd w:id="514"/>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515" w:name="_Toc200718796"/>
      <w:bookmarkStart w:id="516" w:name="_Toc138752554"/>
      <w:r>
        <w:rPr>
          <w:rStyle w:val="CharSectno"/>
        </w:rPr>
        <w:t>129</w:t>
      </w:r>
      <w:r>
        <w:rPr>
          <w:snapToGrid w:val="0"/>
        </w:rPr>
        <w:t>.</w:t>
      </w:r>
      <w:r>
        <w:rPr>
          <w:snapToGrid w:val="0"/>
        </w:rPr>
        <w:tab/>
        <w:t>Special order, application to discharge</w:t>
      </w:r>
      <w:bookmarkEnd w:id="515"/>
      <w:bookmarkEnd w:id="516"/>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517" w:name="_Toc200718797"/>
      <w:bookmarkStart w:id="518" w:name="_Toc138752555"/>
      <w:r>
        <w:rPr>
          <w:rStyle w:val="CharSectno"/>
        </w:rPr>
        <w:t>130</w:t>
      </w:r>
      <w:r>
        <w:rPr>
          <w:snapToGrid w:val="0"/>
        </w:rPr>
        <w:t>.</w:t>
      </w:r>
      <w:r>
        <w:rPr>
          <w:snapToGrid w:val="0"/>
        </w:rPr>
        <w:tab/>
        <w:t>Special order, effect of expiry of</w:t>
      </w:r>
      <w:bookmarkEnd w:id="517"/>
      <w:bookmarkEnd w:id="518"/>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519" w:name="_Toc200718798"/>
      <w:bookmarkStart w:id="520" w:name="_Toc138691153"/>
      <w:bookmarkStart w:id="521" w:name="_Toc138692648"/>
      <w:bookmarkStart w:id="522" w:name="_Toc138749922"/>
      <w:bookmarkStart w:id="523" w:name="_Toc138752556"/>
      <w:r>
        <w:rPr>
          <w:rStyle w:val="CharPartNo"/>
        </w:rPr>
        <w:t>Part 8</w:t>
      </w:r>
      <w:r>
        <w:t> — </w:t>
      </w:r>
      <w:r>
        <w:rPr>
          <w:rStyle w:val="CharPartText"/>
        </w:rPr>
        <w:t>Supervised release orders</w:t>
      </w:r>
      <w:bookmarkEnd w:id="519"/>
      <w:bookmarkEnd w:id="520"/>
      <w:bookmarkEnd w:id="521"/>
      <w:bookmarkEnd w:id="522"/>
      <w:bookmarkEnd w:id="523"/>
      <w:r>
        <w:rPr>
          <w:rStyle w:val="CharPartText"/>
        </w:rPr>
        <w:t xml:space="preserve"> </w:t>
      </w:r>
    </w:p>
    <w:p>
      <w:pPr>
        <w:pStyle w:val="Heading3"/>
        <w:rPr>
          <w:snapToGrid w:val="0"/>
        </w:rPr>
      </w:pPr>
      <w:bookmarkStart w:id="524" w:name="_Toc200718799"/>
      <w:bookmarkStart w:id="525" w:name="_Toc138691154"/>
      <w:bookmarkStart w:id="526" w:name="_Toc138692649"/>
      <w:bookmarkStart w:id="527" w:name="_Toc138749923"/>
      <w:bookmarkStart w:id="528" w:name="_Toc138752557"/>
      <w:r>
        <w:rPr>
          <w:rStyle w:val="CharDivNo"/>
        </w:rPr>
        <w:t>Division 1</w:t>
      </w:r>
      <w:r>
        <w:rPr>
          <w:snapToGrid w:val="0"/>
        </w:rPr>
        <w:t> — </w:t>
      </w:r>
      <w:r>
        <w:rPr>
          <w:rStyle w:val="CharDivText"/>
        </w:rPr>
        <w:t>Definitions</w:t>
      </w:r>
      <w:bookmarkEnd w:id="524"/>
      <w:bookmarkEnd w:id="525"/>
      <w:bookmarkEnd w:id="526"/>
      <w:bookmarkEnd w:id="527"/>
      <w:bookmarkEnd w:id="528"/>
      <w:r>
        <w:rPr>
          <w:rStyle w:val="CharDivText"/>
        </w:rPr>
        <w:t xml:space="preserve"> </w:t>
      </w:r>
    </w:p>
    <w:p>
      <w:pPr>
        <w:pStyle w:val="Heading5"/>
        <w:rPr>
          <w:snapToGrid w:val="0"/>
        </w:rPr>
      </w:pPr>
      <w:bookmarkStart w:id="529" w:name="_Toc200718800"/>
      <w:bookmarkStart w:id="530" w:name="_Toc138752558"/>
      <w:r>
        <w:rPr>
          <w:rStyle w:val="CharSectno"/>
        </w:rPr>
        <w:t>131</w:t>
      </w:r>
      <w:r>
        <w:rPr>
          <w:snapToGrid w:val="0"/>
        </w:rPr>
        <w:t>.</w:t>
      </w:r>
      <w:r>
        <w:rPr>
          <w:snapToGrid w:val="0"/>
        </w:rPr>
        <w:tab/>
        <w:t>Terms used</w:t>
      </w:r>
      <w:bookmarkEnd w:id="529"/>
      <w:bookmarkEnd w:id="530"/>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531" w:name="_Toc200718801"/>
      <w:bookmarkStart w:id="532" w:name="_Toc138691156"/>
      <w:bookmarkStart w:id="533" w:name="_Toc138692651"/>
      <w:bookmarkStart w:id="534" w:name="_Toc138749925"/>
      <w:bookmarkStart w:id="535" w:name="_Toc138752559"/>
      <w:r>
        <w:rPr>
          <w:rStyle w:val="CharDivNo"/>
        </w:rPr>
        <w:t>Division 2</w:t>
      </w:r>
      <w:r>
        <w:rPr>
          <w:snapToGrid w:val="0"/>
        </w:rPr>
        <w:t> — </w:t>
      </w:r>
      <w:r>
        <w:rPr>
          <w:rStyle w:val="CharDivText"/>
        </w:rPr>
        <w:t>The order</w:t>
      </w:r>
      <w:bookmarkEnd w:id="531"/>
      <w:bookmarkEnd w:id="532"/>
      <w:bookmarkEnd w:id="533"/>
      <w:bookmarkEnd w:id="534"/>
      <w:bookmarkEnd w:id="535"/>
      <w:r>
        <w:rPr>
          <w:rStyle w:val="CharDivText"/>
        </w:rPr>
        <w:t xml:space="preserve"> </w:t>
      </w:r>
    </w:p>
    <w:p>
      <w:pPr>
        <w:pStyle w:val="Heading5"/>
        <w:rPr>
          <w:snapToGrid w:val="0"/>
        </w:rPr>
      </w:pPr>
      <w:bookmarkStart w:id="536" w:name="_Toc200718802"/>
      <w:bookmarkStart w:id="537" w:name="_Toc138752560"/>
      <w:r>
        <w:rPr>
          <w:rStyle w:val="CharSectno"/>
        </w:rPr>
        <w:t>132</w:t>
      </w:r>
      <w:r>
        <w:rPr>
          <w:snapToGrid w:val="0"/>
        </w:rPr>
        <w:t>.</w:t>
      </w:r>
      <w:r>
        <w:rPr>
          <w:snapToGrid w:val="0"/>
        </w:rPr>
        <w:tab/>
        <w:t>Supervised release order, Board may make</w:t>
      </w:r>
      <w:bookmarkEnd w:id="536"/>
      <w:bookmarkEnd w:id="537"/>
      <w:r>
        <w:rPr>
          <w:snapToGrid w:val="0"/>
        </w:rPr>
        <w:t xml:space="preserve"> </w:t>
      </w:r>
    </w:p>
    <w:p>
      <w:pPr>
        <w:pStyle w:val="Subsection"/>
        <w:rPr>
          <w:snapToGrid w:val="0"/>
        </w:rPr>
      </w:pPr>
      <w:r>
        <w:rPr>
          <w:snapToGrid w:val="0"/>
        </w:rPr>
        <w:tab/>
        <w:t>(1)</w:t>
      </w:r>
      <w:r>
        <w:rPr>
          <w:snapToGrid w:val="0"/>
        </w:rPr>
        <w:tab/>
      </w:r>
      <w:r>
        <w:t>Except as provided in Division 2A, if</w:t>
      </w:r>
      <w:r>
        <w:rPr>
          <w:snapToGrid w:val="0"/>
        </w:rPr>
        <w:t xml:space="preserve">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No. 58 of 2004 s. 27; No. 14 of 2022 s. 32.]</w:t>
      </w:r>
    </w:p>
    <w:p>
      <w:pPr>
        <w:pStyle w:val="Heading5"/>
        <w:rPr>
          <w:snapToGrid w:val="0"/>
        </w:rPr>
      </w:pPr>
      <w:bookmarkStart w:id="538" w:name="_Toc200718803"/>
      <w:bookmarkStart w:id="539" w:name="_Toc138752561"/>
      <w:r>
        <w:rPr>
          <w:rStyle w:val="CharSectno"/>
        </w:rPr>
        <w:t>133</w:t>
      </w:r>
      <w:r>
        <w:rPr>
          <w:snapToGrid w:val="0"/>
        </w:rPr>
        <w:t>.</w:t>
      </w:r>
      <w:r>
        <w:rPr>
          <w:snapToGrid w:val="0"/>
        </w:rPr>
        <w:tab/>
        <w:t>Supervised release order, when can be made</w:t>
      </w:r>
      <w:bookmarkEnd w:id="538"/>
      <w:bookmarkEnd w:id="539"/>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keepNext/>
      </w:pPr>
      <w:r>
        <w:tab/>
        <w:t>(b)</w:t>
      </w:r>
      <w:r>
        <w:tab/>
        <w:t>where the offence results in a death, any member of the immediate family of the deceased.</w:t>
      </w:r>
    </w:p>
    <w:p>
      <w:pPr>
        <w:pStyle w:val="Footnotesection"/>
      </w:pPr>
      <w:r>
        <w:tab/>
        <w:t>[Section 133 amended: No. 41 of 2006 s. 87.]</w:t>
      </w:r>
    </w:p>
    <w:p>
      <w:pPr>
        <w:pStyle w:val="Heading5"/>
        <w:rPr>
          <w:snapToGrid w:val="0"/>
        </w:rPr>
      </w:pPr>
      <w:bookmarkStart w:id="540" w:name="_Toc200718804"/>
      <w:bookmarkStart w:id="541" w:name="_Toc138752562"/>
      <w:r>
        <w:rPr>
          <w:rStyle w:val="CharSectno"/>
        </w:rPr>
        <w:t>134</w:t>
      </w:r>
      <w:r>
        <w:rPr>
          <w:snapToGrid w:val="0"/>
        </w:rPr>
        <w:t>.</w:t>
      </w:r>
      <w:r>
        <w:rPr>
          <w:snapToGrid w:val="0"/>
        </w:rPr>
        <w:tab/>
        <w:t>Duration of order</w:t>
      </w:r>
      <w:bookmarkEnd w:id="540"/>
      <w:bookmarkEnd w:id="541"/>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542" w:name="_Toc200718805"/>
      <w:bookmarkStart w:id="543" w:name="_Toc138752563"/>
      <w:r>
        <w:rPr>
          <w:rStyle w:val="CharSectno"/>
        </w:rPr>
        <w:t>135</w:t>
      </w:r>
      <w:r>
        <w:rPr>
          <w:snapToGrid w:val="0"/>
        </w:rPr>
        <w:t>.</w:t>
      </w:r>
      <w:r>
        <w:rPr>
          <w:snapToGrid w:val="0"/>
        </w:rPr>
        <w:tab/>
        <w:t>Order may relate to more than one sentence</w:t>
      </w:r>
      <w:bookmarkEnd w:id="542"/>
      <w:bookmarkEnd w:id="543"/>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544" w:name="_Toc200718806"/>
      <w:bookmarkStart w:id="545" w:name="_Toc138752564"/>
      <w:r>
        <w:rPr>
          <w:rStyle w:val="CharSectno"/>
        </w:rPr>
        <w:t>136</w:t>
      </w:r>
      <w:r>
        <w:rPr>
          <w:snapToGrid w:val="0"/>
        </w:rPr>
        <w:t>.</w:t>
      </w:r>
      <w:r>
        <w:rPr>
          <w:snapToGrid w:val="0"/>
        </w:rPr>
        <w:tab/>
        <w:t>Conditions implied in order</w:t>
      </w:r>
      <w:bookmarkEnd w:id="544"/>
      <w:bookmarkEnd w:id="545"/>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546" w:name="_Toc200718807"/>
      <w:bookmarkStart w:id="547" w:name="_Toc138752565"/>
      <w:r>
        <w:rPr>
          <w:rStyle w:val="CharSectno"/>
        </w:rPr>
        <w:t>136A</w:t>
      </w:r>
      <w:r>
        <w:rPr>
          <w:snapToGrid w:val="0"/>
        </w:rPr>
        <w:t>.</w:t>
      </w:r>
      <w:r>
        <w:rPr>
          <w:snapToGrid w:val="0"/>
        </w:rPr>
        <w:tab/>
        <w:t>Express conditions: specified places</w:t>
      </w:r>
      <w:bookmarkEnd w:id="546"/>
      <w:bookmarkEnd w:id="547"/>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keepNext/>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No. 58 of 2004 s. 28.]</w:t>
      </w:r>
    </w:p>
    <w:p>
      <w:pPr>
        <w:pStyle w:val="Heading5"/>
      </w:pPr>
      <w:bookmarkStart w:id="548" w:name="_Toc200718808"/>
      <w:bookmarkStart w:id="549" w:name="_Toc138752566"/>
      <w:r>
        <w:rPr>
          <w:rStyle w:val="CharSectno"/>
        </w:rPr>
        <w:t>136B</w:t>
      </w:r>
      <w:r>
        <w:t>.</w:t>
      </w:r>
      <w:r>
        <w:tab/>
        <w:t>Express conditions: devices</w:t>
      </w:r>
      <w:bookmarkEnd w:id="548"/>
      <w:bookmarkEnd w:id="549"/>
      <w:r>
        <w:t xml:space="preserve"> </w:t>
      </w:r>
    </w:p>
    <w:p>
      <w:pPr>
        <w:pStyle w:val="Subsection"/>
        <w:keepNext/>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keepNext/>
      </w:pPr>
      <w:r>
        <w:tab/>
        <w:t>(7)</w:t>
      </w:r>
      <w:r>
        <w:tab/>
        <w:t>A person who wilfully and unlawfully destroys or damages a device commits an offence.</w:t>
      </w:r>
    </w:p>
    <w:p>
      <w:pPr>
        <w:pStyle w:val="Footnotesection"/>
      </w:pPr>
      <w:r>
        <w:tab/>
        <w:t>[Section 136B inserted: No. 58 of 2004 s. 28.]</w:t>
      </w:r>
    </w:p>
    <w:p>
      <w:pPr>
        <w:pStyle w:val="Heading5"/>
        <w:rPr>
          <w:snapToGrid w:val="0"/>
        </w:rPr>
      </w:pPr>
      <w:bookmarkStart w:id="550" w:name="_Toc200718809"/>
      <w:bookmarkStart w:id="551" w:name="_Toc138752567"/>
      <w:r>
        <w:rPr>
          <w:rStyle w:val="CharSectno"/>
        </w:rPr>
        <w:t>137</w:t>
      </w:r>
      <w:r>
        <w:rPr>
          <w:snapToGrid w:val="0"/>
        </w:rPr>
        <w:t>.</w:t>
      </w:r>
      <w:r>
        <w:rPr>
          <w:snapToGrid w:val="0"/>
        </w:rPr>
        <w:tab/>
        <w:t>Effect of proposed order to be explained to offender</w:t>
      </w:r>
      <w:bookmarkEnd w:id="550"/>
      <w:bookmarkEnd w:id="551"/>
      <w:r>
        <w:rPr>
          <w:snapToGrid w:val="0"/>
        </w:rPr>
        <w:t xml:space="preserve"> </w:t>
      </w:r>
    </w:p>
    <w:p>
      <w:pPr>
        <w:pStyle w:val="Subsection"/>
        <w:keepNext/>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552" w:name="_Toc200718810"/>
      <w:bookmarkStart w:id="553" w:name="_Toc138752568"/>
      <w:r>
        <w:rPr>
          <w:rStyle w:val="CharSectno"/>
        </w:rPr>
        <w:t>138</w:t>
      </w:r>
      <w:r>
        <w:rPr>
          <w:snapToGrid w:val="0"/>
        </w:rPr>
        <w:t>.</w:t>
      </w:r>
      <w:r>
        <w:rPr>
          <w:snapToGrid w:val="0"/>
        </w:rPr>
        <w:tab/>
        <w:t>Order to be provided in writing</w:t>
      </w:r>
      <w:bookmarkEnd w:id="552"/>
      <w:bookmarkEnd w:id="553"/>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554" w:name="_Toc200718811"/>
      <w:bookmarkStart w:id="555" w:name="_Toc138752569"/>
      <w:r>
        <w:rPr>
          <w:rStyle w:val="CharSectno"/>
        </w:rPr>
        <w:t>139</w:t>
      </w:r>
      <w:r>
        <w:rPr>
          <w:snapToGrid w:val="0"/>
        </w:rPr>
        <w:t>.</w:t>
      </w:r>
      <w:r>
        <w:rPr>
          <w:snapToGrid w:val="0"/>
        </w:rPr>
        <w:tab/>
        <w:t>Supervising officer</w:t>
      </w:r>
      <w:bookmarkEnd w:id="554"/>
      <w:bookmarkEnd w:id="555"/>
      <w:r>
        <w:rPr>
          <w:snapToGrid w:val="0"/>
        </w:rPr>
        <w:t xml:space="preserve"> </w:t>
      </w:r>
    </w:p>
    <w:p>
      <w:pPr>
        <w:pStyle w:val="Subsection"/>
        <w:keepNext/>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556" w:name="_Toc200718812"/>
      <w:bookmarkStart w:id="557" w:name="_Toc138752570"/>
      <w:r>
        <w:rPr>
          <w:rStyle w:val="CharSectno"/>
        </w:rPr>
        <w:t>140</w:t>
      </w:r>
      <w:r>
        <w:rPr>
          <w:snapToGrid w:val="0"/>
        </w:rPr>
        <w:t>.</w:t>
      </w:r>
      <w:r>
        <w:rPr>
          <w:snapToGrid w:val="0"/>
        </w:rPr>
        <w:tab/>
        <w:t>Obligations under order may be suspended</w:t>
      </w:r>
      <w:bookmarkEnd w:id="556"/>
      <w:bookmarkEnd w:id="557"/>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558" w:name="_Toc200718813"/>
      <w:bookmarkStart w:id="559" w:name="_Toc138752571"/>
      <w:r>
        <w:rPr>
          <w:rStyle w:val="CharSectno"/>
        </w:rPr>
        <w:t>141</w:t>
      </w:r>
      <w:r>
        <w:rPr>
          <w:snapToGrid w:val="0"/>
        </w:rPr>
        <w:t>.</w:t>
      </w:r>
      <w:r>
        <w:rPr>
          <w:snapToGrid w:val="0"/>
        </w:rPr>
        <w:tab/>
        <w:t>Amendment of order, extent of power</w:t>
      </w:r>
      <w:bookmarkEnd w:id="558"/>
      <w:bookmarkEnd w:id="559"/>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560" w:name="_Toc200718814"/>
      <w:bookmarkStart w:id="561" w:name="_Toc138752572"/>
      <w:r>
        <w:rPr>
          <w:rStyle w:val="CharSectno"/>
        </w:rPr>
        <w:t>142</w:t>
      </w:r>
      <w:r>
        <w:rPr>
          <w:snapToGrid w:val="0"/>
        </w:rPr>
        <w:t>.</w:t>
      </w:r>
      <w:r>
        <w:rPr>
          <w:snapToGrid w:val="0"/>
        </w:rPr>
        <w:tab/>
        <w:t>Amendment or cancellation of order</w:t>
      </w:r>
      <w:bookmarkEnd w:id="560"/>
      <w:bookmarkEnd w:id="561"/>
      <w:r>
        <w:rPr>
          <w:snapToGrid w:val="0"/>
        </w:rPr>
        <w:t xml:space="preserve"> </w:t>
      </w:r>
    </w:p>
    <w:p>
      <w:pPr>
        <w:pStyle w:val="Subsection"/>
        <w:rPr>
          <w:snapToGrid w:val="0"/>
        </w:rPr>
      </w:pPr>
      <w:r>
        <w:rPr>
          <w:snapToGrid w:val="0"/>
        </w:rPr>
        <w:tab/>
        <w:t>(1)</w:t>
      </w:r>
      <w:r>
        <w:rPr>
          <w:snapToGrid w:val="0"/>
        </w:rPr>
        <w:tab/>
        <w:t xml:space="preserve">Subject to </w:t>
      </w:r>
      <w:r>
        <w:t xml:space="preserve">subsection (2) and section 142A, </w:t>
      </w:r>
      <w:r>
        <w:rPr>
          <w:snapToGrid w:val="0"/>
        </w:rPr>
        <w:t>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Footnotesection"/>
      </w:pPr>
      <w:r>
        <w:tab/>
        <w:t>[Section 142 amended: No. 14 of 2022 s. 33.]</w:t>
      </w:r>
    </w:p>
    <w:p>
      <w:pPr>
        <w:pStyle w:val="Heading5"/>
      </w:pPr>
      <w:bookmarkStart w:id="562" w:name="_Toc200718815"/>
      <w:bookmarkStart w:id="563" w:name="_Toc138752573"/>
      <w:r>
        <w:rPr>
          <w:rStyle w:val="CharSectno"/>
        </w:rPr>
        <w:t>142A</w:t>
      </w:r>
      <w:r>
        <w:t>.</w:t>
      </w:r>
      <w:r>
        <w:tab/>
        <w:t>Cancellation automatic in case of offender with links to terrorism</w:t>
      </w:r>
      <w:bookmarkEnd w:id="562"/>
      <w:bookmarkEnd w:id="563"/>
    </w:p>
    <w:p>
      <w:pPr>
        <w:pStyle w:val="Subsection"/>
      </w:pPr>
      <w:r>
        <w:tab/>
        <w:t>(1)</w:t>
      </w:r>
      <w:r>
        <w:tab/>
        <w:t xml:space="preserve">In this section, a reference to the </w:t>
      </w:r>
      <w:r>
        <w:rPr>
          <w:rStyle w:val="CharDefText"/>
        </w:rPr>
        <w:t>Board</w:t>
      </w:r>
      <w:r>
        <w:t xml:space="preserve"> is a reference to </w:t>
      </w:r>
      <w:r>
        <w:rPr>
          <w:szCs w:val="24"/>
        </w:rPr>
        <w:t>the Board as constituted by the chairperson alone.</w:t>
      </w:r>
    </w:p>
    <w:p>
      <w:pPr>
        <w:pStyle w:val="Subsection"/>
      </w:pPr>
      <w:r>
        <w:tab/>
        <w:t>(2)</w:t>
      </w:r>
      <w:r>
        <w:tab/>
        <w:t>The Board must cancel a supervised release order in respect of any of the following offenders —</w:t>
      </w:r>
    </w:p>
    <w:p>
      <w:pPr>
        <w:pStyle w:val="Indenta"/>
      </w:pPr>
      <w:r>
        <w:tab/>
        <w:t>(a)</w:t>
      </w:r>
      <w:r>
        <w:tab/>
        <w:t>an offender who, during the period the offender is subject to the supervised release order —</w:t>
      </w:r>
    </w:p>
    <w:p>
      <w:pPr>
        <w:pStyle w:val="Indenti"/>
      </w:pPr>
      <w:r>
        <w:tab/>
        <w:t>(i)</w:t>
      </w:r>
      <w:r>
        <w:tab/>
      </w:r>
      <w:r>
        <w:rPr>
          <w:szCs w:val="24"/>
        </w:rPr>
        <w:t>is charged with, or convicted of, a terrorism offence; or</w:t>
      </w:r>
    </w:p>
    <w:p>
      <w:pPr>
        <w:pStyle w:val="Indenti"/>
      </w:pPr>
      <w:r>
        <w:tab/>
        <w:t>(ii)</w:t>
      </w:r>
      <w:r>
        <w:tab/>
      </w:r>
      <w:r>
        <w:rPr>
          <w:szCs w:val="24"/>
        </w:rPr>
        <w:t xml:space="preserve">is </w:t>
      </w:r>
      <w:r>
        <w:t>charged with, or convicted of, an offence against the Commonwealth Criminal Code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 xml:space="preserve">; </w:t>
      </w:r>
    </w:p>
    <w:p>
      <w:pPr>
        <w:pStyle w:val="Indenta"/>
      </w:pPr>
      <w:r>
        <w:tab/>
        <w:t>(b)</w:t>
      </w:r>
      <w:r>
        <w:tab/>
        <w:t xml:space="preserve">an offender for whom, during the period the offender is subject to the supervised release order, an interim control order is being sought under the </w:t>
      </w:r>
      <w:r>
        <w:rPr>
          <w:szCs w:val="24"/>
        </w:rPr>
        <w:t>Commonwealth Criminal Code section 104.3(1)</w:t>
      </w:r>
      <w:r>
        <w:t xml:space="preserve">; </w:t>
      </w:r>
    </w:p>
    <w:p>
      <w:pPr>
        <w:pStyle w:val="Indenta"/>
      </w:pPr>
      <w:r>
        <w:tab/>
        <w:t>(c)</w:t>
      </w:r>
      <w:r>
        <w:tab/>
        <w:t xml:space="preserve">an offender who the Board is satisfied — </w:t>
      </w:r>
    </w:p>
    <w:p>
      <w:pPr>
        <w:pStyle w:val="Indenti"/>
      </w:pPr>
      <w:r>
        <w:rPr>
          <w:szCs w:val="24"/>
        </w:rPr>
        <w:tab/>
        <w:t>(i)</w:t>
      </w:r>
      <w:r>
        <w:rPr>
          <w:szCs w:val="24"/>
        </w:rPr>
        <w:tab/>
        <w:t xml:space="preserve">at the time that the supervised release order in respect of the offender was made, </w:t>
      </w:r>
      <w:r>
        <w:t>was a category 1 offender or a category 2 offender; and</w:t>
      </w:r>
    </w:p>
    <w:p>
      <w:pPr>
        <w:pStyle w:val="Indenti"/>
      </w:pPr>
      <w:r>
        <w:rPr>
          <w:szCs w:val="24"/>
        </w:rPr>
        <w:tab/>
        <w:t>(ii)</w:t>
      </w:r>
      <w:r>
        <w:rPr>
          <w:szCs w:val="24"/>
        </w:rPr>
        <w:tab/>
      </w:r>
      <w:r>
        <w:t>in respect of whom, this fact was not known by the person who made the order at the time that the order was made.</w:t>
      </w:r>
    </w:p>
    <w:p>
      <w:pPr>
        <w:pStyle w:val="Footnotesection"/>
      </w:pPr>
      <w:r>
        <w:tab/>
        <w:t>[Section 142A inserted: No. 14 of 2022 s. 34.]</w:t>
      </w:r>
    </w:p>
    <w:p>
      <w:pPr>
        <w:pStyle w:val="Heading5"/>
      </w:pPr>
      <w:bookmarkStart w:id="564" w:name="_Toc200718816"/>
      <w:bookmarkStart w:id="565" w:name="_Toc138752574"/>
      <w:r>
        <w:rPr>
          <w:rStyle w:val="CharSectno"/>
        </w:rPr>
        <w:t>142B</w:t>
      </w:r>
      <w:r>
        <w:t>.</w:t>
      </w:r>
      <w:r>
        <w:tab/>
        <w:t>Supervised release order, when cancellation under s. 142A takes effect</w:t>
      </w:r>
      <w:bookmarkEnd w:id="564"/>
      <w:bookmarkEnd w:id="565"/>
      <w:r>
        <w:t xml:space="preserve"> </w:t>
      </w:r>
    </w:p>
    <w:p>
      <w:pPr>
        <w:pStyle w:val="Subsection"/>
      </w:pPr>
      <w:r>
        <w:tab/>
        <w:t>(1)</w:t>
      </w:r>
      <w:r>
        <w:tab/>
        <w:t>If a supervised release order in respect of an offender is cancelled under section 142A, the supervised release order is taken to be cancelled —</w:t>
      </w:r>
    </w:p>
    <w:p>
      <w:pPr>
        <w:pStyle w:val="Indenta"/>
      </w:pPr>
      <w:r>
        <w:tab/>
        <w:t>(a)</w:t>
      </w:r>
      <w:r>
        <w:tab/>
      </w:r>
      <w:r>
        <w:rPr>
          <w:szCs w:val="24"/>
        </w:rPr>
        <w:t>if the cancellation results from a charge or conviction </w:t>
      </w:r>
      <w:r>
        <w:t xml:space="preserve">— </w:t>
      </w:r>
      <w:r>
        <w:rPr>
          <w:szCs w:val="24"/>
        </w:rPr>
        <w:t>on the day when the offence that resulted in the charge or conviction was committed; or</w:t>
      </w:r>
    </w:p>
    <w:p>
      <w:pPr>
        <w:pStyle w:val="Indenta"/>
      </w:pPr>
      <w:r>
        <w:tab/>
        <w:t>(b)</w:t>
      </w:r>
      <w:r>
        <w:tab/>
        <w:t>if the cancellation results from an offender becoming subject to an interim control order or confirmed control order — on the day when the offender became subject to the order; or</w:t>
      </w:r>
    </w:p>
    <w:p>
      <w:pPr>
        <w:pStyle w:val="Indenta"/>
      </w:pPr>
      <w:r>
        <w:tab/>
        <w:t>(c)</w:t>
      </w:r>
      <w:r>
        <w:tab/>
        <w:t>if the cancellation results from an interim control order or confirmed control order being sought in respect of an offender— on the day when the order was sought; or</w:t>
      </w:r>
    </w:p>
    <w:p>
      <w:pPr>
        <w:pStyle w:val="Indenta"/>
      </w:pPr>
      <w:r>
        <w:tab/>
        <w:t>(d)</w:t>
      </w:r>
      <w:r>
        <w:tab/>
        <w:t>if the cancellation results from a decision by the Board — the day when the decision was made.</w:t>
      </w:r>
    </w:p>
    <w:p>
      <w:pPr>
        <w:pStyle w:val="Subsection"/>
      </w:pPr>
      <w:r>
        <w:tab/>
        <w:t>(2)</w:t>
      </w:r>
      <w:r>
        <w:tab/>
        <w:t>If the day when an offence was committed cannot be ascertained — the day is taken, for the purposes of subsection (1)(a), to be the latest day on which that offence could have been committed, as determined by the chief executive officer.</w:t>
      </w:r>
    </w:p>
    <w:p>
      <w:pPr>
        <w:pStyle w:val="Footnotesection"/>
      </w:pPr>
      <w:r>
        <w:tab/>
        <w:t>[Section 142B inserted: No. 14 of 2022 s. 34; amended: No. 15 of 2023 s. 10.]</w:t>
      </w:r>
    </w:p>
    <w:p>
      <w:pPr>
        <w:pStyle w:val="Heading5"/>
        <w:rPr>
          <w:snapToGrid w:val="0"/>
        </w:rPr>
      </w:pPr>
      <w:bookmarkStart w:id="566" w:name="_Toc200718817"/>
      <w:bookmarkStart w:id="567" w:name="_Toc138752575"/>
      <w:r>
        <w:rPr>
          <w:rStyle w:val="CharSectno"/>
        </w:rPr>
        <w:t>143</w:t>
      </w:r>
      <w:r>
        <w:rPr>
          <w:snapToGrid w:val="0"/>
        </w:rPr>
        <w:t>.</w:t>
      </w:r>
      <w:r>
        <w:rPr>
          <w:snapToGrid w:val="0"/>
        </w:rPr>
        <w:tab/>
        <w:t>Cancellation of certain obligations after 6 months’ release</w:t>
      </w:r>
      <w:bookmarkEnd w:id="566"/>
      <w:bookmarkEnd w:id="567"/>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568" w:name="_Toc200718818"/>
      <w:bookmarkStart w:id="569" w:name="_Toc138752576"/>
      <w:r>
        <w:rPr>
          <w:rStyle w:val="CharSectno"/>
        </w:rPr>
        <w:t>144</w:t>
      </w:r>
      <w:r>
        <w:rPr>
          <w:snapToGrid w:val="0"/>
        </w:rPr>
        <w:t>.</w:t>
      </w:r>
      <w:r>
        <w:rPr>
          <w:snapToGrid w:val="0"/>
        </w:rPr>
        <w:tab/>
        <w:t>Breach of order other than by re</w:t>
      </w:r>
      <w:r>
        <w:rPr>
          <w:snapToGrid w:val="0"/>
        </w:rPr>
        <w:noBreakHyphen/>
        <w:t>offending, report to CEO</w:t>
      </w:r>
      <w:bookmarkEnd w:id="568"/>
      <w:bookmarkEnd w:id="569"/>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570" w:name="_Toc200718819"/>
      <w:bookmarkStart w:id="571" w:name="_Toc138752577"/>
      <w:r>
        <w:rPr>
          <w:rStyle w:val="CharSectno"/>
        </w:rPr>
        <w:t>145</w:t>
      </w:r>
      <w:r>
        <w:rPr>
          <w:snapToGrid w:val="0"/>
        </w:rPr>
        <w:t>.</w:t>
      </w:r>
      <w:r>
        <w:rPr>
          <w:snapToGrid w:val="0"/>
        </w:rPr>
        <w:tab/>
        <w:t>Courts to notify Board and CEO of re</w:t>
      </w:r>
      <w:r>
        <w:rPr>
          <w:snapToGrid w:val="0"/>
        </w:rPr>
        <w:noBreakHyphen/>
        <w:t>offending</w:t>
      </w:r>
      <w:bookmarkEnd w:id="570"/>
      <w:bookmarkEnd w:id="571"/>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keepNext/>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No. 58 of 2004 s. 29.]</w:t>
      </w:r>
    </w:p>
    <w:p>
      <w:pPr>
        <w:pStyle w:val="Heading5"/>
        <w:rPr>
          <w:snapToGrid w:val="0"/>
        </w:rPr>
      </w:pPr>
      <w:bookmarkStart w:id="572" w:name="_Toc200718820"/>
      <w:bookmarkStart w:id="573" w:name="_Toc138752578"/>
      <w:r>
        <w:rPr>
          <w:rStyle w:val="CharSectno"/>
        </w:rPr>
        <w:t>146</w:t>
      </w:r>
      <w:r>
        <w:rPr>
          <w:snapToGrid w:val="0"/>
        </w:rPr>
        <w:t>.</w:t>
      </w:r>
      <w:r>
        <w:rPr>
          <w:snapToGrid w:val="0"/>
        </w:rPr>
        <w:tab/>
        <w:t>Report to be provided when referring matter to Board</w:t>
      </w:r>
      <w:bookmarkEnd w:id="572"/>
      <w:bookmarkEnd w:id="573"/>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574" w:name="_Toc200718821"/>
      <w:bookmarkStart w:id="575" w:name="_Toc138752579"/>
      <w:r>
        <w:rPr>
          <w:rStyle w:val="CharSectno"/>
        </w:rPr>
        <w:t>147</w:t>
      </w:r>
      <w:r>
        <w:rPr>
          <w:snapToGrid w:val="0"/>
        </w:rPr>
        <w:t>.</w:t>
      </w:r>
      <w:r>
        <w:rPr>
          <w:snapToGrid w:val="0"/>
        </w:rPr>
        <w:tab/>
        <w:t>Breach of order, how Board may deal with</w:t>
      </w:r>
      <w:bookmarkEnd w:id="574"/>
      <w:bookmarkEnd w:id="575"/>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576" w:name="_Toc200718822"/>
      <w:bookmarkStart w:id="577" w:name="_Toc138752580"/>
      <w:r>
        <w:rPr>
          <w:rStyle w:val="CharSectno"/>
        </w:rPr>
        <w:t>147A</w:t>
      </w:r>
      <w:r>
        <w:t>.</w:t>
      </w:r>
      <w:r>
        <w:tab/>
      </w:r>
      <w:r>
        <w:rPr>
          <w:snapToGrid w:val="0"/>
        </w:rPr>
        <w:t>Offending while on supervised release order: automatic cancellation</w:t>
      </w:r>
      <w:bookmarkEnd w:id="576"/>
      <w:bookmarkEnd w:id="577"/>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No. 58 of 2004 s. 30.]</w:t>
      </w:r>
    </w:p>
    <w:p>
      <w:pPr>
        <w:pStyle w:val="Heading5"/>
        <w:rPr>
          <w:snapToGrid w:val="0"/>
        </w:rPr>
      </w:pPr>
      <w:bookmarkStart w:id="578" w:name="_Toc200718823"/>
      <w:bookmarkStart w:id="579" w:name="_Toc138752581"/>
      <w:r>
        <w:rPr>
          <w:rStyle w:val="CharSectno"/>
        </w:rPr>
        <w:t>148</w:t>
      </w:r>
      <w:r>
        <w:rPr>
          <w:snapToGrid w:val="0"/>
        </w:rPr>
        <w:t>.</w:t>
      </w:r>
      <w:r>
        <w:rPr>
          <w:snapToGrid w:val="0"/>
        </w:rPr>
        <w:tab/>
        <w:t>Compliance with order, effect of</w:t>
      </w:r>
      <w:bookmarkEnd w:id="578"/>
      <w:bookmarkEnd w:id="579"/>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580" w:name="_Toc200718824"/>
      <w:bookmarkStart w:id="581" w:name="_Toc138752582"/>
      <w:r>
        <w:rPr>
          <w:rStyle w:val="CharSectno"/>
        </w:rPr>
        <w:t>149</w:t>
      </w:r>
      <w:r>
        <w:rPr>
          <w:snapToGrid w:val="0"/>
        </w:rPr>
        <w:t>.</w:t>
      </w:r>
      <w:r>
        <w:rPr>
          <w:snapToGrid w:val="0"/>
        </w:rPr>
        <w:tab/>
        <w:t>Suspension or cancellation of order, effect of</w:t>
      </w:r>
      <w:bookmarkEnd w:id="580"/>
      <w:bookmarkEnd w:id="581"/>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 xml:space="preserve">section 147(1)(e) or by the operation of </w:t>
      </w:r>
      <w:r>
        <w:t xml:space="preserve">section 142A(2) or 147A, </w:t>
      </w:r>
      <w:r>
        <w:rPr>
          <w:snapToGrid w:val="0"/>
        </w:rPr>
        <w:t>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No. 58 of 2004 s. 31; No. 14 of 2022 s. 35.]</w:t>
      </w:r>
    </w:p>
    <w:p>
      <w:pPr>
        <w:pStyle w:val="Heading5"/>
        <w:spacing w:before="240"/>
        <w:rPr>
          <w:snapToGrid w:val="0"/>
        </w:rPr>
      </w:pPr>
      <w:bookmarkStart w:id="582" w:name="_Toc200718825"/>
      <w:bookmarkStart w:id="583" w:name="_Toc138752583"/>
      <w:r>
        <w:rPr>
          <w:rStyle w:val="CharSectno"/>
        </w:rPr>
        <w:t>150</w:t>
      </w:r>
      <w:r>
        <w:rPr>
          <w:snapToGrid w:val="0"/>
        </w:rPr>
        <w:t>.</w:t>
      </w:r>
      <w:r>
        <w:rPr>
          <w:snapToGrid w:val="0"/>
        </w:rPr>
        <w:tab/>
        <w:t>Cancellation of order after offender reaches 18</w:t>
      </w:r>
      <w:bookmarkEnd w:id="582"/>
      <w:bookmarkEnd w:id="583"/>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No. 78 of 1995 s. 145; amended: No. 58 of 2004 s. 32.] </w:t>
      </w:r>
    </w:p>
    <w:p>
      <w:pPr>
        <w:pStyle w:val="Heading3"/>
      </w:pPr>
      <w:bookmarkStart w:id="584" w:name="_Toc200718826"/>
      <w:bookmarkStart w:id="585" w:name="_Toc138691181"/>
      <w:bookmarkStart w:id="586" w:name="_Toc138692676"/>
      <w:bookmarkStart w:id="587" w:name="_Toc138749950"/>
      <w:bookmarkStart w:id="588" w:name="_Toc138752584"/>
      <w:r>
        <w:rPr>
          <w:rStyle w:val="CharDivNo"/>
        </w:rPr>
        <w:t>Division 2A</w:t>
      </w:r>
      <w:r>
        <w:t> — </w:t>
      </w:r>
      <w:r>
        <w:rPr>
          <w:rStyle w:val="CharDivText"/>
        </w:rPr>
        <w:t>Offenders with links to terrorism or subject to Commissioner of Police reports</w:t>
      </w:r>
      <w:bookmarkEnd w:id="584"/>
      <w:bookmarkEnd w:id="585"/>
      <w:bookmarkEnd w:id="586"/>
      <w:bookmarkEnd w:id="587"/>
      <w:bookmarkEnd w:id="588"/>
    </w:p>
    <w:p>
      <w:pPr>
        <w:pStyle w:val="Footnoteheading"/>
      </w:pPr>
      <w:r>
        <w:tab/>
        <w:t>[Heading inserted: No. 14 of 2022 s. 36.]</w:t>
      </w:r>
    </w:p>
    <w:p>
      <w:pPr>
        <w:pStyle w:val="Heading4"/>
      </w:pPr>
      <w:bookmarkStart w:id="589" w:name="_Toc200718827"/>
      <w:bookmarkStart w:id="590" w:name="_Toc138691182"/>
      <w:bookmarkStart w:id="591" w:name="_Toc138692677"/>
      <w:bookmarkStart w:id="592" w:name="_Toc138749951"/>
      <w:bookmarkStart w:id="593" w:name="_Toc138752585"/>
      <w:r>
        <w:t>Subdivision 1 — Preliminary</w:t>
      </w:r>
      <w:bookmarkEnd w:id="589"/>
      <w:bookmarkEnd w:id="590"/>
      <w:bookmarkEnd w:id="591"/>
      <w:bookmarkEnd w:id="592"/>
      <w:bookmarkEnd w:id="593"/>
    </w:p>
    <w:p>
      <w:pPr>
        <w:pStyle w:val="Footnoteheading"/>
      </w:pPr>
      <w:r>
        <w:tab/>
        <w:t>[Heading inserted: No. 14 of 2022 s. 36.]</w:t>
      </w:r>
    </w:p>
    <w:p>
      <w:pPr>
        <w:pStyle w:val="Heading5"/>
      </w:pPr>
      <w:bookmarkStart w:id="594" w:name="_Toc200718828"/>
      <w:bookmarkStart w:id="595" w:name="_Toc138752586"/>
      <w:r>
        <w:rPr>
          <w:rStyle w:val="CharSectno"/>
        </w:rPr>
        <w:t>150A</w:t>
      </w:r>
      <w:r>
        <w:t>.</w:t>
      </w:r>
      <w:r>
        <w:tab/>
        <w:t>Release considerations</w:t>
      </w:r>
      <w:bookmarkEnd w:id="594"/>
      <w:bookmarkEnd w:id="595"/>
    </w:p>
    <w:p>
      <w:pPr>
        <w:pStyle w:val="Subsection"/>
      </w:pPr>
      <w:r>
        <w:tab/>
      </w:r>
      <w:r>
        <w:tab/>
        <w:t>In this Division, a</w:t>
      </w:r>
      <w:r>
        <w:rPr>
          <w:szCs w:val="24"/>
        </w:rPr>
        <w:t xml:space="preserve"> reference to the </w:t>
      </w:r>
      <w:r>
        <w:rPr>
          <w:rStyle w:val="CharDefText"/>
        </w:rPr>
        <w:t>release considerations</w:t>
      </w:r>
      <w:r>
        <w:rPr>
          <w:szCs w:val="24"/>
        </w:rPr>
        <w:t xml:space="preserve"> relating to an offender is a reference to the following considerations —</w:t>
      </w:r>
    </w:p>
    <w:p>
      <w:pPr>
        <w:pStyle w:val="Indenta"/>
      </w:pPr>
      <w:r>
        <w:tab/>
        <w:t>(a)</w:t>
      </w:r>
      <w:r>
        <w:tab/>
        <w:t>if the offender has made statements or carried out activities that support, or advocate support for, terrorist acts — the nature and seriousness of the statements made or activities carried out;</w:t>
      </w:r>
    </w:p>
    <w:p>
      <w:pPr>
        <w:pStyle w:val="Indenta"/>
      </w:pPr>
      <w:r>
        <w:tab/>
        <w:t>(b)</w:t>
      </w:r>
      <w:r>
        <w:tab/>
        <w:t xml:space="preserve">if the offender is sentenced for a terrorism offence — any remarks made by the court that sentenced the offender that are relevant to paragraph (a); </w:t>
      </w:r>
    </w:p>
    <w:p>
      <w:pPr>
        <w:pStyle w:val="Indenta"/>
        <w:keepNext/>
      </w:pPr>
      <w:r>
        <w:tab/>
        <w:t>(c)</w:t>
      </w:r>
      <w:r>
        <w:tab/>
        <w:t>if the offender is, or was, subject to an interim control order or confirmed control order relating to a terrorism offence —</w:t>
      </w:r>
    </w:p>
    <w:p>
      <w:pPr>
        <w:pStyle w:val="Indenti"/>
      </w:pPr>
      <w:r>
        <w:tab/>
        <w:t>(i)</w:t>
      </w:r>
      <w:r>
        <w:tab/>
        <w:t>any remarks made by the court that made the order that are relevant to paragraph (a); and</w:t>
      </w:r>
    </w:p>
    <w:p>
      <w:pPr>
        <w:pStyle w:val="Indenti"/>
      </w:pPr>
      <w:r>
        <w:tab/>
        <w:t>(ii)</w:t>
      </w:r>
      <w:r>
        <w:tab/>
        <w:t>the behaviour of the offender while subject to the order;</w:t>
      </w:r>
    </w:p>
    <w:p>
      <w:pPr>
        <w:pStyle w:val="Indenta"/>
      </w:pPr>
      <w:r>
        <w:tab/>
        <w:t>(d)</w:t>
      </w:r>
      <w:r>
        <w:tab/>
        <w:t>the behaviour of the offender when in custody to the extent that it may be relevant to paragraph (a);</w:t>
      </w:r>
    </w:p>
    <w:p>
      <w:pPr>
        <w:pStyle w:val="Indenta"/>
      </w:pPr>
      <w:r>
        <w:tab/>
        <w:t>(e)</w:t>
      </w:r>
      <w:r>
        <w:tab/>
        <w:t>whether the offender has participated in any programme or activity that addresses the offender’s risk of committing a terrorism offence and the offender’s performance in the programme or activity;</w:t>
      </w:r>
    </w:p>
    <w:p>
      <w:pPr>
        <w:pStyle w:val="Indenta"/>
      </w:pPr>
      <w:r>
        <w:tab/>
        <w:t>(f)</w:t>
      </w:r>
      <w:r>
        <w:tab/>
        <w:t>whether the offender is, or was, associated with 1 or more persons who have made statements or carried out activities that support, or advocate support for, terrorist acts, and the nature of the association.</w:t>
      </w:r>
    </w:p>
    <w:p>
      <w:pPr>
        <w:pStyle w:val="Footnotesection"/>
      </w:pPr>
      <w:r>
        <w:tab/>
        <w:t>[Section 150A inserted: No. 14 of 2022 s. 36.]</w:t>
      </w:r>
    </w:p>
    <w:p>
      <w:pPr>
        <w:pStyle w:val="Heading4"/>
      </w:pPr>
      <w:bookmarkStart w:id="596" w:name="_Toc200718829"/>
      <w:bookmarkStart w:id="597" w:name="_Toc138691184"/>
      <w:bookmarkStart w:id="598" w:name="_Toc138692679"/>
      <w:bookmarkStart w:id="599" w:name="_Toc138749953"/>
      <w:bookmarkStart w:id="600" w:name="_Toc138752587"/>
      <w:r>
        <w:t>Subdivision 2 — Supervised release orders in cases of offenders with links to terrorism</w:t>
      </w:r>
      <w:bookmarkEnd w:id="596"/>
      <w:bookmarkEnd w:id="597"/>
      <w:bookmarkEnd w:id="598"/>
      <w:bookmarkEnd w:id="599"/>
      <w:bookmarkEnd w:id="600"/>
    </w:p>
    <w:p>
      <w:pPr>
        <w:pStyle w:val="Footnoteheading"/>
      </w:pPr>
      <w:r>
        <w:tab/>
        <w:t>[Heading inserted: No. 14 of 2022 s. 36.]</w:t>
      </w:r>
    </w:p>
    <w:p>
      <w:pPr>
        <w:pStyle w:val="Heading5"/>
      </w:pPr>
      <w:bookmarkStart w:id="601" w:name="_Toc200718830"/>
      <w:bookmarkStart w:id="602" w:name="_Toc138752588"/>
      <w:r>
        <w:rPr>
          <w:rStyle w:val="CharSectno"/>
        </w:rPr>
        <w:t>150B</w:t>
      </w:r>
      <w:r>
        <w:t>.</w:t>
      </w:r>
      <w:r>
        <w:tab/>
        <w:t>References to Board</w:t>
      </w:r>
      <w:bookmarkEnd w:id="601"/>
      <w:bookmarkEnd w:id="602"/>
    </w:p>
    <w:p>
      <w:pPr>
        <w:pStyle w:val="Subsection"/>
      </w:pPr>
      <w:r>
        <w:tab/>
      </w:r>
      <w:r>
        <w:tab/>
        <w:t xml:space="preserve">In this Subdivision, a reference to the </w:t>
      </w:r>
      <w:r>
        <w:rPr>
          <w:rStyle w:val="CharDefText"/>
        </w:rPr>
        <w:t>Board</w:t>
      </w:r>
      <w:r>
        <w:t xml:space="preserve"> is a reference to </w:t>
      </w:r>
      <w:r>
        <w:rPr>
          <w:szCs w:val="24"/>
        </w:rPr>
        <w:t>the Board as constituted by the chairperson alone.</w:t>
      </w:r>
    </w:p>
    <w:p>
      <w:pPr>
        <w:pStyle w:val="Footnotesection"/>
      </w:pPr>
      <w:r>
        <w:tab/>
        <w:t>[Section 150B inserted: No. 14 of 2022 s. 36.]</w:t>
      </w:r>
    </w:p>
    <w:p>
      <w:pPr>
        <w:pStyle w:val="Heading5"/>
      </w:pPr>
      <w:bookmarkStart w:id="603" w:name="_Toc200718831"/>
      <w:bookmarkStart w:id="604" w:name="_Toc138752589"/>
      <w:r>
        <w:rPr>
          <w:rStyle w:val="CharSectno"/>
        </w:rPr>
        <w:t>150C</w:t>
      </w:r>
      <w:r>
        <w:t>.</w:t>
      </w:r>
      <w:r>
        <w:tab/>
        <w:t>Making supervised release orders</w:t>
      </w:r>
      <w:bookmarkEnd w:id="603"/>
      <w:bookmarkEnd w:id="604"/>
    </w:p>
    <w:p>
      <w:pPr>
        <w:pStyle w:val="Subsection"/>
      </w:pPr>
      <w:r>
        <w:tab/>
        <w:t>(1)</w:t>
      </w:r>
      <w:r>
        <w:tab/>
        <w:t>The Board must not order the release of an offender with links to terrorism unless the Board is satisfied that there are exceptional reasons why the offender should be released.</w:t>
      </w:r>
    </w:p>
    <w:p>
      <w:pPr>
        <w:pStyle w:val="Subsection"/>
      </w:pPr>
      <w:r>
        <w:tab/>
        <w:t>(2)</w:t>
      </w:r>
      <w:r>
        <w:tab/>
        <w:t>The Board must, in making any decision for the purposes of subsection (1) —</w:t>
      </w:r>
    </w:p>
    <w:p>
      <w:pPr>
        <w:pStyle w:val="Indenta"/>
      </w:pPr>
      <w:r>
        <w:tab/>
        <w:t>(a)</w:t>
      </w:r>
      <w:r>
        <w:tab/>
        <w:t xml:space="preserve">regard </w:t>
      </w:r>
      <w:r>
        <w:rPr>
          <w:szCs w:val="24"/>
        </w:rPr>
        <w:t>the personal safety of people in the community or of any individual in the community</w:t>
      </w:r>
      <w:r>
        <w:t xml:space="preserve"> as the paramount consideration; and</w:t>
      </w:r>
    </w:p>
    <w:p>
      <w:pPr>
        <w:pStyle w:val="Indenta"/>
      </w:pPr>
      <w:r>
        <w:tab/>
        <w:t>(b)</w:t>
      </w:r>
      <w:r>
        <w:tab/>
        <w:t xml:space="preserve">apply the </w:t>
      </w:r>
      <w:r>
        <w:rPr>
          <w:szCs w:val="24"/>
        </w:rPr>
        <w:t>general principles of juvenile justice in section 7, other than the principles referred to in paragraphs (h) and (k); and</w:t>
      </w:r>
    </w:p>
    <w:p>
      <w:pPr>
        <w:pStyle w:val="Indenta"/>
        <w:rPr>
          <w:szCs w:val="24"/>
        </w:rPr>
      </w:pPr>
      <w:r>
        <w:rPr>
          <w:szCs w:val="24"/>
        </w:rPr>
        <w:tab/>
        <w:t>(c)</w:t>
      </w:r>
      <w:r>
        <w:rPr>
          <w:szCs w:val="24"/>
        </w:rPr>
        <w:tab/>
        <w:t xml:space="preserve">have regard to all of the following — </w:t>
      </w:r>
    </w:p>
    <w:p>
      <w:pPr>
        <w:pStyle w:val="Indenti"/>
      </w:pPr>
      <w:r>
        <w:tab/>
        <w:t>(i)</w:t>
      </w:r>
      <w:r>
        <w:tab/>
        <w:t xml:space="preserve">the release considerations relating to the offender; </w:t>
      </w:r>
    </w:p>
    <w:p>
      <w:pPr>
        <w:pStyle w:val="Indenti"/>
      </w:pPr>
      <w:r>
        <w:tab/>
        <w:t>(ii)</w:t>
      </w:r>
      <w:r>
        <w:tab/>
        <w:t>the Commissioner of Police report about the offender;</w:t>
      </w:r>
    </w:p>
    <w:p>
      <w:pPr>
        <w:pStyle w:val="Indenti"/>
      </w:pPr>
      <w:r>
        <w:tab/>
        <w:t>(iii)</w:t>
      </w:r>
      <w:r>
        <w:tab/>
        <w:t>any other information about the offender brought to the attention of the Board.</w:t>
      </w:r>
    </w:p>
    <w:p>
      <w:pPr>
        <w:pStyle w:val="Subsection"/>
      </w:pPr>
      <w:r>
        <w:tab/>
        <w:t>(3)</w:t>
      </w:r>
      <w:r>
        <w:tab/>
        <w:t>Subsection (2) does not limit the matters that the Board may have regard to in making a decision for the purposes of subsection (1).</w:t>
      </w:r>
    </w:p>
    <w:p>
      <w:pPr>
        <w:pStyle w:val="Subsection"/>
      </w:pPr>
      <w:r>
        <w:tab/>
        <w:t>(4)</w:t>
      </w:r>
      <w:r>
        <w:tab/>
        <w:t>Despite subsections (2) and (3), the Board must not have regard to a Commissioner of Police report about the offender if the report has been withdrawn under section 150E(2).</w:t>
      </w:r>
    </w:p>
    <w:p>
      <w:pPr>
        <w:pStyle w:val="Footnotesection"/>
      </w:pPr>
      <w:r>
        <w:tab/>
        <w:t>[Section 150C inserted: No. 14 of 2022 s. 36.]</w:t>
      </w:r>
    </w:p>
    <w:p>
      <w:pPr>
        <w:pStyle w:val="Heading5"/>
      </w:pPr>
      <w:bookmarkStart w:id="605" w:name="_Toc200718832"/>
      <w:bookmarkStart w:id="606" w:name="_Toc138752590"/>
      <w:r>
        <w:rPr>
          <w:rStyle w:val="CharSectno"/>
        </w:rPr>
        <w:t>150D</w:t>
      </w:r>
      <w:r>
        <w:t>.</w:t>
      </w:r>
      <w:r>
        <w:tab/>
        <w:t>Commissioner of Police reports</w:t>
      </w:r>
      <w:bookmarkEnd w:id="605"/>
      <w:bookmarkEnd w:id="606"/>
    </w:p>
    <w:p>
      <w:pPr>
        <w:pStyle w:val="Subsection"/>
      </w:pPr>
      <w:r>
        <w:tab/>
        <w:t>(1)</w:t>
      </w:r>
      <w:r>
        <w:tab/>
        <w:t xml:space="preserve">If the Board is </w:t>
      </w:r>
      <w:r>
        <w:rPr>
          <w:szCs w:val="24"/>
        </w:rPr>
        <w:t>required to consider whether to order the release of a category 1 offender from custody, the Board must make a written request to the Commissioner of Police for a written report about the offender.</w:t>
      </w:r>
    </w:p>
    <w:p>
      <w:pPr>
        <w:pStyle w:val="Subsection"/>
        <w:keepNext/>
        <w:rPr>
          <w:szCs w:val="24"/>
        </w:rPr>
      </w:pPr>
      <w:r>
        <w:tab/>
        <w:t>(2)</w:t>
      </w:r>
      <w:r>
        <w:tab/>
      </w:r>
      <w:r>
        <w:rPr>
          <w:szCs w:val="24"/>
        </w:rPr>
        <w:t>The report must deal with the release considerations relating to the offender to the extent that the information is within the knowledge of the Commissioner of Police and may —</w:t>
      </w:r>
    </w:p>
    <w:p>
      <w:pPr>
        <w:pStyle w:val="Indenta"/>
      </w:pPr>
      <w:r>
        <w:tab/>
        <w:t>(a)</w:t>
      </w:r>
      <w:r>
        <w:tab/>
      </w:r>
      <w:r>
        <w:rPr>
          <w:szCs w:val="24"/>
        </w:rPr>
        <w:t>include any other information that the Commissioner of Police considers is, or may be, relevant to whether the offender should be released; and</w:t>
      </w:r>
    </w:p>
    <w:p>
      <w:pPr>
        <w:pStyle w:val="Indenta"/>
        <w:rPr>
          <w:szCs w:val="24"/>
        </w:rPr>
      </w:pPr>
      <w:r>
        <w:tab/>
        <w:t>(b)</w:t>
      </w:r>
      <w:r>
        <w:tab/>
      </w:r>
      <w:r>
        <w:rPr>
          <w:szCs w:val="24"/>
        </w:rPr>
        <w:t>declare that some or all of the information in the report is, in the opinion of the Commissioner of Police, terrorist intelligence information.</w:t>
      </w:r>
      <w:r>
        <w:t xml:space="preserve"> </w:t>
      </w:r>
    </w:p>
    <w:p>
      <w:pPr>
        <w:pStyle w:val="Subsection"/>
      </w:pPr>
      <w:r>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offender.</w:t>
      </w:r>
    </w:p>
    <w:p>
      <w:pPr>
        <w:pStyle w:val="Footnotesection"/>
      </w:pPr>
      <w:r>
        <w:tab/>
        <w:t>[Section 150D inserted: No. 14 of 2022 s. 36.]</w:t>
      </w:r>
    </w:p>
    <w:p>
      <w:pPr>
        <w:pStyle w:val="Heading5"/>
      </w:pPr>
      <w:bookmarkStart w:id="607" w:name="_Toc200718833"/>
      <w:bookmarkStart w:id="608" w:name="_Toc138752591"/>
      <w:r>
        <w:rPr>
          <w:rStyle w:val="CharSectno"/>
        </w:rPr>
        <w:t>150E</w:t>
      </w:r>
      <w:r>
        <w:t>.</w:t>
      </w:r>
      <w:r>
        <w:tab/>
        <w:t>Withdrawing Commissioner of Police reports</w:t>
      </w:r>
      <w:bookmarkEnd w:id="607"/>
      <w:bookmarkEnd w:id="608"/>
    </w:p>
    <w:p>
      <w:pPr>
        <w:pStyle w:val="Subsection"/>
      </w:pPr>
      <w:r>
        <w:tab/>
        <w:t>(1)</w:t>
      </w:r>
      <w:r>
        <w:tab/>
        <w:t xml:space="preserve">This section applies if the Board, as constituted by the chairperson alone — </w:t>
      </w:r>
    </w:p>
    <w:p>
      <w:pPr>
        <w:pStyle w:val="Indenta"/>
      </w:pPr>
      <w:r>
        <w:tab/>
        <w:t>(a)</w:t>
      </w:r>
      <w:r>
        <w:tab/>
        <w:t>is satisfied that an offender subject to a Commissioner of Police report is not an offender with links to terrorism; or</w:t>
      </w:r>
    </w:p>
    <w:p>
      <w:pPr>
        <w:pStyle w:val="Indenta"/>
      </w:pPr>
      <w:r>
        <w:tab/>
        <w:t>(b)</w:t>
      </w:r>
      <w:r>
        <w:tab/>
        <w:t>after consulting with the Commissioner of Police, is satisfied that a Commissioner of Police report about an offender does not include terrorist intelligence information.</w:t>
      </w:r>
    </w:p>
    <w:p>
      <w:pPr>
        <w:pStyle w:val="Subsection"/>
      </w:pPr>
      <w:r>
        <w:tab/>
        <w:t>(2)</w:t>
      </w:r>
      <w:r>
        <w:tab/>
        <w:t xml:space="preserve">Before the Board decides whether to order the release of the offender, the Board, as constituted by the chairperson alone, must give the Commissioner of Police an opportunity to withdraw the report. </w:t>
      </w:r>
    </w:p>
    <w:p>
      <w:pPr>
        <w:pStyle w:val="Subsection"/>
        <w:keepNext/>
      </w:pPr>
      <w:r>
        <w:tab/>
        <w:t>(3)</w:t>
      </w:r>
      <w:r>
        <w:tab/>
        <w:t xml:space="preserve">If </w:t>
      </w:r>
      <w:r>
        <w:rPr>
          <w:szCs w:val="24"/>
        </w:rPr>
        <w:t xml:space="preserve">the report is withdrawn under subsection (2), </w:t>
      </w:r>
      <w:r>
        <w:t xml:space="preserve">the Board — </w:t>
      </w:r>
    </w:p>
    <w:p>
      <w:pPr>
        <w:pStyle w:val="Indenta"/>
      </w:pPr>
      <w:r>
        <w:tab/>
        <w:t>(a)</w:t>
      </w:r>
      <w:r>
        <w:tab/>
        <w:t>must not have regard to the report for the purposes of deciding whether to order the release of the offender; and</w:t>
      </w:r>
    </w:p>
    <w:p>
      <w:pPr>
        <w:pStyle w:val="Indenta"/>
      </w:pPr>
      <w:r>
        <w:tab/>
        <w:t>(b)</w:t>
      </w:r>
      <w:r>
        <w:tab/>
        <w:t>must prohibit the publication of, or a reference to, the report.</w:t>
      </w:r>
    </w:p>
    <w:p>
      <w:pPr>
        <w:pStyle w:val="Footnotesection"/>
      </w:pPr>
      <w:r>
        <w:tab/>
        <w:t>[Section 150E inserted: No. 14 of 2022 s. 36.]</w:t>
      </w:r>
    </w:p>
    <w:p>
      <w:pPr>
        <w:pStyle w:val="Heading4"/>
      </w:pPr>
      <w:bookmarkStart w:id="609" w:name="_Toc200718834"/>
      <w:bookmarkStart w:id="610" w:name="_Toc138691189"/>
      <w:bookmarkStart w:id="611" w:name="_Toc138692684"/>
      <w:bookmarkStart w:id="612" w:name="_Toc138749958"/>
      <w:bookmarkStart w:id="613" w:name="_Toc138752592"/>
      <w:r>
        <w:t>Subdivision 3 — Supervised release orders for other offenders subject to Commissioner of Police reports</w:t>
      </w:r>
      <w:bookmarkEnd w:id="609"/>
      <w:bookmarkEnd w:id="610"/>
      <w:bookmarkEnd w:id="611"/>
      <w:bookmarkEnd w:id="612"/>
      <w:bookmarkEnd w:id="613"/>
    </w:p>
    <w:p>
      <w:pPr>
        <w:pStyle w:val="Footnoteheading"/>
      </w:pPr>
      <w:r>
        <w:tab/>
        <w:t>[Heading inserted: No. 14 of 2022 s. 36.]</w:t>
      </w:r>
    </w:p>
    <w:p>
      <w:pPr>
        <w:pStyle w:val="Heading5"/>
      </w:pPr>
      <w:bookmarkStart w:id="614" w:name="_Toc200718835"/>
      <w:bookmarkStart w:id="615" w:name="_Toc138752593"/>
      <w:r>
        <w:rPr>
          <w:rStyle w:val="CharSectno"/>
        </w:rPr>
        <w:t>150F</w:t>
      </w:r>
      <w:r>
        <w:t>.</w:t>
      </w:r>
      <w:r>
        <w:tab/>
        <w:t>Releasing offender subject to Commissioner of Police report under supervised release order</w:t>
      </w:r>
      <w:bookmarkEnd w:id="614"/>
      <w:bookmarkEnd w:id="615"/>
      <w:r>
        <w:t xml:space="preserve"> </w:t>
      </w:r>
    </w:p>
    <w:p>
      <w:pPr>
        <w:pStyle w:val="Subsection"/>
      </w:pPr>
      <w:r>
        <w:tab/>
        <w:t>(1)</w:t>
      </w:r>
      <w:r>
        <w:tab/>
        <w:t xml:space="preserve">In this section — </w:t>
      </w:r>
    </w:p>
    <w:p>
      <w:pPr>
        <w:pStyle w:val="Defstart"/>
      </w:pPr>
      <w:r>
        <w:tab/>
      </w:r>
      <w:r>
        <w:rPr>
          <w:rStyle w:val="CharDefText"/>
        </w:rPr>
        <w:t>offender</w:t>
      </w:r>
      <w:r>
        <w:t xml:space="preserve"> does not include an offender with links to terrorism.</w:t>
      </w:r>
    </w:p>
    <w:p>
      <w:pPr>
        <w:pStyle w:val="Subsection"/>
      </w:pPr>
      <w:r>
        <w:tab/>
        <w:t>(2)</w:t>
      </w:r>
      <w:r>
        <w:tab/>
        <w:t xml:space="preserve">This section applies if — </w:t>
      </w:r>
    </w:p>
    <w:p>
      <w:pPr>
        <w:pStyle w:val="Indenta"/>
      </w:pPr>
      <w:r>
        <w:tab/>
        <w:t>(a)</w:t>
      </w:r>
      <w:r>
        <w:tab/>
        <w:t xml:space="preserve">the Board is deciding whether to order the release of an offender under section 132(1); and </w:t>
      </w:r>
    </w:p>
    <w:p>
      <w:pPr>
        <w:pStyle w:val="Indenta"/>
      </w:pPr>
      <w:r>
        <w:tab/>
        <w:t>(b)</w:t>
      </w:r>
      <w:r>
        <w:tab/>
        <w:t xml:space="preserve">the offender is subject to a Commissioner of Police report that the Board, as constituted by the chairperson alone, is satisfied includes terrorist intelligence information. </w:t>
      </w:r>
    </w:p>
    <w:p>
      <w:pPr>
        <w:pStyle w:val="Subsection"/>
      </w:pPr>
      <w:r>
        <w:tab/>
        <w:t>(3)</w:t>
      </w:r>
      <w:r>
        <w:tab/>
        <w:t>The Board, as constituted by the chairperson alone, must decide whether to order the rel</w:t>
      </w:r>
      <w:r>
        <w:rPr>
          <w:szCs w:val="24"/>
        </w:rPr>
        <w:t>ease of the offender</w:t>
      </w:r>
      <w:r>
        <w:t xml:space="preserve"> in accordance with Division 2. </w:t>
      </w:r>
    </w:p>
    <w:p>
      <w:pPr>
        <w:pStyle w:val="Footnotesection"/>
      </w:pPr>
      <w:r>
        <w:tab/>
        <w:t>[Section 150F inserted: No. 14 of 2022 s. 36.]</w:t>
      </w:r>
    </w:p>
    <w:p>
      <w:pPr>
        <w:pStyle w:val="Heading4"/>
      </w:pPr>
      <w:bookmarkStart w:id="616" w:name="_Toc200718836"/>
      <w:bookmarkStart w:id="617" w:name="_Toc138691191"/>
      <w:bookmarkStart w:id="618" w:name="_Toc138692686"/>
      <w:bookmarkStart w:id="619" w:name="_Toc138749960"/>
      <w:bookmarkStart w:id="620" w:name="_Toc138752594"/>
      <w:r>
        <w:t>Subdivision 4 — Review</w:t>
      </w:r>
      <w:bookmarkEnd w:id="616"/>
      <w:bookmarkEnd w:id="617"/>
      <w:bookmarkEnd w:id="618"/>
      <w:bookmarkEnd w:id="619"/>
      <w:bookmarkEnd w:id="620"/>
    </w:p>
    <w:p>
      <w:pPr>
        <w:pStyle w:val="Footnoteheading"/>
        <w:keepNext/>
      </w:pPr>
      <w:r>
        <w:tab/>
        <w:t>[Heading inserted: No. 14 of 2022 s. 36.]</w:t>
      </w:r>
    </w:p>
    <w:p>
      <w:pPr>
        <w:pStyle w:val="Heading5"/>
      </w:pPr>
      <w:bookmarkStart w:id="621" w:name="_Toc200718837"/>
      <w:bookmarkStart w:id="622" w:name="_Toc138752595"/>
      <w:r>
        <w:rPr>
          <w:rStyle w:val="CharSectno"/>
        </w:rPr>
        <w:t>150G</w:t>
      </w:r>
      <w:r>
        <w:t>.</w:t>
      </w:r>
      <w:r>
        <w:tab/>
        <w:t>Review of Division</w:t>
      </w:r>
      <w:bookmarkEnd w:id="621"/>
      <w:bookmarkEnd w:id="622"/>
    </w:p>
    <w:p>
      <w:pPr>
        <w:pStyle w:val="Subsection"/>
        <w:rPr>
          <w:snapToGrid w:val="0"/>
        </w:rPr>
      </w:pPr>
      <w:r>
        <w:tab/>
        <w:t>(1)</w:t>
      </w:r>
      <w:r>
        <w:tab/>
      </w:r>
      <w:r>
        <w:rPr>
          <w:snapToGrid w:val="0"/>
        </w:rPr>
        <w:t>The Minister must review the operation and effectiveness of this Division, and prepare a report based on the review —</w:t>
      </w:r>
    </w:p>
    <w:p>
      <w:pPr>
        <w:pStyle w:val="Indenta"/>
      </w:pPr>
      <w:r>
        <w:tab/>
        <w:t>(a)</w:t>
      </w:r>
      <w:r>
        <w:tab/>
      </w:r>
      <w:r>
        <w:rPr>
          <w:snapToGrid w:val="0"/>
        </w:rPr>
        <w:t>as soon as practicable after the 5</w:t>
      </w:r>
      <w:r>
        <w:rPr>
          <w:snapToGrid w:val="0"/>
          <w:vertAlign w:val="superscript"/>
        </w:rPr>
        <w:t>th</w:t>
      </w:r>
      <w:r>
        <w:rPr>
          <w:snapToGrid w:val="0"/>
        </w:rPr>
        <w:t xml:space="preserve"> anniversary of the day on which the </w:t>
      </w:r>
      <w:r>
        <w:rPr>
          <w:i/>
          <w:snapToGrid w:val="0"/>
        </w:rPr>
        <w:t>Sentencing Legislation Amendment (Persons Linked to Terrorism) Act 2022</w:t>
      </w:r>
      <w:r>
        <w:rPr>
          <w:snapToGrid w:val="0"/>
        </w:rPr>
        <w:t xml:space="preserve"> section 36 comes into operation; and</w:t>
      </w:r>
    </w:p>
    <w:p>
      <w:pPr>
        <w:pStyle w:val="Indenta"/>
        <w:rPr>
          <w:snapToGrid w:val="0"/>
        </w:rPr>
      </w:pPr>
      <w:r>
        <w:tab/>
        <w:t>(b)</w:t>
      </w:r>
      <w:r>
        <w:tab/>
      </w:r>
      <w:r>
        <w:rPr>
          <w:snapToGrid w:val="0"/>
        </w:rPr>
        <w:t>after that, at intervals of not more than 5 years.</w:t>
      </w:r>
    </w:p>
    <w:p>
      <w:pPr>
        <w:pStyle w:val="Subsection"/>
      </w:pPr>
      <w:r>
        <w:tab/>
        <w:t>(2)</w:t>
      </w:r>
      <w:r>
        <w:tab/>
        <w:t xml:space="preserve">The Minister must cause the report to be laid before each House of Parliament as soon as practicable after it is prepared, but not </w:t>
      </w:r>
      <w:r>
        <w:rPr>
          <w:snapToGrid w:val="0"/>
        </w:rPr>
        <w:t>later than 12 months after the 5</w:t>
      </w:r>
      <w:r>
        <w:rPr>
          <w:snapToGrid w:val="0"/>
          <w:vertAlign w:val="superscript"/>
        </w:rPr>
        <w:t>th</w:t>
      </w:r>
      <w:r>
        <w:rPr>
          <w:snapToGrid w:val="0"/>
        </w:rPr>
        <w:t xml:space="preserve"> anniversary or the expiry of the period of 5 years, as the case may be.</w:t>
      </w:r>
    </w:p>
    <w:p>
      <w:pPr>
        <w:pStyle w:val="Footnotesection"/>
      </w:pPr>
      <w:r>
        <w:tab/>
        <w:t>[Section 150G inserted: No. 14 of 2022 s. 36.]</w:t>
      </w:r>
    </w:p>
    <w:p>
      <w:pPr>
        <w:pStyle w:val="Heading3"/>
        <w:rPr>
          <w:snapToGrid w:val="0"/>
        </w:rPr>
      </w:pPr>
      <w:bookmarkStart w:id="623" w:name="_Toc200718838"/>
      <w:bookmarkStart w:id="624" w:name="_Toc138691193"/>
      <w:bookmarkStart w:id="625" w:name="_Toc138692688"/>
      <w:bookmarkStart w:id="626" w:name="_Toc138749962"/>
      <w:bookmarkStart w:id="627" w:name="_Toc138752596"/>
      <w:r>
        <w:rPr>
          <w:rStyle w:val="CharDivNo"/>
        </w:rPr>
        <w:t>Division 3</w:t>
      </w:r>
      <w:r>
        <w:rPr>
          <w:snapToGrid w:val="0"/>
        </w:rPr>
        <w:t> — </w:t>
      </w:r>
      <w:r>
        <w:rPr>
          <w:rStyle w:val="CharDivText"/>
        </w:rPr>
        <w:t>The Supervised Release Review Board</w:t>
      </w:r>
      <w:bookmarkEnd w:id="623"/>
      <w:bookmarkEnd w:id="624"/>
      <w:bookmarkEnd w:id="625"/>
      <w:bookmarkEnd w:id="626"/>
      <w:bookmarkEnd w:id="627"/>
      <w:r>
        <w:rPr>
          <w:rStyle w:val="CharDivText"/>
        </w:rPr>
        <w:t xml:space="preserve"> </w:t>
      </w:r>
    </w:p>
    <w:p>
      <w:pPr>
        <w:pStyle w:val="Heading5"/>
        <w:rPr>
          <w:snapToGrid w:val="0"/>
        </w:rPr>
      </w:pPr>
      <w:bookmarkStart w:id="628" w:name="_Toc200718839"/>
      <w:bookmarkStart w:id="629" w:name="_Toc138752597"/>
      <w:r>
        <w:rPr>
          <w:rStyle w:val="CharSectno"/>
        </w:rPr>
        <w:t>151</w:t>
      </w:r>
      <w:r>
        <w:rPr>
          <w:snapToGrid w:val="0"/>
        </w:rPr>
        <w:t>.</w:t>
      </w:r>
      <w:r>
        <w:rPr>
          <w:snapToGrid w:val="0"/>
        </w:rPr>
        <w:tab/>
        <w:t>Board established</w:t>
      </w:r>
      <w:bookmarkEnd w:id="628"/>
      <w:bookmarkEnd w:id="629"/>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No. 65 of 2006 s. 78.]</w:t>
      </w:r>
    </w:p>
    <w:p>
      <w:pPr>
        <w:pStyle w:val="Heading5"/>
        <w:rPr>
          <w:snapToGrid w:val="0"/>
        </w:rPr>
      </w:pPr>
      <w:bookmarkStart w:id="630" w:name="_Toc200718840"/>
      <w:bookmarkStart w:id="631" w:name="_Toc138752598"/>
      <w:r>
        <w:rPr>
          <w:rStyle w:val="CharSectno"/>
        </w:rPr>
        <w:t>152</w:t>
      </w:r>
      <w:r>
        <w:rPr>
          <w:snapToGrid w:val="0"/>
        </w:rPr>
        <w:t>.</w:t>
      </w:r>
      <w:r>
        <w:rPr>
          <w:snapToGrid w:val="0"/>
        </w:rPr>
        <w:tab/>
        <w:t>Board members</w:t>
      </w:r>
      <w:bookmarkEnd w:id="630"/>
      <w:bookmarkEnd w:id="631"/>
      <w:r>
        <w:rPr>
          <w:snapToGrid w:val="0"/>
        </w:rPr>
        <w:t xml:space="preserve"> </w:t>
      </w:r>
    </w:p>
    <w:p>
      <w:pPr>
        <w:pStyle w:val="Subsection"/>
        <w:keepNext/>
      </w:pPr>
      <w:r>
        <w:tab/>
        <w:t>(1)</w:t>
      </w:r>
      <w:r>
        <w:tab/>
      </w:r>
      <w:r>
        <w:rPr>
          <w:snapToGrid w:val="0"/>
        </w:rPr>
        <w:t>There are to be 6 members of the Board comprising —</w:t>
      </w:r>
    </w:p>
    <w:p>
      <w:pPr>
        <w:pStyle w:val="Indenta"/>
      </w:pPr>
      <w:r>
        <w:tab/>
        <w:t>(a)</w:t>
      </w:r>
      <w:r>
        <w:tab/>
        <w:t>a person to be chairperson,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 xml:space="preserve">The </w:t>
      </w:r>
      <w:r>
        <w:t>chairperson</w:t>
      </w:r>
      <w:r>
        <w:rPr>
          <w:snapToGrid w:val="0"/>
        </w:rPr>
        <w:t xml:space="preserve">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a lawyer.</w:t>
      </w:r>
    </w:p>
    <w:p>
      <w:pPr>
        <w:pStyle w:val="Subsection"/>
        <w:keepNext/>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No. 65 of 2003 s. 73; No. 58 of 2004 s. 33; No. 41 of 2006 s. 88; No. 21 of 2008 s. 714(4); No. 9 of 2022 s. 423; No. 14 of 2022 s. 40.]</w:t>
      </w:r>
    </w:p>
    <w:p>
      <w:pPr>
        <w:pStyle w:val="Heading5"/>
        <w:rPr>
          <w:snapToGrid w:val="0"/>
        </w:rPr>
      </w:pPr>
      <w:bookmarkStart w:id="632" w:name="_Toc200718841"/>
      <w:bookmarkStart w:id="633" w:name="_Toc138752599"/>
      <w:r>
        <w:rPr>
          <w:rStyle w:val="CharSectno"/>
        </w:rPr>
        <w:t>153</w:t>
      </w:r>
      <w:r>
        <w:rPr>
          <w:snapToGrid w:val="0"/>
        </w:rPr>
        <w:t>.</w:t>
      </w:r>
      <w:r>
        <w:rPr>
          <w:snapToGrid w:val="0"/>
        </w:rPr>
        <w:tab/>
        <w:t>Term of office</w:t>
      </w:r>
      <w:bookmarkEnd w:id="632"/>
      <w:bookmarkEnd w:id="633"/>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keepNext/>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No. 58 of 2004 s. 34.]</w:t>
      </w:r>
    </w:p>
    <w:p>
      <w:pPr>
        <w:pStyle w:val="Heading5"/>
        <w:rPr>
          <w:snapToGrid w:val="0"/>
        </w:rPr>
      </w:pPr>
      <w:bookmarkStart w:id="634" w:name="_Toc200718842"/>
      <w:bookmarkStart w:id="635" w:name="_Toc138752600"/>
      <w:r>
        <w:rPr>
          <w:rStyle w:val="CharSectno"/>
        </w:rPr>
        <w:t>154</w:t>
      </w:r>
      <w:r>
        <w:rPr>
          <w:snapToGrid w:val="0"/>
        </w:rPr>
        <w:t>.</w:t>
      </w:r>
      <w:r>
        <w:rPr>
          <w:snapToGrid w:val="0"/>
        </w:rPr>
        <w:tab/>
        <w:t>Alternate members</w:t>
      </w:r>
      <w:bookmarkEnd w:id="634"/>
      <w:bookmarkEnd w:id="635"/>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w:t>
      </w:r>
      <w:r>
        <w:t>chairperson</w:t>
      </w:r>
      <w:r>
        <w:rPr>
          <w:snapToGrid w:val="0"/>
        </w:rPr>
        <w:t xml:space="preserve">,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keepNext/>
        <w:rPr>
          <w:snapToGrid w:val="0"/>
        </w:rPr>
      </w:pPr>
      <w:r>
        <w:rPr>
          <w:snapToGrid w:val="0"/>
        </w:rPr>
        <w:tab/>
        <w:t>(5)</w:t>
      </w:r>
      <w:r>
        <w:rPr>
          <w:snapToGrid w:val="0"/>
        </w:rPr>
        <w:tab/>
        <w:t>The Minister may, at any time, cancel a nomination made under subsection (3).</w:t>
      </w:r>
    </w:p>
    <w:p>
      <w:pPr>
        <w:pStyle w:val="Footnotesection"/>
      </w:pPr>
      <w:r>
        <w:tab/>
        <w:t>[Section 154 amended: No. 58 of 2004 s. 35; No. 14 of 2022 s. 40.]</w:t>
      </w:r>
    </w:p>
    <w:p>
      <w:pPr>
        <w:pStyle w:val="Heading5"/>
        <w:rPr>
          <w:snapToGrid w:val="0"/>
        </w:rPr>
      </w:pPr>
      <w:bookmarkStart w:id="636" w:name="_Toc200718843"/>
      <w:bookmarkStart w:id="637" w:name="_Toc138752601"/>
      <w:r>
        <w:rPr>
          <w:rStyle w:val="CharSectno"/>
        </w:rPr>
        <w:t>155</w:t>
      </w:r>
      <w:r>
        <w:rPr>
          <w:snapToGrid w:val="0"/>
        </w:rPr>
        <w:t>.</w:t>
      </w:r>
      <w:r>
        <w:rPr>
          <w:snapToGrid w:val="0"/>
        </w:rPr>
        <w:tab/>
        <w:t>Remuneration and allowances</w:t>
      </w:r>
      <w:bookmarkEnd w:id="636"/>
      <w:bookmarkEnd w:id="637"/>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638" w:name="_Toc200718844"/>
      <w:bookmarkStart w:id="639" w:name="_Toc138752602"/>
      <w:r>
        <w:rPr>
          <w:rStyle w:val="CharSectno"/>
        </w:rPr>
        <w:t>156</w:t>
      </w:r>
      <w:r>
        <w:rPr>
          <w:snapToGrid w:val="0"/>
        </w:rPr>
        <w:t>.</w:t>
      </w:r>
      <w:r>
        <w:rPr>
          <w:snapToGrid w:val="0"/>
        </w:rPr>
        <w:tab/>
        <w:t>Meetings</w:t>
      </w:r>
      <w:bookmarkEnd w:id="638"/>
      <w:bookmarkEnd w:id="639"/>
      <w:r>
        <w:rPr>
          <w:snapToGrid w:val="0"/>
        </w:rPr>
        <w:t xml:space="preserve"> </w:t>
      </w:r>
    </w:p>
    <w:p>
      <w:pPr>
        <w:pStyle w:val="Subsection"/>
        <w:rPr>
          <w:snapToGrid w:val="0"/>
        </w:rPr>
      </w:pPr>
      <w:r>
        <w:rPr>
          <w:snapToGrid w:val="0"/>
        </w:rPr>
        <w:tab/>
      </w:r>
      <w:r>
        <w:rPr>
          <w:snapToGrid w:val="0"/>
        </w:rPr>
        <w:tab/>
        <w:t xml:space="preserve">Meetings of the Board are to be convened at such times and places as the </w:t>
      </w:r>
      <w:r>
        <w:t>chairperson</w:t>
      </w:r>
      <w:r>
        <w:rPr>
          <w:snapToGrid w:val="0"/>
        </w:rPr>
        <w:t xml:space="preserve"> determines, but at least once a month.</w:t>
      </w:r>
    </w:p>
    <w:p>
      <w:pPr>
        <w:pStyle w:val="Footnotesection"/>
      </w:pPr>
      <w:r>
        <w:tab/>
        <w:t>[Section 156 amended: No. 14 of 2022 s. 40.]</w:t>
      </w:r>
    </w:p>
    <w:p>
      <w:pPr>
        <w:pStyle w:val="Heading5"/>
        <w:rPr>
          <w:snapToGrid w:val="0"/>
        </w:rPr>
      </w:pPr>
      <w:bookmarkStart w:id="640" w:name="_Toc200718845"/>
      <w:bookmarkStart w:id="641" w:name="_Toc138752603"/>
      <w:r>
        <w:rPr>
          <w:rStyle w:val="CharSectno"/>
        </w:rPr>
        <w:t>157</w:t>
      </w:r>
      <w:r>
        <w:rPr>
          <w:snapToGrid w:val="0"/>
        </w:rPr>
        <w:t>.</w:t>
      </w:r>
      <w:r>
        <w:rPr>
          <w:snapToGrid w:val="0"/>
        </w:rPr>
        <w:tab/>
        <w:t>Quorum</w:t>
      </w:r>
      <w:bookmarkEnd w:id="640"/>
      <w:bookmarkEnd w:id="641"/>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Subsection"/>
      </w:pPr>
      <w:r>
        <w:tab/>
        <w:t>(2)</w:t>
      </w:r>
      <w:r>
        <w:tab/>
        <w:t xml:space="preserve">This section does not apply in relation to a meeting of the Board held for the purposes of section 16B, 16C or 142A or Part 8 Division 2A. </w:t>
      </w:r>
    </w:p>
    <w:p>
      <w:pPr>
        <w:pStyle w:val="Footnotesection"/>
      </w:pPr>
      <w:r>
        <w:tab/>
        <w:t>[Section 157 amended: No. 58 of 2004 s. 36; No. 14 of 2022 s. 37.]</w:t>
      </w:r>
    </w:p>
    <w:p>
      <w:pPr>
        <w:pStyle w:val="Heading5"/>
        <w:rPr>
          <w:snapToGrid w:val="0"/>
        </w:rPr>
      </w:pPr>
      <w:bookmarkStart w:id="642" w:name="_Toc200718846"/>
      <w:bookmarkStart w:id="643" w:name="_Toc138752604"/>
      <w:r>
        <w:rPr>
          <w:rStyle w:val="CharSectno"/>
        </w:rPr>
        <w:t>158</w:t>
      </w:r>
      <w:r>
        <w:rPr>
          <w:snapToGrid w:val="0"/>
        </w:rPr>
        <w:t>.</w:t>
      </w:r>
      <w:r>
        <w:rPr>
          <w:snapToGrid w:val="0"/>
        </w:rPr>
        <w:tab/>
        <w:t>Presiding at meetings</w:t>
      </w:r>
      <w:bookmarkEnd w:id="642"/>
      <w:bookmarkEnd w:id="643"/>
      <w:r>
        <w:rPr>
          <w:snapToGrid w:val="0"/>
        </w:rPr>
        <w:t xml:space="preserve"> </w:t>
      </w:r>
    </w:p>
    <w:p>
      <w:pPr>
        <w:pStyle w:val="Subsection"/>
        <w:rPr>
          <w:snapToGrid w:val="0"/>
        </w:rPr>
      </w:pPr>
      <w:r>
        <w:rPr>
          <w:snapToGrid w:val="0"/>
        </w:rPr>
        <w:tab/>
        <w:t>(1)</w:t>
      </w:r>
      <w:r>
        <w:rPr>
          <w:snapToGrid w:val="0"/>
        </w:rPr>
        <w:tab/>
        <w:t xml:space="preserve">At a meeting of the Board the </w:t>
      </w:r>
      <w:r>
        <w:t>chairperson</w:t>
      </w:r>
      <w:r>
        <w:rPr>
          <w:snapToGrid w:val="0"/>
        </w:rPr>
        <w:t xml:space="preserve">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 xml:space="preserve">If more than one member is eligible to preside in the absence of the </w:t>
      </w:r>
      <w:r>
        <w:t>chairperson</w:t>
      </w:r>
      <w:r>
        <w:rPr>
          <w:snapToGrid w:val="0"/>
        </w:rPr>
        <w:t>, the members present at the meeting are to appoint one of the eligible members to preside.</w:t>
      </w:r>
    </w:p>
    <w:p>
      <w:pPr>
        <w:pStyle w:val="Footnotesection"/>
      </w:pPr>
      <w:r>
        <w:tab/>
        <w:t>[Section 158 amended: No. 14 of 2022 s. 40.]</w:t>
      </w:r>
    </w:p>
    <w:p>
      <w:pPr>
        <w:pStyle w:val="Heading5"/>
        <w:rPr>
          <w:snapToGrid w:val="0"/>
        </w:rPr>
      </w:pPr>
      <w:bookmarkStart w:id="644" w:name="_Toc200718847"/>
      <w:bookmarkStart w:id="645" w:name="_Toc138752605"/>
      <w:r>
        <w:rPr>
          <w:rStyle w:val="CharSectno"/>
        </w:rPr>
        <w:t>159</w:t>
      </w:r>
      <w:r>
        <w:rPr>
          <w:snapToGrid w:val="0"/>
        </w:rPr>
        <w:t>.</w:t>
      </w:r>
      <w:r>
        <w:rPr>
          <w:snapToGrid w:val="0"/>
        </w:rPr>
        <w:tab/>
        <w:t>Board may request reports</w:t>
      </w:r>
      <w:bookmarkEnd w:id="644"/>
      <w:bookmarkEnd w:id="645"/>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646" w:name="_Toc200718848"/>
      <w:bookmarkStart w:id="647" w:name="_Toc138752606"/>
      <w:r>
        <w:rPr>
          <w:rStyle w:val="CharSectno"/>
        </w:rPr>
        <w:t>160</w:t>
      </w:r>
      <w:r>
        <w:rPr>
          <w:snapToGrid w:val="0"/>
        </w:rPr>
        <w:t>.</w:t>
      </w:r>
      <w:r>
        <w:rPr>
          <w:snapToGrid w:val="0"/>
        </w:rPr>
        <w:tab/>
        <w:t>Determination of questions</w:t>
      </w:r>
      <w:bookmarkEnd w:id="646"/>
      <w:bookmarkEnd w:id="647"/>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 xml:space="preserve">If the </w:t>
      </w:r>
      <w:r>
        <w:t>chairperson</w:t>
      </w:r>
      <w:r>
        <w:rPr>
          <w:snapToGrid w:val="0"/>
        </w:rPr>
        <w:t xml:space="preserve">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Footnotesection"/>
      </w:pPr>
      <w:r>
        <w:tab/>
        <w:t>[Section 160 amended: No. 14 of 2022 s. 40.]</w:t>
      </w:r>
    </w:p>
    <w:p>
      <w:pPr>
        <w:pStyle w:val="Heading5"/>
        <w:rPr>
          <w:snapToGrid w:val="0"/>
        </w:rPr>
      </w:pPr>
      <w:bookmarkStart w:id="648" w:name="_Toc200718849"/>
      <w:bookmarkStart w:id="649" w:name="_Toc138752607"/>
      <w:r>
        <w:rPr>
          <w:rStyle w:val="CharSectno"/>
        </w:rPr>
        <w:t>161</w:t>
      </w:r>
      <w:r>
        <w:rPr>
          <w:snapToGrid w:val="0"/>
        </w:rPr>
        <w:t>.</w:t>
      </w:r>
      <w:r>
        <w:rPr>
          <w:snapToGrid w:val="0"/>
        </w:rPr>
        <w:tab/>
        <w:t>Procedure</w:t>
      </w:r>
      <w:bookmarkEnd w:id="648"/>
      <w:bookmarkEnd w:id="649"/>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keepNext/>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650" w:name="_Toc200718850"/>
      <w:bookmarkStart w:id="651" w:name="_Toc138752608"/>
      <w:r>
        <w:rPr>
          <w:rStyle w:val="CharSectno"/>
        </w:rPr>
        <w:t>162</w:t>
      </w:r>
      <w:r>
        <w:rPr>
          <w:snapToGrid w:val="0"/>
        </w:rPr>
        <w:t>.</w:t>
      </w:r>
      <w:r>
        <w:rPr>
          <w:snapToGrid w:val="0"/>
        </w:rPr>
        <w:tab/>
        <w:t>Board may reconsider its decision</w:t>
      </w:r>
      <w:bookmarkEnd w:id="650"/>
      <w:bookmarkEnd w:id="651"/>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652" w:name="_Toc200718851"/>
      <w:bookmarkStart w:id="653" w:name="_Toc138752609"/>
      <w:r>
        <w:rPr>
          <w:rStyle w:val="CharSectno"/>
        </w:rPr>
        <w:t>163</w:t>
      </w:r>
      <w:r>
        <w:rPr>
          <w:snapToGrid w:val="0"/>
        </w:rPr>
        <w:t>.</w:t>
      </w:r>
      <w:r>
        <w:rPr>
          <w:snapToGrid w:val="0"/>
        </w:rPr>
        <w:tab/>
        <w:t>Rules of natural justice excluded</w:t>
      </w:r>
      <w:bookmarkEnd w:id="652"/>
      <w:bookmarkEnd w:id="653"/>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654" w:name="_Toc200718852"/>
      <w:bookmarkStart w:id="655" w:name="_Toc138752610"/>
      <w:r>
        <w:rPr>
          <w:rStyle w:val="CharSectno"/>
        </w:rPr>
        <w:t>164</w:t>
      </w:r>
      <w:r>
        <w:rPr>
          <w:snapToGrid w:val="0"/>
        </w:rPr>
        <w:t>.</w:t>
      </w:r>
      <w:r>
        <w:rPr>
          <w:snapToGrid w:val="0"/>
        </w:rPr>
        <w:tab/>
        <w:t>Judicial notice of Board’s documents</w:t>
      </w:r>
      <w:bookmarkEnd w:id="654"/>
      <w:bookmarkEnd w:id="655"/>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656" w:name="_Toc200718853"/>
      <w:bookmarkStart w:id="657" w:name="_Toc138752611"/>
      <w:r>
        <w:rPr>
          <w:rStyle w:val="CharSectno"/>
        </w:rPr>
        <w:t>165</w:t>
      </w:r>
      <w:r>
        <w:rPr>
          <w:snapToGrid w:val="0"/>
        </w:rPr>
        <w:t>.</w:t>
      </w:r>
      <w:r>
        <w:rPr>
          <w:snapToGrid w:val="0"/>
        </w:rPr>
        <w:tab/>
        <w:t>Annual report</w:t>
      </w:r>
      <w:bookmarkEnd w:id="656"/>
      <w:bookmarkEnd w:id="657"/>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5"/>
      </w:pPr>
      <w:bookmarkStart w:id="658" w:name="_Toc200718854"/>
      <w:bookmarkStart w:id="659" w:name="_Toc138752612"/>
      <w:r>
        <w:rPr>
          <w:rStyle w:val="CharSectno"/>
        </w:rPr>
        <w:t>165A</w:t>
      </w:r>
      <w:r>
        <w:t>.</w:t>
      </w:r>
      <w:r>
        <w:tab/>
        <w:t>Information to be excluded from annual reports</w:t>
      </w:r>
      <w:bookmarkEnd w:id="658"/>
      <w:bookmarkEnd w:id="659"/>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tab/>
        <w:t>(2)</w:t>
      </w:r>
      <w:r>
        <w:tab/>
        <w:t xml:space="preserve">This section applies if, </w:t>
      </w:r>
      <w:r>
        <w:rPr>
          <w:snapToGrid w:val="0"/>
        </w:rPr>
        <w:t xml:space="preserve">during the year ending on the last preceding 30 June, </w:t>
      </w:r>
      <w:r>
        <w:t>the chairperson</w:t>
      </w:r>
      <w:r>
        <w:rPr>
          <w:snapToGrid w:val="0"/>
        </w:rPr>
        <w:t xml:space="preserve"> decides</w:t>
      </w:r>
      <w:r>
        <w:t> —</w:t>
      </w:r>
    </w:p>
    <w:p>
      <w:pPr>
        <w:pStyle w:val="Indenta"/>
      </w:pPr>
      <w:r>
        <w:tab/>
        <w:t>(a)</w:t>
      </w:r>
      <w:r>
        <w:tab/>
        <w:t xml:space="preserve">to make a </w:t>
      </w:r>
      <w:r>
        <w:rPr>
          <w:szCs w:val="24"/>
        </w:rPr>
        <w:t xml:space="preserve">supervised release order </w:t>
      </w:r>
      <w:r>
        <w:t>under Part 8 Division 2A</w:t>
      </w:r>
      <w:r>
        <w:rPr>
          <w:szCs w:val="24"/>
        </w:rPr>
        <w:t>; or</w:t>
      </w:r>
    </w:p>
    <w:p>
      <w:pPr>
        <w:pStyle w:val="Indenta"/>
      </w:pPr>
      <w:r>
        <w:tab/>
        <w:t>(b)</w:t>
      </w:r>
      <w:r>
        <w:tab/>
        <w:t>to refuse to make a supervised release order under Part 8 Division 2A; or</w:t>
      </w:r>
    </w:p>
    <w:p>
      <w:pPr>
        <w:pStyle w:val="Indenta"/>
      </w:pPr>
      <w:r>
        <w:tab/>
        <w:t>(c)</w:t>
      </w:r>
      <w:r>
        <w:tab/>
        <w:t>to cancel a supervised release order under section 142A.</w:t>
      </w:r>
    </w:p>
    <w:p>
      <w:pPr>
        <w:pStyle w:val="Subsection"/>
      </w:pPr>
      <w:r>
        <w:tab/>
        <w:t>(3)</w:t>
      </w:r>
      <w:r>
        <w:tab/>
        <w:t xml:space="preserve">Before giving an annual report for the financial year, the chairperson must notify the Commissioner of Police and the Minister of the number of decisions referred to in subsection (2) that are made </w:t>
      </w:r>
      <w:r>
        <w:rPr>
          <w:snapToGrid w:val="0"/>
        </w:rPr>
        <w:t>during the year ending on the last preceding 30 June</w:t>
      </w:r>
      <w:r>
        <w:t xml:space="preserve"> (</w:t>
      </w:r>
      <w:r>
        <w:rPr>
          <w:rStyle w:val="CharDefText"/>
        </w:rPr>
        <w:t>notifiable information</w:t>
      </w:r>
      <w:r>
        <w:t xml:space="preserve">). </w:t>
      </w:r>
    </w:p>
    <w:p>
      <w:pPr>
        <w:pStyle w:val="Subsection"/>
      </w:pPr>
      <w:r>
        <w:tab/>
        <w:t>(4)</w:t>
      </w:r>
      <w:r>
        <w:tab/>
        <w:t>The Commissioner of Police must advise the Minister whether, in the Commissioner’s opinion, some or all of the notifiable information is, or is likely to be, sensitive information.</w:t>
      </w:r>
    </w:p>
    <w:p>
      <w:pPr>
        <w:pStyle w:val="Subsection"/>
      </w:pPr>
      <w:r>
        <w:tab/>
        <w:t>(5)</w:t>
      </w:r>
      <w:r>
        <w:tab/>
        <w:t xml:space="preserve">If the Minister is satisfied that some or all of the notifiable information is protected information or, on advice given under subsection (4), is satisfied that some or all of the notifiable information is sensitive information, the Minister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tab/>
        <w:t>(6)</w:t>
      </w:r>
      <w:r>
        <w:tab/>
        <w:t>The chairperson must comply with a direction given under subsection (5).</w:t>
      </w:r>
    </w:p>
    <w:p>
      <w:pPr>
        <w:pStyle w:val="Subsection"/>
      </w:pPr>
      <w:r>
        <w:tab/>
        <w:t>(7)</w:t>
      </w:r>
      <w:r>
        <w:tab/>
        <w:t>The Minister may obtain legal advice as to the matters in subsection (5).</w:t>
      </w:r>
    </w:p>
    <w:p>
      <w:pPr>
        <w:pStyle w:val="Subsection"/>
      </w:pPr>
      <w:r>
        <w:tab/>
        <w:t>(8)</w:t>
      </w:r>
      <w:r>
        <w:tab/>
        <w:t>If the Minister does not give a direction under subsection (5), the Board must include the notifiable information in the annual report.</w:t>
      </w:r>
    </w:p>
    <w:p>
      <w:pPr>
        <w:pStyle w:val="Footnotesection"/>
      </w:pPr>
      <w:r>
        <w:tab/>
        <w:t>[Section 165A inserted: No. 14 of 2022 s. 38.]</w:t>
      </w:r>
    </w:p>
    <w:p>
      <w:pPr>
        <w:pStyle w:val="Heading2"/>
      </w:pPr>
      <w:bookmarkStart w:id="660" w:name="_Toc200718855"/>
      <w:bookmarkStart w:id="661" w:name="_Toc138691210"/>
      <w:bookmarkStart w:id="662" w:name="_Toc138692705"/>
      <w:bookmarkStart w:id="663" w:name="_Toc138749979"/>
      <w:bookmarkStart w:id="664" w:name="_Toc138752613"/>
      <w:r>
        <w:rPr>
          <w:rStyle w:val="CharPartNo"/>
        </w:rPr>
        <w:t>Part 9</w:t>
      </w:r>
      <w:r>
        <w:rPr>
          <w:rStyle w:val="CharDivNo"/>
        </w:rPr>
        <w:t> </w:t>
      </w:r>
      <w:r>
        <w:t>—</w:t>
      </w:r>
      <w:r>
        <w:rPr>
          <w:rStyle w:val="CharDivText"/>
        </w:rPr>
        <w:t> </w:t>
      </w:r>
      <w:r>
        <w:rPr>
          <w:rStyle w:val="CharPartText"/>
        </w:rPr>
        <w:t>Detention centres</w:t>
      </w:r>
      <w:bookmarkEnd w:id="660"/>
      <w:bookmarkEnd w:id="661"/>
      <w:bookmarkEnd w:id="662"/>
      <w:bookmarkEnd w:id="663"/>
      <w:bookmarkEnd w:id="664"/>
      <w:r>
        <w:rPr>
          <w:rStyle w:val="CharPartText"/>
        </w:rPr>
        <w:t xml:space="preserve"> </w:t>
      </w:r>
    </w:p>
    <w:p>
      <w:pPr>
        <w:pStyle w:val="Heading5"/>
      </w:pPr>
      <w:bookmarkStart w:id="665" w:name="_Toc200718856"/>
      <w:bookmarkStart w:id="666" w:name="_Toc138752614"/>
      <w:r>
        <w:rPr>
          <w:rStyle w:val="CharSectno"/>
        </w:rPr>
        <w:t>166</w:t>
      </w:r>
      <w:r>
        <w:t>.</w:t>
      </w:r>
      <w:r>
        <w:tab/>
        <w:t>Appointment of visiting justices</w:t>
      </w:r>
      <w:bookmarkEnd w:id="665"/>
      <w:bookmarkEnd w:id="666"/>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No. 75 of 2003 s. 56(1); amended: No. 59 of 2004 s. 141.]</w:t>
      </w:r>
    </w:p>
    <w:p>
      <w:pPr>
        <w:pStyle w:val="Ednotesection"/>
      </w:pPr>
      <w:r>
        <w:t>[</w:t>
      </w:r>
      <w:r>
        <w:rPr>
          <w:b/>
        </w:rPr>
        <w:t>167.</w:t>
      </w:r>
      <w:r>
        <w:tab/>
        <w:t>Deleted: No. 75 of 2003 s. 56(1).]</w:t>
      </w:r>
    </w:p>
    <w:p>
      <w:pPr>
        <w:pStyle w:val="Heading5"/>
        <w:rPr>
          <w:snapToGrid w:val="0"/>
        </w:rPr>
      </w:pPr>
      <w:bookmarkStart w:id="667" w:name="_Toc200718857"/>
      <w:bookmarkStart w:id="668" w:name="_Toc138752615"/>
      <w:r>
        <w:rPr>
          <w:rStyle w:val="CharSectno"/>
        </w:rPr>
        <w:t>168</w:t>
      </w:r>
      <w:r>
        <w:rPr>
          <w:snapToGrid w:val="0"/>
        </w:rPr>
        <w:t>.</w:t>
      </w:r>
      <w:r>
        <w:rPr>
          <w:snapToGrid w:val="0"/>
        </w:rPr>
        <w:tab/>
        <w:t>Visiting justices, functions of</w:t>
      </w:r>
      <w:bookmarkEnd w:id="667"/>
      <w:bookmarkEnd w:id="668"/>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669" w:name="_Toc200718858"/>
      <w:bookmarkStart w:id="670" w:name="_Toc138752616"/>
      <w:r>
        <w:rPr>
          <w:rStyle w:val="CharSectno"/>
        </w:rPr>
        <w:t>169</w:t>
      </w:r>
      <w:r>
        <w:rPr>
          <w:snapToGrid w:val="0"/>
        </w:rPr>
        <w:t>.</w:t>
      </w:r>
      <w:r>
        <w:rPr>
          <w:snapToGrid w:val="0"/>
        </w:rPr>
        <w:tab/>
        <w:t>Right of certain persons to enter detention centre</w:t>
      </w:r>
      <w:bookmarkEnd w:id="669"/>
      <w:bookmarkEnd w:id="670"/>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No. 75 of 2003 s. 56(1); No. 59 of 2004 s. 141.]</w:t>
      </w:r>
    </w:p>
    <w:p>
      <w:pPr>
        <w:pStyle w:val="Heading5"/>
        <w:rPr>
          <w:snapToGrid w:val="0"/>
        </w:rPr>
      </w:pPr>
      <w:bookmarkStart w:id="671" w:name="_Toc200718859"/>
      <w:bookmarkStart w:id="672" w:name="_Toc138752617"/>
      <w:r>
        <w:rPr>
          <w:rStyle w:val="CharSectno"/>
        </w:rPr>
        <w:t>169A</w:t>
      </w:r>
      <w:r>
        <w:t>.</w:t>
      </w:r>
      <w:r>
        <w:tab/>
      </w:r>
      <w:r>
        <w:rPr>
          <w:snapToGrid w:val="0"/>
        </w:rPr>
        <w:t>Investigation of alleged incident at detention centre</w:t>
      </w:r>
      <w:bookmarkEnd w:id="671"/>
      <w:bookmarkEnd w:id="672"/>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No. 58 of 2004 s. 37; amended: No. 29 of 2014 s. 22.]</w:t>
      </w:r>
    </w:p>
    <w:p>
      <w:pPr>
        <w:pStyle w:val="Heading5"/>
        <w:rPr>
          <w:snapToGrid w:val="0"/>
        </w:rPr>
      </w:pPr>
      <w:bookmarkStart w:id="673" w:name="_Toc200718860"/>
      <w:bookmarkStart w:id="674" w:name="_Toc138752618"/>
      <w:r>
        <w:rPr>
          <w:rStyle w:val="CharSectno"/>
        </w:rPr>
        <w:t>170</w:t>
      </w:r>
      <w:r>
        <w:rPr>
          <w:snapToGrid w:val="0"/>
        </w:rPr>
        <w:t>.</w:t>
      </w:r>
      <w:r>
        <w:rPr>
          <w:snapToGrid w:val="0"/>
        </w:rPr>
        <w:tab/>
        <w:t>Detention offences</w:t>
      </w:r>
      <w:bookmarkEnd w:id="673"/>
      <w:bookmarkEnd w:id="674"/>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No. 58 of 2004 s. 38.]</w:t>
      </w:r>
    </w:p>
    <w:p>
      <w:pPr>
        <w:pStyle w:val="Heading5"/>
        <w:rPr>
          <w:snapToGrid w:val="0"/>
        </w:rPr>
      </w:pPr>
      <w:bookmarkStart w:id="675" w:name="_Toc200718861"/>
      <w:bookmarkStart w:id="676" w:name="_Toc138752619"/>
      <w:r>
        <w:rPr>
          <w:rStyle w:val="CharSectno"/>
        </w:rPr>
        <w:t>171</w:t>
      </w:r>
      <w:r>
        <w:rPr>
          <w:snapToGrid w:val="0"/>
        </w:rPr>
        <w:t>.</w:t>
      </w:r>
      <w:r>
        <w:rPr>
          <w:snapToGrid w:val="0"/>
        </w:rPr>
        <w:tab/>
        <w:t>Detention offence charge, procedure on</w:t>
      </w:r>
      <w:bookmarkEnd w:id="675"/>
      <w:bookmarkEnd w:id="676"/>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No. 47 of 1999 s. 44.]</w:t>
      </w:r>
    </w:p>
    <w:p>
      <w:pPr>
        <w:pStyle w:val="Heading5"/>
        <w:rPr>
          <w:snapToGrid w:val="0"/>
        </w:rPr>
      </w:pPr>
      <w:bookmarkStart w:id="677" w:name="_Toc200718862"/>
      <w:bookmarkStart w:id="678" w:name="_Toc138752620"/>
      <w:r>
        <w:rPr>
          <w:rStyle w:val="CharSectno"/>
        </w:rPr>
        <w:t>172</w:t>
      </w:r>
      <w:r>
        <w:rPr>
          <w:snapToGrid w:val="0"/>
        </w:rPr>
        <w:t>.</w:t>
      </w:r>
      <w:r>
        <w:rPr>
          <w:snapToGrid w:val="0"/>
        </w:rPr>
        <w:tab/>
        <w:t>Visiting justice may deal with referred charges</w:t>
      </w:r>
      <w:bookmarkEnd w:id="677"/>
      <w:bookmarkEnd w:id="678"/>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679" w:name="_Toc200718863"/>
      <w:bookmarkStart w:id="680" w:name="_Toc138752621"/>
      <w:r>
        <w:rPr>
          <w:rStyle w:val="CharSectno"/>
        </w:rPr>
        <w:t>173</w:t>
      </w:r>
      <w:r>
        <w:rPr>
          <w:snapToGrid w:val="0"/>
        </w:rPr>
        <w:t>.</w:t>
      </w:r>
      <w:r>
        <w:rPr>
          <w:snapToGrid w:val="0"/>
        </w:rPr>
        <w:tab/>
        <w:t>Detention offences, dealing with</w:t>
      </w:r>
      <w:bookmarkEnd w:id="679"/>
      <w:bookmarkEnd w:id="680"/>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No. 58 of 2004 s. 39.]</w:t>
      </w:r>
    </w:p>
    <w:p>
      <w:pPr>
        <w:pStyle w:val="Heading5"/>
        <w:rPr>
          <w:snapToGrid w:val="0"/>
        </w:rPr>
      </w:pPr>
      <w:bookmarkStart w:id="681" w:name="_Toc200718864"/>
      <w:bookmarkStart w:id="682" w:name="_Toc138752622"/>
      <w:r>
        <w:rPr>
          <w:rStyle w:val="CharSectno"/>
        </w:rPr>
        <w:t>174</w:t>
      </w:r>
      <w:r>
        <w:rPr>
          <w:snapToGrid w:val="0"/>
        </w:rPr>
        <w:t>.</w:t>
      </w:r>
      <w:r>
        <w:rPr>
          <w:snapToGrid w:val="0"/>
        </w:rPr>
        <w:tab/>
        <w:t>Detention offence charges, hearing of</w:t>
      </w:r>
      <w:bookmarkEnd w:id="681"/>
      <w:bookmarkEnd w:id="682"/>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683" w:name="_Toc200718865"/>
      <w:bookmarkStart w:id="684" w:name="_Toc138752623"/>
      <w:r>
        <w:rPr>
          <w:rStyle w:val="CharSectno"/>
        </w:rPr>
        <w:t>175</w:t>
      </w:r>
      <w:r>
        <w:rPr>
          <w:snapToGrid w:val="0"/>
        </w:rPr>
        <w:t>.</w:t>
      </w:r>
      <w:r>
        <w:rPr>
          <w:snapToGrid w:val="0"/>
        </w:rPr>
        <w:tab/>
        <w:t>Visiting justice may direct prosecution for detention offence</w:t>
      </w:r>
      <w:bookmarkEnd w:id="683"/>
      <w:bookmarkEnd w:id="684"/>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No. 84 of 2004 s. 80.]</w:t>
      </w:r>
    </w:p>
    <w:p>
      <w:pPr>
        <w:pStyle w:val="Heading5"/>
        <w:rPr>
          <w:snapToGrid w:val="0"/>
        </w:rPr>
      </w:pPr>
      <w:bookmarkStart w:id="685" w:name="_Toc200718866"/>
      <w:bookmarkStart w:id="686" w:name="_Toc138752624"/>
      <w:r>
        <w:rPr>
          <w:rStyle w:val="CharSectno"/>
        </w:rPr>
        <w:t>176</w:t>
      </w:r>
      <w:r>
        <w:rPr>
          <w:snapToGrid w:val="0"/>
        </w:rPr>
        <w:t>.</w:t>
      </w:r>
      <w:r>
        <w:rPr>
          <w:snapToGrid w:val="0"/>
        </w:rPr>
        <w:tab/>
        <w:t>Early discharge from detention</w:t>
      </w:r>
      <w:bookmarkEnd w:id="685"/>
      <w:bookmarkEnd w:id="686"/>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No. 78 of 1995 s. 145.] </w:t>
      </w:r>
    </w:p>
    <w:p>
      <w:pPr>
        <w:pStyle w:val="Heading5"/>
        <w:rPr>
          <w:snapToGrid w:val="0"/>
        </w:rPr>
      </w:pPr>
      <w:bookmarkStart w:id="687" w:name="_Toc200718867"/>
      <w:bookmarkStart w:id="688" w:name="_Toc138752625"/>
      <w:r>
        <w:rPr>
          <w:rStyle w:val="CharSectno"/>
        </w:rPr>
        <w:t>178</w:t>
      </w:r>
      <w:r>
        <w:rPr>
          <w:snapToGrid w:val="0"/>
        </w:rPr>
        <w:t>.</w:t>
      </w:r>
      <w:r>
        <w:rPr>
          <w:snapToGrid w:val="0"/>
        </w:rPr>
        <w:tab/>
      </w:r>
      <w:r>
        <w:t>Transfer of offender who is 16 or 17 years old from detention centre to prison</w:t>
      </w:r>
      <w:bookmarkEnd w:id="687"/>
      <w:bookmarkEnd w:id="688"/>
      <w:r>
        <w:rPr>
          <w:snapToGrid w:val="0"/>
        </w:rPr>
        <w:t xml:space="preserve"> </w:t>
      </w:r>
    </w:p>
    <w:p>
      <w:pPr>
        <w:pStyle w:val="Subsection"/>
      </w:pPr>
      <w:r>
        <w:tab/>
        <w:t>(1A)</w:t>
      </w:r>
      <w:r>
        <w:tab/>
        <w:t>This section applies to an offender who has reached the age of 16 years but is under 18 years old.</w:t>
      </w:r>
    </w:p>
    <w:p>
      <w:pPr>
        <w:pStyle w:val="Subsection"/>
        <w:rPr>
          <w:snapToGrid w:val="0"/>
        </w:rPr>
      </w:pPr>
      <w:r>
        <w:rPr>
          <w:snapToGrid w:val="0"/>
        </w:rPr>
        <w:tab/>
        <w:t>(1)</w:t>
      </w:r>
      <w:r>
        <w:rPr>
          <w:snapToGrid w:val="0"/>
        </w:rPr>
        <w:tab/>
        <w:t xml:space="preserve">If </w:t>
      </w:r>
      <w:r>
        <w:t>the offender</w:t>
      </w:r>
      <w:r>
        <w:rPr>
          <w:snapToGrid w:val="0"/>
        </w:rPr>
        <w:t xml:space="preserve"> is in a detention centre serving a sentence of detention or a sentence of imprisonment, the chief executive officer may apply to the Children’s Court, constituted so as to consist of or include a judge, for a direction under subsection (3).</w:t>
      </w:r>
    </w:p>
    <w:p>
      <w:pPr>
        <w:pStyle w:val="Ednotesubsection"/>
      </w:pPr>
      <w:r>
        <w:tab/>
        <w:t>[(2)</w:t>
      </w:r>
      <w:r>
        <w:tab/>
        <w:t>deleted]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w:t>
      </w:r>
      <w:r>
        <w:t>sentence.</w:t>
      </w:r>
    </w:p>
    <w:p>
      <w:pPr>
        <w:pStyle w:val="Subsection"/>
      </w:pPr>
      <w:r>
        <w:tab/>
        <w:t>(4)</w:t>
      </w:r>
      <w:r>
        <w:tab/>
        <w:t xml:space="preserve">A direction under subsection (3) can be made only if the Court is satisfied that the offender should be transferred to a prison because — </w:t>
      </w:r>
    </w:p>
    <w:p>
      <w:pPr>
        <w:pStyle w:val="Indenta"/>
      </w:pPr>
      <w:r>
        <w:tab/>
        <w:t>(a)</w:t>
      </w:r>
      <w:r>
        <w:tab/>
        <w:t>the offender’s behaviour in the detention centre (including when serving a previous sentence) is or has been a significant risk to the safety or welfare of other people in custody in, or of the staff of, the centre; or</w:t>
      </w:r>
    </w:p>
    <w:p>
      <w:pPr>
        <w:pStyle w:val="Indenta"/>
      </w:pPr>
      <w:r>
        <w:tab/>
        <w:t>(b)</w:t>
      </w:r>
      <w:r>
        <w:tab/>
        <w:t>of the offender’s antecedents; or</w:t>
      </w:r>
    </w:p>
    <w:p>
      <w:pPr>
        <w:pStyle w:val="Indenta"/>
      </w:pPr>
      <w:r>
        <w:tab/>
        <w:t>(c)</w:t>
      </w:r>
      <w:r>
        <w:tab/>
        <w:t>of any other reason the Court thinks is relevant.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r>
      <w:r>
        <w:t>Part 7 Division 8 and Part 8</w:t>
      </w:r>
      <w:r>
        <w:rPr>
          <w:snapToGrid w:val="0"/>
        </w:rPr>
        <w:t xml:space="preserve">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No. 78 of 1995 s. 144; amended: No. 84 of 2004 s. 76; amended: No. 15 of 2023 s. 11.] </w:t>
      </w:r>
    </w:p>
    <w:p>
      <w:pPr>
        <w:pStyle w:val="Footnotesection"/>
      </w:pPr>
      <w:r>
        <w:tab/>
        <w:t>[Section 178. Modifications to be applied in order to give effect to Cross-border Justice Act 2008: section altered 1 Dec 2009. See endnote 1M.]</w:t>
      </w:r>
    </w:p>
    <w:p>
      <w:pPr>
        <w:pStyle w:val="Heading5"/>
      </w:pPr>
      <w:bookmarkStart w:id="689" w:name="_Toc200718868"/>
      <w:bookmarkStart w:id="690" w:name="_Toc138685557"/>
      <w:bookmarkStart w:id="691" w:name="_Toc138752626"/>
      <w:r>
        <w:rPr>
          <w:rStyle w:val="CharSectno"/>
        </w:rPr>
        <w:t>178A</w:t>
      </w:r>
      <w:r>
        <w:t>.</w:t>
      </w:r>
      <w:r>
        <w:tab/>
        <w:t>Transfer of offender who has reached age of 18 years from detention centre to prison</w:t>
      </w:r>
      <w:bookmarkEnd w:id="689"/>
      <w:bookmarkEnd w:id="690"/>
      <w:bookmarkEnd w:id="691"/>
    </w:p>
    <w:p>
      <w:pPr>
        <w:pStyle w:val="Subsection"/>
        <w:rPr>
          <w:snapToGrid w:val="0"/>
        </w:rPr>
      </w:pPr>
      <w:r>
        <w:rPr>
          <w:snapToGrid w:val="0"/>
        </w:rPr>
        <w:tab/>
        <w:t>(1)</w:t>
      </w:r>
      <w:r>
        <w:rPr>
          <w:snapToGrid w:val="0"/>
        </w:rPr>
        <w:tab/>
        <w:t>This section applies to an offender who has reached the age of 18 years.</w:t>
      </w:r>
    </w:p>
    <w:p>
      <w:pPr>
        <w:pStyle w:val="Subsection"/>
        <w:rPr>
          <w:snapToGrid w:val="0"/>
        </w:rPr>
      </w:pPr>
      <w:r>
        <w:rPr>
          <w:snapToGrid w:val="0"/>
        </w:rPr>
        <w:tab/>
        <w:t>(2)</w:t>
      </w:r>
      <w:r>
        <w:rPr>
          <w:snapToGrid w:val="0"/>
        </w:rPr>
        <w:tab/>
        <w:t xml:space="preserve">If the offender is in a detention centre serving a sentence of detention or a sentence of imprisonment, the chief executive officer must transfer the offender to a prison under the </w:t>
      </w:r>
      <w:r>
        <w:rPr>
          <w:i/>
          <w:snapToGrid w:val="0"/>
        </w:rPr>
        <w:t>Prisons Act 1981</w:t>
      </w:r>
      <w:r>
        <w:rPr>
          <w:snapToGrid w:val="0"/>
        </w:rPr>
        <w:t xml:space="preserve"> to serve the unserved portion of the sentence unless a direction under section 178B(1) in respect of the offender is in force.</w:t>
      </w:r>
    </w:p>
    <w:p>
      <w:pPr>
        <w:pStyle w:val="Subsection"/>
        <w:rPr>
          <w:snapToGrid w:val="0"/>
        </w:rPr>
      </w:pPr>
      <w:r>
        <w:rPr>
          <w:snapToGrid w:val="0"/>
        </w:rPr>
        <w:tab/>
        <w:t>(3)</w:t>
      </w:r>
      <w:r>
        <w:rPr>
          <w:snapToGrid w:val="0"/>
        </w:rPr>
        <w:tab/>
        <w:t xml:space="preserve">A transfer under subsection (2) must be made within 30 days after — </w:t>
      </w:r>
    </w:p>
    <w:p>
      <w:pPr>
        <w:pStyle w:val="Indenta"/>
      </w:pPr>
      <w:r>
        <w:tab/>
        <w:t>(a)</w:t>
      </w:r>
      <w:r>
        <w:tab/>
        <w:t>the day on which the offender reaches the age of 18 years; or</w:t>
      </w:r>
    </w:p>
    <w:p>
      <w:pPr>
        <w:pStyle w:val="Indenta"/>
      </w:pPr>
      <w:r>
        <w:tab/>
        <w:t>(b)</w:t>
      </w:r>
      <w:r>
        <w:tab/>
        <w:t>if the chief executive officer revokes under section 178B(3) a direction in respect of the offender — the day on which the direction is revoked.</w:t>
      </w:r>
    </w:p>
    <w:p>
      <w:pPr>
        <w:pStyle w:val="Subsection"/>
        <w:rPr>
          <w:snapToGrid w:val="0"/>
        </w:rPr>
      </w:pPr>
      <w:r>
        <w:rPr>
          <w:snapToGrid w:val="0"/>
        </w:rPr>
        <w:tab/>
        <w:t>(4)</w:t>
      </w:r>
      <w:r>
        <w:rPr>
          <w:snapToGrid w:val="0"/>
        </w:rPr>
        <w:tab/>
        <w:t>A failure to comply with subsection (3) does not invalidate the transfer.</w:t>
      </w:r>
    </w:p>
    <w:p>
      <w:pPr>
        <w:pStyle w:val="Subsection"/>
        <w:rPr>
          <w:snapToGrid w:val="0"/>
        </w:rPr>
      </w:pPr>
      <w:r>
        <w:rPr>
          <w:snapToGrid w:val="0"/>
        </w:rPr>
        <w:tab/>
        <w:t>(5)</w:t>
      </w:r>
      <w:r>
        <w:rPr>
          <w:snapToGrid w:val="0"/>
        </w:rPr>
        <w:tab/>
        <w:t xml:space="preserve">If the chief executive officer transfers under subsection (2) an offender who is serving a sentence of detention — </w:t>
      </w:r>
    </w:p>
    <w:p>
      <w:pPr>
        <w:pStyle w:val="Indenta"/>
      </w:pPr>
      <w:r>
        <w:tab/>
        <w:t>(a)</w:t>
      </w:r>
      <w:r>
        <w:tab/>
        <w:t xml:space="preserve">the </w:t>
      </w:r>
      <w:r>
        <w:rPr>
          <w:i/>
        </w:rPr>
        <w:t>Prisons Act 1981</w:t>
      </w:r>
      <w:r>
        <w:t xml:space="preserve"> applies to and in respect of the offender while in prison; and</w:t>
      </w:r>
    </w:p>
    <w:p>
      <w:pPr>
        <w:pStyle w:val="Indenta"/>
      </w:pPr>
      <w:r>
        <w:tab/>
        <w:t>(b)</w:t>
      </w:r>
      <w:r>
        <w:tab/>
        <w:t>Part 7 Division 8 and Part 8 continue to apply to the sentence of detention.</w:t>
      </w:r>
    </w:p>
    <w:p>
      <w:pPr>
        <w:pStyle w:val="Footnotesection"/>
      </w:pPr>
      <w:bookmarkStart w:id="692" w:name="_Toc138685558"/>
      <w:r>
        <w:tab/>
        <w:t xml:space="preserve">[Section 178A inserted: No. 15 of 2023 s. 12.] </w:t>
      </w:r>
    </w:p>
    <w:p>
      <w:pPr>
        <w:pStyle w:val="Heading5"/>
      </w:pPr>
      <w:bookmarkStart w:id="693" w:name="_Toc200718869"/>
      <w:bookmarkStart w:id="694" w:name="_Toc138752627"/>
      <w:r>
        <w:rPr>
          <w:rStyle w:val="CharSectno"/>
        </w:rPr>
        <w:t>178B</w:t>
      </w:r>
      <w:r>
        <w:t>.</w:t>
      </w:r>
      <w:r>
        <w:tab/>
        <w:t>Chief executive officer may direct that mandatory transfer does not apply</w:t>
      </w:r>
      <w:bookmarkEnd w:id="693"/>
      <w:bookmarkEnd w:id="692"/>
      <w:bookmarkEnd w:id="694"/>
    </w:p>
    <w:p>
      <w:pPr>
        <w:pStyle w:val="Subsection"/>
        <w:rPr>
          <w:snapToGrid w:val="0"/>
        </w:rPr>
      </w:pPr>
      <w:r>
        <w:rPr>
          <w:snapToGrid w:val="0"/>
        </w:rPr>
        <w:tab/>
        <w:t>(1)</w:t>
      </w:r>
      <w:r>
        <w:rPr>
          <w:snapToGrid w:val="0"/>
        </w:rPr>
        <w:tab/>
        <w:t>The chief executive officer may, in writing, direct that a transfer under section 178A(2) does not apply in relation to a particular offender.</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offender;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offender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pPr>
      <w:r>
        <w:tab/>
        <w:t xml:space="preserve">[Section 178B inserted: No. 15 of 2023 s. 12.] </w:t>
      </w:r>
    </w:p>
    <w:p>
      <w:pPr>
        <w:pStyle w:val="Heading5"/>
        <w:rPr>
          <w:snapToGrid w:val="0"/>
        </w:rPr>
      </w:pPr>
      <w:bookmarkStart w:id="695" w:name="_Toc200718870"/>
      <w:bookmarkStart w:id="696" w:name="_Toc138752628"/>
      <w:r>
        <w:rPr>
          <w:rStyle w:val="CharSectno"/>
        </w:rPr>
        <w:t>179</w:t>
      </w:r>
      <w:r>
        <w:rPr>
          <w:snapToGrid w:val="0"/>
        </w:rPr>
        <w:t>.</w:t>
      </w:r>
      <w:r>
        <w:rPr>
          <w:snapToGrid w:val="0"/>
        </w:rPr>
        <w:tab/>
        <w:t>Medical treatment, removal for</w:t>
      </w:r>
      <w:bookmarkEnd w:id="695"/>
      <w:bookmarkEnd w:id="69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No. 69 of 1996 s. 94; No. 47 of 1999 s. 45; No. 22 of 2008 Sch. 3 cl. 55; No. 29 of 2008 s. 41(2); No. 35 of 2010 s. 166; No. 25 of 2014 s. 90.]</w:t>
      </w:r>
    </w:p>
    <w:p>
      <w:pPr>
        <w:pStyle w:val="Heading5"/>
        <w:rPr>
          <w:snapToGrid w:val="0"/>
        </w:rPr>
      </w:pPr>
      <w:bookmarkStart w:id="697" w:name="_Toc200718871"/>
      <w:bookmarkStart w:id="698" w:name="_Toc138752629"/>
      <w:r>
        <w:rPr>
          <w:rStyle w:val="CharSectno"/>
        </w:rPr>
        <w:t>180</w:t>
      </w:r>
      <w:r>
        <w:rPr>
          <w:snapToGrid w:val="0"/>
        </w:rPr>
        <w:t>.</w:t>
      </w:r>
      <w:r>
        <w:rPr>
          <w:snapToGrid w:val="0"/>
        </w:rPr>
        <w:tab/>
        <w:t>Death of detainee, coroner to investigate</w:t>
      </w:r>
      <w:bookmarkEnd w:id="697"/>
      <w:bookmarkEnd w:id="698"/>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No. 2 of 1996 s. 61.] </w:t>
      </w:r>
    </w:p>
    <w:p>
      <w:pPr>
        <w:pStyle w:val="Heading5"/>
        <w:rPr>
          <w:snapToGrid w:val="0"/>
        </w:rPr>
      </w:pPr>
      <w:bookmarkStart w:id="699" w:name="_Toc200718872"/>
      <w:bookmarkStart w:id="700" w:name="_Toc138752630"/>
      <w:r>
        <w:rPr>
          <w:rStyle w:val="CharSectno"/>
        </w:rPr>
        <w:t>181</w:t>
      </w:r>
      <w:r>
        <w:rPr>
          <w:snapToGrid w:val="0"/>
        </w:rPr>
        <w:t>.</w:t>
      </w:r>
      <w:r>
        <w:rPr>
          <w:snapToGrid w:val="0"/>
        </w:rPr>
        <w:tab/>
        <w:t>Rules for detention centres, CEO may make</w:t>
      </w:r>
      <w:bookmarkEnd w:id="699"/>
      <w:bookmarkEnd w:id="700"/>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No. 58 of 2004 s. 40.] </w:t>
      </w:r>
    </w:p>
    <w:p>
      <w:pPr>
        <w:pStyle w:val="Heading2"/>
      </w:pPr>
      <w:bookmarkStart w:id="701" w:name="_Toc200718873"/>
      <w:bookmarkStart w:id="702" w:name="_Toc138691226"/>
      <w:bookmarkStart w:id="703" w:name="_Toc138692723"/>
      <w:bookmarkStart w:id="704" w:name="_Toc138749997"/>
      <w:bookmarkStart w:id="705" w:name="_Toc138752631"/>
      <w:r>
        <w:rPr>
          <w:rStyle w:val="CharPartNo"/>
        </w:rPr>
        <w:t>Part 10</w:t>
      </w:r>
      <w:r>
        <w:rPr>
          <w:rStyle w:val="CharDivNo"/>
        </w:rPr>
        <w:t> </w:t>
      </w:r>
      <w:r>
        <w:t>—</w:t>
      </w:r>
      <w:r>
        <w:rPr>
          <w:rStyle w:val="CharDivText"/>
        </w:rPr>
        <w:t> </w:t>
      </w:r>
      <w:r>
        <w:rPr>
          <w:rStyle w:val="CharPartText"/>
        </w:rPr>
        <w:t>Miscellaneous</w:t>
      </w:r>
      <w:bookmarkEnd w:id="701"/>
      <w:bookmarkEnd w:id="702"/>
      <w:bookmarkEnd w:id="703"/>
      <w:bookmarkEnd w:id="704"/>
      <w:bookmarkEnd w:id="705"/>
      <w:r>
        <w:rPr>
          <w:rStyle w:val="CharPartText"/>
        </w:rPr>
        <w:t xml:space="preserve"> </w:t>
      </w:r>
    </w:p>
    <w:p>
      <w:pPr>
        <w:pStyle w:val="Heading5"/>
        <w:rPr>
          <w:snapToGrid w:val="0"/>
        </w:rPr>
      </w:pPr>
      <w:bookmarkStart w:id="706" w:name="_Toc200718874"/>
      <w:bookmarkStart w:id="707" w:name="_Toc138752632"/>
      <w:r>
        <w:rPr>
          <w:rStyle w:val="CharSectno"/>
        </w:rPr>
        <w:t>182</w:t>
      </w:r>
      <w:r>
        <w:rPr>
          <w:snapToGrid w:val="0"/>
        </w:rPr>
        <w:t>.</w:t>
      </w:r>
      <w:r>
        <w:rPr>
          <w:snapToGrid w:val="0"/>
        </w:rPr>
        <w:tab/>
        <w:t>Protection from legal liability</w:t>
      </w:r>
      <w:bookmarkEnd w:id="706"/>
      <w:bookmarkEnd w:id="707"/>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708" w:name="_Toc200718875"/>
      <w:bookmarkStart w:id="709" w:name="_Toc138752633"/>
      <w:r>
        <w:rPr>
          <w:rStyle w:val="CharSectno"/>
        </w:rPr>
        <w:t>183</w:t>
      </w:r>
      <w:r>
        <w:rPr>
          <w:snapToGrid w:val="0"/>
        </w:rPr>
        <w:t>.</w:t>
      </w:r>
      <w:r>
        <w:rPr>
          <w:snapToGrid w:val="0"/>
        </w:rPr>
        <w:tab/>
        <w:t>Order to be defence to actions</w:t>
      </w:r>
      <w:bookmarkEnd w:id="708"/>
      <w:bookmarkEnd w:id="709"/>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710" w:name="_Toc200718876"/>
      <w:bookmarkStart w:id="711" w:name="_Toc138752634"/>
      <w:r>
        <w:rPr>
          <w:rStyle w:val="CharSectno"/>
        </w:rPr>
        <w:t>184</w:t>
      </w:r>
      <w:r>
        <w:rPr>
          <w:snapToGrid w:val="0"/>
        </w:rPr>
        <w:t>.</w:t>
      </w:r>
      <w:r>
        <w:rPr>
          <w:snapToGrid w:val="0"/>
        </w:rPr>
        <w:tab/>
        <w:t>CEO may give consent in relation to detainee</w:t>
      </w:r>
      <w:bookmarkEnd w:id="710"/>
      <w:bookmarkEnd w:id="711"/>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712" w:name="_Toc200718877"/>
      <w:bookmarkStart w:id="713" w:name="_Toc138752635"/>
      <w:r>
        <w:rPr>
          <w:rStyle w:val="CharSectno"/>
        </w:rPr>
        <w:t>185</w:t>
      </w:r>
      <w:r>
        <w:rPr>
          <w:snapToGrid w:val="0"/>
        </w:rPr>
        <w:t>.</w:t>
      </w:r>
      <w:r>
        <w:rPr>
          <w:snapToGrid w:val="0"/>
        </w:rPr>
        <w:tab/>
        <w:t>Minister may make certain payments</w:t>
      </w:r>
      <w:bookmarkEnd w:id="712"/>
      <w:bookmarkEnd w:id="713"/>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714" w:name="_Toc200718878"/>
      <w:bookmarkStart w:id="715" w:name="_Toc138752636"/>
      <w:r>
        <w:rPr>
          <w:rStyle w:val="CharSectno"/>
        </w:rPr>
        <w:t>186</w:t>
      </w:r>
      <w:r>
        <w:rPr>
          <w:snapToGrid w:val="0"/>
        </w:rPr>
        <w:t>.</w:t>
      </w:r>
      <w:r>
        <w:rPr>
          <w:snapToGrid w:val="0"/>
        </w:rPr>
        <w:tab/>
        <w:t>Officer of Department may conduct cases</w:t>
      </w:r>
      <w:bookmarkEnd w:id="714"/>
      <w:bookmarkEnd w:id="715"/>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No. 84 of 2004 s. 80.]</w:t>
      </w:r>
    </w:p>
    <w:p>
      <w:pPr>
        <w:pStyle w:val="Heading5"/>
        <w:rPr>
          <w:snapToGrid w:val="0"/>
        </w:rPr>
      </w:pPr>
      <w:bookmarkStart w:id="716" w:name="_Toc200718879"/>
      <w:bookmarkStart w:id="717" w:name="_Toc138752637"/>
      <w:r>
        <w:rPr>
          <w:rStyle w:val="CharSectno"/>
        </w:rPr>
        <w:t>187</w:t>
      </w:r>
      <w:r>
        <w:rPr>
          <w:snapToGrid w:val="0"/>
        </w:rPr>
        <w:t>.</w:t>
      </w:r>
      <w:r>
        <w:rPr>
          <w:snapToGrid w:val="0"/>
        </w:rPr>
        <w:tab/>
        <w:t>Certificate of superintendent to be evidence</w:t>
      </w:r>
      <w:bookmarkEnd w:id="716"/>
      <w:bookmarkEnd w:id="717"/>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718" w:name="_Toc200718880"/>
      <w:bookmarkStart w:id="719" w:name="_Toc138752638"/>
      <w:r>
        <w:rPr>
          <w:rStyle w:val="CharSectno"/>
        </w:rPr>
        <w:t>188</w:t>
      </w:r>
      <w:r>
        <w:rPr>
          <w:snapToGrid w:val="0"/>
        </w:rPr>
        <w:t>.</w:t>
      </w:r>
      <w:r>
        <w:rPr>
          <w:snapToGrid w:val="0"/>
        </w:rPr>
        <w:tab/>
        <w:t>Person having charge of detainee has legal custody</w:t>
      </w:r>
      <w:bookmarkEnd w:id="718"/>
      <w:bookmarkEnd w:id="71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3</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No. 47 of 1999 s. 46.]</w:t>
      </w:r>
    </w:p>
    <w:p>
      <w:pPr>
        <w:pStyle w:val="Heading5"/>
        <w:rPr>
          <w:snapToGrid w:val="0"/>
        </w:rPr>
      </w:pPr>
      <w:bookmarkStart w:id="720" w:name="_Toc200718881"/>
      <w:bookmarkStart w:id="721" w:name="_Toc138752639"/>
      <w:r>
        <w:rPr>
          <w:rStyle w:val="CharSectno"/>
        </w:rPr>
        <w:t>189</w:t>
      </w:r>
      <w:r>
        <w:rPr>
          <w:snapToGrid w:val="0"/>
        </w:rPr>
        <w:t>.</w:t>
      </w:r>
      <w:r>
        <w:rPr>
          <w:snapToGrid w:val="0"/>
        </w:rPr>
        <w:tab/>
        <w:t>Certain offenders to be regarded as not convicted</w:t>
      </w:r>
      <w:bookmarkEnd w:id="720"/>
      <w:bookmarkEnd w:id="721"/>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4</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szCs w:val="24"/>
        </w:rPr>
        <w:t xml:space="preserve">High Risk Serious Offenders Act 2020 </w:t>
      </w:r>
      <w:r>
        <w:t>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No. 29 of 2008 s. 41(3); No. 8 of 2012 s. 203; No. 17 of 2016 s. 57; No. 29 of 2020 s. 121.]</w:t>
      </w:r>
    </w:p>
    <w:p>
      <w:pPr>
        <w:pStyle w:val="Heading5"/>
        <w:spacing w:before="180"/>
        <w:rPr>
          <w:snapToGrid w:val="0"/>
        </w:rPr>
      </w:pPr>
      <w:bookmarkStart w:id="722" w:name="_Toc200718882"/>
      <w:bookmarkStart w:id="723" w:name="_Toc138752640"/>
      <w:r>
        <w:rPr>
          <w:rStyle w:val="CharSectno"/>
        </w:rPr>
        <w:t>190</w:t>
      </w:r>
      <w:r>
        <w:rPr>
          <w:snapToGrid w:val="0"/>
        </w:rPr>
        <w:t>.</w:t>
      </w:r>
      <w:r>
        <w:rPr>
          <w:snapToGrid w:val="0"/>
        </w:rPr>
        <w:tab/>
        <w:t>Disclosure of certain convictions</w:t>
      </w:r>
      <w:bookmarkEnd w:id="722"/>
      <w:bookmarkEnd w:id="723"/>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szCs w:val="24"/>
        </w:rPr>
        <w:t>High Risk Serious Offenders Act 2020</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No. 17 of 2016 s. 58; No. 29 of 2020 s. 121.]</w:t>
      </w:r>
    </w:p>
    <w:p>
      <w:pPr>
        <w:pStyle w:val="Heading5"/>
        <w:spacing w:before="180"/>
        <w:rPr>
          <w:snapToGrid w:val="0"/>
        </w:rPr>
      </w:pPr>
      <w:bookmarkStart w:id="724" w:name="_Toc200718883"/>
      <w:bookmarkStart w:id="725" w:name="_Toc138752641"/>
      <w:r>
        <w:rPr>
          <w:rStyle w:val="CharSectno"/>
        </w:rPr>
        <w:t>191</w:t>
      </w:r>
      <w:r>
        <w:rPr>
          <w:snapToGrid w:val="0"/>
        </w:rPr>
        <w:t>.</w:t>
      </w:r>
      <w:r>
        <w:rPr>
          <w:snapToGrid w:val="0"/>
        </w:rPr>
        <w:tab/>
        <w:t>Unlawfully communicating with detainee</w:t>
      </w:r>
      <w:bookmarkEnd w:id="724"/>
      <w:bookmarkEnd w:id="725"/>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726" w:name="_Toc200718884"/>
      <w:bookmarkStart w:id="727" w:name="_Toc138752642"/>
      <w:r>
        <w:rPr>
          <w:rStyle w:val="CharSectno"/>
        </w:rPr>
        <w:t>192</w:t>
      </w:r>
      <w:r>
        <w:rPr>
          <w:snapToGrid w:val="0"/>
        </w:rPr>
        <w:t>.</w:t>
      </w:r>
      <w:r>
        <w:rPr>
          <w:snapToGrid w:val="0"/>
        </w:rPr>
        <w:tab/>
        <w:t>Unlawfully remaining in detention centre</w:t>
      </w:r>
      <w:bookmarkEnd w:id="726"/>
      <w:bookmarkEnd w:id="727"/>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728" w:name="_Toc200718885"/>
      <w:bookmarkStart w:id="729" w:name="_Toc138752643"/>
      <w:r>
        <w:rPr>
          <w:rStyle w:val="CharSectno"/>
        </w:rPr>
        <w:t>193</w:t>
      </w:r>
      <w:r>
        <w:rPr>
          <w:snapToGrid w:val="0"/>
        </w:rPr>
        <w:t>.</w:t>
      </w:r>
      <w:r>
        <w:rPr>
          <w:snapToGrid w:val="0"/>
        </w:rPr>
        <w:tab/>
        <w:t>Escape from custody</w:t>
      </w:r>
      <w:bookmarkEnd w:id="728"/>
      <w:bookmarkEnd w:id="729"/>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730" w:name="_Toc200718886"/>
      <w:bookmarkStart w:id="731" w:name="_Toc138752644"/>
      <w:r>
        <w:rPr>
          <w:rStyle w:val="CharSectno"/>
        </w:rPr>
        <w:t>193A</w:t>
      </w:r>
      <w:r>
        <w:t>.</w:t>
      </w:r>
      <w:r>
        <w:tab/>
        <w:t>Arrest warrant may be issued if warrant of commitment in force</w:t>
      </w:r>
      <w:bookmarkEnd w:id="730"/>
      <w:bookmarkEnd w:id="731"/>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No. 58 of 2004 s. 41.]</w:t>
      </w:r>
    </w:p>
    <w:p>
      <w:pPr>
        <w:pStyle w:val="Heading5"/>
        <w:spacing w:before="180"/>
        <w:rPr>
          <w:snapToGrid w:val="0"/>
        </w:rPr>
      </w:pPr>
      <w:bookmarkStart w:id="732" w:name="_Toc200718887"/>
      <w:bookmarkStart w:id="733" w:name="_Toc138752645"/>
      <w:r>
        <w:rPr>
          <w:rStyle w:val="CharSectno"/>
        </w:rPr>
        <w:t>194</w:t>
      </w:r>
      <w:r>
        <w:rPr>
          <w:snapToGrid w:val="0"/>
        </w:rPr>
        <w:t>.</w:t>
      </w:r>
      <w:r>
        <w:rPr>
          <w:snapToGrid w:val="0"/>
        </w:rPr>
        <w:tab/>
        <w:t>Personating an officer</w:t>
      </w:r>
      <w:bookmarkEnd w:id="732"/>
      <w:bookmarkEnd w:id="733"/>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734" w:name="_Toc200718888"/>
      <w:bookmarkStart w:id="735" w:name="_Toc138752646"/>
      <w:r>
        <w:rPr>
          <w:rStyle w:val="CharSectno"/>
        </w:rPr>
        <w:t>195</w:t>
      </w:r>
      <w:r>
        <w:rPr>
          <w:snapToGrid w:val="0"/>
        </w:rPr>
        <w:t>.</w:t>
      </w:r>
      <w:r>
        <w:rPr>
          <w:snapToGrid w:val="0"/>
        </w:rPr>
        <w:tab/>
        <w:t>General penalty</w:t>
      </w:r>
      <w:bookmarkEnd w:id="734"/>
      <w:bookmarkEnd w:id="735"/>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736" w:name="_Toc200718889"/>
      <w:bookmarkStart w:id="737" w:name="_Toc138752647"/>
      <w:r>
        <w:rPr>
          <w:rStyle w:val="CharSectno"/>
        </w:rPr>
        <w:t>196</w:t>
      </w:r>
      <w:r>
        <w:rPr>
          <w:snapToGrid w:val="0"/>
        </w:rPr>
        <w:t>.</w:t>
      </w:r>
      <w:r>
        <w:rPr>
          <w:snapToGrid w:val="0"/>
        </w:rPr>
        <w:tab/>
        <w:t>Regulations</w:t>
      </w:r>
      <w:bookmarkEnd w:id="736"/>
      <w:bookmarkEnd w:id="73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No. 58 of 2004 s. 42.]</w:t>
      </w:r>
    </w:p>
    <w:p>
      <w:pPr>
        <w:pStyle w:val="Heading5"/>
        <w:rPr>
          <w:snapToGrid w:val="0"/>
        </w:rPr>
      </w:pPr>
      <w:bookmarkStart w:id="738" w:name="_Toc200718890"/>
      <w:bookmarkStart w:id="739" w:name="_Toc138752648"/>
      <w:r>
        <w:rPr>
          <w:rStyle w:val="CharSectno"/>
        </w:rPr>
        <w:t>197</w:t>
      </w:r>
      <w:r>
        <w:t>.</w:t>
      </w:r>
      <w:r>
        <w:tab/>
      </w:r>
      <w:r>
        <w:rPr>
          <w:snapToGrid w:val="0"/>
        </w:rPr>
        <w:t>Delegation of prescribed functions</w:t>
      </w:r>
      <w:bookmarkEnd w:id="738"/>
      <w:bookmarkEnd w:id="739"/>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No. 58 of 2004 s. 43.]</w:t>
      </w:r>
    </w:p>
    <w:p>
      <w:pPr>
        <w:pStyle w:val="Heading5"/>
      </w:pPr>
      <w:bookmarkStart w:id="740" w:name="_Toc200718891"/>
      <w:bookmarkStart w:id="741" w:name="_Toc138752649"/>
      <w:r>
        <w:rPr>
          <w:rStyle w:val="CharSectno"/>
        </w:rPr>
        <w:t>197A</w:t>
      </w:r>
      <w:r>
        <w:t>.</w:t>
      </w:r>
      <w:r>
        <w:tab/>
        <w:t>Delegation by Commissioner of Police</w:t>
      </w:r>
      <w:bookmarkEnd w:id="740"/>
      <w:bookmarkEnd w:id="741"/>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197A inserted: No. 14 of 2022 s. 39.]</w:t>
      </w:r>
    </w:p>
    <w:p>
      <w:pPr>
        <w:pStyle w:val="Heading2"/>
      </w:pPr>
      <w:bookmarkStart w:id="742" w:name="_Toc200718892"/>
      <w:bookmarkStart w:id="743" w:name="_Toc138691245"/>
      <w:bookmarkStart w:id="744" w:name="_Toc138692742"/>
      <w:bookmarkStart w:id="745" w:name="_Toc138750016"/>
      <w:bookmarkStart w:id="746" w:name="_Toc138752650"/>
      <w:r>
        <w:rPr>
          <w:rStyle w:val="CharPartNo"/>
        </w:rPr>
        <w:t>Part 11</w:t>
      </w:r>
      <w:r>
        <w:t> — </w:t>
      </w:r>
      <w:r>
        <w:rPr>
          <w:rStyle w:val="CharPartText"/>
        </w:rPr>
        <w:t>Amendment of certain other Acts and transitional provisions</w:t>
      </w:r>
      <w:bookmarkEnd w:id="742"/>
      <w:bookmarkEnd w:id="743"/>
      <w:bookmarkEnd w:id="744"/>
      <w:bookmarkEnd w:id="745"/>
      <w:bookmarkEnd w:id="746"/>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pPr>
      <w:bookmarkStart w:id="747" w:name="_Toc200718893"/>
      <w:bookmarkStart w:id="748" w:name="_Toc138685309"/>
      <w:bookmarkStart w:id="749" w:name="_Toc138685344"/>
      <w:bookmarkStart w:id="750" w:name="_Toc138685560"/>
      <w:bookmarkStart w:id="751" w:name="_Toc138692743"/>
      <w:bookmarkStart w:id="752" w:name="_Toc138750017"/>
      <w:bookmarkStart w:id="753" w:name="_Toc138752651"/>
      <w:bookmarkStart w:id="754" w:name="_Toc138691246"/>
      <w:r>
        <w:rPr>
          <w:rStyle w:val="CharDivNo"/>
        </w:rPr>
        <w:t>Division 3</w:t>
      </w:r>
      <w:r>
        <w:t> — </w:t>
      </w:r>
      <w:r>
        <w:rPr>
          <w:rStyle w:val="CharDivText"/>
        </w:rPr>
        <w:t>Transitional provisions</w:t>
      </w:r>
      <w:bookmarkEnd w:id="747"/>
      <w:bookmarkEnd w:id="748"/>
      <w:bookmarkEnd w:id="749"/>
      <w:bookmarkEnd w:id="750"/>
      <w:bookmarkEnd w:id="751"/>
      <w:bookmarkEnd w:id="752"/>
      <w:bookmarkEnd w:id="753"/>
    </w:p>
    <w:p>
      <w:pPr>
        <w:pStyle w:val="Footnoteheading"/>
        <w:tabs>
          <w:tab w:val="left" w:pos="851"/>
        </w:tabs>
      </w:pPr>
      <w:bookmarkStart w:id="755" w:name="_Toc138685310"/>
      <w:bookmarkStart w:id="756" w:name="_Toc138685345"/>
      <w:bookmarkStart w:id="757" w:name="_Toc138685561"/>
      <w:r>
        <w:tab/>
        <w:t>[Heading inserted: No. 15 of 2023 s. 13.]</w:t>
      </w:r>
    </w:p>
    <w:p>
      <w:pPr>
        <w:pStyle w:val="Heading4"/>
      </w:pPr>
      <w:bookmarkStart w:id="758" w:name="_Toc200718894"/>
      <w:bookmarkStart w:id="759" w:name="_Toc138692744"/>
      <w:bookmarkStart w:id="760" w:name="_Toc138750018"/>
      <w:bookmarkStart w:id="761" w:name="_Toc138752652"/>
      <w:r>
        <w:t>Subdivision 1 — General</w:t>
      </w:r>
      <w:bookmarkEnd w:id="758"/>
      <w:bookmarkEnd w:id="755"/>
      <w:bookmarkEnd w:id="756"/>
      <w:bookmarkEnd w:id="757"/>
      <w:bookmarkEnd w:id="759"/>
      <w:bookmarkEnd w:id="760"/>
      <w:bookmarkEnd w:id="761"/>
    </w:p>
    <w:p>
      <w:pPr>
        <w:pStyle w:val="Footnoteheading"/>
        <w:tabs>
          <w:tab w:val="left" w:pos="851"/>
        </w:tabs>
      </w:pPr>
      <w:r>
        <w:tab/>
        <w:t>[Heading inserted: No. 15 of 2023 s. 13.]</w:t>
      </w:r>
    </w:p>
    <w:p>
      <w:pPr>
        <w:pStyle w:val="Heading5"/>
        <w:rPr>
          <w:snapToGrid w:val="0"/>
        </w:rPr>
      </w:pPr>
      <w:bookmarkStart w:id="762" w:name="_Toc200718895"/>
      <w:bookmarkStart w:id="763" w:name="_Toc138752653"/>
      <w:bookmarkEnd w:id="754"/>
      <w:r>
        <w:rPr>
          <w:rStyle w:val="CharSectno"/>
        </w:rPr>
        <w:t>231</w:t>
      </w:r>
      <w:r>
        <w:rPr>
          <w:snapToGrid w:val="0"/>
        </w:rPr>
        <w:t>.</w:t>
      </w:r>
      <w:r>
        <w:rPr>
          <w:snapToGrid w:val="0"/>
        </w:rPr>
        <w:tab/>
      </w:r>
      <w:r>
        <w:rPr>
          <w:i/>
          <w:snapToGrid w:val="0"/>
        </w:rPr>
        <w:t>Interpretation Act 1984</w:t>
      </w:r>
      <w:r>
        <w:rPr>
          <w:snapToGrid w:val="0"/>
        </w:rPr>
        <w:t xml:space="preserve"> applies</w:t>
      </w:r>
      <w:bookmarkEnd w:id="762"/>
      <w:bookmarkEnd w:id="763"/>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4</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764" w:name="_Toc200718896"/>
      <w:bookmarkStart w:id="765" w:name="_Toc138752654"/>
      <w:r>
        <w:rPr>
          <w:rStyle w:val="CharSectno"/>
        </w:rPr>
        <w:t>232</w:t>
      </w:r>
      <w:r>
        <w:rPr>
          <w:snapToGrid w:val="0"/>
        </w:rPr>
        <w:t>.</w:t>
      </w:r>
      <w:r>
        <w:rPr>
          <w:snapToGrid w:val="0"/>
        </w:rPr>
        <w:tab/>
        <w:t>Orders for past matters</w:t>
      </w:r>
      <w:bookmarkEnd w:id="764"/>
      <w:bookmarkEnd w:id="765"/>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766" w:name="_Toc200718897"/>
      <w:bookmarkStart w:id="767" w:name="_Toc138752655"/>
      <w:r>
        <w:rPr>
          <w:rStyle w:val="CharSectno"/>
        </w:rPr>
        <w:t>233</w:t>
      </w:r>
      <w:r>
        <w:rPr>
          <w:snapToGrid w:val="0"/>
        </w:rPr>
        <w:t>.</w:t>
      </w:r>
      <w:r>
        <w:rPr>
          <w:snapToGrid w:val="0"/>
        </w:rPr>
        <w:tab/>
        <w:t>Orders under former provisions</w:t>
      </w:r>
      <w:bookmarkEnd w:id="766"/>
      <w:bookmarkEnd w:id="767"/>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768" w:name="_Toc200718898"/>
      <w:bookmarkStart w:id="769" w:name="_Toc138752656"/>
      <w:r>
        <w:rPr>
          <w:rStyle w:val="CharSectno"/>
        </w:rPr>
        <w:t>234</w:t>
      </w:r>
      <w:r>
        <w:rPr>
          <w:snapToGrid w:val="0"/>
        </w:rPr>
        <w:t>.</w:t>
      </w:r>
      <w:r>
        <w:rPr>
          <w:snapToGrid w:val="0"/>
        </w:rPr>
        <w:tab/>
        <w:t xml:space="preserve">Detention centres under </w:t>
      </w:r>
      <w:r>
        <w:rPr>
          <w:i/>
          <w:snapToGrid w:val="0"/>
        </w:rPr>
        <w:t>Child Welfare Act 1947</w:t>
      </w:r>
      <w:bookmarkEnd w:id="768"/>
      <w:bookmarkEnd w:id="76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770" w:name="_Toc200718899"/>
      <w:bookmarkStart w:id="771" w:name="_Toc138752657"/>
      <w:r>
        <w:rPr>
          <w:rStyle w:val="CharSectno"/>
        </w:rPr>
        <w:t>235</w:t>
      </w:r>
      <w:r>
        <w:rPr>
          <w:snapToGrid w:val="0"/>
        </w:rPr>
        <w:t>.</w:t>
      </w:r>
      <w:r>
        <w:rPr>
          <w:snapToGrid w:val="0"/>
        </w:rPr>
        <w:tab/>
        <w:t>Proceedings pending before children’s panels</w:t>
      </w:r>
      <w:bookmarkEnd w:id="770"/>
      <w:bookmarkEnd w:id="77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4"/>
      </w:pPr>
      <w:bookmarkStart w:id="772" w:name="_Toc200718900"/>
      <w:bookmarkStart w:id="773" w:name="_Toc138685312"/>
      <w:bookmarkStart w:id="774" w:name="_Toc138685347"/>
      <w:bookmarkStart w:id="775" w:name="_Toc138685563"/>
      <w:bookmarkStart w:id="776" w:name="_Toc138692750"/>
      <w:bookmarkStart w:id="777" w:name="_Toc138750024"/>
      <w:bookmarkStart w:id="778" w:name="_Toc138752658"/>
      <w:bookmarkStart w:id="779" w:name="_Toc138691252"/>
      <w:r>
        <w:t xml:space="preserve">Subdivision 2 — Transitional provisions for </w:t>
      </w:r>
      <w:r>
        <w:rPr>
          <w:i/>
        </w:rPr>
        <w:t>Young Offenders Amendment Act 2023</w:t>
      </w:r>
      <w:bookmarkEnd w:id="772"/>
      <w:bookmarkEnd w:id="773"/>
      <w:bookmarkEnd w:id="774"/>
      <w:bookmarkEnd w:id="775"/>
      <w:bookmarkEnd w:id="776"/>
      <w:bookmarkEnd w:id="777"/>
      <w:bookmarkEnd w:id="778"/>
    </w:p>
    <w:p>
      <w:pPr>
        <w:pStyle w:val="Footnoteheading"/>
        <w:keepNext/>
        <w:tabs>
          <w:tab w:val="left" w:pos="851"/>
        </w:tabs>
      </w:pPr>
      <w:bookmarkStart w:id="780" w:name="_Toc138685564"/>
      <w:r>
        <w:tab/>
        <w:t>[Heading inserted: No. 15 of 2023 s. 14.]</w:t>
      </w:r>
    </w:p>
    <w:p>
      <w:pPr>
        <w:pStyle w:val="Heading5"/>
      </w:pPr>
      <w:bookmarkStart w:id="781" w:name="_Toc200718901"/>
      <w:bookmarkStart w:id="782" w:name="_Toc138752659"/>
      <w:r>
        <w:rPr>
          <w:rStyle w:val="CharSectno"/>
        </w:rPr>
        <w:t>235A</w:t>
      </w:r>
      <w:r>
        <w:t>.</w:t>
      </w:r>
      <w:r>
        <w:tab/>
        <w:t>Term used: commencement day</w:t>
      </w:r>
      <w:bookmarkEnd w:id="781"/>
      <w:bookmarkEnd w:id="780"/>
      <w:bookmarkEnd w:id="782"/>
    </w:p>
    <w:p>
      <w:pPr>
        <w:pStyle w:val="Subsection"/>
        <w:rPr>
          <w:snapToGrid w:val="0"/>
        </w:rPr>
      </w:pPr>
      <w:r>
        <w:rPr>
          <w:snapToGrid w:val="0"/>
        </w:rPr>
        <w:tab/>
      </w:r>
      <w:r>
        <w:rPr>
          <w:snapToGrid w:val="0"/>
        </w:rPr>
        <w:tab/>
        <w:t xml:space="preserve">In this Division — </w:t>
      </w:r>
    </w:p>
    <w:p>
      <w:pPr>
        <w:pStyle w:val="Defstart"/>
      </w:pPr>
      <w:r>
        <w:tab/>
      </w:r>
      <w:r>
        <w:rPr>
          <w:rStyle w:val="CharDefText"/>
        </w:rPr>
        <w:t>commencement day</w:t>
      </w:r>
      <w:r>
        <w:t xml:space="preserve"> means the day on which the </w:t>
      </w:r>
      <w:r>
        <w:rPr>
          <w:i/>
        </w:rPr>
        <w:t>Young Offenders Amendment Act 2023</w:t>
      </w:r>
      <w:r>
        <w:t xml:space="preserve"> section 4 comes into operation.</w:t>
      </w:r>
    </w:p>
    <w:p>
      <w:pPr>
        <w:pStyle w:val="Footnoteheading"/>
        <w:tabs>
          <w:tab w:val="left" w:pos="851"/>
        </w:tabs>
      </w:pPr>
      <w:bookmarkStart w:id="783" w:name="_Toc138685565"/>
      <w:r>
        <w:tab/>
        <w:t>[Section 235A inserted: No. 15 of 2023 s. 14.]</w:t>
      </w:r>
    </w:p>
    <w:p>
      <w:pPr>
        <w:pStyle w:val="Heading5"/>
      </w:pPr>
      <w:bookmarkStart w:id="784" w:name="_Toc200718902"/>
      <w:bookmarkStart w:id="785" w:name="_Toc138752660"/>
      <w:r>
        <w:rPr>
          <w:rStyle w:val="CharSectno"/>
        </w:rPr>
        <w:t>235B</w:t>
      </w:r>
      <w:r>
        <w:t>.</w:t>
      </w:r>
      <w:r>
        <w:tab/>
        <w:t>Young persons in detention on commencement day who have reached age of 18 years</w:t>
      </w:r>
      <w:bookmarkEnd w:id="784"/>
      <w:bookmarkEnd w:id="783"/>
      <w:bookmarkEnd w:id="785"/>
    </w:p>
    <w:p>
      <w:pPr>
        <w:pStyle w:val="Subsection"/>
      </w:pPr>
      <w:r>
        <w:tab/>
        <w:t>(1)</w:t>
      </w:r>
      <w:r>
        <w:tab/>
        <w:t xml:space="preserve">This section applies to a young person who — </w:t>
      </w:r>
    </w:p>
    <w:p>
      <w:pPr>
        <w:pStyle w:val="Indenta"/>
      </w:pPr>
      <w:r>
        <w:tab/>
        <w:t>(a)</w:t>
      </w:r>
      <w:r>
        <w:tab/>
        <w:t>has reached the age of 18 years before commencement day; and</w:t>
      </w:r>
    </w:p>
    <w:p>
      <w:pPr>
        <w:pStyle w:val="Indenta"/>
      </w:pPr>
      <w:r>
        <w:tab/>
        <w:t>(b)</w:t>
      </w:r>
      <w:r>
        <w:tab/>
        <w:t>is, on commencement day, detained in a detention centre under section 21(1) as in force immediately before commencement day.</w:t>
      </w:r>
    </w:p>
    <w:p>
      <w:pPr>
        <w:pStyle w:val="Subsection"/>
        <w:rPr>
          <w:snapToGrid w:val="0"/>
        </w:rPr>
      </w:pPr>
      <w:r>
        <w:tab/>
        <w:t>(2)</w:t>
      </w:r>
      <w:r>
        <w:tab/>
        <w:t xml:space="preserve">Section 21 applies to the young person </w:t>
      </w:r>
      <w:r>
        <w:rPr>
          <w:snapToGrid w:val="0"/>
        </w:rPr>
        <w:t>as if they reached the age of 18 years on commencement day.</w:t>
      </w:r>
    </w:p>
    <w:p>
      <w:pPr>
        <w:pStyle w:val="Footnoteheading"/>
        <w:tabs>
          <w:tab w:val="left" w:pos="851"/>
        </w:tabs>
      </w:pPr>
      <w:bookmarkStart w:id="786" w:name="_Toc138685566"/>
      <w:r>
        <w:tab/>
        <w:t>[Section 235B inserted: No. 15 of 2023 s. 14.]</w:t>
      </w:r>
    </w:p>
    <w:p>
      <w:pPr>
        <w:pStyle w:val="Heading5"/>
      </w:pPr>
      <w:bookmarkStart w:id="787" w:name="_Toc200718903"/>
      <w:bookmarkStart w:id="788" w:name="_Toc138752661"/>
      <w:r>
        <w:rPr>
          <w:rStyle w:val="CharSectno"/>
        </w:rPr>
        <w:t>235C</w:t>
      </w:r>
      <w:r>
        <w:t>.</w:t>
      </w:r>
      <w:r>
        <w:tab/>
        <w:t>Offenders in detention on commencement day who have reached age of 18 years</w:t>
      </w:r>
      <w:bookmarkEnd w:id="787"/>
      <w:bookmarkEnd w:id="786"/>
      <w:bookmarkEnd w:id="788"/>
    </w:p>
    <w:p>
      <w:pPr>
        <w:pStyle w:val="Subsection"/>
      </w:pPr>
      <w:r>
        <w:tab/>
        <w:t>(1)</w:t>
      </w:r>
      <w:r>
        <w:tab/>
        <w:t xml:space="preserve">This section applies to an offender who — </w:t>
      </w:r>
    </w:p>
    <w:p>
      <w:pPr>
        <w:pStyle w:val="Indenta"/>
      </w:pPr>
      <w:r>
        <w:tab/>
        <w:t>(a)</w:t>
      </w:r>
      <w:r>
        <w:tab/>
        <w:t>has reached the age of 18 years before commencement day; and</w:t>
      </w:r>
    </w:p>
    <w:p>
      <w:pPr>
        <w:pStyle w:val="Indenta"/>
      </w:pPr>
      <w:r>
        <w:tab/>
        <w:t>(b)</w:t>
      </w:r>
      <w:r>
        <w:tab/>
        <w:t>is, on commencement day, in a detention centre serving a sentence of detention or a sentence of imprisonment.</w:t>
      </w:r>
    </w:p>
    <w:p>
      <w:pPr>
        <w:pStyle w:val="Subsection"/>
        <w:rPr>
          <w:snapToGrid w:val="0"/>
        </w:rPr>
      </w:pPr>
      <w:r>
        <w:tab/>
        <w:t>(2)</w:t>
      </w:r>
      <w:r>
        <w:tab/>
        <w:t xml:space="preserve">Section 178A applies to the offender </w:t>
      </w:r>
      <w:r>
        <w:rPr>
          <w:snapToGrid w:val="0"/>
        </w:rPr>
        <w:t>as if they reached the age of 18 years on commencement day.</w:t>
      </w:r>
    </w:p>
    <w:p>
      <w:pPr>
        <w:pStyle w:val="Footnoteheading"/>
        <w:tabs>
          <w:tab w:val="left" w:pos="851"/>
        </w:tabs>
      </w:pPr>
      <w:bookmarkStart w:id="789" w:name="_Toc138685567"/>
      <w:r>
        <w:tab/>
        <w:t>[Section 235C inserted: No. 15 of 2023 s. 14.]</w:t>
      </w:r>
    </w:p>
    <w:p>
      <w:pPr>
        <w:pStyle w:val="Heading5"/>
      </w:pPr>
      <w:bookmarkStart w:id="790" w:name="_Toc200718904"/>
      <w:bookmarkStart w:id="791" w:name="_Toc138752662"/>
      <w:r>
        <w:rPr>
          <w:rStyle w:val="CharSectno"/>
        </w:rPr>
        <w:t>235D</w:t>
      </w:r>
      <w:r>
        <w:t>.</w:t>
      </w:r>
      <w:r>
        <w:tab/>
        <w:t>Applications not yet determined taken to be withdrawn</w:t>
      </w:r>
      <w:bookmarkEnd w:id="790"/>
      <w:bookmarkEnd w:id="789"/>
      <w:bookmarkEnd w:id="791"/>
    </w:p>
    <w:p>
      <w:pPr>
        <w:pStyle w:val="Subsection"/>
      </w:pPr>
      <w:r>
        <w:tab/>
        <w:t>(1)</w:t>
      </w:r>
      <w:r>
        <w:tab/>
        <w:t>An application under section 21(2) as in force immediately before commencement day that is made but not determined before commencement day is, on and from commencement day, taken to be withdrawn.</w:t>
      </w:r>
    </w:p>
    <w:p>
      <w:pPr>
        <w:pStyle w:val="Subsection"/>
      </w:pPr>
      <w:r>
        <w:tab/>
        <w:t>(2)</w:t>
      </w:r>
      <w:r>
        <w:tab/>
        <w:t>An application under section 178(1) as in force immediately before commencement day in relation to an offender who has reached the age of 18 years that is made but not determined before commencement day is, on and from commencement day, taken to be withdrawn.</w:t>
      </w:r>
    </w:p>
    <w:p>
      <w:pPr>
        <w:pStyle w:val="Footnoteheading"/>
        <w:tabs>
          <w:tab w:val="left" w:pos="851"/>
        </w:tabs>
      </w:pPr>
      <w:r>
        <w:tab/>
        <w:t>[Section 235D inserted: No. 15 of 2023 s. 14.]</w:t>
      </w:r>
    </w:p>
    <w:p>
      <w:pPr>
        <w:pStyle w:val="Heading3"/>
      </w:pPr>
      <w:bookmarkStart w:id="792" w:name="_Toc200718905"/>
      <w:bookmarkStart w:id="793" w:name="_Toc138692755"/>
      <w:bookmarkStart w:id="794" w:name="_Toc138750029"/>
      <w:bookmarkStart w:id="795" w:name="_Toc138752663"/>
      <w:r>
        <w:rPr>
          <w:rStyle w:val="CharDivNo"/>
        </w:rPr>
        <w:t>Division 4</w:t>
      </w:r>
      <w:r>
        <w:rPr>
          <w:snapToGrid w:val="0"/>
        </w:rPr>
        <w:t> — </w:t>
      </w:r>
      <w:r>
        <w:rPr>
          <w:rStyle w:val="CharDivText"/>
        </w:rPr>
        <w:t>Miscellaneous</w:t>
      </w:r>
      <w:bookmarkEnd w:id="792"/>
      <w:bookmarkEnd w:id="779"/>
      <w:bookmarkEnd w:id="793"/>
      <w:bookmarkEnd w:id="794"/>
      <w:bookmarkEnd w:id="795"/>
    </w:p>
    <w:p>
      <w:pPr>
        <w:pStyle w:val="Ednotesection"/>
      </w:pPr>
      <w:r>
        <w:t>[</w:t>
      </w:r>
      <w:r>
        <w:rPr>
          <w:b/>
        </w:rPr>
        <w:t>236.</w:t>
      </w:r>
      <w:r>
        <w:rPr>
          <w:b/>
        </w:rPr>
        <w:tab/>
      </w:r>
      <w:r>
        <w:t>Omitted under the Reprints Act 1984 s. 7(4)(e).]</w:t>
      </w:r>
    </w:p>
    <w:p>
      <w:pPr>
        <w:pStyle w:val="Heading5"/>
        <w:rPr>
          <w:snapToGrid w:val="0"/>
        </w:rPr>
      </w:pPr>
      <w:bookmarkStart w:id="796" w:name="_Toc200718906"/>
      <w:bookmarkStart w:id="797" w:name="_Toc138752664"/>
      <w:r>
        <w:rPr>
          <w:rStyle w:val="CharSectno"/>
        </w:rPr>
        <w:t>237</w:t>
      </w:r>
      <w:r>
        <w:rPr>
          <w:snapToGrid w:val="0"/>
        </w:rPr>
        <w:t>.</w:t>
      </w:r>
      <w:r>
        <w:rPr>
          <w:snapToGrid w:val="0"/>
        </w:rPr>
        <w:tab/>
        <w:t>Review of Act</w:t>
      </w:r>
      <w:bookmarkEnd w:id="796"/>
      <w:bookmarkEnd w:id="797"/>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yScheduleHeading"/>
      </w:pPr>
      <w:bookmarkStart w:id="798" w:name="_Toc200718907"/>
      <w:bookmarkStart w:id="799" w:name="_Toc138691254"/>
      <w:bookmarkStart w:id="800" w:name="_Toc138692757"/>
      <w:bookmarkStart w:id="801" w:name="_Toc138750031"/>
      <w:bookmarkStart w:id="802" w:name="_Toc138752665"/>
      <w:r>
        <w:rPr>
          <w:rStyle w:val="CharSchNo"/>
        </w:rPr>
        <w:t>Schedule 1</w:t>
      </w:r>
      <w:r>
        <w:t> — </w:t>
      </w:r>
      <w:r>
        <w:rPr>
          <w:rStyle w:val="CharSchText"/>
        </w:rPr>
        <w:t>Schedule 1 offences</w:t>
      </w:r>
      <w:bookmarkEnd w:id="798"/>
      <w:bookmarkEnd w:id="799"/>
      <w:bookmarkEnd w:id="800"/>
      <w:bookmarkEnd w:id="801"/>
      <w:bookmarkEnd w:id="802"/>
    </w:p>
    <w:p>
      <w:pPr>
        <w:pStyle w:val="yShoulderClause"/>
        <w:rPr>
          <w:snapToGrid w:val="0"/>
        </w:rPr>
      </w:pPr>
      <w:r>
        <w:rPr>
          <w:snapToGrid w:val="0"/>
        </w:rPr>
        <w:t>[s. 3, 22, 25 and 55]</w:t>
      </w:r>
    </w:p>
    <w:p>
      <w:pPr>
        <w:pStyle w:val="yFootnoteheading"/>
        <w:rPr>
          <w:b/>
          <w:snapToGrid w:val="0"/>
        </w:rPr>
      </w:pPr>
      <w:r>
        <w:tab/>
        <w:t>[Heading amended: No. 19 of 2010 s. 4.]</w:t>
      </w:r>
    </w:p>
    <w:p>
      <w:pPr>
        <w:pStyle w:val="yMiscellaneousHeading"/>
        <w:jc w:val="left"/>
        <w:rPr>
          <w:b/>
          <w:snapToGrid w:val="0"/>
        </w:rPr>
      </w:pPr>
      <w:r>
        <w:rPr>
          <w:b/>
          <w:snapToGrid w:val="0"/>
        </w:rPr>
        <w:t>Offences — </w:t>
      </w:r>
    </w:p>
    <w:p>
      <w:pPr>
        <w:pStyle w:val="yMiscellaneousHeading"/>
        <w:ind w:left="284" w:hanging="284"/>
        <w:jc w:val="left"/>
        <w:rPr>
          <w:b/>
          <w:snapToGrid w:val="0"/>
        </w:rPr>
      </w:pPr>
      <w:r>
        <w:rPr>
          <w:b/>
          <w:snapToGrid w:val="0"/>
        </w:rPr>
        <w:t>•</w:t>
      </w:r>
      <w:r>
        <w:rPr>
          <w:b/>
          <w:snapToGrid w:val="0"/>
        </w:rPr>
        <w:tab/>
        <w:t>for which a caution cannot be given, and</w:t>
      </w:r>
    </w:p>
    <w:p>
      <w:pPr>
        <w:pStyle w:val="yMiscellaneousHeading"/>
        <w:ind w:left="284" w:hanging="284"/>
        <w:jc w:val="left"/>
        <w:rPr>
          <w:b/>
          <w:snapToGrid w:val="0"/>
        </w:rPr>
      </w:pPr>
      <w:r>
        <w:rPr>
          <w:b/>
          <w:snapToGrid w:val="0"/>
        </w:rPr>
        <w:t>•</w:t>
      </w:r>
      <w:r>
        <w:rPr>
          <w:b/>
          <w:snapToGrid w:val="0"/>
        </w:rPr>
        <w:tab/>
        <w:t>which cannot be referred to a juvenile justice team, and</w:t>
      </w:r>
    </w:p>
    <w:p>
      <w:pPr>
        <w:pStyle w:val="yMiscellaneousHeading"/>
        <w:spacing w:after="160"/>
        <w:ind w:left="284" w:hanging="284"/>
        <w:jc w:val="left"/>
        <w:rPr>
          <w:b/>
          <w:snapToGrid w:val="0"/>
        </w:rPr>
      </w:pPr>
      <w:r>
        <w:rPr>
          <w:b/>
          <w:snapToGrid w:val="0"/>
        </w:rPr>
        <w:t>•</w:t>
      </w:r>
      <w:r>
        <w:rPr>
          <w:b/>
          <w:snapToGrid w:val="0"/>
        </w:rPr>
        <w:tab/>
        <w:t>for which a conviction will normally be recorded</w:t>
      </w:r>
    </w:p>
    <w:tbl>
      <w:tblPr>
        <w:tblW w:w="7088" w:type="dxa"/>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Driving in reckless manner</w:t>
            </w:r>
          </w:p>
        </w:tc>
      </w:tr>
      <w:tr>
        <w:tc>
          <w:tcPr>
            <w:tcW w:w="2552" w:type="dxa"/>
          </w:tcPr>
          <w:p>
            <w:pPr>
              <w:pStyle w:val="yTable"/>
              <w:ind w:left="142"/>
            </w:pPr>
            <w:r>
              <w:t>s. 60A</w:t>
            </w:r>
          </w:p>
        </w:tc>
        <w:tc>
          <w:tcPr>
            <w:tcW w:w="4536" w:type="dxa"/>
          </w:tcPr>
          <w:p>
            <w:pPr>
              <w:pStyle w:val="yTable"/>
              <w:ind w:right="-283" w:hanging="425"/>
            </w:pPr>
            <w:r>
              <w:t xml:space="preserve">Driving at reckless speed </w:t>
            </w:r>
          </w:p>
        </w:tc>
      </w:tr>
      <w:tr>
        <w:tc>
          <w:tcPr>
            <w:tcW w:w="2552" w:type="dxa"/>
          </w:tcPr>
          <w:p>
            <w:pPr>
              <w:pStyle w:val="yTable"/>
              <w:ind w:left="142"/>
            </w:pPr>
            <w:r>
              <w:t>s. 61</w:t>
            </w:r>
          </w:p>
        </w:tc>
        <w:tc>
          <w:tcPr>
            <w:tcW w:w="4536" w:type="dxa"/>
          </w:tcPr>
          <w:p>
            <w:pPr>
              <w:pStyle w:val="yTable"/>
              <w:ind w:right="-283" w:hanging="425"/>
            </w:pPr>
            <w:r>
              <w:t>Dangerous driving</w:t>
            </w:r>
          </w:p>
        </w:tc>
      </w:tr>
      <w:tr>
        <w:tc>
          <w:tcPr>
            <w:tcW w:w="2552" w:type="dxa"/>
          </w:tcPr>
          <w:p>
            <w:pPr>
              <w:pStyle w:val="yTable"/>
              <w:ind w:left="142"/>
            </w:pPr>
            <w:r>
              <w:t>s. 62</w:t>
            </w:r>
          </w:p>
        </w:tc>
        <w:tc>
          <w:tcPr>
            <w:tcW w:w="4536" w:type="dxa"/>
          </w:tcPr>
          <w:p>
            <w:pPr>
              <w:pStyle w:val="yTable"/>
              <w:ind w:right="-283" w:hanging="425"/>
            </w:pPr>
            <w:r>
              <w:t>Careless driving</w:t>
            </w:r>
          </w:p>
        </w:tc>
      </w:tr>
      <w:tr>
        <w:tc>
          <w:tcPr>
            <w:tcW w:w="2552" w:type="dxa"/>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64B</w:t>
            </w:r>
          </w:p>
        </w:tc>
        <w:tc>
          <w:tcPr>
            <w:tcW w:w="4536" w:type="dxa"/>
          </w:tcPr>
          <w:p>
            <w:pPr>
              <w:pStyle w:val="yTable"/>
              <w:ind w:right="-283" w:hanging="425"/>
            </w:pPr>
            <w:r>
              <w:t>Driving with blood alcohol content of or above 0.05g/100ml with prescribed illicit drug in oral fluid or blood</w:t>
            </w:r>
          </w:p>
        </w:tc>
      </w:tr>
      <w:tr>
        <w:tc>
          <w:tcPr>
            <w:tcW w:w="2552" w:type="dxa"/>
          </w:tcPr>
          <w:p>
            <w:pPr>
              <w:pStyle w:val="yTable"/>
              <w:ind w:left="142"/>
            </w:pPr>
            <w:r>
              <w:t>s. 64C</w:t>
            </w:r>
          </w:p>
        </w:tc>
        <w:tc>
          <w:tcPr>
            <w:tcW w:w="4536" w:type="dxa"/>
          </w:tcPr>
          <w:p>
            <w:pPr>
              <w:pStyle w:val="yTable"/>
              <w:ind w:right="-283" w:hanging="425"/>
            </w:pPr>
            <w:r>
              <w:t>Certain persons driving with any blood alcohol content with prescribed illicit drug in oral fluid or blood</w:t>
            </w:r>
          </w:p>
        </w:tc>
      </w:tr>
      <w:tr>
        <w:tc>
          <w:tcPr>
            <w:tcW w:w="2552" w:type="dxa"/>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tcPr>
          <w:p>
            <w:pPr>
              <w:pStyle w:val="yTable"/>
              <w:ind w:left="142"/>
            </w:pPr>
            <w:r>
              <w:t>s. 67AC</w:t>
            </w:r>
          </w:p>
        </w:tc>
        <w:tc>
          <w:tcPr>
            <w:tcW w:w="4536" w:type="dxa"/>
          </w:tcPr>
          <w:p>
            <w:pPr>
              <w:pStyle w:val="yTable"/>
              <w:ind w:right="-283" w:hanging="425"/>
              <w:rPr>
                <w:snapToGrid w:val="0"/>
              </w:rPr>
            </w:pPr>
            <w:r>
              <w:t>Failure to comply with drug test requirement for certain persons with any blood alcohol content</w:t>
            </w:r>
          </w:p>
        </w:tc>
      </w:tr>
      <w:tr>
        <w:tc>
          <w:tcPr>
            <w:tcW w:w="2552" w:type="dxa"/>
          </w:tcPr>
          <w:p>
            <w:pPr>
              <w:pStyle w:val="yTable"/>
              <w:ind w:left="142"/>
            </w:pPr>
            <w:r>
              <w:t>s. 67AD</w:t>
            </w:r>
          </w:p>
        </w:tc>
        <w:tc>
          <w:tcPr>
            <w:tcW w:w="4536" w:type="dxa"/>
          </w:tcPr>
          <w:p>
            <w:pPr>
              <w:pStyle w:val="yTable"/>
              <w:ind w:right="-283" w:hanging="425"/>
              <w:rPr>
                <w:snapToGrid w:val="0"/>
              </w:rPr>
            </w:pPr>
            <w:r>
              <w:t>Failure to comply with drug test requirement for persons with blood alcohol content of or above 0.05g/100ml</w:t>
            </w:r>
          </w:p>
        </w:tc>
      </w:tr>
      <w:tr>
        <w:tc>
          <w:tcPr>
            <w:tcW w:w="2552" w:type="dxa"/>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bl>
    <w:p>
      <w:pPr>
        <w:pStyle w:val="yFootnotesection"/>
      </w:pPr>
      <w:r>
        <w:tab/>
        <w:t xml:space="preserve">[Schedule 1 amended: No. 82 of 1994 s. 13(6); No. 4 of 2004 s. 24 and 26; No. 58 of 2004 s. 44; No. 62 of 2004 s. 9(4); No. 6 of 2007 s. 23; No. 39 of 2007 s. 42; No. 29 of 2008 s. 41(4); No. 25 of 2016 s. 21(2); No. 51 of 2016 s. 56; No. 27 of 2020 s. 52.] </w:t>
      </w:r>
    </w:p>
    <w:p>
      <w:pPr>
        <w:pStyle w:val="yScheduleHeading"/>
      </w:pPr>
      <w:bookmarkStart w:id="803" w:name="_Toc200718908"/>
      <w:bookmarkStart w:id="804" w:name="_Toc138691255"/>
      <w:bookmarkStart w:id="805" w:name="_Toc138692758"/>
      <w:bookmarkStart w:id="806" w:name="_Toc138750032"/>
      <w:bookmarkStart w:id="807" w:name="_Toc138752666"/>
      <w:r>
        <w:rPr>
          <w:rStyle w:val="CharSchNo"/>
        </w:rPr>
        <w:t>Schedule 2</w:t>
      </w:r>
      <w:r>
        <w:t> — </w:t>
      </w:r>
      <w:r>
        <w:rPr>
          <w:rStyle w:val="CharSchText"/>
        </w:rPr>
        <w:t>Schedule 2 offences</w:t>
      </w:r>
      <w:bookmarkEnd w:id="803"/>
      <w:bookmarkEnd w:id="804"/>
      <w:bookmarkEnd w:id="805"/>
      <w:bookmarkEnd w:id="806"/>
      <w:bookmarkEnd w:id="807"/>
    </w:p>
    <w:p>
      <w:pPr>
        <w:pStyle w:val="yShoulderClause"/>
        <w:rPr>
          <w:snapToGrid w:val="0"/>
        </w:rPr>
      </w:pPr>
      <w:r>
        <w:rPr>
          <w:snapToGrid w:val="0"/>
        </w:rPr>
        <w:t>[s. 3, 22, 25, 55 and 124]</w:t>
      </w:r>
    </w:p>
    <w:p>
      <w:pPr>
        <w:pStyle w:val="yFootnoteheading"/>
        <w:rPr>
          <w:b/>
          <w:snapToGrid w:val="0"/>
        </w:rPr>
      </w:pPr>
      <w:r>
        <w:tab/>
        <w:t>[Heading amended: No. 19 of 2010 s. 4.]</w:t>
      </w:r>
    </w:p>
    <w:p>
      <w:pPr>
        <w:pStyle w:val="yMiscellaneousHeading"/>
        <w:jc w:val="left"/>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rPr>
                <w:b/>
                <w:i/>
                <w:szCs w:val="22"/>
              </w:rPr>
            </w:pPr>
            <w:r>
              <w:rPr>
                <w:b/>
                <w:szCs w:val="22"/>
              </w:rPr>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t>s. 59BA(1)</w:t>
            </w:r>
          </w:p>
        </w:tc>
        <w:tc>
          <w:tcPr>
            <w:tcW w:w="4582" w:type="dxa"/>
          </w:tcPr>
          <w:p>
            <w:pPr>
              <w:pStyle w:val="yTableNAm"/>
              <w:tabs>
                <w:tab w:val="clear" w:pos="567"/>
              </w:tabs>
              <w:ind w:left="-239"/>
            </w:pPr>
            <w:r>
              <w:t>Careless driving causing death, grievous bodily harm or bodily harm</w:t>
            </w:r>
          </w:p>
        </w:tc>
      </w:tr>
    </w:tbl>
    <w:p>
      <w:pPr>
        <w:pStyle w:val="yFootnotesection"/>
      </w:pPr>
      <w:r>
        <w:tab/>
        <w:t xml:space="preserve">[Schedule 2 amended: No. 82 of 1994 s. 13(6); No. 17 of 2000 s. 64; No. 23 of 2001 s. 10(4); No. 4 of 2004 s. 24 and 26; No. 58 of 2004 s. 45; No. 29 of 2008 s. 41(5); No. 49 of 2012 s. 182; No. 25 of 2016 s. 21(3) and 29.] </w:t>
      </w:r>
    </w:p>
    <w:p>
      <w:pPr>
        <w:pStyle w:val="yScheduleHeading"/>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yScheduleHeading"/>
      </w:pPr>
      <w:bookmarkStart w:id="809" w:name="_Toc200718909"/>
      <w:bookmarkStart w:id="810" w:name="_Toc138691256"/>
      <w:bookmarkStart w:id="811" w:name="_Toc138692759"/>
      <w:bookmarkStart w:id="812" w:name="_Toc138750033"/>
      <w:bookmarkStart w:id="813" w:name="_Toc138752667"/>
      <w:r>
        <w:rPr>
          <w:rStyle w:val="CharSchNo"/>
        </w:rPr>
        <w:t>Schedule 3</w:t>
      </w:r>
      <w:r>
        <w:t> — </w:t>
      </w:r>
      <w:r>
        <w:rPr>
          <w:rStyle w:val="CharSchText"/>
        </w:rPr>
        <w:t>Adaptations for community work in default of payment</w:t>
      </w:r>
      <w:bookmarkEnd w:id="809"/>
      <w:bookmarkEnd w:id="810"/>
      <w:bookmarkEnd w:id="811"/>
      <w:bookmarkEnd w:id="812"/>
      <w:bookmarkEnd w:id="813"/>
    </w:p>
    <w:p>
      <w:pPr>
        <w:pStyle w:val="yShoulderClause"/>
        <w:rPr>
          <w:snapToGrid w:val="0"/>
        </w:rPr>
      </w:pPr>
      <w:r>
        <w:rPr>
          <w:snapToGrid w:val="0"/>
        </w:rPr>
        <w:t>[s. 61]</w:t>
      </w:r>
    </w:p>
    <w:p>
      <w:pPr>
        <w:pStyle w:val="yFootnoteheading"/>
        <w:rPr>
          <w:b/>
          <w:snapToGrid w:val="0"/>
        </w:rPr>
      </w:pPr>
      <w:r>
        <w:tab/>
        <w:t>[Heading amended: No. 19 of 2010 s. 4.]</w:t>
      </w:r>
    </w:p>
    <w:p>
      <w:pPr>
        <w:pStyle w:val="yHeading5"/>
      </w:pPr>
      <w:bookmarkStart w:id="814" w:name="_Toc200718910"/>
      <w:bookmarkStart w:id="815" w:name="_Toc138752668"/>
      <w:r>
        <w:rPr>
          <w:rStyle w:val="CharSClsNo"/>
        </w:rPr>
        <w:t>1</w:t>
      </w:r>
      <w:r>
        <w:t>.</w:t>
      </w:r>
      <w:r>
        <w:tab/>
        <w:t>References to offender</w:t>
      </w:r>
      <w:bookmarkEnd w:id="814"/>
      <w:bookmarkEnd w:id="815"/>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pPr>
      <w:bookmarkStart w:id="816" w:name="_Toc200718911"/>
      <w:bookmarkStart w:id="817" w:name="_Toc138752669"/>
      <w:r>
        <w:rPr>
          <w:rStyle w:val="CharSClsNo"/>
        </w:rPr>
        <w:t>2</w:t>
      </w:r>
      <w:r>
        <w:t>.</w:t>
      </w:r>
      <w:r>
        <w:tab/>
        <w:t>Conditions</w:t>
      </w:r>
      <w:bookmarkEnd w:id="816"/>
      <w:bookmarkEnd w:id="817"/>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pPr>
      <w:bookmarkStart w:id="818" w:name="_Toc200718912"/>
      <w:bookmarkStart w:id="819" w:name="_Toc138752670"/>
      <w:r>
        <w:rPr>
          <w:rStyle w:val="CharSClsNo"/>
        </w:rPr>
        <w:t>3</w:t>
      </w:r>
      <w:r>
        <w:t>.</w:t>
      </w:r>
      <w:r>
        <w:tab/>
        <w:t>Duration of order</w:t>
      </w:r>
      <w:bookmarkEnd w:id="818"/>
      <w:bookmarkEnd w:id="819"/>
      <w: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pPr>
      <w:bookmarkStart w:id="820" w:name="_Toc200718913"/>
      <w:bookmarkStart w:id="821" w:name="_Toc138752671"/>
      <w:r>
        <w:rPr>
          <w:rStyle w:val="CharSClsNo"/>
        </w:rPr>
        <w:t>4</w:t>
      </w:r>
      <w:r>
        <w:t>.</w:t>
      </w:r>
      <w:r>
        <w:tab/>
        <w:t>Powers of court in dealing with breach</w:t>
      </w:r>
      <w:bookmarkEnd w:id="820"/>
      <w:bookmarkEnd w:id="821"/>
      <w: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pPr>
      <w:bookmarkStart w:id="822" w:name="_Toc200718914"/>
      <w:bookmarkStart w:id="823" w:name="_Toc138752672"/>
      <w:r>
        <w:rPr>
          <w:rStyle w:val="CharSClsNo"/>
        </w:rPr>
        <w:t>5</w:t>
      </w:r>
      <w:r>
        <w:t>.</w:t>
      </w:r>
      <w:r>
        <w:tab/>
        <w:t>Effect of partially performing work ordered in default of payment</w:t>
      </w:r>
      <w:bookmarkEnd w:id="822"/>
      <w:bookmarkEnd w:id="823"/>
      <w: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No. 92 of 1994 s. 46.]</w:t>
      </w:r>
    </w:p>
    <w:p>
      <w:pPr>
        <w:pStyle w:val="yHeading5"/>
      </w:pPr>
      <w:bookmarkStart w:id="824" w:name="_Toc200718915"/>
      <w:bookmarkStart w:id="825" w:name="_Toc138752673"/>
      <w:r>
        <w:rPr>
          <w:rStyle w:val="CharSClsNo"/>
        </w:rPr>
        <w:t>6</w:t>
      </w:r>
      <w:r>
        <w:t>.</w:t>
      </w:r>
      <w:r>
        <w:tab/>
        <w:t>Proof of identity</w:t>
      </w:r>
      <w:bookmarkEnd w:id="824"/>
      <w:bookmarkEnd w:id="825"/>
      <w: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pPr>
      <w:r>
        <w:t>[Schedule 4 omitted under the Reprints Act 1984 s. 7(4)(e).]</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pPr>
      <w:bookmarkStart w:id="826" w:name="_Toc200718916"/>
      <w:bookmarkStart w:id="827" w:name="_Toc138691263"/>
      <w:bookmarkStart w:id="828" w:name="_Toc138692766"/>
      <w:bookmarkStart w:id="829" w:name="_Toc138750040"/>
      <w:bookmarkStart w:id="830" w:name="_Toc138752674"/>
      <w:r>
        <w:t>Notes</w:t>
      </w:r>
      <w:bookmarkEnd w:id="826"/>
      <w:bookmarkEnd w:id="827"/>
      <w:bookmarkEnd w:id="828"/>
      <w:bookmarkEnd w:id="829"/>
      <w:bookmarkEnd w:id="830"/>
    </w:p>
    <w:p>
      <w:pPr>
        <w:pStyle w:val="nStatement"/>
      </w:pPr>
      <w:r>
        <w:t xml:space="preserve">This is a compilation of the </w:t>
      </w:r>
      <w:r>
        <w:rPr>
          <w:i/>
          <w:noProof/>
        </w:rPr>
        <w:t>Young Offenders Act 1994</w:t>
      </w:r>
      <w:r>
        <w:t xml:space="preserve"> and includes amendments made by other written laws </w:t>
      </w:r>
      <w:r>
        <w:rPr>
          <w:vertAlign w:val="superscript"/>
        </w:rPr>
        <w:t>1M, 6, 7, 8</w:t>
      </w:r>
      <w:r>
        <w:t>. For provisions that have come into operation, and for information about any reprints, see the compilation table. For provisions that have not yet come into operation see the uncommenced provisions table.</w:t>
      </w:r>
    </w:p>
    <w:p>
      <w:pPr>
        <w:pStyle w:val="nHeading3"/>
      </w:pPr>
      <w:bookmarkStart w:id="831" w:name="_Toc200718917"/>
      <w:bookmarkStart w:id="832" w:name="_Toc138752675"/>
      <w:r>
        <w:t>Compilation table</w:t>
      </w:r>
      <w:bookmarkEnd w:id="831"/>
      <w:bookmarkEnd w:id="832"/>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8" w:type="dxa"/>
            <w:gridSpan w:val="4"/>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trPr>
          <w:cantSplit/>
        </w:trPr>
        <w:tc>
          <w:tcPr>
            <w:tcW w:w="2267" w:type="dxa"/>
            <w:shd w:val="clear" w:color="auto" w:fill="auto"/>
          </w:tcPr>
          <w:p>
            <w:pPr>
              <w:pStyle w:val="nTable"/>
              <w:spacing w:after="40"/>
              <w:ind w:right="113"/>
              <w:rPr>
                <w:i/>
              </w:rPr>
            </w:pPr>
            <w:r>
              <w:rPr>
                <w:i/>
              </w:rPr>
              <w:t>Industrial Relations Amendment Act 2018</w:t>
            </w:r>
            <w:r>
              <w:t xml:space="preserve"> s. 72</w:t>
            </w:r>
          </w:p>
        </w:tc>
        <w:tc>
          <w:tcPr>
            <w:tcW w:w="1134" w:type="dxa"/>
            <w:shd w:val="clear" w:color="auto" w:fill="auto"/>
          </w:tcPr>
          <w:p>
            <w:pPr>
              <w:pStyle w:val="nTable"/>
              <w:spacing w:after="40"/>
            </w:pPr>
            <w:r>
              <w:t>39 of 2018</w:t>
            </w:r>
          </w:p>
        </w:tc>
        <w:tc>
          <w:tcPr>
            <w:tcW w:w="1136" w:type="dxa"/>
            <w:shd w:val="clear" w:color="auto" w:fill="auto"/>
          </w:tcPr>
          <w:p>
            <w:pPr>
              <w:pStyle w:val="nTable"/>
              <w:spacing w:after="40"/>
            </w:pPr>
            <w:r>
              <w:t>12 Dec 2018</w:t>
            </w:r>
          </w:p>
        </w:tc>
        <w:tc>
          <w:tcPr>
            <w:tcW w:w="2551" w:type="dxa"/>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shd w:val="clear" w:color="auto" w:fill="auto"/>
          </w:tcPr>
          <w:p>
            <w:pPr>
              <w:pStyle w:val="nTable"/>
              <w:spacing w:after="40"/>
              <w:ind w:right="113"/>
              <w:rPr>
                <w:i/>
              </w:rPr>
            </w:pPr>
            <w:r>
              <w:rPr>
                <w:i/>
              </w:rPr>
              <w:t>Road Traffic Amendment (Impaired Driving and Penalties) Act 2020</w:t>
            </w:r>
            <w:r>
              <w:t xml:space="preserve"> Pt. 3 Div. 4</w:t>
            </w:r>
          </w:p>
        </w:tc>
        <w:tc>
          <w:tcPr>
            <w:tcW w:w="1134" w:type="dxa"/>
            <w:shd w:val="clear" w:color="auto" w:fill="auto"/>
          </w:tcPr>
          <w:p>
            <w:pPr>
              <w:pStyle w:val="nTable"/>
              <w:spacing w:after="40"/>
            </w:pPr>
            <w:r>
              <w:t>27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1 Jul 2021 (see s. 2(1)(b) and SL 2021/54 cl. 2(d))</w:t>
            </w:r>
          </w:p>
        </w:tc>
      </w:tr>
      <w:tr>
        <w:trPr>
          <w:cantSplit/>
        </w:trPr>
        <w:tc>
          <w:tcPr>
            <w:tcW w:w="2267" w:type="dxa"/>
            <w:shd w:val="clear" w:color="auto" w:fill="auto"/>
          </w:tcPr>
          <w:p>
            <w:pPr>
              <w:pStyle w:val="nTable"/>
              <w:spacing w:after="40"/>
              <w:ind w:right="113"/>
              <w:rPr>
                <w:i/>
              </w:rPr>
            </w:pPr>
            <w:r>
              <w:rPr>
                <w:i/>
              </w:rPr>
              <w:t>High Risk Serious Offenders Act 2020</w:t>
            </w:r>
            <w:r>
              <w:t xml:space="preserve"> s. 121</w:t>
            </w:r>
          </w:p>
        </w:tc>
        <w:tc>
          <w:tcPr>
            <w:tcW w:w="1134" w:type="dxa"/>
            <w:shd w:val="clear" w:color="auto" w:fill="auto"/>
          </w:tcPr>
          <w:p>
            <w:pPr>
              <w:pStyle w:val="nTable"/>
              <w:spacing w:after="40"/>
            </w:pPr>
            <w:r>
              <w:t>29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26 Aug 2020 (see s. 2(1)(c) and SL 2020/131 cl. 2)</w:t>
            </w:r>
          </w:p>
        </w:tc>
      </w:tr>
      <w:tr>
        <w:trPr>
          <w:cantSplit/>
        </w:trPr>
        <w:tc>
          <w:tcPr>
            <w:tcW w:w="2267" w:type="dxa"/>
            <w:shd w:val="clear" w:color="auto" w:fill="auto"/>
          </w:tcPr>
          <w:p>
            <w:pPr>
              <w:pStyle w:val="nTable"/>
              <w:spacing w:after="40"/>
              <w:ind w:right="113"/>
              <w:rPr>
                <w:i/>
              </w:rPr>
            </w:pPr>
            <w:r>
              <w:rPr>
                <w:i/>
              </w:rPr>
              <w:t>Legal Profession Uniform Law Application Act 2022</w:t>
            </w:r>
            <w:r>
              <w:t xml:space="preserve"> Pt. 17 Div. 23</w:t>
            </w:r>
          </w:p>
        </w:tc>
        <w:tc>
          <w:tcPr>
            <w:tcW w:w="1134" w:type="dxa"/>
            <w:shd w:val="clear" w:color="auto" w:fill="auto"/>
          </w:tcPr>
          <w:p>
            <w:pPr>
              <w:pStyle w:val="nTable"/>
              <w:spacing w:after="40"/>
            </w:pPr>
            <w:r>
              <w:t>9 of 2022</w:t>
            </w:r>
          </w:p>
        </w:tc>
        <w:tc>
          <w:tcPr>
            <w:tcW w:w="1136" w:type="dxa"/>
            <w:shd w:val="clear" w:color="auto" w:fill="auto"/>
          </w:tcPr>
          <w:p>
            <w:pPr>
              <w:pStyle w:val="nTable"/>
              <w:spacing w:after="40"/>
            </w:pPr>
            <w:r>
              <w:t>14 Apr 2022</w:t>
            </w:r>
          </w:p>
        </w:tc>
        <w:tc>
          <w:tcPr>
            <w:tcW w:w="2551" w:type="dxa"/>
            <w:shd w:val="clear" w:color="auto" w:fill="auto"/>
          </w:tcPr>
          <w:p>
            <w:pPr>
              <w:pStyle w:val="nTable"/>
              <w:spacing w:after="40"/>
            </w:pPr>
            <w:r>
              <w:rPr>
                <w:snapToGrid w:val="0"/>
              </w:rPr>
              <w:t>1 Jul 2022 (see s. 2(c) and SL 2022/113 cl. 2)</w:t>
            </w:r>
          </w:p>
        </w:tc>
      </w:tr>
      <w:tr>
        <w:trPr>
          <w:cantSplit/>
        </w:trPr>
        <w:tc>
          <w:tcPr>
            <w:tcW w:w="2267" w:type="dxa"/>
            <w:shd w:val="clear" w:color="auto" w:fill="auto"/>
          </w:tcPr>
          <w:p>
            <w:pPr>
              <w:pStyle w:val="nTable"/>
              <w:spacing w:after="40"/>
              <w:ind w:right="113"/>
              <w:rPr>
                <w:i/>
              </w:rPr>
            </w:pPr>
            <w:r>
              <w:rPr>
                <w:i/>
              </w:rPr>
              <w:t xml:space="preserve">Sentencing Legislation Amendment (Persons Linked to Terrorism) Act 2022 </w:t>
            </w:r>
            <w:r>
              <w:t>Pt. 3</w:t>
            </w:r>
          </w:p>
        </w:tc>
        <w:tc>
          <w:tcPr>
            <w:tcW w:w="1134" w:type="dxa"/>
            <w:shd w:val="clear" w:color="auto" w:fill="auto"/>
          </w:tcPr>
          <w:p>
            <w:pPr>
              <w:pStyle w:val="nTable"/>
              <w:spacing w:after="40"/>
            </w:pPr>
            <w:r>
              <w:t>14 of 2022</w:t>
            </w:r>
          </w:p>
        </w:tc>
        <w:tc>
          <w:tcPr>
            <w:tcW w:w="1136" w:type="dxa"/>
            <w:shd w:val="clear" w:color="auto" w:fill="auto"/>
          </w:tcPr>
          <w:p>
            <w:pPr>
              <w:pStyle w:val="nTable"/>
              <w:spacing w:after="40"/>
            </w:pPr>
            <w:r>
              <w:t>18 May 2022</w:t>
            </w:r>
          </w:p>
        </w:tc>
        <w:tc>
          <w:tcPr>
            <w:tcW w:w="2551" w:type="dxa"/>
            <w:shd w:val="clear" w:color="auto" w:fill="auto"/>
          </w:tcPr>
          <w:p>
            <w:pPr>
              <w:pStyle w:val="nTable"/>
              <w:spacing w:after="40"/>
              <w:rPr>
                <w:snapToGrid w:val="0"/>
              </w:rPr>
            </w:pPr>
            <w:r>
              <w:rPr>
                <w:snapToGrid w:val="0"/>
              </w:rPr>
              <w:t>11 Nov 2022 (see s. 2(b) and SL 2022/182 cl. 2)</w:t>
            </w:r>
          </w:p>
        </w:tc>
      </w:tr>
      <w:tr>
        <w:trPr>
          <w:cantSplit/>
        </w:trPr>
        <w:tc>
          <w:tcPr>
            <w:tcW w:w="2267" w:type="dxa"/>
            <w:tcBorders>
              <w:bottom w:val="single" w:sz="4" w:space="0" w:color="auto"/>
            </w:tcBorders>
            <w:shd w:val="clear" w:color="auto" w:fill="auto"/>
          </w:tcPr>
          <w:p>
            <w:pPr>
              <w:pStyle w:val="nTable"/>
              <w:spacing w:after="40"/>
              <w:ind w:right="113"/>
              <w:rPr>
                <w:i/>
              </w:rPr>
            </w:pPr>
            <w:r>
              <w:rPr>
                <w:i/>
              </w:rPr>
              <w:t>Young Offenders Amendment Act 2023</w:t>
            </w:r>
          </w:p>
        </w:tc>
        <w:tc>
          <w:tcPr>
            <w:tcW w:w="1134" w:type="dxa"/>
            <w:tcBorders>
              <w:bottom w:val="single" w:sz="4" w:space="0" w:color="auto"/>
            </w:tcBorders>
            <w:shd w:val="clear" w:color="auto" w:fill="auto"/>
          </w:tcPr>
          <w:p>
            <w:pPr>
              <w:pStyle w:val="nTable"/>
              <w:spacing w:after="40"/>
            </w:pPr>
            <w:r>
              <w:t>15 of 2023</w:t>
            </w:r>
          </w:p>
        </w:tc>
        <w:tc>
          <w:tcPr>
            <w:tcW w:w="1136" w:type="dxa"/>
            <w:tcBorders>
              <w:bottom w:val="single" w:sz="4" w:space="0" w:color="auto"/>
            </w:tcBorders>
            <w:shd w:val="clear" w:color="auto" w:fill="auto"/>
          </w:tcPr>
          <w:p>
            <w:pPr>
              <w:pStyle w:val="nTable"/>
              <w:spacing w:after="40"/>
            </w:pPr>
            <w:r>
              <w:t>26 Jun 2023</w:t>
            </w:r>
          </w:p>
        </w:tc>
        <w:tc>
          <w:tcPr>
            <w:tcW w:w="2551" w:type="dxa"/>
            <w:tcBorders>
              <w:bottom w:val="single" w:sz="4" w:space="0" w:color="auto"/>
            </w:tcBorders>
            <w:shd w:val="clear" w:color="auto" w:fill="auto"/>
          </w:tcPr>
          <w:p>
            <w:pPr>
              <w:pStyle w:val="nTable"/>
              <w:spacing w:after="40"/>
              <w:rPr>
                <w:snapToGrid w:val="0"/>
              </w:rPr>
            </w:pPr>
            <w:r>
              <w:t xml:space="preserve">s. 1 and 2: 26 Jun 2023 (see s. 2(a)); </w:t>
            </w:r>
            <w:r>
              <w:br/>
            </w:r>
            <w:r>
              <w:rPr>
                <w:color w:val="000000"/>
              </w:rPr>
              <w:t>Act other than s. 1 and 2: 27 Jun 2023</w:t>
            </w:r>
            <w:r>
              <w:t xml:space="preserve"> (see s. 2(b))</w:t>
            </w:r>
          </w:p>
        </w:tc>
      </w:tr>
    </w:tbl>
    <w:p>
      <w:pPr>
        <w:pStyle w:val="nHeading3"/>
      </w:pPr>
      <w:bookmarkStart w:id="833" w:name="_Toc200718918"/>
      <w:bookmarkStart w:id="834" w:name="_Toc138752676"/>
      <w:r>
        <w:t>Uncommenced provisions table</w:t>
      </w:r>
      <w:bookmarkEnd w:id="833"/>
      <w:bookmarkEnd w:id="834"/>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trPr>
          <w:tblHeader/>
        </w:trP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vertAlign w:val="superscript"/>
              </w:rPr>
            </w:pPr>
            <w:r>
              <w:rPr>
                <w:i/>
                <w:iCs/>
              </w:rPr>
              <w:t xml:space="preserve">Prostitution Amendment Act 2008 </w:t>
            </w:r>
            <w:r>
              <w:t>s. 36</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4" w:type="dxa"/>
            <w:tcBorders>
              <w:top w:val="single" w:sz="8" w:space="0" w:color="auto"/>
              <w:bottom w:val="nil"/>
            </w:tcBorders>
          </w:tcPr>
          <w:p>
            <w:pPr>
              <w:pStyle w:val="nTable"/>
              <w:spacing w:after="40"/>
              <w:rPr>
                <w:snapToGrid w:val="0"/>
              </w:rPr>
            </w:pPr>
            <w:r>
              <w:rPr>
                <w:snapToGrid w:val="0"/>
              </w:rPr>
              <w:t>To be proclaimed (see s. 2(b))</w:t>
            </w:r>
          </w:p>
        </w:tc>
      </w:tr>
      <w:tr>
        <w:tc>
          <w:tcPr>
            <w:tcW w:w="2267" w:type="dxa"/>
            <w:tcBorders>
              <w:top w:val="nil"/>
              <w:bottom w:val="nil"/>
            </w:tcBorders>
            <w:shd w:val="clear" w:color="auto" w:fill="auto"/>
          </w:tcPr>
          <w:p>
            <w:pPr>
              <w:pStyle w:val="nTable"/>
              <w:keepNext/>
              <w:keepLines/>
              <w:spacing w:after="40"/>
              <w:rPr>
                <w:i/>
                <w:iCs/>
                <w:snapToGrid w:val="0"/>
              </w:rPr>
            </w:pPr>
            <w:r>
              <w:rPr>
                <w:i/>
              </w:rPr>
              <w:t>Courts and Tribunals (Electronic Processes Facilitation) Act 2013</w:t>
            </w:r>
            <w:r>
              <w:t xml:space="preserve"> s. 138 and 139</w:t>
            </w:r>
          </w:p>
        </w:tc>
        <w:tc>
          <w:tcPr>
            <w:tcW w:w="1134" w:type="dxa"/>
            <w:tcBorders>
              <w:top w:val="nil"/>
              <w:bottom w:val="nil"/>
            </w:tcBorders>
            <w:shd w:val="clear" w:color="auto" w:fill="auto"/>
          </w:tcPr>
          <w:p>
            <w:pPr>
              <w:pStyle w:val="nTable"/>
              <w:keepNext/>
              <w:keepLines/>
              <w:spacing w:after="40"/>
              <w:rPr>
                <w:snapToGrid w:val="0"/>
              </w:rPr>
            </w:pPr>
            <w:r>
              <w:t>20 of 2013</w:t>
            </w:r>
          </w:p>
        </w:tc>
        <w:tc>
          <w:tcPr>
            <w:tcW w:w="1134" w:type="dxa"/>
            <w:tcBorders>
              <w:top w:val="nil"/>
              <w:bottom w:val="nil"/>
            </w:tcBorders>
            <w:shd w:val="clear" w:color="auto" w:fill="auto"/>
          </w:tcPr>
          <w:p>
            <w:pPr>
              <w:pStyle w:val="nTable"/>
              <w:keepNext/>
              <w:keepLines/>
              <w:spacing w:after="40"/>
            </w:pPr>
            <w:r>
              <w:t>4 Nov 2013</w:t>
            </w:r>
          </w:p>
        </w:tc>
        <w:tc>
          <w:tcPr>
            <w:tcW w:w="2554" w:type="dxa"/>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 xml:space="preserve">Liquor Legislation Amendment Act 2015 </w:t>
            </w:r>
            <w:r>
              <w:t>Pt. 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4"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pPr>
            <w:r>
              <w:rPr>
                <w:i/>
              </w:rPr>
              <w:t>Criminal Law (Mental Impairment) Act 2023</w:t>
            </w:r>
            <w:r>
              <w:t xml:space="preserve"> Pt. 15 Div. 29 and s. 409</w:t>
            </w:r>
            <w:r>
              <w:noBreakHyphen/>
              <w:t>411</w:t>
            </w:r>
          </w:p>
        </w:tc>
        <w:tc>
          <w:tcPr>
            <w:tcW w:w="1134" w:type="dxa"/>
            <w:tcBorders>
              <w:top w:val="nil"/>
              <w:bottom w:val="nil"/>
            </w:tcBorders>
          </w:tcPr>
          <w:p>
            <w:pPr>
              <w:pStyle w:val="nTable"/>
              <w:spacing w:after="40"/>
            </w:pPr>
            <w:r>
              <w:t>10 of 2023</w:t>
            </w:r>
          </w:p>
        </w:tc>
        <w:tc>
          <w:tcPr>
            <w:tcW w:w="1134" w:type="dxa"/>
            <w:tcBorders>
              <w:top w:val="nil"/>
              <w:bottom w:val="nil"/>
            </w:tcBorders>
          </w:tcPr>
          <w:p>
            <w:pPr>
              <w:pStyle w:val="nTable"/>
              <w:spacing w:after="40"/>
            </w:pPr>
            <w:r>
              <w:t>13 Apr 2023</w:t>
            </w:r>
          </w:p>
        </w:tc>
        <w:tc>
          <w:tcPr>
            <w:tcW w:w="2554" w:type="dxa"/>
            <w:tcBorders>
              <w:top w:val="nil"/>
              <w:bottom w:val="nil"/>
            </w:tcBorders>
          </w:tcPr>
          <w:p>
            <w:pPr>
              <w:pStyle w:val="nTable"/>
              <w:spacing w:after="40"/>
            </w:pPr>
            <w:r>
              <w:rPr>
                <w:snapToGrid w:val="0"/>
              </w:rPr>
              <w:t>To be proclaimed (see s. 2(b))</w:t>
            </w:r>
          </w:p>
        </w:tc>
      </w:tr>
      <w:tr>
        <w:tblPrEx>
          <w:tblBorders>
            <w:top w:val="single" w:sz="8" w:space="0" w:color="auto"/>
            <w:bottom w:val="single" w:sz="8" w:space="0" w:color="auto"/>
            <w:insideH w:val="single" w:sz="8" w:space="0" w:color="auto"/>
          </w:tblBorders>
        </w:tblPrEx>
        <w:trPr>
          <w:ins w:id="835" w:author="Master Repository Process" w:date="2025-06-13T14:52:00Z"/>
        </w:trPr>
        <w:tc>
          <w:tcPr>
            <w:tcW w:w="2267" w:type="dxa"/>
            <w:tcBorders>
              <w:top w:val="nil"/>
              <w:bottom w:val="single" w:sz="4" w:space="0" w:color="auto"/>
            </w:tcBorders>
          </w:tcPr>
          <w:p>
            <w:pPr>
              <w:pStyle w:val="nTable"/>
              <w:spacing w:after="40"/>
              <w:rPr>
                <w:ins w:id="836" w:author="Master Repository Process" w:date="2025-06-13T14:52:00Z"/>
                <w:iCs/>
              </w:rPr>
            </w:pPr>
            <w:ins w:id="837" w:author="Master Repository Process" w:date="2025-06-13T14:52:00Z">
              <w:r>
                <w:rPr>
                  <w:i/>
                </w:rPr>
                <w:t>Workers Compensation and Injury Management Act 2023</w:t>
              </w:r>
              <w:r>
                <w:rPr>
                  <w:iCs/>
                </w:rPr>
                <w:t xml:space="preserve"> s. 709</w:t>
              </w:r>
            </w:ins>
          </w:p>
        </w:tc>
        <w:tc>
          <w:tcPr>
            <w:tcW w:w="1134" w:type="dxa"/>
            <w:tcBorders>
              <w:top w:val="nil"/>
              <w:bottom w:val="single" w:sz="4" w:space="0" w:color="auto"/>
            </w:tcBorders>
          </w:tcPr>
          <w:p>
            <w:pPr>
              <w:pStyle w:val="nTable"/>
              <w:spacing w:after="40"/>
              <w:rPr>
                <w:ins w:id="838" w:author="Master Repository Process" w:date="2025-06-13T14:52:00Z"/>
              </w:rPr>
            </w:pPr>
            <w:ins w:id="839" w:author="Master Repository Process" w:date="2025-06-13T14:52:00Z">
              <w:r>
                <w:t>21 of 2023</w:t>
              </w:r>
            </w:ins>
          </w:p>
        </w:tc>
        <w:tc>
          <w:tcPr>
            <w:tcW w:w="1134" w:type="dxa"/>
            <w:tcBorders>
              <w:top w:val="nil"/>
              <w:bottom w:val="single" w:sz="4" w:space="0" w:color="auto"/>
            </w:tcBorders>
          </w:tcPr>
          <w:p>
            <w:pPr>
              <w:pStyle w:val="nTable"/>
              <w:spacing w:after="40"/>
              <w:rPr>
                <w:ins w:id="840" w:author="Master Repository Process" w:date="2025-06-13T14:52:00Z"/>
                <w:highlight w:val="yellow"/>
              </w:rPr>
            </w:pPr>
            <w:ins w:id="841" w:author="Master Repository Process" w:date="2025-06-13T14:52:00Z">
              <w:r>
                <w:t>24 Oct 2023</w:t>
              </w:r>
            </w:ins>
          </w:p>
        </w:tc>
        <w:tc>
          <w:tcPr>
            <w:tcW w:w="2554" w:type="dxa"/>
            <w:tcBorders>
              <w:top w:val="nil"/>
              <w:bottom w:val="single" w:sz="4" w:space="0" w:color="auto"/>
            </w:tcBorders>
          </w:tcPr>
          <w:p>
            <w:pPr>
              <w:pStyle w:val="nTable"/>
              <w:spacing w:after="40"/>
              <w:rPr>
                <w:ins w:id="842" w:author="Master Repository Process" w:date="2025-06-13T14:52:00Z"/>
                <w:snapToGrid w:val="0"/>
              </w:rPr>
            </w:pPr>
            <w:ins w:id="843" w:author="Master Repository Process" w:date="2025-06-13T14:52:00Z">
              <w:r>
                <w:rPr>
                  <w:snapToGrid w:val="0"/>
                </w:rPr>
                <w:t>To be proclaimed (see s. 2(d))</w:t>
              </w:r>
            </w:ins>
          </w:p>
        </w:tc>
      </w:tr>
    </w:tbl>
    <w:p>
      <w:pPr>
        <w:pStyle w:val="nHeading3"/>
      </w:pPr>
      <w:bookmarkStart w:id="844" w:name="_Toc200718919"/>
      <w:bookmarkStart w:id="845" w:name="_Toc138752677"/>
      <w:r>
        <w:t>Other notes</w:t>
      </w:r>
      <w:bookmarkEnd w:id="844"/>
      <w:bookmarkEnd w:id="845"/>
    </w:p>
    <w:p>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1</w:t>
      </w:r>
      <w:r>
        <w:tab/>
        <w:t xml:space="preserve">The provisions in this Act amending those Acts have been omitted under the </w:t>
      </w:r>
      <w:r>
        <w:rPr>
          <w:i/>
        </w:rPr>
        <w:t>Reprints Act 1984</w:t>
      </w:r>
      <w:r>
        <w:t xml:space="preserve"> s. 7(4)(e).</w:t>
      </w:r>
    </w:p>
    <w:p>
      <w:pPr>
        <w:pStyle w:val="nNote"/>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Note"/>
        <w:rPr>
          <w:spacing w:val="-2"/>
        </w:rPr>
      </w:pPr>
      <w:r>
        <w:rPr>
          <w:vertAlign w:val="superscript"/>
        </w:rPr>
        <w:t>3</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Note"/>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Note"/>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Note"/>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Note"/>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Note"/>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Note"/>
        <w:keepNext/>
        <w:keepLines/>
      </w:pPr>
      <w:r>
        <w:rPr>
          <w:vertAlign w:val="superscript"/>
        </w:rPr>
        <w:t>9</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keepNext/>
        <w:keepLines/>
      </w:pPr>
      <w:r>
        <w:tab/>
        <w:t>(1)</w:t>
      </w:r>
      <w:r>
        <w:tab/>
        <w:t>Schedule 2 has effect.</w:t>
      </w:r>
    </w:p>
    <w:p>
      <w:pPr>
        <w:pStyle w:val="BlankClose"/>
        <w:keepNext/>
        <w:rPr>
          <w:sz w:val="20"/>
          <w:szCs w:val="20"/>
        </w:rPr>
      </w:pPr>
    </w:p>
    <w:p>
      <w:pPr>
        <w:pStyle w:val="nNote"/>
        <w:keepNext/>
        <w:keepLines/>
        <w:spacing w:before="0"/>
      </w:pPr>
      <w:r>
        <w:rPr>
          <w:snapToGrid w:val="0"/>
        </w:rPr>
        <w:tab/>
        <w:t>Schedule 2 cl. 7(3) reads as follows:</w:t>
      </w:r>
    </w:p>
    <w:p>
      <w:pPr>
        <w:pStyle w:val="BlankOpen"/>
        <w:rPr>
          <w:sz w:val="20"/>
          <w:szCs w:val="20"/>
        </w:rPr>
      </w:pPr>
    </w:p>
    <w:p>
      <w:pPr>
        <w:pStyle w:val="nzHeading2"/>
        <w:keepLines/>
        <w:rPr>
          <w:rStyle w:val="CharSchNo"/>
        </w:rPr>
      </w:pPr>
      <w:r>
        <w:rPr>
          <w:rStyle w:val="CharSchNo"/>
        </w:rPr>
        <w:t>Schedule 2 — Consequential amendments to Acts and regulations</w:t>
      </w:r>
    </w:p>
    <w:p>
      <w:pPr>
        <w:pStyle w:val="yShoulderClause"/>
        <w:keepNext/>
        <w:keepLines/>
        <w:rPr>
          <w:sz w:val="20"/>
        </w:rPr>
      </w:pPr>
      <w:r>
        <w:rPr>
          <w:sz w:val="20"/>
        </w:rPr>
        <w:t>[s. 56]</w:t>
      </w:r>
    </w:p>
    <w:p>
      <w:pPr>
        <w:pStyle w:val="BlankOpen"/>
        <w:rPr>
          <w:sz w:val="20"/>
          <w:szCs w:val="20"/>
        </w:rPr>
      </w:pP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Note"/>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Note"/>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jc w:val="center"/>
      </w:pPr>
    </w:p>
    <w:p>
      <w:pPr>
        <w:sectPr>
          <w:headerReference w:type="even" r:id="rId28"/>
          <w:headerReference w:type="default" r:id="rId29"/>
          <w:pgSz w:w="11907" w:h="16840" w:code="9"/>
          <w:pgMar w:top="2376" w:right="2405" w:bottom="3542" w:left="2405" w:header="706" w:footer="3544" w:gutter="0"/>
          <w:cols w:space="720"/>
          <w:noEndnote/>
          <w:docGrid w:linePitch="326"/>
        </w:sectPr>
      </w:pPr>
    </w:p>
    <w:p>
      <w:ins w:id="847" w:author="Master Repository Process" w:date="2025-06-13T14:52: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848" w:author="Master Repository Process" w:date="2025-06-13T14:52:00Z"/>
                                  <w:sz w:val="16"/>
                                </w:rPr>
                              </w:pPr>
                              <w:ins w:id="849" w:author="Master Repository Process" w:date="2025-06-13T14:5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850" w:author="Master Repository Process" w:date="2025-06-13T14:52:00Z"/>
                                  <w:sz w:val="16"/>
                                </w:rPr>
                              </w:pPr>
                              <w:ins w:id="851" w:author="Master Repository Process" w:date="2025-06-13T14:5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52" w:author="Master Repository Process" w:date="2025-06-13T14:52:00Z"/>
                                  <w:sz w:val="16"/>
                                </w:rPr>
                              </w:pPr>
                              <w:ins w:id="853" w:author="Master Repository Process" w:date="2025-06-13T14:5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854" w:author="Master Repository Process" w:date="2025-06-13T14:52:00Z"/>
                                  <w:rFonts w:ascii="Arial" w:hAnsi="Arial" w:cs="Arial"/>
                                  <w:sz w:val="12"/>
                                </w:rPr>
                              </w:pPr>
                              <w:ins w:id="855" w:author="Master Repository Process" w:date="2025-06-13T14:5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856" w:author="Master Repository Process" w:date="2025-06-13T14:52:00Z"/>
                            <w:sz w:val="16"/>
                          </w:rPr>
                        </w:pPr>
                        <w:ins w:id="857" w:author="Master Repository Process" w:date="2025-06-13T14:5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858" w:author="Master Repository Process" w:date="2025-06-13T14:52:00Z"/>
                            <w:sz w:val="16"/>
                          </w:rPr>
                        </w:pPr>
                        <w:ins w:id="859" w:author="Master Repository Process" w:date="2025-06-13T14:5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60" w:author="Master Repository Process" w:date="2025-06-13T14:52:00Z"/>
                            <w:sz w:val="16"/>
                          </w:rPr>
                        </w:pPr>
                        <w:ins w:id="861" w:author="Master Repository Process" w:date="2025-06-13T14:5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862" w:author="Master Repository Process" w:date="2025-06-13T14:52:00Z"/>
                            <w:rFonts w:ascii="Arial" w:hAnsi="Arial" w:cs="Arial"/>
                            <w:sz w:val="12"/>
                          </w:rPr>
                        </w:pPr>
                        <w:ins w:id="863" w:author="Master Repository Process" w:date="2025-06-13T14:52:00Z">
                          <w:r>
                            <w:rPr>
                              <w:rFonts w:ascii="Arial" w:hAnsi="Arial" w:cs="Arial"/>
                              <w:sz w:val="12"/>
                            </w:rPr>
                            <w:t>By Authority: GEOFF O. LAWN, Government Printer</w:t>
                          </w:r>
                        </w:ins>
                      </w:p>
                    </w:txbxContent>
                  </v:textbox>
                  <w10:wrap anchorx="page" anchory="page"/>
                </v:shape>
              </w:pict>
            </mc:Fallback>
          </mc:AlternateContent>
        </w:r>
      </w:ins>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07-m0-01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08" w:name="Schedule"/>
    <w:bookmarkEnd w:id="80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46" w:name="Compilation"/>
    <w:bookmarkEnd w:id="84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64" w:name="Coversheet"/>
    <w:bookmarkEnd w:id="8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77880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FADB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F638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92C2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DA6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4335"/>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 w:name="WAFER_20200710090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49_GUID" w:val="b2594791-4120-4ce6-8a3a-47bef8e169da"/>
    <w:docVar w:name="WAFER_2020081211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414_GUID" w:val="8073447e-7c50-4d7e-91c7-917005f203e7"/>
    <w:docVar w:name="WAFER_20200826110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205_GUID" w:val="f8ac6663-4800-42fa-97bb-89a78eceec5d"/>
    <w:docVar w:name="WAFER_20210520092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2517_GUID" w:val="c7050d4d-43d8-4251-a8a9-78357cf46d94"/>
    <w:docVar w:name="WAFER_202106250915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45_GUID" w:val="781d2c7d-e4a2-4b89-b286-d71b7df28533"/>
    <w:docVar w:name="WAFER_20220407154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4623_GUID" w:val="1cfea661-93e4-4e5a-8759-1cb06501fd3b"/>
    <w:docVar w:name="WAFER_202205191500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50043_GUID" w:val="bc28a85a-d1cd-416c-aaa1-0c5db823a0a4"/>
    <w:docVar w:name="WAFER_20221103093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705_GUID" w:val="680cfadd-ebb6-4d9a-a2c6-3bb586493e85"/>
    <w:docVar w:name="WAFER_2023041213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51_GUID" w:val="74f67cf8-ec90-4d9f-a0b8-80ee44e51514"/>
    <w:docVar w:name="WAFER_20230626165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6165335_GUID" w:val="0d504cd8-59df-4a0c-8271-00ae784c3c98"/>
    <w:docVar w:name="WAFER_20231023103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03320_GUID" w:val="ecce25dc-0668-4f54-9550-8179061fe037"/>
    <w:docVar w:name="WAFER_20231227144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4335_GUID" w:val="6b830e3d-bba0-47df-8b08-b2ba1470e6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3BD09-8117-4261-BA4C-9CCA1439D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48693</Words>
  <Characters>228858</Characters>
  <Application>Microsoft Office Word</Application>
  <DocSecurity>0</DocSecurity>
  <Lines>6185</Lines>
  <Paragraphs>3384</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274167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07-l0-01 - 07-m0-01</dc:title>
  <dc:subject/>
  <dc:creator/>
  <cp:keywords/>
  <dc:description/>
  <cp:lastModifiedBy>Master Repository Process</cp:lastModifiedBy>
  <cp:revision>2</cp:revision>
  <cp:lastPrinted>2018-12-13T07:18:00Z</cp:lastPrinted>
  <dcterms:created xsi:type="dcterms:W3CDTF">2025-06-13T06:51:00Z</dcterms:created>
  <dcterms:modified xsi:type="dcterms:W3CDTF">2025-06-13T06:52:00Z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Official">
    <vt:lpwstr/>
  </property>
  <property fmtid="{D5CDD505-2E9C-101B-9397-08002B2CF9AE}" pid="9" name="CommencementDate">
    <vt:lpwstr>20231024</vt:lpwstr>
  </property>
  <property fmtid="{D5CDD505-2E9C-101B-9397-08002B2CF9AE}" pid="10" name="CommencementAsAt">
    <vt:filetime>2023-10-23T16:00:00Z</vt:filetime>
  </property>
  <property fmtid="{D5CDD505-2E9C-101B-9397-08002B2CF9AE}" pid="11" name="CommencementYear">
    <vt:lpwstr>2023</vt:lpwstr>
  </property>
  <property fmtid="{D5CDD505-2E9C-101B-9397-08002B2CF9AE}" pid="12" name="FromSuffix">
    <vt:lpwstr>07-l0-01</vt:lpwstr>
  </property>
  <property fmtid="{D5CDD505-2E9C-101B-9397-08002B2CF9AE}" pid="13" name="FromAsAtDate">
    <vt:lpwstr>27 Jun 2023</vt:lpwstr>
  </property>
  <property fmtid="{D5CDD505-2E9C-101B-9397-08002B2CF9AE}" pid="14" name="ToSuffix">
    <vt:lpwstr>07-m0-01</vt:lpwstr>
  </property>
  <property fmtid="{D5CDD505-2E9C-101B-9397-08002B2CF9AE}" pid="15" name="ToAsAtDate">
    <vt:lpwstr>24 Oct 2023</vt:lpwstr>
  </property>
</Properties>
</file>