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Aug 2023</w:t>
      </w:r>
      <w:r>
        <w:fldChar w:fldCharType="end"/>
      </w:r>
      <w:r>
        <w:t xml:space="preserve">, </w:t>
      </w:r>
      <w:r>
        <w:fldChar w:fldCharType="begin"/>
      </w:r>
      <w:r>
        <w:instrText xml:space="preserve"> DocProperty FromSuffix </w:instrText>
      </w:r>
      <w:r>
        <w:fldChar w:fldCharType="separate"/>
      </w:r>
      <w:r>
        <w:t>05-ak0-01</w:t>
      </w:r>
      <w:r>
        <w:fldChar w:fldCharType="end"/>
      </w:r>
      <w:r>
        <w:t>] and [</w:t>
      </w:r>
      <w:r>
        <w:fldChar w:fldCharType="begin"/>
      </w:r>
      <w:r>
        <w:instrText xml:space="preserve"> DocProperty ToAsAtDate</w:instrText>
      </w:r>
      <w:r>
        <w:fldChar w:fldCharType="separate"/>
      </w:r>
      <w:r>
        <w:t>01 Nov 2023</w:t>
      </w:r>
      <w:r>
        <w:fldChar w:fldCharType="end"/>
      </w:r>
      <w:r>
        <w:t xml:space="preserve">, </w:t>
      </w:r>
      <w:r>
        <w:fldChar w:fldCharType="begin"/>
      </w:r>
      <w:r>
        <w:instrText xml:space="preserve"> DocProperty ToSuffix</w:instrText>
      </w:r>
      <w:r>
        <w:fldChar w:fldCharType="separate"/>
      </w:r>
      <w:r>
        <w:t>05-al0-01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199323123"/>
      <w:bookmarkStart w:id="2" w:name="_Toc155173289"/>
      <w:r>
        <w:rPr>
          <w:rStyle w:val="CharPartNo"/>
        </w:rPr>
        <w:t>Part 1</w:t>
      </w:r>
      <w:r>
        <w:rPr>
          <w:rStyle w:val="CharDivNo"/>
        </w:rPr>
        <w:t> </w:t>
      </w:r>
      <w:r>
        <w:t>—</w:t>
      </w:r>
      <w:r>
        <w:rPr>
          <w:rStyle w:val="CharDivText"/>
        </w:rPr>
        <w:t> </w:t>
      </w:r>
      <w:r>
        <w:rPr>
          <w:rStyle w:val="CharPartText"/>
        </w:rPr>
        <w:t>Preliminary</w:t>
      </w:r>
      <w:bookmarkEnd w:id="1"/>
      <w:bookmarkEnd w:id="2"/>
    </w:p>
    <w:p>
      <w:pPr>
        <w:pStyle w:val="Heading5"/>
      </w:pPr>
      <w:bookmarkStart w:id="3" w:name="_Toc199323124"/>
      <w:bookmarkStart w:id="4" w:name="_Toc155173290"/>
      <w:r>
        <w:rPr>
          <w:rStyle w:val="CharSectno"/>
        </w:rPr>
        <w:t>1</w:t>
      </w:r>
      <w:r>
        <w:t>.</w:t>
      </w:r>
      <w:r>
        <w:tab/>
        <w:t>Citation</w:t>
      </w:r>
      <w:bookmarkEnd w:id="3"/>
      <w:bookmarkEnd w:id="4"/>
    </w:p>
    <w:p>
      <w:pPr>
        <w:pStyle w:val="Subsection"/>
        <w:spacing w:before="120"/>
      </w:pPr>
      <w:r>
        <w:tab/>
      </w:r>
      <w:r>
        <w:tab/>
      </w:r>
      <w:bookmarkStart w:id="5" w:name="Start_Cursor"/>
      <w:bookmarkEnd w:id="5"/>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6" w:name="_Toc199323125"/>
      <w:bookmarkStart w:id="7" w:name="_Toc155173291"/>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8" w:name="_Toc199323126"/>
      <w:bookmarkStart w:id="9" w:name="_Toc155173292"/>
      <w:r>
        <w:rPr>
          <w:rStyle w:val="CharSectno"/>
        </w:rPr>
        <w:t>3</w:t>
      </w:r>
      <w:r>
        <w:t>.</w:t>
      </w:r>
      <w:r>
        <w:tab/>
        <w:t>Terms used</w:t>
      </w:r>
      <w:bookmarkEnd w:id="8"/>
      <w:bookmarkEnd w:id="9"/>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lastRenderedPageBreak/>
        <w:tab/>
        <w:t>(b)</w:t>
      </w:r>
      <w:r>
        <w:tab/>
        <w:t>Schedule 8;</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 SL 2023/120 r. 30.]</w:t>
      </w:r>
    </w:p>
    <w:p>
      <w:pPr>
        <w:pStyle w:val="Heading2"/>
      </w:pPr>
      <w:bookmarkStart w:id="10" w:name="_Toc199323127"/>
      <w:bookmarkStart w:id="11" w:name="_Toc155173293"/>
      <w:r>
        <w:rPr>
          <w:rStyle w:val="CharPartNo"/>
        </w:rPr>
        <w:lastRenderedPageBreak/>
        <w:t>Part 2</w:t>
      </w:r>
      <w:r>
        <w:rPr>
          <w:rStyle w:val="CharDivNo"/>
        </w:rPr>
        <w:t> </w:t>
      </w:r>
      <w:r>
        <w:t>—</w:t>
      </w:r>
      <w:r>
        <w:rPr>
          <w:rStyle w:val="CharDivText"/>
        </w:rPr>
        <w:t> </w:t>
      </w:r>
      <w:r>
        <w:rPr>
          <w:rStyle w:val="CharPartText"/>
        </w:rPr>
        <w:t>General</w:t>
      </w:r>
      <w:bookmarkEnd w:id="10"/>
      <w:bookmarkEnd w:id="11"/>
    </w:p>
    <w:p>
      <w:pPr>
        <w:pStyle w:val="Heading5"/>
      </w:pPr>
      <w:bookmarkStart w:id="12" w:name="_Toc199323128"/>
      <w:bookmarkStart w:id="13" w:name="_Toc155173294"/>
      <w:r>
        <w:rPr>
          <w:rStyle w:val="CharSectno"/>
        </w:rPr>
        <w:t>4</w:t>
      </w:r>
      <w:r>
        <w:t>.</w:t>
      </w:r>
      <w:r>
        <w:tab/>
        <w:t xml:space="preserve">Acts prescribed for purpose of definition of </w:t>
      </w:r>
      <w:r>
        <w:rPr>
          <w:i/>
          <w:iCs/>
        </w:rPr>
        <w:t>vocational regulatory body</w:t>
      </w:r>
      <w:bookmarkEnd w:id="12"/>
      <w:bookmarkEnd w:id="13"/>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4" w:name="_Toc199323129"/>
      <w:bookmarkStart w:id="15" w:name="_Toc155173295"/>
      <w:r>
        <w:rPr>
          <w:rStyle w:val="CharSectno"/>
        </w:rPr>
        <w:t>5</w:t>
      </w:r>
      <w:r>
        <w:t>.</w:t>
      </w:r>
      <w:r>
        <w:tab/>
        <w:t>Register of proceedings</w:t>
      </w:r>
      <w:bookmarkEnd w:id="14"/>
      <w:bookmarkEnd w:id="15"/>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6" w:name="_Toc199323130"/>
      <w:bookmarkStart w:id="17" w:name="_Toc155173296"/>
      <w:r>
        <w:rPr>
          <w:rStyle w:val="CharSectno"/>
        </w:rPr>
        <w:t>6</w:t>
      </w:r>
      <w:r>
        <w:t>.</w:t>
      </w:r>
      <w:r>
        <w:tab/>
        <w:t>Prescribed places: s. 116(3)(a) of Act</w:t>
      </w:r>
      <w:bookmarkEnd w:id="16"/>
      <w:bookmarkEnd w:id="17"/>
    </w:p>
    <w:p>
      <w:pPr>
        <w:pStyle w:val="Subsection"/>
      </w:pPr>
      <w:r>
        <w:tab/>
      </w:r>
      <w:r>
        <w:tab/>
        <w:t>For the purposes of the Act section 116(3)(a), the places listed in Schedule 2 are prescribed.</w:t>
      </w:r>
    </w:p>
    <w:p>
      <w:pPr>
        <w:pStyle w:val="Heading5"/>
      </w:pPr>
      <w:bookmarkStart w:id="18" w:name="_Toc199323131"/>
      <w:bookmarkStart w:id="19" w:name="_Toc155173297"/>
      <w:r>
        <w:rPr>
          <w:rStyle w:val="CharSectno"/>
        </w:rPr>
        <w:t>7</w:t>
      </w:r>
      <w:r>
        <w:t>.</w:t>
      </w:r>
      <w:r>
        <w:tab/>
        <w:t>Class prescribed: s. 117(5)(a) of Act</w:t>
      </w:r>
      <w:bookmarkEnd w:id="18"/>
      <w:bookmarkEnd w:id="19"/>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20" w:name="_Toc199323132"/>
      <w:bookmarkStart w:id="21" w:name="_Toc155173298"/>
      <w:r>
        <w:rPr>
          <w:rStyle w:val="CharPartNo"/>
        </w:rPr>
        <w:t>Part 3</w:t>
      </w:r>
      <w:r>
        <w:rPr>
          <w:rStyle w:val="CharDivNo"/>
        </w:rPr>
        <w:t> </w:t>
      </w:r>
      <w:r>
        <w:t>—</w:t>
      </w:r>
      <w:r>
        <w:rPr>
          <w:rStyle w:val="CharDivText"/>
        </w:rPr>
        <w:t> </w:t>
      </w:r>
      <w:r>
        <w:rPr>
          <w:rStyle w:val="CharPartText"/>
        </w:rPr>
        <w:t>Fees</w:t>
      </w:r>
      <w:bookmarkEnd w:id="20"/>
      <w:bookmarkEnd w:id="21"/>
    </w:p>
    <w:p>
      <w:pPr>
        <w:pStyle w:val="Heading5"/>
      </w:pPr>
      <w:bookmarkStart w:id="22" w:name="_Toc199323133"/>
      <w:bookmarkStart w:id="23" w:name="_Toc155173299"/>
      <w:r>
        <w:rPr>
          <w:rStyle w:val="CharSectno"/>
        </w:rPr>
        <w:t>8</w:t>
      </w:r>
      <w:r>
        <w:t>.</w:t>
      </w:r>
      <w:r>
        <w:tab/>
        <w:t>General</w:t>
      </w:r>
      <w:bookmarkEnd w:id="22"/>
      <w:bookmarkEnd w:id="23"/>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24" w:name="_Toc199323134"/>
      <w:bookmarkStart w:id="25" w:name="_Toc155173300"/>
      <w:r>
        <w:rPr>
          <w:rStyle w:val="CharSectno"/>
        </w:rPr>
        <w:t>9A</w:t>
      </w:r>
      <w:r>
        <w:t>.</w:t>
      </w:r>
      <w:r>
        <w:tab/>
        <w:t>Who is an eligible individual or eligible entity</w:t>
      </w:r>
      <w:bookmarkEnd w:id="24"/>
      <w:bookmarkEnd w:id="25"/>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26" w:name="_Toc199323135"/>
      <w:bookmarkStart w:id="27" w:name="_Toc155173301"/>
      <w:r>
        <w:rPr>
          <w:rStyle w:val="CharSectno"/>
        </w:rPr>
        <w:t>9B</w:t>
      </w:r>
      <w:r>
        <w:t>.</w:t>
      </w:r>
      <w:r>
        <w:tab/>
        <w:t>Application to be recognised as eligible individual or eligible entity</w:t>
      </w:r>
      <w:bookmarkEnd w:id="26"/>
      <w:bookmarkEnd w:id="27"/>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28" w:name="_Toc199323136"/>
      <w:bookmarkStart w:id="29" w:name="_Toc155173302"/>
      <w:r>
        <w:rPr>
          <w:rStyle w:val="CharSectno"/>
        </w:rPr>
        <w:t>9C</w:t>
      </w:r>
      <w:r>
        <w:t>.</w:t>
      </w:r>
      <w:r>
        <w:tab/>
        <w:t>Recognition as eligible individual or eligible entity</w:t>
      </w:r>
      <w:bookmarkEnd w:id="28"/>
      <w:bookmarkEnd w:id="29"/>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30" w:name="_Toc199323137"/>
      <w:bookmarkStart w:id="31" w:name="_Toc155173303"/>
      <w:r>
        <w:rPr>
          <w:rStyle w:val="CharSectno"/>
        </w:rPr>
        <w:t>9D</w:t>
      </w:r>
      <w:r>
        <w:t>.</w:t>
      </w:r>
      <w:r>
        <w:tab/>
        <w:t>False or misleading statements</w:t>
      </w:r>
      <w:bookmarkEnd w:id="30"/>
      <w:bookmarkEnd w:id="31"/>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32" w:name="_Toc199323138"/>
      <w:bookmarkStart w:id="33" w:name="_Toc155173304"/>
      <w:r>
        <w:rPr>
          <w:rStyle w:val="CharSectno"/>
        </w:rPr>
        <w:t>9E</w:t>
      </w:r>
      <w:r>
        <w:t>.</w:t>
      </w:r>
      <w:r>
        <w:tab/>
        <w:t>Refunds</w:t>
      </w:r>
      <w:bookmarkEnd w:id="32"/>
      <w:bookmarkEnd w:id="33"/>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34" w:name="_Toc199323139"/>
      <w:bookmarkStart w:id="35" w:name="_Toc155173305"/>
      <w:r>
        <w:rPr>
          <w:rStyle w:val="CharSectno"/>
        </w:rPr>
        <w:t>9F</w:t>
      </w:r>
      <w:r>
        <w:t>.</w:t>
      </w:r>
      <w:r>
        <w:tab/>
        <w:t>Waiving fee for copy of document or transcript</w:t>
      </w:r>
      <w:bookmarkEnd w:id="34"/>
      <w:bookmarkEnd w:id="35"/>
      <w:r>
        <w:t xml:space="preserve"> </w:t>
      </w:r>
    </w:p>
    <w:p>
      <w:pPr>
        <w:pStyle w:val="Subsection"/>
        <w:keepLines/>
      </w:pPr>
      <w:r>
        <w:tab/>
      </w:r>
      <w:r>
        <w:tab/>
        <w:t>The executive officer may waive a fee referred to in Schedule 8 item 2 or 5 if the executive officer is satisfied that the waiving of the fee would assist in the efficient operation of the Tribunal.</w:t>
      </w:r>
    </w:p>
    <w:p>
      <w:pPr>
        <w:pStyle w:val="Footnotesection"/>
      </w:pPr>
      <w:r>
        <w:tab/>
        <w:t>[Regulation 9F inserted: Gazette 14 Jun 2016 p. 1941; amended: SL 2023/120 r. 31.]</w:t>
      </w:r>
    </w:p>
    <w:p>
      <w:pPr>
        <w:pStyle w:val="Heading5"/>
      </w:pPr>
      <w:bookmarkStart w:id="36" w:name="_Toc199323140"/>
      <w:bookmarkStart w:id="37" w:name="_Toc155173306"/>
      <w:r>
        <w:rPr>
          <w:rStyle w:val="CharSectno"/>
        </w:rPr>
        <w:t>9</w:t>
      </w:r>
      <w:r>
        <w:t>.</w:t>
      </w:r>
      <w:r>
        <w:tab/>
        <w:t>Fees relating to application under provision in Sch. 3, 4 or 6</w:t>
      </w:r>
      <w:bookmarkEnd w:id="36"/>
      <w:bookmarkEnd w:id="37"/>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2 186.00</w:t>
            </w:r>
          </w:p>
        </w:tc>
        <w:tc>
          <w:tcPr>
            <w:tcW w:w="1307" w:type="dxa"/>
            <w:tcBorders>
              <w:top w:val="single" w:sz="4" w:space="0" w:color="auto"/>
            </w:tcBorders>
            <w:noWrap/>
            <w:vAlign w:val="bottom"/>
          </w:tcPr>
          <w:p>
            <w:pPr>
              <w:pStyle w:val="TableNAm"/>
              <w:ind w:right="172"/>
              <w:jc w:val="right"/>
              <w:rPr>
                <w:sz w:val="22"/>
              </w:rPr>
            </w:pPr>
            <w:r>
              <w:rPr>
                <w:sz w:val="22"/>
              </w:rPr>
              <w:t>2 186.00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2 186.00</w:t>
            </w:r>
          </w:p>
        </w:tc>
        <w:tc>
          <w:tcPr>
            <w:tcW w:w="1307" w:type="dxa"/>
            <w:noWrap/>
            <w:vAlign w:val="bottom"/>
          </w:tcPr>
          <w:p>
            <w:pPr>
              <w:pStyle w:val="TableNAm"/>
              <w:ind w:right="172"/>
              <w:jc w:val="right"/>
              <w:rPr>
                <w:sz w:val="22"/>
              </w:rPr>
            </w:pPr>
            <w:r>
              <w:rPr>
                <w:sz w:val="22"/>
              </w:rPr>
              <w:t>2 186.00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vAlign w:val="bottom"/>
          </w:tcPr>
          <w:p>
            <w:pPr>
              <w:pStyle w:val="TableNAm"/>
              <w:jc w:val="center"/>
              <w:rPr>
                <w:sz w:val="22"/>
              </w:rPr>
            </w:pPr>
            <w:r>
              <w:rPr>
                <w:sz w:val="22"/>
              </w:rPr>
              <w:br/>
              <w:t>408.00 plus assessment fee of 2.50% of the costs claimed in the application</w:t>
            </w:r>
          </w:p>
        </w:tc>
        <w:tc>
          <w:tcPr>
            <w:tcW w:w="1307" w:type="dxa"/>
            <w:tcBorders>
              <w:bottom w:val="single" w:sz="4" w:space="0" w:color="auto"/>
            </w:tcBorders>
            <w:noWrap/>
            <w:vAlign w:val="bottom"/>
          </w:tcPr>
          <w:p>
            <w:pPr>
              <w:pStyle w:val="TableNAm"/>
              <w:jc w:val="center"/>
              <w:rPr>
                <w:sz w:val="22"/>
              </w:rPr>
            </w:pPr>
            <w:r>
              <w:rPr>
                <w:sz w:val="22"/>
              </w:rPr>
              <w:t>608.00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100.00</w:t>
            </w:r>
          </w:p>
        </w:tc>
      </w:tr>
    </w:tbl>
    <w:p>
      <w:pPr>
        <w:pStyle w:val="Subsection"/>
        <w:keepNext/>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798.00</w:t>
            </w:r>
          </w:p>
        </w:tc>
        <w:tc>
          <w:tcPr>
            <w:tcW w:w="1307" w:type="dxa"/>
            <w:tcBorders>
              <w:top w:val="single" w:sz="4" w:space="0" w:color="auto"/>
            </w:tcBorders>
            <w:noWrap/>
            <w:vAlign w:val="bottom"/>
          </w:tcPr>
          <w:p>
            <w:pPr>
              <w:pStyle w:val="TableNAm"/>
              <w:ind w:right="172"/>
              <w:jc w:val="right"/>
              <w:rPr>
                <w:sz w:val="22"/>
              </w:rPr>
            </w:pPr>
            <w:r>
              <w:rPr>
                <w:sz w:val="22"/>
              </w:rPr>
              <w:t>1 456.00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730.00</w:t>
            </w:r>
          </w:p>
        </w:tc>
        <w:tc>
          <w:tcPr>
            <w:tcW w:w="1307" w:type="dxa"/>
            <w:noWrap/>
            <w:vAlign w:val="bottom"/>
          </w:tcPr>
          <w:p>
            <w:pPr>
              <w:pStyle w:val="TableNAm"/>
              <w:ind w:right="172"/>
              <w:jc w:val="right"/>
              <w:rPr>
                <w:sz w:val="22"/>
              </w:rPr>
            </w:pPr>
            <w:r>
              <w:rPr>
                <w:sz w:val="22"/>
              </w:rPr>
              <w:t>945.00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288.00 plus assessment fee of 2.50% of the costs claimed in the application</w:t>
            </w:r>
          </w:p>
        </w:tc>
        <w:tc>
          <w:tcPr>
            <w:tcW w:w="1307" w:type="dxa"/>
            <w:tcBorders>
              <w:bottom w:val="single" w:sz="4" w:space="0" w:color="auto"/>
            </w:tcBorders>
            <w:noWrap/>
          </w:tcPr>
          <w:p>
            <w:pPr>
              <w:pStyle w:val="TableNAm"/>
              <w:jc w:val="center"/>
              <w:rPr>
                <w:sz w:val="22"/>
              </w:rPr>
            </w:pPr>
            <w:r>
              <w:rPr>
                <w:sz w:val="22"/>
              </w:rPr>
              <w:br/>
              <w:t>433.00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86.50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146.50</w:t>
            </w:r>
          </w:p>
        </w:tc>
        <w:tc>
          <w:tcPr>
            <w:tcW w:w="1307" w:type="dxa"/>
            <w:tcBorders>
              <w:top w:val="single" w:sz="4" w:space="0" w:color="auto"/>
            </w:tcBorders>
            <w:noWrap/>
            <w:vAlign w:val="bottom"/>
          </w:tcPr>
          <w:p>
            <w:pPr>
              <w:pStyle w:val="TableNAm"/>
              <w:ind w:right="172"/>
              <w:jc w:val="right"/>
              <w:rPr>
                <w:sz w:val="22"/>
              </w:rPr>
            </w:pPr>
            <w:r>
              <w:rPr>
                <w:sz w:val="22"/>
              </w:rPr>
              <w:t>146.50</w:t>
            </w:r>
          </w:p>
        </w:tc>
        <w:tc>
          <w:tcPr>
            <w:tcW w:w="1242" w:type="dxa"/>
            <w:tcBorders>
              <w:top w:val="single" w:sz="4" w:space="0" w:color="auto"/>
            </w:tcBorders>
            <w:noWrap/>
            <w:vAlign w:val="bottom"/>
          </w:tcPr>
          <w:p>
            <w:pPr>
              <w:pStyle w:val="TableNAm"/>
              <w:ind w:right="172"/>
              <w:jc w:val="right"/>
              <w:rPr>
                <w:sz w:val="22"/>
              </w:rPr>
            </w:pPr>
            <w:r>
              <w:rPr>
                <w:sz w:val="22"/>
              </w:rPr>
              <w:t>43.90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290.00</w:t>
            </w:r>
          </w:p>
        </w:tc>
        <w:tc>
          <w:tcPr>
            <w:tcW w:w="1307" w:type="dxa"/>
            <w:noWrap/>
            <w:vAlign w:val="bottom"/>
          </w:tcPr>
          <w:p>
            <w:pPr>
              <w:pStyle w:val="TableNAm"/>
              <w:ind w:right="172"/>
              <w:jc w:val="right"/>
              <w:rPr>
                <w:sz w:val="22"/>
              </w:rPr>
            </w:pPr>
            <w:r>
              <w:rPr>
                <w:sz w:val="22"/>
              </w:rPr>
              <w:t>290.00</w:t>
            </w:r>
          </w:p>
        </w:tc>
        <w:tc>
          <w:tcPr>
            <w:tcW w:w="1242" w:type="dxa"/>
            <w:noWrap/>
            <w:vAlign w:val="bottom"/>
          </w:tcPr>
          <w:p>
            <w:pPr>
              <w:pStyle w:val="TableNAm"/>
              <w:ind w:right="172"/>
              <w:jc w:val="right"/>
              <w:rPr>
                <w:sz w:val="22"/>
              </w:rPr>
            </w:pPr>
            <w:r>
              <w:rPr>
                <w:sz w:val="22"/>
              </w:rPr>
              <w:t>87.00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141.50 plus assessment fee of 2.50% of the costs claimed in the application</w:t>
            </w:r>
          </w:p>
        </w:tc>
        <w:tc>
          <w:tcPr>
            <w:tcW w:w="1307" w:type="dxa"/>
            <w:tcBorders>
              <w:bottom w:val="single" w:sz="4" w:space="0" w:color="auto"/>
            </w:tcBorders>
            <w:noWrap/>
          </w:tcPr>
          <w:p>
            <w:pPr>
              <w:pStyle w:val="TableNAm"/>
              <w:jc w:val="center"/>
              <w:rPr>
                <w:sz w:val="22"/>
              </w:rPr>
            </w:pPr>
            <w:r>
              <w:rPr>
                <w:sz w:val="22"/>
              </w:rPr>
              <w:br/>
              <w:t>210.00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42.40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 SL 2022/111 r. 22; SL 2023/120 r. 32.]</w:t>
      </w:r>
    </w:p>
    <w:p>
      <w:pPr>
        <w:pStyle w:val="Heading5"/>
        <w:keepLines w:val="0"/>
      </w:pPr>
      <w:bookmarkStart w:id="38" w:name="_Toc199323141"/>
      <w:bookmarkStart w:id="39" w:name="_Toc155173307"/>
      <w:r>
        <w:rPr>
          <w:rStyle w:val="CharSectno"/>
        </w:rPr>
        <w:t>10</w:t>
      </w:r>
      <w:r>
        <w:t>.</w:t>
      </w:r>
      <w:r>
        <w:tab/>
        <w:t>Fees relating to application to do with development on land</w:t>
      </w:r>
      <w:bookmarkEnd w:id="38"/>
      <w:bookmarkEnd w:id="39"/>
    </w:p>
    <w:p>
      <w:pPr>
        <w:pStyle w:val="Subsection"/>
        <w:keepNext/>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798.00</w:t>
            </w:r>
          </w:p>
        </w:tc>
        <w:tc>
          <w:tcPr>
            <w:tcW w:w="1307" w:type="dxa"/>
            <w:tcBorders>
              <w:top w:val="single" w:sz="4" w:space="0" w:color="auto"/>
            </w:tcBorders>
            <w:noWrap/>
            <w:vAlign w:val="bottom"/>
          </w:tcPr>
          <w:p>
            <w:pPr>
              <w:pStyle w:val="TableNAm"/>
              <w:ind w:right="172"/>
              <w:jc w:val="right"/>
              <w:rPr>
                <w:sz w:val="22"/>
              </w:rPr>
            </w:pPr>
            <w:r>
              <w:rPr>
                <w:sz w:val="22"/>
              </w:rPr>
              <w:t>798.00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730.00</w:t>
            </w:r>
          </w:p>
        </w:tc>
        <w:tc>
          <w:tcPr>
            <w:tcW w:w="1307" w:type="dxa"/>
            <w:noWrap/>
            <w:vAlign w:val="bottom"/>
          </w:tcPr>
          <w:p>
            <w:pPr>
              <w:pStyle w:val="TableNAm"/>
              <w:ind w:right="172"/>
              <w:jc w:val="right"/>
              <w:rPr>
                <w:sz w:val="22"/>
              </w:rPr>
            </w:pPr>
            <w:r>
              <w:rPr>
                <w:sz w:val="22"/>
              </w:rPr>
              <w:t>730.00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288.00 plus assessment fee of 2.50% of the costs claimed in the application</w:t>
            </w:r>
          </w:p>
        </w:tc>
        <w:tc>
          <w:tcPr>
            <w:tcW w:w="1307" w:type="dxa"/>
            <w:tcBorders>
              <w:bottom w:val="single" w:sz="4" w:space="0" w:color="auto"/>
            </w:tcBorders>
            <w:noWrap/>
          </w:tcPr>
          <w:p>
            <w:pPr>
              <w:pStyle w:val="TableNAm"/>
              <w:jc w:val="center"/>
              <w:rPr>
                <w:sz w:val="22"/>
              </w:rPr>
            </w:pPr>
            <w:r>
              <w:rPr>
                <w:sz w:val="22"/>
              </w:rPr>
              <w:br/>
              <w:t>288.00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86.50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896" w:type="dxa"/>
        <w:tblInd w:w="192" w:type="dxa"/>
        <w:tblLayout w:type="fixed"/>
        <w:tblCellMar>
          <w:bottom w:w="85" w:type="dxa"/>
        </w:tblCellMar>
        <w:tblLook w:val="0000" w:firstRow="0" w:lastRow="0" w:firstColumn="0" w:lastColumn="0" w:noHBand="0" w:noVBand="0"/>
      </w:tblPr>
      <w:tblGrid>
        <w:gridCol w:w="751"/>
        <w:gridCol w:w="2284"/>
        <w:gridCol w:w="1309"/>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9"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9" w:type="dxa"/>
            <w:tcBorders>
              <w:top w:val="single" w:sz="4" w:space="0" w:color="auto"/>
            </w:tcBorders>
            <w:noWrap/>
            <w:vAlign w:val="bottom"/>
          </w:tcPr>
          <w:p>
            <w:pPr>
              <w:pStyle w:val="TableNAm"/>
              <w:ind w:right="172"/>
              <w:jc w:val="right"/>
              <w:rPr>
                <w:sz w:val="22"/>
              </w:rPr>
            </w:pPr>
            <w:r>
              <w:rPr>
                <w:sz w:val="22"/>
              </w:rPr>
              <w:t>1 456.00</w:t>
            </w:r>
          </w:p>
        </w:tc>
        <w:tc>
          <w:tcPr>
            <w:tcW w:w="1276" w:type="dxa"/>
            <w:tcBorders>
              <w:top w:val="single" w:sz="4" w:space="0" w:color="auto"/>
            </w:tcBorders>
            <w:noWrap/>
            <w:vAlign w:val="bottom"/>
          </w:tcPr>
          <w:p>
            <w:pPr>
              <w:pStyle w:val="TableNAm"/>
              <w:ind w:right="172"/>
              <w:jc w:val="right"/>
              <w:rPr>
                <w:sz w:val="22"/>
              </w:rPr>
            </w:pPr>
            <w:r>
              <w:rPr>
                <w:sz w:val="22"/>
              </w:rPr>
              <w:t>1 456.00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9" w:type="dxa"/>
            <w:noWrap/>
            <w:vAlign w:val="bottom"/>
          </w:tcPr>
          <w:p>
            <w:pPr>
              <w:pStyle w:val="TableNAm"/>
              <w:ind w:right="172"/>
              <w:jc w:val="right"/>
              <w:rPr>
                <w:sz w:val="22"/>
              </w:rPr>
            </w:pPr>
            <w:r>
              <w:rPr>
                <w:sz w:val="22"/>
              </w:rPr>
              <w:t>945.00</w:t>
            </w:r>
          </w:p>
        </w:tc>
        <w:tc>
          <w:tcPr>
            <w:tcW w:w="1276" w:type="dxa"/>
            <w:noWrap/>
            <w:vAlign w:val="bottom"/>
          </w:tcPr>
          <w:p>
            <w:pPr>
              <w:pStyle w:val="TableNAm"/>
              <w:ind w:right="172"/>
              <w:jc w:val="right"/>
              <w:rPr>
                <w:sz w:val="22"/>
              </w:rPr>
            </w:pPr>
            <w:r>
              <w:rPr>
                <w:sz w:val="22"/>
              </w:rPr>
              <w:t>945.00</w:t>
            </w:r>
          </w:p>
        </w:tc>
        <w:tc>
          <w:tcPr>
            <w:tcW w:w="1276" w:type="dxa"/>
            <w:noWrap/>
            <w:vAlign w:val="bottom"/>
          </w:tcPr>
          <w:p>
            <w:pPr>
              <w:pStyle w:val="TableNAm"/>
              <w:ind w:right="172"/>
              <w:jc w:val="right"/>
              <w:rPr>
                <w:sz w:val="22"/>
              </w:rPr>
            </w:pPr>
            <w:r>
              <w:rPr>
                <w:sz w:val="22"/>
              </w:rPr>
              <w:t>100.00</w:t>
            </w:r>
          </w:p>
        </w:tc>
      </w:tr>
      <w:tr>
        <w:trPr>
          <w:cantSplit/>
        </w:trPr>
        <w:tc>
          <w:tcPr>
            <w:tcW w:w="751" w:type="dxa"/>
            <w:tcBorders>
              <w:bottom w:val="single" w:sz="4" w:space="0" w:color="auto"/>
            </w:tcBorders>
            <w:noWrap/>
          </w:tcPr>
          <w:p>
            <w:pPr>
              <w:pStyle w:val="TableNAm"/>
              <w:rPr>
                <w:sz w:val="22"/>
              </w:rPr>
            </w:pPr>
            <w:r>
              <w:rPr>
                <w:sz w:val="22"/>
              </w:rPr>
              <w:t>3.</w:t>
            </w:r>
          </w:p>
        </w:tc>
        <w:tc>
          <w:tcPr>
            <w:tcW w:w="2284" w:type="dxa"/>
            <w:tcBorders>
              <w:bottom w:val="single" w:sz="4" w:space="0" w:color="auto"/>
            </w:tcBorders>
            <w:noWrap/>
          </w:tcPr>
          <w:p>
            <w:pPr>
              <w:pStyle w:val="TableNAm"/>
              <w:rPr>
                <w:sz w:val="22"/>
              </w:rPr>
            </w:pPr>
            <w:r>
              <w:rPr>
                <w:sz w:val="22"/>
              </w:rPr>
              <w:t>Application for assessment of costs</w:t>
            </w:r>
          </w:p>
        </w:tc>
        <w:tc>
          <w:tcPr>
            <w:tcW w:w="1309" w:type="dxa"/>
            <w:tcBorders>
              <w:bottom w:val="single" w:sz="4" w:space="0" w:color="auto"/>
            </w:tcBorders>
            <w:noWrap/>
          </w:tcPr>
          <w:p>
            <w:pPr>
              <w:pStyle w:val="TableNAm"/>
              <w:jc w:val="center"/>
              <w:rPr>
                <w:sz w:val="22"/>
              </w:rPr>
            </w:pPr>
            <w:r>
              <w:rPr>
                <w:sz w:val="22"/>
              </w:rPr>
              <w:br/>
              <w:t>433.00 plus assessment fee of 2.50% of the costs claimed in the application</w:t>
            </w:r>
          </w:p>
        </w:tc>
        <w:tc>
          <w:tcPr>
            <w:tcW w:w="1276" w:type="dxa"/>
            <w:tcBorders>
              <w:bottom w:val="single" w:sz="4" w:space="0" w:color="auto"/>
            </w:tcBorders>
            <w:noWrap/>
          </w:tcPr>
          <w:p>
            <w:pPr>
              <w:pStyle w:val="TableNAm"/>
              <w:jc w:val="center"/>
              <w:rPr>
                <w:sz w:val="22"/>
              </w:rPr>
            </w:pPr>
            <w:r>
              <w:rPr>
                <w:sz w:val="22"/>
              </w:rPr>
              <w:br/>
              <w:t>433.00 plus assessment fee of 2.50% of the costs claimed in the application</w:t>
            </w:r>
          </w:p>
        </w:tc>
        <w:tc>
          <w:tcPr>
            <w:tcW w:w="1276" w:type="dxa"/>
            <w:tcBorders>
              <w:bottom w:val="single" w:sz="4" w:space="0" w:color="auto"/>
            </w:tcBorders>
            <w:noWrap/>
          </w:tcPr>
          <w:p>
            <w:pPr>
              <w:pStyle w:val="TableNAm"/>
              <w:ind w:right="172"/>
              <w:jc w:val="right"/>
              <w:rPr>
                <w:sz w:val="22"/>
              </w:rPr>
            </w:pPr>
            <w:r>
              <w:rPr>
                <w:sz w:val="22"/>
              </w:rPr>
              <w:b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 SL 2022/111 r. 23; SL 2023/120 r. 33.]</w:t>
      </w:r>
    </w:p>
    <w:p>
      <w:pPr>
        <w:pStyle w:val="Heading5"/>
        <w:keepLines w:val="0"/>
      </w:pPr>
      <w:bookmarkStart w:id="40" w:name="_Toc199323142"/>
      <w:bookmarkStart w:id="41" w:name="_Toc155173308"/>
      <w:r>
        <w:rPr>
          <w:rStyle w:val="CharSectno"/>
        </w:rPr>
        <w:t>11A</w:t>
      </w:r>
      <w:r>
        <w:t>.</w:t>
      </w:r>
      <w:r>
        <w:tab/>
        <w:t>No fee relating to application under enactment in Sch. 7</w:t>
      </w:r>
      <w:bookmarkEnd w:id="40"/>
      <w:bookmarkEnd w:id="41"/>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42" w:name="_Toc199323143"/>
      <w:bookmarkStart w:id="43" w:name="_Toc155173309"/>
      <w:r>
        <w:rPr>
          <w:rStyle w:val="CharSectno"/>
        </w:rPr>
        <w:t>11B</w:t>
      </w:r>
      <w:r>
        <w:t>.</w:t>
      </w:r>
      <w:r>
        <w:tab/>
        <w:t>Fees relating to application not covered by r. 9, 10 or 11A</w:t>
      </w:r>
      <w:bookmarkEnd w:id="42"/>
      <w:bookmarkEnd w:id="43"/>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304"/>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4"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4" w:type="dxa"/>
            <w:tcBorders>
              <w:top w:val="single" w:sz="4" w:space="0" w:color="auto"/>
            </w:tcBorders>
            <w:noWrap/>
            <w:vAlign w:val="bottom"/>
          </w:tcPr>
          <w:p>
            <w:pPr>
              <w:pStyle w:val="TableNAm"/>
              <w:ind w:right="172"/>
              <w:jc w:val="right"/>
              <w:rPr>
                <w:sz w:val="22"/>
              </w:rPr>
            </w:pPr>
            <w:r>
              <w:rPr>
                <w:sz w:val="22"/>
              </w:rPr>
              <w:t>656.00</w:t>
            </w:r>
          </w:p>
        </w:tc>
        <w:tc>
          <w:tcPr>
            <w:tcW w:w="1276" w:type="dxa"/>
            <w:tcBorders>
              <w:top w:val="single" w:sz="4" w:space="0" w:color="auto"/>
            </w:tcBorders>
            <w:noWrap/>
            <w:vAlign w:val="bottom"/>
          </w:tcPr>
          <w:p>
            <w:pPr>
              <w:pStyle w:val="TableNAm"/>
              <w:ind w:right="172"/>
              <w:jc w:val="right"/>
              <w:rPr>
                <w:sz w:val="22"/>
              </w:rPr>
            </w:pPr>
            <w:r>
              <w:rPr>
                <w:sz w:val="22"/>
              </w:rPr>
              <w:t>656.00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4" w:type="dxa"/>
            <w:noWrap/>
            <w:vAlign w:val="bottom"/>
          </w:tcPr>
          <w:p>
            <w:pPr>
              <w:pStyle w:val="TableNAm"/>
              <w:ind w:right="172"/>
              <w:jc w:val="right"/>
              <w:rPr>
                <w:sz w:val="22"/>
              </w:rPr>
            </w:pPr>
            <w:r>
              <w:rPr>
                <w:sz w:val="22"/>
              </w:rPr>
              <w:t>656.00</w:t>
            </w:r>
          </w:p>
        </w:tc>
        <w:tc>
          <w:tcPr>
            <w:tcW w:w="1276" w:type="dxa"/>
            <w:noWrap/>
            <w:vAlign w:val="bottom"/>
          </w:tcPr>
          <w:p>
            <w:pPr>
              <w:pStyle w:val="TableNAm"/>
              <w:ind w:right="172"/>
              <w:jc w:val="right"/>
              <w:rPr>
                <w:sz w:val="22"/>
              </w:rPr>
            </w:pPr>
            <w:r>
              <w:rPr>
                <w:sz w:val="22"/>
              </w:rPr>
              <w:t>656.00</w:t>
            </w:r>
          </w:p>
        </w:tc>
        <w:tc>
          <w:tcPr>
            <w:tcW w:w="1276" w:type="dxa"/>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3.</w:t>
            </w:r>
          </w:p>
        </w:tc>
        <w:tc>
          <w:tcPr>
            <w:tcW w:w="2284" w:type="dxa"/>
            <w:noWrap/>
          </w:tcPr>
          <w:p>
            <w:pPr>
              <w:pStyle w:val="TableNAm"/>
              <w:rPr>
                <w:sz w:val="22"/>
              </w:rPr>
            </w:pPr>
            <w:r>
              <w:rPr>
                <w:sz w:val="22"/>
              </w:rPr>
              <w:t>Application for assessment of costs</w:t>
            </w:r>
          </w:p>
        </w:tc>
        <w:tc>
          <w:tcPr>
            <w:tcW w:w="1304" w:type="dxa"/>
            <w:noWrap/>
          </w:tcPr>
          <w:p>
            <w:pPr>
              <w:pStyle w:val="TableNAm"/>
              <w:jc w:val="center"/>
              <w:rPr>
                <w:sz w:val="22"/>
              </w:rPr>
            </w:pPr>
            <w:r>
              <w:rPr>
                <w:sz w:val="22"/>
              </w:rPr>
              <w:br/>
              <w:t>227.00 plus assessment fee of 2.50% of the costs claimed in the application</w:t>
            </w:r>
          </w:p>
        </w:tc>
        <w:tc>
          <w:tcPr>
            <w:tcW w:w="1276" w:type="dxa"/>
            <w:noWrap/>
          </w:tcPr>
          <w:p>
            <w:pPr>
              <w:pStyle w:val="TableNAm"/>
              <w:jc w:val="center"/>
              <w:rPr>
                <w:sz w:val="22"/>
              </w:rPr>
            </w:pPr>
            <w:r>
              <w:rPr>
                <w:sz w:val="22"/>
              </w:rPr>
              <w:br/>
              <w:t>345.00 plus assessment fee of 2.50% of the costs claimed in the application</w:t>
            </w:r>
          </w:p>
        </w:tc>
        <w:tc>
          <w:tcPr>
            <w:tcW w:w="1276" w:type="dxa"/>
            <w:noWrap/>
          </w:tcPr>
          <w:p>
            <w:pPr>
              <w:pStyle w:val="TableNAm"/>
              <w:ind w:right="172"/>
              <w:jc w:val="right"/>
              <w:rPr>
                <w:sz w:val="22"/>
              </w:rPr>
            </w:pPr>
            <w:r>
              <w:rPr>
                <w:sz w:val="22"/>
              </w:rPr>
              <w:br/>
              <w:t>68.00</w:t>
            </w:r>
          </w:p>
        </w:tc>
      </w:tr>
      <w:tr>
        <w:trPr>
          <w:cantSplit/>
        </w:trPr>
        <w:tc>
          <w:tcPr>
            <w:tcW w:w="751" w:type="dxa"/>
            <w:noWrap/>
          </w:tcPr>
          <w:p>
            <w:pPr>
              <w:pStyle w:val="TableNAm"/>
              <w:rPr>
                <w:sz w:val="22"/>
              </w:rPr>
            </w:pPr>
            <w:r>
              <w:rPr>
                <w:sz w:val="22"/>
              </w:rPr>
              <w:t>4.</w:t>
            </w:r>
          </w:p>
        </w:tc>
        <w:tc>
          <w:tcPr>
            <w:tcW w:w="2284" w:type="dxa"/>
            <w:noWrap/>
          </w:tcPr>
          <w:p>
            <w:pPr>
              <w:pStyle w:val="TableNAm"/>
              <w:rPr>
                <w:sz w:val="22"/>
              </w:rPr>
            </w:pPr>
            <w:r>
              <w:rPr>
                <w:sz w:val="22"/>
              </w:rPr>
              <w:t xml:space="preserve">Application under the </w:t>
            </w:r>
            <w:r>
              <w:rPr>
                <w:i/>
                <w:sz w:val="22"/>
              </w:rPr>
              <w:t>Legal Profession Uniform Law (WA)</w:t>
            </w:r>
            <w:r>
              <w:rPr>
                <w:sz w:val="22"/>
              </w:rPr>
              <w:t xml:space="preserve"> section 198(4) for a determination that an application for a costs assessment made out of time may be dealt with by a costs assessor</w:t>
            </w:r>
          </w:p>
        </w:tc>
        <w:tc>
          <w:tcPr>
            <w:tcW w:w="1304" w:type="dxa"/>
            <w:noWrap/>
            <w:vAlign w:val="bottom"/>
          </w:tcPr>
          <w:p>
            <w:pPr>
              <w:pStyle w:val="TableNAm"/>
              <w:ind w:right="172"/>
              <w:jc w:val="right"/>
              <w:rPr>
                <w:sz w:val="22"/>
              </w:rPr>
            </w:pPr>
            <w:r>
              <w:rPr>
                <w:sz w:val="22"/>
              </w:rPr>
              <w:t>142.00</w:t>
            </w:r>
          </w:p>
        </w:tc>
        <w:tc>
          <w:tcPr>
            <w:tcW w:w="1276" w:type="dxa"/>
            <w:noWrap/>
            <w:vAlign w:val="bottom"/>
          </w:tcPr>
          <w:p>
            <w:pPr>
              <w:pStyle w:val="TableNAm"/>
              <w:ind w:right="172"/>
              <w:jc w:val="right"/>
              <w:rPr>
                <w:sz w:val="22"/>
              </w:rPr>
            </w:pPr>
            <w:r>
              <w:rPr>
                <w:sz w:val="22"/>
              </w:rPr>
              <w:t>142.00</w:t>
            </w:r>
          </w:p>
        </w:tc>
        <w:tc>
          <w:tcPr>
            <w:tcW w:w="1276" w:type="dxa"/>
            <w:noWrap/>
            <w:vAlign w:val="bottom"/>
          </w:tcPr>
          <w:p>
            <w:pPr>
              <w:pStyle w:val="TableNAm"/>
              <w:ind w:right="172"/>
              <w:jc w:val="right"/>
              <w:rPr>
                <w:sz w:val="22"/>
              </w:rPr>
            </w:pPr>
            <w:r>
              <w:rPr>
                <w:sz w:val="22"/>
              </w:rPr>
              <w:t>42.60</w:t>
            </w:r>
          </w:p>
        </w:tc>
      </w:tr>
      <w:tr>
        <w:trPr>
          <w:cantSplit/>
        </w:trPr>
        <w:tc>
          <w:tcPr>
            <w:tcW w:w="751" w:type="dxa"/>
            <w:tcBorders>
              <w:bottom w:val="single" w:sz="4" w:space="0" w:color="auto"/>
            </w:tcBorders>
            <w:noWrap/>
          </w:tcPr>
          <w:p>
            <w:pPr>
              <w:pStyle w:val="TableNAm"/>
              <w:rPr>
                <w:sz w:val="22"/>
              </w:rPr>
            </w:pPr>
            <w:r>
              <w:rPr>
                <w:sz w:val="22"/>
              </w:rPr>
              <w:t>5.</w:t>
            </w:r>
          </w:p>
        </w:tc>
        <w:tc>
          <w:tcPr>
            <w:tcW w:w="2284" w:type="dxa"/>
            <w:tcBorders>
              <w:bottom w:val="single" w:sz="4" w:space="0" w:color="auto"/>
            </w:tcBorders>
            <w:noWrap/>
          </w:tcPr>
          <w:p>
            <w:pPr>
              <w:pStyle w:val="TableNAm"/>
              <w:rPr>
                <w:sz w:val="22"/>
              </w:rPr>
            </w:pPr>
            <w:r>
              <w:rPr>
                <w:sz w:val="22"/>
              </w:rPr>
              <w:t xml:space="preserve">Hearing fee for a hearing in relation to an application under the </w:t>
            </w:r>
            <w:r>
              <w:rPr>
                <w:i/>
                <w:sz w:val="22"/>
              </w:rPr>
              <w:t>Legal Profession Uniform Law (WA)</w:t>
            </w:r>
            <w:r>
              <w:rPr>
                <w:sz w:val="22"/>
              </w:rPr>
              <w:t xml:space="preserve"> section 198(4) (for each day or part of a day allocated, other than the first day)</w:t>
            </w:r>
          </w:p>
        </w:tc>
        <w:tc>
          <w:tcPr>
            <w:tcW w:w="1304" w:type="dxa"/>
            <w:tcBorders>
              <w:bottom w:val="single" w:sz="4" w:space="0" w:color="auto"/>
            </w:tcBorders>
            <w:noWrap/>
            <w:vAlign w:val="bottom"/>
          </w:tcPr>
          <w:p>
            <w:pPr>
              <w:pStyle w:val="TableNAm"/>
              <w:ind w:right="172"/>
              <w:jc w:val="right"/>
              <w:rPr>
                <w:sz w:val="22"/>
              </w:rPr>
            </w:pPr>
            <w:r>
              <w:rPr>
                <w:sz w:val="22"/>
              </w:rPr>
              <w:t>281.00</w:t>
            </w:r>
          </w:p>
        </w:tc>
        <w:tc>
          <w:tcPr>
            <w:tcW w:w="1276" w:type="dxa"/>
            <w:tcBorders>
              <w:bottom w:val="single" w:sz="4" w:space="0" w:color="auto"/>
            </w:tcBorders>
            <w:noWrap/>
            <w:vAlign w:val="bottom"/>
          </w:tcPr>
          <w:p>
            <w:pPr>
              <w:pStyle w:val="TableNAm"/>
              <w:ind w:right="172"/>
              <w:jc w:val="right"/>
              <w:rPr>
                <w:sz w:val="22"/>
              </w:rPr>
            </w:pPr>
            <w:r>
              <w:rPr>
                <w:sz w:val="22"/>
              </w:rPr>
              <w:t>281.00</w:t>
            </w:r>
          </w:p>
        </w:tc>
        <w:tc>
          <w:tcPr>
            <w:tcW w:w="1276" w:type="dxa"/>
            <w:tcBorders>
              <w:bottom w:val="single" w:sz="4" w:space="0" w:color="auto"/>
            </w:tcBorders>
            <w:noWrap/>
            <w:vAlign w:val="bottom"/>
          </w:tcPr>
          <w:p>
            <w:pPr>
              <w:pStyle w:val="TableNAm"/>
              <w:ind w:right="172"/>
              <w:jc w:val="right"/>
              <w:rPr>
                <w:sz w:val="22"/>
              </w:rPr>
            </w:pPr>
            <w:r>
              <w:rPr>
                <w:sz w:val="22"/>
              </w:rPr>
              <w:t>84.50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 SL 2022/111 r. 24; SL 2022/114 r. 11; SL 2023/120 r. 34.]</w:t>
      </w:r>
    </w:p>
    <w:p>
      <w:pPr>
        <w:pStyle w:val="Heading5"/>
        <w:spacing w:before="180"/>
      </w:pPr>
      <w:bookmarkStart w:id="44" w:name="_Toc199323144"/>
      <w:bookmarkStart w:id="45" w:name="_Toc155173310"/>
      <w:r>
        <w:rPr>
          <w:rStyle w:val="CharSectno"/>
        </w:rPr>
        <w:t>11</w:t>
      </w:r>
      <w:r>
        <w:t>.</w:t>
      </w:r>
      <w:r>
        <w:tab/>
        <w:t>Fees for provision of transcripts to third parties</w:t>
      </w:r>
      <w:bookmarkEnd w:id="44"/>
      <w:bookmarkEnd w:id="45"/>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8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 SL 2023/120 r. 35.]</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46" w:name="_Toc199323145"/>
      <w:bookmarkStart w:id="47" w:name="_Toc155173311"/>
      <w:r>
        <w:rPr>
          <w:rStyle w:val="CharSectno"/>
        </w:rPr>
        <w:t>27</w:t>
      </w:r>
      <w:r>
        <w:t>.</w:t>
      </w:r>
      <w:r>
        <w:tab/>
        <w:t>Other fees</w:t>
      </w:r>
      <w:bookmarkEnd w:id="46"/>
      <w:bookmarkEnd w:id="47"/>
    </w:p>
    <w:p>
      <w:pPr>
        <w:pStyle w:val="Subsection"/>
      </w:pPr>
      <w:r>
        <w:tab/>
      </w:r>
      <w:r>
        <w:tab/>
        <w:t>The fees set out in Schedule 8 are to be charged in respect of the matters shown in that Schedule.</w:t>
      </w:r>
    </w:p>
    <w:p>
      <w:pPr>
        <w:pStyle w:val="Footnotesection"/>
        <w:spacing w:before="60"/>
        <w:ind w:left="890" w:hanging="890"/>
      </w:pPr>
      <w:r>
        <w:tab/>
        <w:t>[Regulation 27 amended: SL 2023/120 r. 36.]</w:t>
      </w:r>
    </w:p>
    <w:p>
      <w:pPr>
        <w:pStyle w:val="Heading2"/>
      </w:pPr>
      <w:bookmarkStart w:id="48" w:name="_Toc199323146"/>
      <w:bookmarkStart w:id="49" w:name="_Toc155173312"/>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48"/>
      <w:bookmarkEnd w:id="49"/>
    </w:p>
    <w:p>
      <w:pPr>
        <w:pStyle w:val="Heading5"/>
        <w:spacing w:before="180"/>
      </w:pPr>
      <w:bookmarkStart w:id="50" w:name="_Toc199323147"/>
      <w:bookmarkStart w:id="51" w:name="_Toc155173313"/>
      <w:r>
        <w:rPr>
          <w:rStyle w:val="CharSectno"/>
        </w:rPr>
        <w:t>28</w:t>
      </w:r>
      <w:r>
        <w:t>.</w:t>
      </w:r>
      <w:r>
        <w:tab/>
        <w:t>Transitional provisions</w:t>
      </w:r>
      <w:bookmarkEnd w:id="50"/>
      <w:bookmarkEnd w:id="51"/>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52" w:name="_Toc199323148"/>
      <w:bookmarkStart w:id="53" w:name="_Toc155173314"/>
      <w:r>
        <w:rPr>
          <w:rStyle w:val="CharSectno"/>
        </w:rPr>
        <w:t>33</w:t>
      </w:r>
      <w:r>
        <w:t>.</w:t>
      </w:r>
      <w:r>
        <w:tab/>
      </w:r>
      <w:r>
        <w:rPr>
          <w:i/>
        </w:rPr>
        <w:t>Land Administration Act 1997</w:t>
      </w:r>
      <w:bookmarkEnd w:id="52"/>
      <w:bookmarkEnd w:id="53"/>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54" w:name="_Toc199323149"/>
      <w:bookmarkStart w:id="55" w:name="_Toc155173315"/>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54"/>
      <w:bookmarkEnd w:id="55"/>
    </w:p>
    <w:p>
      <w:pPr>
        <w:pStyle w:val="Heading5"/>
      </w:pPr>
      <w:bookmarkStart w:id="56" w:name="_Toc199323150"/>
      <w:bookmarkStart w:id="57" w:name="_Toc155173316"/>
      <w:r>
        <w:rPr>
          <w:rStyle w:val="CharSectno"/>
        </w:rPr>
        <w:t>42</w:t>
      </w:r>
      <w:r>
        <w:t>.</w:t>
      </w:r>
      <w:r>
        <w:tab/>
        <w:t>Transitional provision</w:t>
      </w:r>
      <w:bookmarkEnd w:id="56"/>
      <w:bookmarkEnd w:id="57"/>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58" w:name="_Toc199323151"/>
      <w:bookmarkStart w:id="59" w:name="_Toc155173317"/>
      <w:r>
        <w:rPr>
          <w:rStyle w:val="CharSectno"/>
        </w:rPr>
        <w:t>55</w:t>
      </w:r>
      <w:r>
        <w:t>.</w:t>
      </w:r>
      <w:r>
        <w:tab/>
      </w:r>
      <w:r>
        <w:rPr>
          <w:i/>
        </w:rPr>
        <w:t>Local Government (Miscellaneous Provisions) Act 1960</w:t>
      </w:r>
      <w:bookmarkEnd w:id="58"/>
      <w:bookmarkEnd w:id="59"/>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60" w:name="_Toc199323152"/>
      <w:bookmarkStart w:id="61" w:name="_Toc155173318"/>
      <w:r>
        <w:rPr>
          <w:rStyle w:val="CharSectno"/>
        </w:rPr>
        <w:t>61</w:t>
      </w:r>
      <w:r>
        <w:t>.</w:t>
      </w:r>
      <w:r>
        <w:tab/>
      </w:r>
      <w:r>
        <w:rPr>
          <w:i/>
        </w:rPr>
        <w:t>Rights in Water and Irrigation Act 1914</w:t>
      </w:r>
      <w:bookmarkEnd w:id="60"/>
      <w:bookmarkEnd w:id="6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62" w:name="_Toc199323153"/>
      <w:bookmarkStart w:id="63" w:name="_Toc155173319"/>
      <w:r>
        <w:rPr>
          <w:rStyle w:val="CharSectno"/>
        </w:rPr>
        <w:t>63</w:t>
      </w:r>
      <w:r>
        <w:t>.</w:t>
      </w:r>
      <w:r>
        <w:tab/>
      </w:r>
      <w:r>
        <w:rPr>
          <w:i/>
        </w:rPr>
        <w:t>Strata Titles Act 1985</w:t>
      </w:r>
      <w:bookmarkEnd w:id="62"/>
      <w:bookmarkEnd w:id="6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64" w:name="_Toc199323154"/>
      <w:bookmarkStart w:id="65" w:name="_Toc155173320"/>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64"/>
      <w:bookmarkEnd w:id="65"/>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rPr>
          <w:i/>
        </w:rPr>
      </w:pPr>
      <w:r>
        <w:rPr>
          <w:i/>
        </w:rPr>
        <w:t>Legal Profession Uniform Law Application Act 2022</w:t>
      </w:r>
    </w:p>
    <w:p>
      <w:pPr>
        <w:pStyle w:val="yMiscellaneousBody"/>
        <w:rPr>
          <w:i/>
        </w:rPr>
      </w:pPr>
      <w:r>
        <w:rPr>
          <w:i/>
        </w:rPr>
        <w:t>Legal Profession Uniform Law (WA)</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szCs w:val="22"/>
        </w:rPr>
        <w:t>Veterinary Practice Act 2021</w:t>
      </w:r>
    </w:p>
    <w:p>
      <w:pPr>
        <w:pStyle w:val="yFootnotesection"/>
      </w:pPr>
      <w:r>
        <w:tab/>
        <w:t>[Schedule 1 amended: Gazette 31 Jul 2007 p. 3805; 7 Dec 2012 p. 5994</w:t>
      </w:r>
      <w:r>
        <w:rPr>
          <w:szCs w:val="22"/>
        </w:rPr>
        <w:t>; 6 Aug 2013 p.</w:t>
      </w:r>
      <w:r>
        <w:rPr>
          <w:sz w:val="24"/>
          <w:szCs w:val="24"/>
        </w:rPr>
        <w:t> </w:t>
      </w:r>
      <w:r>
        <w:t>3653</w:t>
      </w:r>
      <w:r>
        <w:noBreakHyphen/>
        <w:t>4; 24 Jan 2017 p. 745; SL 2022/97 r. 6; SL 2022/114 r. 12.]</w:t>
      </w: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67" w:name="_Toc199323155"/>
      <w:bookmarkStart w:id="68" w:name="_Toc155173321"/>
      <w:r>
        <w:rPr>
          <w:rStyle w:val="CharSchNo"/>
        </w:rPr>
        <w:t>Schedule 2</w:t>
      </w:r>
      <w:r>
        <w:t> — </w:t>
      </w:r>
      <w:r>
        <w:rPr>
          <w:rStyle w:val="CharSchText"/>
        </w:rPr>
        <w:t>Places at which a magistrate may be authorised to perform functions as a member of the Tribunal</w:t>
      </w:r>
      <w:bookmarkEnd w:id="67"/>
      <w:bookmarkEnd w:id="68"/>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69" w:name="_Toc199323156"/>
      <w:bookmarkStart w:id="70" w:name="_Toc155173322"/>
      <w:r>
        <w:rPr>
          <w:rStyle w:val="CharSchNo"/>
        </w:rPr>
        <w:t>Schedule 3</w:t>
      </w:r>
      <w:r>
        <w:t> — </w:t>
      </w:r>
      <w:r>
        <w:rPr>
          <w:rStyle w:val="CharSchText"/>
        </w:rPr>
        <w:t>Provision under which application made</w:t>
      </w:r>
      <w:bookmarkEnd w:id="69"/>
      <w:bookmarkEnd w:id="70"/>
    </w:p>
    <w:p>
      <w:pPr>
        <w:pStyle w:val="yShoulderClause"/>
      </w:pPr>
      <w:r>
        <w:t>[r. 9(1)]</w:t>
      </w:r>
    </w:p>
    <w:p>
      <w:pPr>
        <w:pStyle w:val="yFootnoteheading"/>
      </w:pPr>
      <w:r>
        <w:tab/>
        <w:t>[Heading inserted: Gazette 26 Jun 2007 p. 2987; amended: Gazette 31 Dec 2019 p. 4658.]</w:t>
      </w:r>
    </w:p>
    <w:p>
      <w:pPr>
        <w:pStyle w:val="yMiscellaneousBody"/>
        <w:spacing w:before="240"/>
      </w:pPr>
      <w:r>
        <w:rPr>
          <w:i/>
        </w:rPr>
        <w:t>Aboriginal Cultural Heritage Act 2021</w:t>
      </w:r>
      <w:r>
        <w:t xml:space="preserve"> s. 277(2)</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 SL 2023/49 r. 4</w:t>
      </w:r>
      <w:r>
        <w:rPr>
          <w:szCs w:val="22"/>
        </w:rPr>
        <w:t>.]</w:t>
      </w:r>
    </w:p>
    <w:p>
      <w:pPr>
        <w:pStyle w:val="yScheduleHeading"/>
      </w:pPr>
      <w:bookmarkStart w:id="71" w:name="_Toc199323157"/>
      <w:bookmarkStart w:id="72" w:name="_Toc155173323"/>
      <w:r>
        <w:rPr>
          <w:rStyle w:val="CharSchNo"/>
        </w:rPr>
        <w:t>Schedule 4</w:t>
      </w:r>
      <w:r>
        <w:t> — </w:t>
      </w:r>
      <w:r>
        <w:rPr>
          <w:rStyle w:val="CharSchText"/>
        </w:rPr>
        <w:t>Provision under which application made</w:t>
      </w:r>
      <w:bookmarkEnd w:id="71"/>
      <w:bookmarkEnd w:id="72"/>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73" w:name="_Toc199323158"/>
      <w:bookmarkStart w:id="74" w:name="_Toc155173324"/>
      <w:r>
        <w:rPr>
          <w:rStyle w:val="CharSchNo"/>
        </w:rPr>
        <w:t>Schedule 6</w:t>
      </w:r>
      <w:r>
        <w:t> — </w:t>
      </w:r>
      <w:r>
        <w:rPr>
          <w:rStyle w:val="CharSchText"/>
        </w:rPr>
        <w:t>Provision under which application made</w:t>
      </w:r>
      <w:bookmarkEnd w:id="73"/>
      <w:bookmarkEnd w:id="74"/>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Code) Regulations 2022</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 SL 2022/39 r. 4.]</w:t>
      </w:r>
    </w:p>
    <w:p>
      <w:pPr>
        <w:pStyle w:val="yScheduleHeading"/>
      </w:pPr>
      <w:bookmarkStart w:id="75" w:name="_Toc199323159"/>
      <w:bookmarkStart w:id="76" w:name="_Toc155173325"/>
      <w:r>
        <w:rPr>
          <w:rStyle w:val="CharSchNo"/>
        </w:rPr>
        <w:t>Schedule 7</w:t>
      </w:r>
      <w:r>
        <w:t> — </w:t>
      </w:r>
      <w:r>
        <w:rPr>
          <w:rStyle w:val="CharSchText"/>
        </w:rPr>
        <w:t>Enactment under which application made</w:t>
      </w:r>
      <w:bookmarkEnd w:id="75"/>
      <w:bookmarkEnd w:id="76"/>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ScheduleHeading"/>
      </w:pPr>
      <w:bookmarkStart w:id="77" w:name="_Toc199323160"/>
      <w:bookmarkStart w:id="78" w:name="_Toc155173326"/>
      <w:r>
        <w:rPr>
          <w:rStyle w:val="CharSchNo"/>
        </w:rPr>
        <w:t>Schedule 8</w:t>
      </w:r>
      <w:r>
        <w:t> — </w:t>
      </w:r>
      <w:r>
        <w:rPr>
          <w:rStyle w:val="CharSchText"/>
        </w:rPr>
        <w:t>Other fees</w:t>
      </w:r>
      <w:bookmarkEnd w:id="77"/>
      <w:bookmarkEnd w:id="78"/>
    </w:p>
    <w:p>
      <w:pPr>
        <w:pStyle w:val="yShoulderClause"/>
      </w:pPr>
      <w:r>
        <w:t>[r. 27]</w:t>
      </w:r>
    </w:p>
    <w:p>
      <w:pPr>
        <w:pStyle w:val="yFootnoteheading"/>
      </w:pPr>
      <w:r>
        <w:tab/>
        <w:t>[Heading inserted: SL 2023/120 r. 37.]</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jc w:val="center"/>
              <w:rPr>
                <w:b/>
              </w:rPr>
            </w:pPr>
            <w:r>
              <w:rPr>
                <w:b/>
              </w:rPr>
              <w:t>Item</w:t>
            </w:r>
          </w:p>
        </w:tc>
        <w:tc>
          <w:tcPr>
            <w:tcW w:w="2302"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7" w:type="dxa"/>
            <w:tcBorders>
              <w:top w:val="single" w:sz="4" w:space="0" w:color="auto"/>
              <w:left w:val="nil"/>
              <w:bottom w:val="nil"/>
              <w:right w:val="nil"/>
            </w:tcBorders>
            <w:noWrap/>
          </w:tcPr>
          <w:p>
            <w:pPr>
              <w:pStyle w:val="yTableNAm"/>
            </w:pPr>
            <w:r>
              <w:t>1.</w:t>
            </w:r>
          </w:p>
        </w:tc>
        <w:tc>
          <w:tcPr>
            <w:tcW w:w="2302" w:type="dxa"/>
            <w:tcBorders>
              <w:top w:val="single" w:sz="4" w:space="0" w:color="auto"/>
              <w:left w:val="nil"/>
              <w:bottom w:val="nil"/>
              <w:right w:val="nil"/>
            </w:tcBorders>
            <w:noWrap/>
          </w:tcPr>
          <w:p>
            <w:pPr>
              <w:pStyle w:val="yTableNAm"/>
            </w:pPr>
            <w:r>
              <w:t xml:space="preserve">Application under section 22(1) of the Act </w:t>
            </w:r>
          </w:p>
        </w:tc>
        <w:tc>
          <w:tcPr>
            <w:tcW w:w="1275" w:type="dxa"/>
            <w:tcBorders>
              <w:top w:val="single" w:sz="4" w:space="0" w:color="auto"/>
              <w:left w:val="nil"/>
              <w:bottom w:val="nil"/>
              <w:right w:val="nil"/>
            </w:tcBorders>
            <w:noWrap/>
            <w:vAlign w:val="bottom"/>
          </w:tcPr>
          <w:p>
            <w:pPr>
              <w:pStyle w:val="yTableNAm"/>
              <w:ind w:right="175"/>
              <w:jc w:val="right"/>
            </w:pPr>
            <w:r>
              <w:t>132.50</w:t>
            </w:r>
          </w:p>
        </w:tc>
        <w:tc>
          <w:tcPr>
            <w:tcW w:w="1276" w:type="dxa"/>
            <w:tcBorders>
              <w:top w:val="single" w:sz="4" w:space="0" w:color="auto"/>
              <w:left w:val="nil"/>
              <w:bottom w:val="nil"/>
              <w:right w:val="nil"/>
            </w:tcBorders>
            <w:noWrap/>
            <w:vAlign w:val="bottom"/>
          </w:tcPr>
          <w:p>
            <w:pPr>
              <w:pStyle w:val="yTableNAm"/>
              <w:ind w:right="175"/>
              <w:jc w:val="right"/>
            </w:pPr>
            <w:r>
              <w:t>266.00</w:t>
            </w:r>
          </w:p>
        </w:tc>
        <w:tc>
          <w:tcPr>
            <w:tcW w:w="1276" w:type="dxa"/>
            <w:tcBorders>
              <w:top w:val="single" w:sz="4" w:space="0" w:color="auto"/>
              <w:left w:val="nil"/>
              <w:bottom w:val="nil"/>
              <w:right w:val="nil"/>
            </w:tcBorders>
            <w:noWrap/>
            <w:vAlign w:val="bottom"/>
          </w:tcPr>
          <w:p>
            <w:pPr>
              <w:pStyle w:val="yTableNAm"/>
              <w:ind w:right="175"/>
              <w:jc w:val="right"/>
            </w:pPr>
            <w:r>
              <w:t>39.80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175"/>
              <w:jc w:val="right"/>
            </w:pPr>
            <w:r>
              <w:t>1.90</w:t>
            </w:r>
          </w:p>
        </w:tc>
        <w:tc>
          <w:tcPr>
            <w:tcW w:w="1276" w:type="dxa"/>
            <w:tcBorders>
              <w:top w:val="nil"/>
              <w:left w:val="nil"/>
              <w:bottom w:val="nil"/>
              <w:right w:val="nil"/>
            </w:tcBorders>
            <w:noWrap/>
            <w:vAlign w:val="bottom"/>
          </w:tcPr>
          <w:p>
            <w:pPr>
              <w:pStyle w:val="yTableNAm"/>
              <w:ind w:right="175"/>
              <w:jc w:val="right"/>
            </w:pPr>
            <w:r>
              <w:t>1.90</w:t>
            </w:r>
          </w:p>
        </w:tc>
        <w:tc>
          <w:tcPr>
            <w:tcW w:w="1276" w:type="dxa"/>
            <w:tcBorders>
              <w:top w:val="nil"/>
              <w:left w:val="nil"/>
              <w:bottom w:val="nil"/>
              <w:right w:val="nil"/>
            </w:tcBorders>
            <w:noWrap/>
            <w:vAlign w:val="bottom"/>
          </w:tcPr>
          <w:p>
            <w:pPr>
              <w:pStyle w:val="yTableNAm"/>
              <w:ind w:right="175"/>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0.60</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0.60</w:t>
            </w:r>
          </w:p>
        </w:tc>
      </w:tr>
      <w:tr>
        <w:trPr>
          <w:cantSplit/>
        </w:trPr>
        <w:tc>
          <w:tcPr>
            <w:tcW w:w="767" w:type="dxa"/>
            <w:tcBorders>
              <w:top w:val="nil"/>
              <w:left w:val="nil"/>
              <w:bottom w:val="nil"/>
              <w:right w:val="nil"/>
            </w:tcBorders>
            <w:noWrap/>
          </w:tcPr>
          <w:p>
            <w:pPr>
              <w:pStyle w:val="yTableNAm"/>
            </w:pPr>
            <w:r>
              <w:t>4.</w:t>
            </w:r>
          </w:p>
        </w:tc>
        <w:tc>
          <w:tcPr>
            <w:tcW w:w="2302" w:type="dxa"/>
            <w:tcBorders>
              <w:top w:val="nil"/>
              <w:left w:val="nil"/>
              <w:bottom w:val="nil"/>
              <w:right w:val="nil"/>
            </w:tcBorders>
            <w:noWrap/>
          </w:tcPr>
          <w:p>
            <w:pPr>
              <w:pStyle w:val="yTableNAm"/>
            </w:pPr>
            <w:r>
              <w:t>For certifying under a seal that a document is a true copy — an additional fee</w:t>
            </w:r>
          </w:p>
        </w:tc>
        <w:tc>
          <w:tcPr>
            <w:tcW w:w="1275" w:type="dxa"/>
            <w:tcBorders>
              <w:top w:val="nil"/>
              <w:left w:val="nil"/>
              <w:bottom w:val="nil"/>
              <w:right w:val="nil"/>
            </w:tcBorders>
            <w:noWrap/>
            <w:vAlign w:val="bottom"/>
          </w:tcPr>
          <w:p>
            <w:pPr>
              <w:pStyle w:val="yTableNAm"/>
              <w:ind w:right="175"/>
              <w:jc w:val="right"/>
            </w:pPr>
            <w:r>
              <w:t>25.90</w:t>
            </w:r>
          </w:p>
        </w:tc>
        <w:tc>
          <w:tcPr>
            <w:tcW w:w="1276" w:type="dxa"/>
            <w:tcBorders>
              <w:top w:val="nil"/>
              <w:left w:val="nil"/>
              <w:bottom w:val="nil"/>
              <w:right w:val="nil"/>
            </w:tcBorders>
            <w:noWrap/>
            <w:vAlign w:val="bottom"/>
          </w:tcPr>
          <w:p>
            <w:pPr>
              <w:pStyle w:val="yTableNAm"/>
              <w:ind w:right="175"/>
              <w:jc w:val="right"/>
            </w:pPr>
            <w:r>
              <w:t>25.90</w:t>
            </w:r>
          </w:p>
        </w:tc>
        <w:tc>
          <w:tcPr>
            <w:tcW w:w="1276" w:type="dxa"/>
            <w:tcBorders>
              <w:top w:val="nil"/>
              <w:left w:val="nil"/>
              <w:bottom w:val="nil"/>
              <w:right w:val="nil"/>
            </w:tcBorders>
            <w:noWrap/>
            <w:vAlign w:val="bottom"/>
          </w:tcPr>
          <w:p>
            <w:pPr>
              <w:pStyle w:val="yTableNAm"/>
              <w:ind w:right="175"/>
              <w:jc w:val="right"/>
            </w:pPr>
            <w:r>
              <w:t>7.75</w:t>
            </w:r>
          </w:p>
        </w:tc>
      </w:tr>
      <w:tr>
        <w:trPr>
          <w:cantSplit/>
        </w:trPr>
        <w:tc>
          <w:tcPr>
            <w:tcW w:w="767" w:type="dxa"/>
            <w:tcBorders>
              <w:top w:val="nil"/>
              <w:left w:val="nil"/>
              <w:bottom w:val="nil"/>
              <w:right w:val="nil"/>
            </w:tcBorders>
            <w:noWrap/>
          </w:tcPr>
          <w:p>
            <w:pPr>
              <w:pStyle w:val="yTableNAm"/>
              <w:keepNext/>
              <w:rPr>
                <w:szCs w:val="22"/>
              </w:rPr>
            </w:pPr>
            <w:r>
              <w:rPr>
                <w:szCs w:val="22"/>
              </w:rPr>
              <w:t>5.</w:t>
            </w:r>
          </w:p>
        </w:tc>
        <w:tc>
          <w:tcPr>
            <w:tcW w:w="2302" w:type="dxa"/>
            <w:tcBorders>
              <w:top w:val="nil"/>
              <w:left w:val="nil"/>
              <w:bottom w:val="nil"/>
              <w:right w:val="nil"/>
            </w:tcBorders>
            <w:noWrap/>
          </w:tcPr>
          <w:p>
            <w:pPr>
              <w:pStyle w:val="yTableNAm"/>
              <w:keepNext/>
              <w:ind w:left="493" w:hanging="493"/>
              <w:rPr>
                <w:szCs w:val="22"/>
              </w:rPr>
            </w:pPr>
            <w:r>
              <w:rPr>
                <w:szCs w:val="22"/>
              </w:rPr>
              <w:t>(a)</w:t>
            </w:r>
            <w:r>
              <w:rPr>
                <w:szCs w:val="22"/>
              </w:rPr>
              <w:tab/>
              <w:t xml:space="preserve">For </w:t>
            </w:r>
            <w:r>
              <w:t xml:space="preserve">providing </w:t>
            </w:r>
            <w:r>
              <w:rPr>
                <w:szCs w:val="22"/>
              </w:rPr>
              <w:t xml:space="preserve">a transcript, or part of a transcript — </w:t>
            </w:r>
          </w:p>
        </w:tc>
        <w:tc>
          <w:tcPr>
            <w:tcW w:w="1275"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provided within 1 day after the day on which the fee is paid</w:t>
            </w:r>
          </w:p>
        </w:tc>
        <w:tc>
          <w:tcPr>
            <w:tcW w:w="1275" w:type="dxa"/>
            <w:tcBorders>
              <w:top w:val="nil"/>
              <w:left w:val="nil"/>
              <w:bottom w:val="nil"/>
              <w:right w:val="nil"/>
            </w:tcBorders>
            <w:noWrap/>
          </w:tcPr>
          <w:p>
            <w:pPr>
              <w:pStyle w:val="yTableNAm"/>
            </w:pPr>
            <w:r>
              <w:t>26.90 plus</w:t>
            </w:r>
            <w:r>
              <w:br/>
              <w:t>11.10 per page</w:t>
            </w:r>
          </w:p>
        </w:tc>
        <w:tc>
          <w:tcPr>
            <w:tcW w:w="1276" w:type="dxa"/>
            <w:tcBorders>
              <w:top w:val="nil"/>
              <w:left w:val="nil"/>
              <w:bottom w:val="nil"/>
              <w:right w:val="nil"/>
            </w:tcBorders>
            <w:noWrap/>
          </w:tcPr>
          <w:p>
            <w:pPr>
              <w:pStyle w:val="yTableNAm"/>
            </w:pPr>
            <w:r>
              <w:t>26.90 plus</w:t>
            </w:r>
            <w:r>
              <w:br/>
              <w:t>22.20 per page</w:t>
            </w:r>
          </w:p>
        </w:tc>
        <w:tc>
          <w:tcPr>
            <w:tcW w:w="1276" w:type="dxa"/>
            <w:tcBorders>
              <w:top w:val="nil"/>
              <w:left w:val="nil"/>
              <w:bottom w:val="nil"/>
              <w:right w:val="nil"/>
            </w:tcBorders>
            <w:noWrap/>
          </w:tcPr>
          <w:p>
            <w:pPr>
              <w:pStyle w:val="yTableNAm"/>
            </w:pPr>
            <w:r>
              <w:t xml:space="preserve">8.05 plus </w:t>
            </w:r>
            <w:r>
              <w:br/>
              <w:t>3.35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provided within 2 days after the day on which the fee is paid</w:t>
            </w:r>
          </w:p>
        </w:tc>
        <w:tc>
          <w:tcPr>
            <w:tcW w:w="1275" w:type="dxa"/>
            <w:tcBorders>
              <w:top w:val="nil"/>
              <w:left w:val="nil"/>
              <w:bottom w:val="nil"/>
              <w:right w:val="nil"/>
            </w:tcBorders>
            <w:noWrap/>
          </w:tcPr>
          <w:p>
            <w:pPr>
              <w:pStyle w:val="yTableNAm"/>
            </w:pPr>
            <w:r>
              <w:t>26.90 plus</w:t>
            </w:r>
            <w:r>
              <w:br/>
              <w:t>10.20 per page</w:t>
            </w:r>
          </w:p>
        </w:tc>
        <w:tc>
          <w:tcPr>
            <w:tcW w:w="1276" w:type="dxa"/>
            <w:tcBorders>
              <w:top w:val="nil"/>
              <w:left w:val="nil"/>
              <w:bottom w:val="nil"/>
              <w:right w:val="nil"/>
            </w:tcBorders>
            <w:noWrap/>
          </w:tcPr>
          <w:p>
            <w:pPr>
              <w:pStyle w:val="yTableNAm"/>
            </w:pPr>
            <w:r>
              <w:t>26.90 plus</w:t>
            </w:r>
            <w:r>
              <w:br/>
              <w:t>20.35 per page</w:t>
            </w:r>
          </w:p>
        </w:tc>
        <w:tc>
          <w:tcPr>
            <w:tcW w:w="1276" w:type="dxa"/>
            <w:tcBorders>
              <w:top w:val="nil"/>
              <w:left w:val="nil"/>
              <w:bottom w:val="nil"/>
              <w:right w:val="nil"/>
            </w:tcBorders>
            <w:noWrap/>
          </w:tcPr>
          <w:p>
            <w:pPr>
              <w:pStyle w:val="yTableNAm"/>
            </w:pPr>
            <w:r>
              <w:t xml:space="preserve">8.05 plus </w:t>
            </w:r>
            <w:r>
              <w:br/>
              <w:t>3.05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(iii)</w:t>
            </w:r>
            <w:r>
              <w:tab/>
              <w:t>provided within 4 days after the day on which the fee is paid</w:t>
            </w:r>
          </w:p>
        </w:tc>
        <w:tc>
          <w:tcPr>
            <w:tcW w:w="1275" w:type="dxa"/>
            <w:tcBorders>
              <w:top w:val="nil"/>
              <w:left w:val="nil"/>
              <w:bottom w:val="nil"/>
              <w:right w:val="nil"/>
            </w:tcBorders>
            <w:noWrap/>
          </w:tcPr>
          <w:p>
            <w:pPr>
              <w:pStyle w:val="yTableNAm"/>
            </w:pPr>
            <w:r>
              <w:t>26.90 plus</w:t>
            </w:r>
            <w:r>
              <w:br/>
              <w:t>9.60 per page</w:t>
            </w:r>
          </w:p>
        </w:tc>
        <w:tc>
          <w:tcPr>
            <w:tcW w:w="1276" w:type="dxa"/>
            <w:tcBorders>
              <w:top w:val="nil"/>
              <w:left w:val="nil"/>
              <w:bottom w:val="nil"/>
              <w:right w:val="nil"/>
            </w:tcBorders>
            <w:noWrap/>
          </w:tcPr>
          <w:p>
            <w:pPr>
              <w:pStyle w:val="yTableNAm"/>
            </w:pPr>
            <w:r>
              <w:t>26.90 plus</w:t>
            </w:r>
            <w:r>
              <w:br/>
              <w:t>19.40 per page</w:t>
            </w:r>
          </w:p>
        </w:tc>
        <w:tc>
          <w:tcPr>
            <w:tcW w:w="1276" w:type="dxa"/>
            <w:tcBorders>
              <w:top w:val="nil"/>
              <w:left w:val="nil"/>
              <w:bottom w:val="nil"/>
              <w:right w:val="nil"/>
            </w:tcBorders>
            <w:noWrap/>
          </w:tcPr>
          <w:p>
            <w:pPr>
              <w:pStyle w:val="yTableNAm"/>
            </w:pPr>
            <w:r>
              <w:t xml:space="preserve">8.05 plus </w:t>
            </w:r>
            <w:r>
              <w:br/>
              <w:t>2.90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(iv)</w:t>
            </w:r>
            <w:r>
              <w:tab/>
              <w:t>provided within 7 days after the day on which the fee is paid</w:t>
            </w:r>
          </w:p>
        </w:tc>
        <w:tc>
          <w:tcPr>
            <w:tcW w:w="1275" w:type="dxa"/>
            <w:tcBorders>
              <w:top w:val="nil"/>
              <w:left w:val="nil"/>
              <w:bottom w:val="nil"/>
              <w:right w:val="nil"/>
            </w:tcBorders>
            <w:noWrap/>
          </w:tcPr>
          <w:p>
            <w:pPr>
              <w:pStyle w:val="yTableNAm"/>
            </w:pPr>
            <w:r>
              <w:t xml:space="preserve">26.90 plus </w:t>
            </w:r>
            <w:r>
              <w:br/>
              <w:t>9.30 per page</w:t>
            </w:r>
          </w:p>
        </w:tc>
        <w:tc>
          <w:tcPr>
            <w:tcW w:w="1276" w:type="dxa"/>
            <w:tcBorders>
              <w:top w:val="nil"/>
              <w:left w:val="nil"/>
              <w:bottom w:val="nil"/>
              <w:right w:val="nil"/>
            </w:tcBorders>
            <w:noWrap/>
          </w:tcPr>
          <w:p>
            <w:pPr>
              <w:pStyle w:val="yTableNAm"/>
            </w:pPr>
            <w:r>
              <w:t>26.90 plus</w:t>
            </w:r>
            <w:r>
              <w:br/>
              <w:t>18.45 per page</w:t>
            </w:r>
          </w:p>
        </w:tc>
        <w:tc>
          <w:tcPr>
            <w:tcW w:w="1276" w:type="dxa"/>
            <w:tcBorders>
              <w:top w:val="nil"/>
              <w:left w:val="nil"/>
              <w:bottom w:val="nil"/>
              <w:right w:val="nil"/>
            </w:tcBorders>
            <w:noWrap/>
          </w:tcPr>
          <w:p>
            <w:pPr>
              <w:pStyle w:val="yTableNAm"/>
            </w:pPr>
            <w:r>
              <w:t xml:space="preserve">8.05 plus </w:t>
            </w:r>
            <w:r>
              <w:br/>
              <w:t>2.80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w:t>
            </w:r>
            <w:r>
              <w:tab/>
              <w:t>provided within 14 days after the day on which the fee is paid</w:t>
            </w:r>
          </w:p>
        </w:tc>
        <w:tc>
          <w:tcPr>
            <w:tcW w:w="1275" w:type="dxa"/>
            <w:tcBorders>
              <w:top w:val="nil"/>
              <w:left w:val="nil"/>
              <w:bottom w:val="nil"/>
              <w:right w:val="nil"/>
            </w:tcBorders>
            <w:noWrap/>
          </w:tcPr>
          <w:p>
            <w:pPr>
              <w:pStyle w:val="yTableNAm"/>
            </w:pPr>
            <w:r>
              <w:t xml:space="preserve">26.90 plus </w:t>
            </w:r>
            <w:r>
              <w:br/>
              <w:t>7.85 per page</w:t>
            </w:r>
          </w:p>
        </w:tc>
        <w:tc>
          <w:tcPr>
            <w:tcW w:w="1276" w:type="dxa"/>
            <w:tcBorders>
              <w:top w:val="nil"/>
              <w:left w:val="nil"/>
              <w:bottom w:val="nil"/>
              <w:right w:val="nil"/>
            </w:tcBorders>
            <w:noWrap/>
          </w:tcPr>
          <w:p>
            <w:pPr>
              <w:pStyle w:val="yTableNAm"/>
            </w:pPr>
            <w:r>
              <w:t>26.90 plus</w:t>
            </w:r>
            <w:r>
              <w:br/>
              <w:t>15.75 per page</w:t>
            </w:r>
          </w:p>
        </w:tc>
        <w:tc>
          <w:tcPr>
            <w:tcW w:w="1276" w:type="dxa"/>
            <w:tcBorders>
              <w:top w:val="nil"/>
              <w:left w:val="nil"/>
              <w:bottom w:val="nil"/>
              <w:right w:val="nil"/>
            </w:tcBorders>
            <w:noWrap/>
          </w:tcPr>
          <w:p>
            <w:pPr>
              <w:pStyle w:val="yTableNAm"/>
            </w:pPr>
            <w:r>
              <w:t xml:space="preserve">8.05 plus </w:t>
            </w:r>
            <w:r>
              <w:br/>
              <w:t>2.35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t xml:space="preserve">26.90 plus </w:t>
            </w:r>
            <w:r>
              <w:br/>
              <w:t>11.80 per page</w:t>
            </w:r>
          </w:p>
        </w:tc>
        <w:tc>
          <w:tcPr>
            <w:tcW w:w="1276" w:type="dxa"/>
            <w:tcBorders>
              <w:top w:val="nil"/>
              <w:left w:val="nil"/>
              <w:bottom w:val="nil"/>
              <w:right w:val="nil"/>
            </w:tcBorders>
            <w:noWrap/>
          </w:tcPr>
          <w:p>
            <w:pPr>
              <w:pStyle w:val="yTableNAm"/>
            </w:pPr>
            <w:r>
              <w:t>26.90 plus</w:t>
            </w:r>
            <w:r>
              <w:br/>
              <w:t>23.60 per page</w:t>
            </w:r>
          </w:p>
        </w:tc>
        <w:tc>
          <w:tcPr>
            <w:tcW w:w="1276" w:type="dxa"/>
            <w:tcBorders>
              <w:top w:val="nil"/>
              <w:left w:val="nil"/>
              <w:bottom w:val="nil"/>
              <w:right w:val="nil"/>
            </w:tcBorders>
            <w:noWrap/>
          </w:tcPr>
          <w:p>
            <w:pPr>
              <w:pStyle w:val="yTableNAm"/>
            </w:pPr>
            <w:r>
              <w:t xml:space="preserve">8.05 plus </w:t>
            </w:r>
            <w:r>
              <w:br/>
              <w:t>3.55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providing a copy of a transcript, or part of a transcript, </w:t>
            </w:r>
            <w:r>
              <w:rPr>
                <w:szCs w:val="22"/>
              </w:rPr>
              <w:t>if</w:t>
            </w:r>
            <w:r>
              <w:t xml:space="preserve"> the </w:t>
            </w:r>
            <w:r>
              <w:rPr>
                <w:szCs w:val="22"/>
              </w:rPr>
              <w:t>transcript</w:t>
            </w:r>
            <w:r>
              <w:t xml:space="preserve"> or part has been provided to the person requesting the copy — </w:t>
            </w:r>
          </w:p>
        </w:tc>
        <w:tc>
          <w:tcPr>
            <w:tcW w:w="1275" w:type="dxa"/>
            <w:tcBorders>
              <w:top w:val="nil"/>
              <w:left w:val="nil"/>
              <w:bottom w:val="nil"/>
              <w:right w:val="nil"/>
            </w:tcBorders>
            <w:noWrap/>
          </w:tcPr>
          <w:p>
            <w:pPr>
              <w:pStyle w:val="yTableNAm"/>
              <w:rPr>
                <w:szCs w:val="22"/>
              </w:rPr>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electronic format</w:t>
            </w:r>
          </w:p>
        </w:tc>
        <w:tc>
          <w:tcPr>
            <w:tcW w:w="1275" w:type="dxa"/>
            <w:tcBorders>
              <w:top w:val="nil"/>
              <w:left w:val="nil"/>
              <w:bottom w:val="nil"/>
              <w:right w:val="nil"/>
            </w:tcBorders>
            <w:noWrap/>
          </w:tcPr>
          <w:p>
            <w:pPr>
              <w:pStyle w:val="yTableNAm"/>
              <w:rPr>
                <w:szCs w:val="22"/>
              </w:rPr>
            </w:pPr>
            <w:r>
              <w:rPr>
                <w:szCs w:val="22"/>
              </w:rPr>
              <w:t>28.10 per copy</w:t>
            </w:r>
          </w:p>
        </w:tc>
        <w:tc>
          <w:tcPr>
            <w:tcW w:w="1276" w:type="dxa"/>
            <w:tcBorders>
              <w:top w:val="nil"/>
              <w:left w:val="nil"/>
              <w:bottom w:val="nil"/>
              <w:right w:val="nil"/>
            </w:tcBorders>
            <w:noWrap/>
          </w:tcPr>
          <w:p>
            <w:pPr>
              <w:pStyle w:val="yTableNAm"/>
            </w:pPr>
            <w:r>
              <w:rPr>
                <w:szCs w:val="22"/>
              </w:rPr>
              <w:t>28.10 </w:t>
            </w:r>
            <w:r>
              <w:t>per copy</w:t>
            </w:r>
          </w:p>
        </w:tc>
        <w:tc>
          <w:tcPr>
            <w:tcW w:w="1276" w:type="dxa"/>
            <w:tcBorders>
              <w:top w:val="nil"/>
              <w:left w:val="nil"/>
              <w:bottom w:val="nil"/>
              <w:right w:val="nil"/>
            </w:tcBorders>
            <w:noWrap/>
          </w:tcPr>
          <w:p>
            <w:pPr>
              <w:pStyle w:val="yTableNAm"/>
            </w:pPr>
            <w:r>
              <w:t>8.45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paper copy</w:t>
            </w:r>
          </w:p>
        </w:tc>
        <w:tc>
          <w:tcPr>
            <w:tcW w:w="1275" w:type="dxa"/>
            <w:tcBorders>
              <w:top w:val="nil"/>
              <w:left w:val="nil"/>
              <w:bottom w:val="nil"/>
              <w:right w:val="nil"/>
            </w:tcBorders>
            <w:noWrap/>
          </w:tcPr>
          <w:p>
            <w:pPr>
              <w:pStyle w:val="yTableNAm"/>
              <w:rPr>
                <w:szCs w:val="22"/>
              </w:rPr>
            </w:pPr>
            <w:r>
              <w:rPr>
                <w:szCs w:val="22"/>
              </w:rPr>
              <w:t>2.80 per page</w:t>
            </w:r>
          </w:p>
        </w:tc>
        <w:tc>
          <w:tcPr>
            <w:tcW w:w="1276" w:type="dxa"/>
            <w:tcBorders>
              <w:top w:val="nil"/>
              <w:left w:val="nil"/>
              <w:bottom w:val="nil"/>
              <w:right w:val="nil"/>
            </w:tcBorders>
            <w:noWrap/>
          </w:tcPr>
          <w:p>
            <w:pPr>
              <w:pStyle w:val="yTableNAm"/>
            </w:pPr>
            <w:r>
              <w:t>2.80 per page</w:t>
            </w:r>
          </w:p>
        </w:tc>
        <w:tc>
          <w:tcPr>
            <w:tcW w:w="1276" w:type="dxa"/>
            <w:tcBorders>
              <w:top w:val="nil"/>
              <w:left w:val="nil"/>
              <w:bottom w:val="nil"/>
              <w:right w:val="nil"/>
            </w:tcBorders>
            <w:noWrap/>
          </w:tcPr>
          <w:p>
            <w:pPr>
              <w:pStyle w:val="yTableNAm"/>
            </w:pPr>
            <w:r>
              <w:t>0.85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175"/>
              <w:jc w:val="right"/>
            </w:pPr>
            <w:r>
              <w:t>29.30</w:t>
            </w:r>
          </w:p>
        </w:tc>
        <w:tc>
          <w:tcPr>
            <w:tcW w:w="1276" w:type="dxa"/>
            <w:tcBorders>
              <w:top w:val="nil"/>
              <w:left w:val="nil"/>
              <w:bottom w:val="nil"/>
              <w:right w:val="nil"/>
            </w:tcBorders>
            <w:noWrap/>
            <w:vAlign w:val="bottom"/>
          </w:tcPr>
          <w:p>
            <w:pPr>
              <w:pStyle w:val="yTableNAm"/>
              <w:ind w:right="175"/>
              <w:jc w:val="right"/>
            </w:pPr>
            <w:r>
              <w:t>29.30</w:t>
            </w:r>
          </w:p>
        </w:tc>
        <w:tc>
          <w:tcPr>
            <w:tcW w:w="1276" w:type="dxa"/>
            <w:tcBorders>
              <w:top w:val="nil"/>
              <w:left w:val="nil"/>
              <w:bottom w:val="nil"/>
              <w:right w:val="nil"/>
            </w:tcBorders>
            <w:noWrap/>
            <w:vAlign w:val="bottom"/>
          </w:tcPr>
          <w:p>
            <w:pPr>
              <w:pStyle w:val="yTableNAm"/>
              <w:ind w:right="175"/>
              <w:jc w:val="right"/>
            </w:pPr>
            <w:r>
              <w:t>8.80</w:t>
            </w:r>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175"/>
              <w:jc w:val="right"/>
            </w:pPr>
            <w:r>
              <w:t>65.00</w:t>
            </w:r>
          </w:p>
        </w:tc>
        <w:tc>
          <w:tcPr>
            <w:tcW w:w="1276" w:type="dxa"/>
            <w:tcBorders>
              <w:top w:val="nil"/>
              <w:left w:val="nil"/>
              <w:bottom w:val="nil"/>
              <w:right w:val="nil"/>
            </w:tcBorders>
            <w:noWrap/>
            <w:vAlign w:val="bottom"/>
          </w:tcPr>
          <w:p>
            <w:pPr>
              <w:pStyle w:val="yTableNAm"/>
              <w:ind w:right="175"/>
              <w:jc w:val="right"/>
            </w:pPr>
            <w:r>
              <w:t>65.00</w:t>
            </w:r>
          </w:p>
        </w:tc>
        <w:tc>
          <w:tcPr>
            <w:tcW w:w="1276" w:type="dxa"/>
            <w:tcBorders>
              <w:top w:val="nil"/>
              <w:left w:val="nil"/>
              <w:bottom w:val="nil"/>
              <w:right w:val="nil"/>
            </w:tcBorders>
            <w:noWrap/>
            <w:vAlign w:val="bottom"/>
          </w:tcPr>
          <w:p>
            <w:pPr>
              <w:pStyle w:val="yTableNAm"/>
              <w:ind w:right="175"/>
              <w:jc w:val="right"/>
            </w:pPr>
            <w:r>
              <w:t>19.50</w:t>
            </w:r>
          </w:p>
        </w:tc>
      </w:tr>
      <w:tr>
        <w:trPr>
          <w:cantSplit/>
        </w:trPr>
        <w:tc>
          <w:tcPr>
            <w:tcW w:w="767" w:type="dxa"/>
            <w:tcBorders>
              <w:top w:val="nil"/>
              <w:left w:val="nil"/>
              <w:bottom w:val="single" w:sz="4" w:space="0" w:color="auto"/>
              <w:right w:val="nil"/>
            </w:tcBorders>
            <w:noWrap/>
          </w:tcPr>
          <w:p>
            <w:pPr>
              <w:pStyle w:val="yTableNAm"/>
              <w:keepNext/>
            </w:pPr>
            <w:r>
              <w:t>8.</w:t>
            </w:r>
          </w:p>
        </w:tc>
        <w:tc>
          <w:tcPr>
            <w:tcW w:w="2302" w:type="dxa"/>
            <w:tcBorders>
              <w:top w:val="nil"/>
              <w:left w:val="nil"/>
              <w:bottom w:val="single" w:sz="4" w:space="0" w:color="auto"/>
              <w:right w:val="nil"/>
            </w:tcBorders>
            <w:noWrap/>
          </w:tcPr>
          <w:p>
            <w:pPr>
              <w:pStyle w:val="yTableNAm"/>
              <w:keepNext/>
            </w:pPr>
            <w:r>
              <w:t>For sealing a summons to a witness</w:t>
            </w:r>
          </w:p>
        </w:tc>
        <w:tc>
          <w:tcPr>
            <w:tcW w:w="1275" w:type="dxa"/>
            <w:tcBorders>
              <w:top w:val="nil"/>
              <w:left w:val="nil"/>
              <w:bottom w:val="single" w:sz="4" w:space="0" w:color="auto"/>
              <w:right w:val="nil"/>
            </w:tcBorders>
            <w:noWrap/>
            <w:vAlign w:val="bottom"/>
          </w:tcPr>
          <w:p>
            <w:pPr>
              <w:pStyle w:val="yTableNAm"/>
              <w:keepNext/>
              <w:ind w:right="175"/>
              <w:jc w:val="right"/>
            </w:pPr>
            <w:r>
              <w:t>53.50</w:t>
            </w:r>
          </w:p>
        </w:tc>
        <w:tc>
          <w:tcPr>
            <w:tcW w:w="1276" w:type="dxa"/>
            <w:tcBorders>
              <w:top w:val="nil"/>
              <w:left w:val="nil"/>
              <w:bottom w:val="single" w:sz="4" w:space="0" w:color="auto"/>
              <w:right w:val="nil"/>
            </w:tcBorders>
            <w:noWrap/>
            <w:vAlign w:val="bottom"/>
          </w:tcPr>
          <w:p>
            <w:pPr>
              <w:pStyle w:val="yTableNAm"/>
              <w:keepNext/>
              <w:ind w:right="175"/>
              <w:jc w:val="right"/>
            </w:pPr>
            <w:r>
              <w:t>53.50</w:t>
            </w:r>
          </w:p>
        </w:tc>
        <w:tc>
          <w:tcPr>
            <w:tcW w:w="1276" w:type="dxa"/>
            <w:tcBorders>
              <w:top w:val="nil"/>
              <w:left w:val="nil"/>
              <w:bottom w:val="single" w:sz="4" w:space="0" w:color="auto"/>
              <w:right w:val="nil"/>
            </w:tcBorders>
            <w:noWrap/>
            <w:vAlign w:val="bottom"/>
          </w:tcPr>
          <w:p>
            <w:pPr>
              <w:pStyle w:val="yTableNAm"/>
              <w:keepNext/>
              <w:ind w:right="175"/>
              <w:jc w:val="right"/>
            </w:pPr>
            <w:r>
              <w:t>16.05</w:t>
            </w:r>
          </w:p>
        </w:tc>
      </w:tr>
    </w:tbl>
    <w:p>
      <w:pPr>
        <w:pStyle w:val="yFootnotesection"/>
      </w:pPr>
      <w:r>
        <w:tab/>
        <w:t>[Schedule 8 inserted: SL 2023/120 r. 37.]</w:t>
      </w:r>
    </w:p>
    <w:p>
      <w:pPr>
        <w:pStyle w:val="yEdnoteschedule"/>
      </w:pPr>
      <w:r>
        <w:t>[Schedules 9</w:t>
      </w:r>
      <w:r>
        <w:noBreakHyphen/>
        <w:t>19 deleted: Gazette 26 Jun 2007 p. 2987.]</w:t>
      </w:r>
    </w:p>
    <w:p>
      <w:pPr>
        <w:pStyle w:val="yEdnoteschedule"/>
      </w:pPr>
      <w:r>
        <w:t>[Schedule 20 deleted: SL 2023/120 r. 37.]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544" w:gutter="0"/>
          <w:cols w:space="720"/>
          <w:noEndnote/>
          <w:docGrid w:linePitch="326"/>
        </w:sectPr>
      </w:pPr>
    </w:p>
    <w:p>
      <w:pPr>
        <w:pStyle w:val="nHeading2"/>
      </w:pPr>
      <w:bookmarkStart w:id="79" w:name="_Toc199323161"/>
      <w:bookmarkStart w:id="80" w:name="_Toc155173327"/>
      <w:r>
        <w:t>Notes</w:t>
      </w:r>
      <w:bookmarkEnd w:id="79"/>
      <w:bookmarkEnd w:id="80"/>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 </w:t>
      </w:r>
      <w:ins w:id="81" w:author="Master Repository Process" w:date="2025-05-28T11:13:00Z">
        <w:r>
          <w:t>For provisions that have not yet come into operation see the uncommenced provisions table.</w:t>
        </w:r>
      </w:ins>
    </w:p>
    <w:p>
      <w:pPr>
        <w:pStyle w:val="nHeading3"/>
      </w:pPr>
      <w:bookmarkStart w:id="82" w:name="_Toc199323162"/>
      <w:bookmarkStart w:id="83" w:name="_Toc155173328"/>
      <w:r>
        <w:t>Compilation table</w:t>
      </w:r>
      <w:bookmarkEnd w:id="82"/>
      <w:bookmarkEnd w:id="83"/>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83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835"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835"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835"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835"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835"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835"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835"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835"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835"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8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835"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835"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835"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835"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835"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835"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835"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835"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835"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835"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835"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835"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835"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835"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835"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835"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835"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835"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835"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835"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835"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835"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835"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835"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835"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835"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835"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835"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835"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835"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835"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835"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835"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835"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835"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835"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835"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 16 Jul 2021</w:t>
            </w:r>
          </w:p>
        </w:tc>
        <w:tc>
          <w:tcPr>
            <w:tcW w:w="2835"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835"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(No. 4) 2021</w:t>
            </w:r>
          </w:p>
        </w:tc>
        <w:tc>
          <w:tcPr>
            <w:tcW w:w="1276" w:type="dxa"/>
            <w:tcBorders>
              <w:top w:val="nil"/>
              <w:bottom w:val="nil"/>
            </w:tcBorders>
            <w:shd w:val="clear" w:color="auto" w:fill="auto"/>
          </w:tcPr>
          <w:p>
            <w:pPr>
              <w:pStyle w:val="nTable"/>
              <w:spacing w:after="40"/>
            </w:pPr>
            <w:r>
              <w:t>SL 2021/157 10 Sep 2021</w:t>
            </w:r>
          </w:p>
        </w:tc>
        <w:tc>
          <w:tcPr>
            <w:tcW w:w="2835" w:type="dxa"/>
            <w:tcBorders>
              <w:top w:val="nil"/>
              <w:bottom w:val="nil"/>
            </w:tcBorders>
            <w:shd w:val="clear" w:color="auto" w:fill="auto"/>
          </w:tcPr>
          <w:p>
            <w:pPr>
              <w:pStyle w:val="nTable"/>
              <w:spacing w:after="40"/>
            </w:pPr>
            <w:r>
              <w:t>r. 1 and 2: 10 Sep 2021 (see r. 2(a));</w:t>
            </w:r>
            <w:r>
              <w:br/>
              <w:t>Regulations other than r. 1 and 2: 1 Oct 2021 (see r. 2(b))</w:t>
            </w:r>
          </w:p>
        </w:tc>
      </w:tr>
      <w:tr>
        <w:trPr>
          <w:cantSplit/>
        </w:trPr>
        <w:tc>
          <w:tcPr>
            <w:tcW w:w="3119" w:type="dxa"/>
            <w:tcBorders>
              <w:top w:val="nil"/>
              <w:bottom w:val="nil"/>
            </w:tcBorders>
            <w:shd w:val="clear" w:color="auto" w:fill="auto"/>
          </w:tcPr>
          <w:p>
            <w:pPr>
              <w:pStyle w:val="nTable"/>
              <w:spacing w:after="40"/>
              <w:rPr>
                <w:i/>
                <w:iCs/>
              </w:rPr>
            </w:pPr>
            <w:r>
              <w:rPr>
                <w:i/>
              </w:rPr>
              <w:t>State Administrative Tribunal Amendment Regulations (No. 5) 2021</w:t>
            </w:r>
          </w:p>
        </w:tc>
        <w:tc>
          <w:tcPr>
            <w:tcW w:w="1276" w:type="dxa"/>
            <w:tcBorders>
              <w:top w:val="nil"/>
              <w:bottom w:val="nil"/>
            </w:tcBorders>
            <w:shd w:val="clear" w:color="auto" w:fill="auto"/>
          </w:tcPr>
          <w:p>
            <w:pPr>
              <w:pStyle w:val="nTable"/>
              <w:spacing w:after="40"/>
            </w:pPr>
            <w:r>
              <w:t>SL 2021/201 3 Dec 2021</w:t>
            </w:r>
          </w:p>
        </w:tc>
        <w:tc>
          <w:tcPr>
            <w:tcW w:w="2835" w:type="dxa"/>
            <w:tcBorders>
              <w:top w:val="nil"/>
              <w:bottom w:val="nil"/>
            </w:tcBorders>
            <w:shd w:val="clear" w:color="auto" w:fill="auto"/>
          </w:tcPr>
          <w:p>
            <w:pPr>
              <w:pStyle w:val="nTable"/>
              <w:spacing w:after="40"/>
            </w:pPr>
            <w:r>
              <w:t>r. 1 and 2: 3 Dec 2021 (see r. 2(a));</w:t>
            </w:r>
            <w:r>
              <w:br/>
              <w:t>Regulations other than r. 1 and 2: 31 Jan 2022 (see r. 2(b) and SL 2021/195 cl. 2)</w:t>
            </w:r>
          </w:p>
        </w:tc>
      </w:tr>
      <w:tr>
        <w:trPr>
          <w:cantSplit/>
        </w:trPr>
        <w:tc>
          <w:tcPr>
            <w:tcW w:w="3119" w:type="dxa"/>
            <w:tcBorders>
              <w:top w:val="nil"/>
              <w:bottom w:val="nil"/>
            </w:tcBorders>
            <w:shd w:val="clear" w:color="auto" w:fill="auto"/>
          </w:tcPr>
          <w:p>
            <w:pPr>
              <w:pStyle w:val="nTable"/>
              <w:spacing w:after="40"/>
              <w:rPr>
                <w:i/>
              </w:rPr>
            </w:pPr>
            <w:r>
              <w:rPr>
                <w:i/>
                <w:noProof/>
              </w:rPr>
              <w:t>State Administrative Tribunal Amendment Regulations 2022</w:t>
            </w:r>
          </w:p>
        </w:tc>
        <w:tc>
          <w:tcPr>
            <w:tcW w:w="1276" w:type="dxa"/>
            <w:tcBorders>
              <w:top w:val="nil"/>
              <w:bottom w:val="nil"/>
            </w:tcBorders>
            <w:shd w:val="clear" w:color="auto" w:fill="auto"/>
          </w:tcPr>
          <w:p>
            <w:pPr>
              <w:pStyle w:val="nTable"/>
              <w:spacing w:after="40"/>
            </w:pPr>
            <w:r>
              <w:t>SL 2022/39 25 Mar 2022</w:t>
            </w:r>
          </w:p>
        </w:tc>
        <w:tc>
          <w:tcPr>
            <w:tcW w:w="2835" w:type="dxa"/>
            <w:tcBorders>
              <w:top w:val="nil"/>
              <w:bottom w:val="nil"/>
            </w:tcBorders>
            <w:shd w:val="clear" w:color="auto" w:fill="auto"/>
          </w:tcPr>
          <w:p>
            <w:pPr>
              <w:pStyle w:val="nTable"/>
              <w:spacing w:after="40"/>
            </w:pPr>
            <w:r>
              <w:t>r. 1 and 2: 25 Mar 2022 (see r. 2(a));</w:t>
            </w:r>
            <w:r>
              <w:br/>
              <w:t>Regulations other than r. 1 and 2: 1 Apr 2022 (see r. 2(b))</w:t>
            </w:r>
          </w:p>
        </w:tc>
      </w:tr>
      <w:tr>
        <w:trPr>
          <w:cantSplit/>
        </w:trPr>
        <w:tc>
          <w:tcPr>
            <w:tcW w:w="3119" w:type="dxa"/>
            <w:tcBorders>
              <w:top w:val="nil"/>
              <w:bottom w:val="nil"/>
            </w:tcBorders>
            <w:shd w:val="clear" w:color="auto" w:fill="auto"/>
          </w:tcPr>
          <w:p>
            <w:pPr>
              <w:pStyle w:val="nTable"/>
              <w:spacing w:after="40"/>
              <w:rPr>
                <w:i/>
                <w:noProof/>
              </w:rPr>
            </w:pPr>
            <w:r>
              <w:rPr>
                <w:i/>
                <w:noProof/>
              </w:rPr>
              <w:t>Attorney General Regulations Amendment (Veterinary Practice) Regulations 2022</w:t>
            </w:r>
            <w:r>
              <w:rPr>
                <w:noProof/>
              </w:rPr>
              <w:t xml:space="preserve"> Pt. 3</w:t>
            </w:r>
          </w:p>
        </w:tc>
        <w:tc>
          <w:tcPr>
            <w:tcW w:w="1276" w:type="dxa"/>
            <w:tcBorders>
              <w:top w:val="nil"/>
              <w:bottom w:val="nil"/>
            </w:tcBorders>
            <w:shd w:val="clear" w:color="auto" w:fill="auto"/>
          </w:tcPr>
          <w:p>
            <w:pPr>
              <w:pStyle w:val="nTable"/>
              <w:spacing w:after="40"/>
            </w:pPr>
            <w:r>
              <w:t>SL 2022/97 17 Jun 2022</w:t>
            </w:r>
          </w:p>
        </w:tc>
        <w:tc>
          <w:tcPr>
            <w:tcW w:w="2835" w:type="dxa"/>
            <w:tcBorders>
              <w:top w:val="nil"/>
              <w:bottom w:val="nil"/>
            </w:tcBorders>
            <w:shd w:val="clear" w:color="auto" w:fill="auto"/>
          </w:tcPr>
          <w:p>
            <w:pPr>
              <w:pStyle w:val="nTable"/>
              <w:spacing w:after="40"/>
            </w:pPr>
            <w:r>
              <w:rPr>
                <w:bCs/>
                <w:snapToGrid w:val="0"/>
              </w:rPr>
              <w:t>18 Jun 2022 (see r. 2(b) and SL 2022/81 cl. 2)</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(Fees and Charges) Regulations 2022</w:t>
            </w:r>
            <w:r>
              <w:t xml:space="preserve"> Pt. 11</w:t>
            </w:r>
          </w:p>
        </w:tc>
        <w:tc>
          <w:tcPr>
            <w:tcW w:w="1276" w:type="dxa"/>
            <w:tcBorders>
              <w:top w:val="nil"/>
              <w:bottom w:val="nil"/>
            </w:tcBorders>
            <w:shd w:val="clear" w:color="auto" w:fill="auto"/>
          </w:tcPr>
          <w:p>
            <w:pPr>
              <w:pStyle w:val="nTable"/>
              <w:spacing w:after="40"/>
            </w:pPr>
            <w:r>
              <w:t>SL 2022/111</w:t>
            </w:r>
            <w:r>
              <w:br/>
              <w:t>30 Jun 2022</w:t>
            </w:r>
          </w:p>
        </w:tc>
        <w:tc>
          <w:tcPr>
            <w:tcW w:w="2835" w:type="dxa"/>
            <w:tcBorders>
              <w:top w:val="nil"/>
              <w:bottom w:val="nil"/>
            </w:tcBorders>
            <w:shd w:val="clear" w:color="auto" w:fill="auto"/>
          </w:tcPr>
          <w:p>
            <w:pPr>
              <w:pStyle w:val="nTable"/>
              <w:spacing w:after="40"/>
              <w:rPr>
                <w:bCs/>
                <w:snapToGrid w:val="0"/>
              </w:rPr>
            </w:pPr>
            <w:r>
              <w:t>1 Jul 2022 (see r. 2(b))</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(Legal Profession) Regulations 2022</w:t>
            </w:r>
            <w:r>
              <w:t xml:space="preserve"> Pt. 5</w:t>
            </w:r>
          </w:p>
        </w:tc>
        <w:tc>
          <w:tcPr>
            <w:tcW w:w="1276" w:type="dxa"/>
            <w:tcBorders>
              <w:top w:val="nil"/>
              <w:bottom w:val="nil"/>
            </w:tcBorders>
            <w:shd w:val="clear" w:color="auto" w:fill="auto"/>
          </w:tcPr>
          <w:p>
            <w:pPr>
              <w:pStyle w:val="nTable"/>
              <w:spacing w:after="40"/>
            </w:pPr>
            <w:r>
              <w:t>SL 2022/114</w:t>
            </w:r>
            <w:r>
              <w:br/>
              <w:t>30 Jun 2022</w:t>
            </w:r>
          </w:p>
        </w:tc>
        <w:tc>
          <w:tcPr>
            <w:tcW w:w="2835" w:type="dxa"/>
            <w:tcBorders>
              <w:top w:val="nil"/>
              <w:bottom w:val="nil"/>
            </w:tcBorders>
            <w:shd w:val="clear" w:color="auto" w:fill="auto"/>
          </w:tcPr>
          <w:p>
            <w:pPr>
              <w:pStyle w:val="nTable"/>
              <w:spacing w:after="40"/>
              <w:rPr>
                <w:bCs/>
                <w:snapToGrid w:val="0"/>
              </w:rPr>
            </w:pPr>
            <w:r>
              <w:t>1 Jul 2022 (see r. 2(b) and SL 2022/111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2023</w:t>
            </w:r>
          </w:p>
        </w:tc>
        <w:tc>
          <w:tcPr>
            <w:tcW w:w="1276" w:type="dxa"/>
            <w:tcBorders>
              <w:top w:val="nil"/>
              <w:bottom w:val="nil"/>
            </w:tcBorders>
            <w:shd w:val="clear" w:color="auto" w:fill="auto"/>
          </w:tcPr>
          <w:p>
            <w:pPr>
              <w:pStyle w:val="nTable"/>
              <w:spacing w:after="40"/>
            </w:pPr>
            <w:r>
              <w:t>SL 2023/49 19 May 2023</w:t>
            </w:r>
          </w:p>
        </w:tc>
        <w:tc>
          <w:tcPr>
            <w:tcW w:w="2835" w:type="dxa"/>
            <w:tcBorders>
              <w:top w:val="nil"/>
              <w:bottom w:val="nil"/>
            </w:tcBorders>
            <w:shd w:val="clear" w:color="auto" w:fill="auto"/>
          </w:tcPr>
          <w:p>
            <w:pPr>
              <w:pStyle w:val="nTable"/>
              <w:spacing w:after="40"/>
            </w:pPr>
            <w:r>
              <w:t>r. 1 and 2: 19 May 2023 (see r. 2(a));</w:t>
            </w:r>
            <w:r>
              <w:br/>
              <w:t>Regulations other than r. 1 and 2: 1 Jul 2023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Attorney General Regulations Amendment (Fees and Charges) Regulations 2023</w:t>
            </w:r>
            <w:r>
              <w:t xml:space="preserve"> Pt. 11</w:t>
            </w:r>
          </w:p>
        </w:tc>
        <w:tc>
          <w:tcPr>
            <w:tcW w:w="1276" w:type="dxa"/>
            <w:tcBorders>
              <w:top w:val="nil"/>
              <w:bottom w:val="single" w:sz="4" w:space="0" w:color="auto"/>
            </w:tcBorders>
            <w:shd w:val="clear" w:color="auto" w:fill="auto"/>
          </w:tcPr>
          <w:p>
            <w:pPr>
              <w:pStyle w:val="nTable"/>
              <w:spacing w:after="40"/>
            </w:pPr>
            <w:r>
              <w:t>SL 2023/120 2 Aug 2023</w:t>
            </w:r>
          </w:p>
        </w:tc>
        <w:tc>
          <w:tcPr>
            <w:tcW w:w="2835" w:type="dxa"/>
            <w:tcBorders>
              <w:top w:val="nil"/>
              <w:bottom w:val="single" w:sz="4" w:space="0" w:color="auto"/>
            </w:tcBorders>
            <w:shd w:val="clear" w:color="auto" w:fill="auto"/>
          </w:tcPr>
          <w:p>
            <w:pPr>
              <w:pStyle w:val="nTable"/>
              <w:spacing w:after="40"/>
            </w:pPr>
            <w:r>
              <w:t>3 Aug 2023 (see r. 2(b))</w:t>
            </w:r>
          </w:p>
        </w:tc>
      </w:tr>
    </w:tbl>
    <w:p>
      <w:pPr>
        <w:pStyle w:val="nHeading3"/>
        <w:rPr>
          <w:ins w:id="84" w:author="Master Repository Process" w:date="2025-05-28T11:13:00Z"/>
        </w:rPr>
      </w:pPr>
      <w:bookmarkStart w:id="85" w:name="_Toc199323163"/>
      <w:ins w:id="86" w:author="Master Repository Process" w:date="2025-05-28T11:13:00Z">
        <w:r>
          <w:t>Uncommenced provisions table</w:t>
        </w:r>
        <w:bookmarkEnd w:id="85"/>
      </w:ins>
    </w:p>
    <w:p>
      <w:pPr>
        <w:pStyle w:val="nStatement"/>
        <w:keepNext/>
        <w:spacing w:after="240"/>
        <w:rPr>
          <w:ins w:id="87" w:author="Master Repository Process" w:date="2025-05-28T11:13:00Z"/>
        </w:rPr>
      </w:pPr>
      <w:ins w:id="88" w:author="Master Repository Process" w:date="2025-05-28T11:1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9" w:author="Master Repository Process" w:date="2025-05-28T11:13:00Z"/>
        </w:trPr>
        <w:tc>
          <w:tcPr>
            <w:tcW w:w="3118" w:type="dxa"/>
          </w:tcPr>
          <w:p>
            <w:pPr>
              <w:pStyle w:val="nTable"/>
              <w:spacing w:after="40"/>
              <w:rPr>
                <w:ins w:id="90" w:author="Master Repository Process" w:date="2025-05-28T11:13:00Z"/>
                <w:b/>
              </w:rPr>
            </w:pPr>
            <w:ins w:id="91" w:author="Master Repository Process" w:date="2025-05-28T11:13:00Z">
              <w:r>
                <w:rPr>
                  <w:b/>
                </w:rPr>
                <w:t>Citation</w:t>
              </w:r>
            </w:ins>
          </w:p>
        </w:tc>
        <w:tc>
          <w:tcPr>
            <w:tcW w:w="1276" w:type="dxa"/>
          </w:tcPr>
          <w:p>
            <w:pPr>
              <w:pStyle w:val="nTable"/>
              <w:spacing w:after="40"/>
              <w:rPr>
                <w:ins w:id="92" w:author="Master Repository Process" w:date="2025-05-28T11:13:00Z"/>
                <w:b/>
              </w:rPr>
            </w:pPr>
            <w:ins w:id="93" w:author="Master Repository Process" w:date="2025-05-28T11:13:00Z">
              <w:r>
                <w:rPr>
                  <w:b/>
                </w:rPr>
                <w:t>Published</w:t>
              </w:r>
            </w:ins>
          </w:p>
        </w:tc>
        <w:tc>
          <w:tcPr>
            <w:tcW w:w="2693" w:type="dxa"/>
          </w:tcPr>
          <w:p>
            <w:pPr>
              <w:pStyle w:val="nTable"/>
              <w:spacing w:after="40"/>
              <w:rPr>
                <w:ins w:id="94" w:author="Master Repository Process" w:date="2025-05-28T11:13:00Z"/>
                <w:b/>
              </w:rPr>
            </w:pPr>
            <w:ins w:id="95" w:author="Master Repository Process" w:date="2025-05-28T11:13:00Z">
              <w:r>
                <w:rPr>
                  <w:b/>
                </w:rPr>
                <w:t>Commencement</w:t>
              </w:r>
            </w:ins>
          </w:p>
        </w:tc>
      </w:tr>
      <w:tr>
        <w:trPr>
          <w:ins w:id="96" w:author="Master Repository Process" w:date="2025-05-28T11:13:00Z"/>
        </w:trPr>
        <w:tc>
          <w:tcPr>
            <w:tcW w:w="3118" w:type="dxa"/>
          </w:tcPr>
          <w:p>
            <w:pPr>
              <w:pStyle w:val="nTable"/>
              <w:spacing w:after="40"/>
              <w:rPr>
                <w:ins w:id="97" w:author="Master Repository Process" w:date="2025-05-28T11:13:00Z"/>
              </w:rPr>
            </w:pPr>
            <w:ins w:id="98" w:author="Master Repository Process" w:date="2025-05-28T11:13:00Z">
              <w:r>
                <w:rPr>
                  <w:i/>
                  <w:iCs/>
                </w:rPr>
                <w:t>State Administrative Tribunal Amendment Regulations (No. 2) 2023</w:t>
              </w:r>
              <w:r>
                <w:t xml:space="preserve"> r. 3 and 4</w:t>
              </w:r>
            </w:ins>
          </w:p>
        </w:tc>
        <w:tc>
          <w:tcPr>
            <w:tcW w:w="1276" w:type="dxa"/>
          </w:tcPr>
          <w:p>
            <w:pPr>
              <w:pStyle w:val="nTable"/>
              <w:spacing w:after="40"/>
              <w:rPr>
                <w:ins w:id="99" w:author="Master Repository Process" w:date="2025-05-28T11:13:00Z"/>
              </w:rPr>
            </w:pPr>
            <w:ins w:id="100" w:author="Master Repository Process" w:date="2025-05-28T11:13:00Z">
              <w:r>
                <w:t>SL 2023/169 1 Nov 2023</w:t>
              </w:r>
            </w:ins>
          </w:p>
        </w:tc>
        <w:tc>
          <w:tcPr>
            <w:tcW w:w="2693" w:type="dxa"/>
          </w:tcPr>
          <w:p>
            <w:pPr>
              <w:pStyle w:val="nTable"/>
              <w:spacing w:after="40"/>
              <w:rPr>
                <w:ins w:id="101" w:author="Master Repository Process" w:date="2025-05-28T11:13:00Z"/>
              </w:rPr>
            </w:pPr>
            <w:ins w:id="102" w:author="Master Repository Process" w:date="2025-05-28T11:13:00Z">
              <w:r>
                <w:t>15 Nov 2023 (see r. 2(b) and SL 2023/161 cl. 2)</w:t>
              </w:r>
            </w:ins>
          </w:p>
        </w:tc>
      </w:tr>
    </w:tbl>
    <w:p>
      <w:pPr>
        <w:pStyle w:val="nHeading3"/>
      </w:pPr>
      <w:bookmarkStart w:id="103" w:name="_Toc199323164"/>
      <w:bookmarkStart w:id="104" w:name="_Toc155173329"/>
      <w:r>
        <w:t>Other notes</w:t>
      </w:r>
      <w:bookmarkEnd w:id="103"/>
      <w:bookmarkEnd w:id="104"/>
    </w:p>
    <w:p>
      <w:pPr>
        <w:pStyle w:val="nNote"/>
        <w:keepNext/>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05-al0-01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6" w:name="Schedule"/>
    <w:bookmarkEnd w:id="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6" w:name="Coversheet"/>
    <w:bookmarkEnd w:id="1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61221"/>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 w:name="WAFER_20220614145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34_GUID" w:val="d43efc82-29fe-4d1f-b065-b79d73ce2815"/>
    <w:docVar w:name="WAFER_20220614145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45649_GUID" w:val="a1aef976-392c-4ae0-94f0-70beee399d23"/>
    <w:docVar w:name="WAFER_20220627102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2351_GUID" w:val="98b0ff4b-d358-4385-a6e2-2dcb1e509520"/>
    <w:docVar w:name="WAFER_20230516152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2943_GUID" w:val="5379538c-d1e6-468f-9536-7c0dab88dd4a"/>
    <w:docVar w:name="WAFER_20230627142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2749_GUID" w:val="eb2b76e4-952f-4a62-8458-b4fab149db02"/>
    <w:docVar w:name="WAFER_2023080116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326_GUID" w:val="0e1b57d8-629b-4b4a-84e4-b2d699afa9a7"/>
    <w:docVar w:name="WAFER_20230802094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57_GUID" w:val="a00a2e90-0711-40cc-872f-4b1a9ae88feb"/>
    <w:docVar w:name="WAFER_20231031093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3343_GUID" w:val="e7f2b722-482b-4aad-8db1-34420db83c90"/>
    <w:docVar w:name="WAFER_20231228161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221_GUID" w:val="ccf0db66-1c7d-4cef-b3cf-af03c82f36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22E6B-3A27-464D-9FE9-93284ABB2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8844</Words>
  <Characters>41572</Characters>
  <Application>Microsoft Office Word</Application>
  <DocSecurity>0</DocSecurity>
  <Lines>1807</Lines>
  <Paragraphs>969</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05-ak0-01 - 05-al0-01</dc:title>
  <dc:subject/>
  <dc:creator/>
  <cp:keywords/>
  <dc:description/>
  <cp:lastModifiedBy>Master Repository Process</cp:lastModifiedBy>
  <cp:revision>2</cp:revision>
  <cp:lastPrinted>2021-03-23T06:07:00Z</cp:lastPrinted>
  <dcterms:created xsi:type="dcterms:W3CDTF">2025-05-28T03:12:00Z</dcterms:created>
  <dcterms:modified xsi:type="dcterms:W3CDTF">2025-05-28T03:13:00Z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No">
    <vt:lpwstr>5</vt:lpwstr>
  </property>
  <property fmtid="{D5CDD505-2E9C-101B-9397-08002B2CF9AE}" pid="6" name="ReprintedAsAt">
    <vt:filetime>2022-03-31T16:00:00Z</vt:filetime>
  </property>
  <property fmtid="{D5CDD505-2E9C-101B-9397-08002B2CF9AE}" pid="7" name="Official">
    <vt:lpwstr/>
  </property>
  <property fmtid="{D5CDD505-2E9C-101B-9397-08002B2CF9AE}" pid="8" name="CommencementDate">
    <vt:lpwstr>20231101</vt:lpwstr>
  </property>
  <property fmtid="{D5CDD505-2E9C-101B-9397-08002B2CF9AE}" pid="9" name="CommencementAsAt">
    <vt:filetime>2023-10-31T16:00:00Z</vt:filetime>
  </property>
  <property fmtid="{D5CDD505-2E9C-101B-9397-08002B2CF9AE}" pid="10" name="CommencementYear">
    <vt:lpwstr>2023</vt:lpwstr>
  </property>
  <property fmtid="{D5CDD505-2E9C-101B-9397-08002B2CF9AE}" pid="11" name="FromSuffix">
    <vt:lpwstr>05-ak0-01</vt:lpwstr>
  </property>
  <property fmtid="{D5CDD505-2E9C-101B-9397-08002B2CF9AE}" pid="12" name="FromAsAtDate">
    <vt:lpwstr>03 Aug 2023</vt:lpwstr>
  </property>
  <property fmtid="{D5CDD505-2E9C-101B-9397-08002B2CF9AE}" pid="13" name="ToSuffix">
    <vt:lpwstr>05-al0-01</vt:lpwstr>
  </property>
  <property fmtid="{D5CDD505-2E9C-101B-9397-08002B2CF9AE}" pid="14" name="ToAsAtDate">
    <vt:lpwstr>01 Nov 2023</vt:lpwstr>
  </property>
</Properties>
</file>