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02-ab0-01</w:t>
      </w:r>
      <w:r>
        <w:fldChar w:fldCharType="end"/>
      </w:r>
      <w:r>
        <w:t>] and [</w:t>
      </w:r>
      <w:r>
        <w:fldChar w:fldCharType="begin"/>
      </w:r>
      <w:r>
        <w:instrText xml:space="preserve"> DocProperty ToAsAtDate</w:instrText>
      </w:r>
      <w:r>
        <w:fldChar w:fldCharType="separate"/>
      </w:r>
      <w:r>
        <w:t>02 Nov 2023</w:t>
      </w:r>
      <w:r>
        <w:fldChar w:fldCharType="end"/>
      </w:r>
      <w:r>
        <w:t xml:space="preserve">, </w:t>
      </w:r>
      <w:r>
        <w:fldChar w:fldCharType="begin"/>
      </w:r>
      <w:r>
        <w:instrText xml:space="preserve"> DocProperty ToSuffix</w:instrText>
      </w:r>
      <w:r>
        <w:fldChar w:fldCharType="separate"/>
      </w:r>
      <w:r>
        <w:t>02-ac0-01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154744932"/>
      <w:bookmarkStart w:id="2" w:name="_Toc154744808"/>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General provisions</w:t>
      </w:r>
      <w:bookmarkEnd w:id="1"/>
      <w:bookmarkEnd w:id="2"/>
    </w:p>
    <w:p>
      <w:pPr>
        <w:pStyle w:val="Heading5"/>
      </w:pPr>
      <w:bookmarkStart w:id="4" w:name="_Toc154744933"/>
      <w:bookmarkStart w:id="5" w:name="_Toc154744809"/>
      <w:r>
        <w:rPr>
          <w:rStyle w:val="CharSectno"/>
        </w:rPr>
        <w:t>1</w:t>
      </w:r>
      <w:r>
        <w:t>.</w:t>
      </w:r>
      <w:r>
        <w:tab/>
        <w:t>Citation</w:t>
      </w:r>
      <w:bookmarkEnd w:id="4"/>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7" w:name="_Toc154744934"/>
      <w:bookmarkStart w:id="8" w:name="_Toc154744810"/>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9" w:name="_Toc154744935"/>
      <w:bookmarkStart w:id="10" w:name="_Toc154744811"/>
      <w:r>
        <w:rPr>
          <w:rStyle w:val="CharSectno"/>
        </w:rPr>
        <w:t>3</w:t>
      </w:r>
      <w:r>
        <w:t>.</w:t>
      </w:r>
      <w:r>
        <w:tab/>
        <w:t>Terms used</w:t>
      </w:r>
      <w:bookmarkEnd w:id="9"/>
      <w:bookmarkEnd w:id="10"/>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 SL 2020/196 r. 11; SL 2021/86 r. 15; SL 2021/213 r. 4; SL 2022/101 r. 4.]</w:t>
      </w:r>
    </w:p>
    <w:p>
      <w:pPr>
        <w:pStyle w:val="Heading5"/>
      </w:pPr>
      <w:bookmarkStart w:id="11" w:name="_Toc154744936"/>
      <w:bookmarkStart w:id="12" w:name="_Toc154744812"/>
      <w:r>
        <w:rPr>
          <w:rStyle w:val="CharSectno"/>
        </w:rPr>
        <w:t>4</w:t>
      </w:r>
      <w:r>
        <w:t>.</w:t>
      </w:r>
      <w:r>
        <w:tab/>
        <w:t>Prescribed building services</w:t>
      </w:r>
      <w:bookmarkEnd w:id="11"/>
      <w:bookmarkEnd w:id="12"/>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13" w:name="_Toc154744937"/>
      <w:bookmarkStart w:id="14" w:name="_Toc154744813"/>
      <w:r>
        <w:rPr>
          <w:rStyle w:val="CharSectno"/>
        </w:rPr>
        <w:t>5</w:t>
      </w:r>
      <w:r>
        <w:t>.</w:t>
      </w:r>
      <w:r>
        <w:tab/>
        <w:t>Persons prescribed for purposes of s. 7</w:t>
      </w:r>
      <w:bookmarkEnd w:id="13"/>
      <w:bookmarkEnd w:id="14"/>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5" w:name="_Toc154744938"/>
      <w:bookmarkStart w:id="16" w:name="_Toc154744814"/>
      <w:r>
        <w:rPr>
          <w:rStyle w:val="CharSectno"/>
        </w:rPr>
        <w:t>6</w:t>
      </w:r>
      <w:r>
        <w:t>.</w:t>
      </w:r>
      <w:r>
        <w:tab/>
        <w:t>Classes of building service practitioner and building service contractor</w:t>
      </w:r>
      <w:bookmarkEnd w:id="15"/>
      <w:bookmarkEnd w:id="16"/>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17" w:name="_Toc154744939"/>
      <w:bookmarkStart w:id="18" w:name="_Toc154744815"/>
      <w:r>
        <w:rPr>
          <w:rStyle w:val="CharSectno"/>
        </w:rPr>
        <w:t>7</w:t>
      </w:r>
      <w:r>
        <w:t>.</w:t>
      </w:r>
      <w:r>
        <w:tab/>
        <w:t>Registration and renewal of registration</w:t>
      </w:r>
      <w:bookmarkEnd w:id="17"/>
      <w:bookmarkEnd w:id="18"/>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19" w:name="_Toc154744940"/>
      <w:bookmarkStart w:id="20" w:name="_Toc154744816"/>
      <w:r>
        <w:rPr>
          <w:rStyle w:val="CharSectno"/>
        </w:rPr>
        <w:t>8</w:t>
      </w:r>
      <w:r>
        <w:t>.</w:t>
      </w:r>
      <w:r>
        <w:tab/>
        <w:t>Membership of Board: occupation groups</w:t>
      </w:r>
      <w:bookmarkEnd w:id="19"/>
      <w:bookmarkEnd w:id="20"/>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21" w:name="_Toc154744941"/>
      <w:bookmarkStart w:id="22" w:name="_Toc154744817"/>
      <w:r>
        <w:rPr>
          <w:rStyle w:val="CharSectno"/>
        </w:rPr>
        <w:t>9</w:t>
      </w:r>
      <w:r>
        <w:t>.</w:t>
      </w:r>
      <w:r>
        <w:tab/>
        <w:t>Fees</w:t>
      </w:r>
      <w:bookmarkEnd w:id="21"/>
      <w:bookmarkEnd w:id="22"/>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spacing w:before="180"/>
      </w:pPr>
      <w:bookmarkStart w:id="23" w:name="_Toc154744942"/>
      <w:bookmarkStart w:id="24" w:name="_Toc154744818"/>
      <w:r>
        <w:rPr>
          <w:rStyle w:val="CharSectno"/>
        </w:rPr>
        <w:t>10</w:t>
      </w:r>
      <w:r>
        <w:t>.</w:t>
      </w:r>
      <w:r>
        <w:tab/>
        <w:t>Refund of fees</w:t>
      </w:r>
      <w:bookmarkEnd w:id="23"/>
      <w:bookmarkEnd w:id="24"/>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25" w:name="_Toc154744943"/>
      <w:bookmarkStart w:id="26" w:name="_Toc154744819"/>
      <w:r>
        <w:rPr>
          <w:rStyle w:val="CharSectno"/>
        </w:rPr>
        <w:t>10A</w:t>
      </w:r>
      <w:r>
        <w:t>.</w:t>
      </w:r>
      <w:r>
        <w:tab/>
        <w:t>Notification of new director of building service contractor: prescribed information</w:t>
      </w:r>
      <w:bookmarkEnd w:id="25"/>
      <w:bookmarkEnd w:id="26"/>
    </w:p>
    <w:p>
      <w:pPr>
        <w:pStyle w:val="Subsection"/>
      </w:pPr>
      <w:r>
        <w:tab/>
        <w:t>(1)</w:t>
      </w:r>
      <w:r>
        <w:tab/>
        <w:t xml:space="preserve">For the purposes of section 32A(3), the following information must be included in a notice of the appointment of any new director of a body that is a building service contractor — </w:t>
      </w:r>
    </w:p>
    <w:p>
      <w:pPr>
        <w:pStyle w:val="Indenta"/>
      </w:pPr>
      <w:r>
        <w:tab/>
        <w:t>(a)</w:t>
      </w:r>
      <w:r>
        <w:tab/>
        <w:t>a copy of an ASIC current and historical company extract for the body that was extracted within the previous 30 days;</w:t>
      </w:r>
    </w:p>
    <w:p>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pPr>
        <w:pStyle w:val="Indenta"/>
      </w:pPr>
      <w:r>
        <w:tab/>
        <w:t>(d)</w:t>
      </w:r>
      <w:r>
        <w:tab/>
        <w:t>whether the new director has not paid a building service debt of a kind referred to in section 53(4) that the new director has incurred;</w:t>
      </w:r>
    </w:p>
    <w:p>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pPr>
        <w:pStyle w:val="Subsection"/>
      </w:pPr>
      <w:r>
        <w:tab/>
        <w:t>(2)</w:t>
      </w:r>
      <w:r>
        <w:tab/>
        <w:t>A term used in subregulation (1)(e) has the same meaning as it has in Part 5A of the Act.</w:t>
      </w:r>
    </w:p>
    <w:p>
      <w:pPr>
        <w:pStyle w:val="Footnotesection"/>
      </w:pPr>
      <w:r>
        <w:tab/>
        <w:t>[Regulation 10A inserted: SL 2022/101 r. 5.]</w:t>
      </w:r>
    </w:p>
    <w:p>
      <w:pPr>
        <w:pStyle w:val="Heading5"/>
      </w:pPr>
      <w:bookmarkStart w:id="27" w:name="_Toc154744944"/>
      <w:bookmarkStart w:id="28" w:name="_Toc154744820"/>
      <w:r>
        <w:rPr>
          <w:rStyle w:val="CharSectno"/>
        </w:rPr>
        <w:t>11</w:t>
      </w:r>
      <w:r>
        <w:t>.</w:t>
      </w:r>
      <w:r>
        <w:tab/>
        <w:t>Notification of disciplinary action: prescribed Acts</w:t>
      </w:r>
      <w:bookmarkEnd w:id="27"/>
      <w:bookmarkEnd w:id="28"/>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29" w:name="_Toc154744945"/>
      <w:bookmarkStart w:id="30" w:name="_Toc154744821"/>
      <w:r>
        <w:rPr>
          <w:rStyle w:val="CharPartNo"/>
        </w:rPr>
        <w:t>Part 2</w:t>
      </w:r>
      <w:r>
        <w:t> — </w:t>
      </w:r>
      <w:r>
        <w:rPr>
          <w:rStyle w:val="CharPartText"/>
        </w:rPr>
        <w:t>Builders</w:t>
      </w:r>
      <w:bookmarkEnd w:id="29"/>
      <w:bookmarkEnd w:id="30"/>
    </w:p>
    <w:p>
      <w:pPr>
        <w:pStyle w:val="Heading3"/>
      </w:pPr>
      <w:bookmarkStart w:id="31" w:name="_Toc154744946"/>
      <w:bookmarkStart w:id="32" w:name="_Toc154744822"/>
      <w:r>
        <w:rPr>
          <w:rStyle w:val="CharDivNo"/>
        </w:rPr>
        <w:t>Division 1</w:t>
      </w:r>
      <w:r>
        <w:t> — </w:t>
      </w:r>
      <w:r>
        <w:rPr>
          <w:rStyle w:val="CharDivText"/>
        </w:rPr>
        <w:t>Preliminary</w:t>
      </w:r>
      <w:bookmarkEnd w:id="31"/>
      <w:bookmarkEnd w:id="32"/>
    </w:p>
    <w:p>
      <w:pPr>
        <w:pStyle w:val="Heading5"/>
      </w:pPr>
      <w:bookmarkStart w:id="33" w:name="_Toc154744947"/>
      <w:bookmarkStart w:id="34" w:name="_Toc154744823"/>
      <w:r>
        <w:rPr>
          <w:rStyle w:val="CharSectno"/>
        </w:rPr>
        <w:t>12</w:t>
      </w:r>
      <w:r>
        <w:t>.</w:t>
      </w:r>
      <w:r>
        <w:tab/>
        <w:t>Terms used</w:t>
      </w:r>
      <w:bookmarkEnd w:id="33"/>
      <w:bookmarkEnd w:id="34"/>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35" w:name="_Toc154744948"/>
      <w:bookmarkStart w:id="36" w:name="_Toc154744824"/>
      <w:r>
        <w:rPr>
          <w:rStyle w:val="CharDivNo"/>
        </w:rPr>
        <w:t>Division 2</w:t>
      </w:r>
      <w:r>
        <w:t> — </w:t>
      </w:r>
      <w:r>
        <w:rPr>
          <w:rStyle w:val="CharDivText"/>
        </w:rPr>
        <w:t>Building service providers</w:t>
      </w:r>
      <w:bookmarkEnd w:id="35"/>
      <w:bookmarkEnd w:id="36"/>
    </w:p>
    <w:p>
      <w:pPr>
        <w:pStyle w:val="Heading5"/>
      </w:pPr>
      <w:bookmarkStart w:id="37" w:name="_Toc154744949"/>
      <w:bookmarkStart w:id="38" w:name="_Toc154744825"/>
      <w:r>
        <w:rPr>
          <w:rStyle w:val="CharSectno"/>
        </w:rPr>
        <w:t>13</w:t>
      </w:r>
      <w:r>
        <w:t>.</w:t>
      </w:r>
      <w:r>
        <w:tab/>
        <w:t>Terms used</w:t>
      </w:r>
      <w:bookmarkEnd w:id="37"/>
      <w:bookmarkEnd w:id="38"/>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 SL 2021/170 r. 4.]</w:t>
      </w:r>
    </w:p>
    <w:p>
      <w:pPr>
        <w:pStyle w:val="Heading5"/>
      </w:pPr>
      <w:bookmarkStart w:id="39" w:name="_Toc154744950"/>
      <w:bookmarkStart w:id="40" w:name="_Toc154744826"/>
      <w:r>
        <w:rPr>
          <w:rStyle w:val="CharSectno"/>
        </w:rPr>
        <w:t>14</w:t>
      </w:r>
      <w:r>
        <w:t>.</w:t>
      </w:r>
      <w:r>
        <w:tab/>
        <w:t>Prescribed titles: building practitioners and building contractors</w:t>
      </w:r>
      <w:bookmarkEnd w:id="39"/>
      <w:bookmarkEnd w:id="40"/>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41" w:name="_Toc154744951"/>
      <w:bookmarkStart w:id="42" w:name="_Toc154744827"/>
      <w:r>
        <w:rPr>
          <w:rStyle w:val="CharSectno"/>
        </w:rPr>
        <w:t>15</w:t>
      </w:r>
      <w:r>
        <w:t>.</w:t>
      </w:r>
      <w:r>
        <w:tab/>
        <w:t>Building contractors: building services prescribed</w:t>
      </w:r>
      <w:bookmarkEnd w:id="41"/>
      <w:bookmarkEnd w:id="42"/>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43" w:name="_Toc154744952"/>
      <w:bookmarkStart w:id="44" w:name="_Toc154744828"/>
      <w:r>
        <w:rPr>
          <w:rStyle w:val="CharSectno"/>
        </w:rPr>
        <w:t>16</w:t>
      </w:r>
      <w:r>
        <w:t>.</w:t>
      </w:r>
      <w:r>
        <w:tab/>
        <w:t>Qualifications and experience: building practitioners</w:t>
      </w:r>
      <w:bookmarkEnd w:id="43"/>
      <w:bookmarkEnd w:id="44"/>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keepNext/>
            </w:pPr>
            <w:r>
              <w:t>Set 2</w:t>
            </w:r>
          </w:p>
        </w:tc>
        <w:tc>
          <w:tcPr>
            <w:tcW w:w="2977" w:type="dxa"/>
          </w:tcPr>
          <w:p>
            <w:pPr>
              <w:pStyle w:val="TableNAm"/>
              <w:keepNext/>
              <w:tabs>
                <w:tab w:val="clear" w:pos="567"/>
                <w:tab w:val="left" w:pos="300"/>
                <w:tab w:val="left" w:pos="746"/>
              </w:tabs>
            </w:pPr>
            <w:r>
              <w:t xml:space="preserve">qualifications acceptable for — </w:t>
            </w:r>
          </w:p>
          <w:p>
            <w:pPr>
              <w:pStyle w:val="TableNAm"/>
              <w:keepNext/>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keepNext/>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keepNext/>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keepNext/>
              <w:tabs>
                <w:tab w:val="clear" w:pos="567"/>
                <w:tab w:val="left" w:pos="414"/>
                <w:tab w:val="left" w:pos="746"/>
              </w:tabs>
              <w:spacing w:before="100"/>
              <w:ind w:left="414" w:hanging="414"/>
            </w:pPr>
            <w:r>
              <w:t>(d)</w:t>
            </w:r>
            <w:r>
              <w:tab/>
              <w:t>membership as Fellow or Member of the Australasian Institute of Mining and Metallurgy,</w:t>
            </w:r>
          </w:p>
          <w:p>
            <w:pPr>
              <w:pStyle w:val="TableNAm"/>
              <w:keepNext/>
              <w:tabs>
                <w:tab w:val="clear" w:pos="567"/>
                <w:tab w:val="left" w:pos="300"/>
                <w:tab w:val="left" w:pos="746"/>
              </w:tabs>
              <w:spacing w:before="100"/>
            </w:pPr>
            <w:r>
              <w:t>evidenced by such membership or registration</w:t>
            </w:r>
          </w:p>
        </w:tc>
        <w:tc>
          <w:tcPr>
            <w:tcW w:w="2268" w:type="dxa"/>
          </w:tcPr>
          <w:p>
            <w:pPr>
              <w:pStyle w:val="TableNAm"/>
              <w:keepNext/>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45" w:name="_Toc154744953"/>
      <w:bookmarkStart w:id="46" w:name="_Toc154744829"/>
      <w:r>
        <w:rPr>
          <w:rStyle w:val="CharSectno"/>
        </w:rPr>
        <w:t>17</w:t>
      </w:r>
      <w:r>
        <w:t>.</w:t>
      </w:r>
      <w:r>
        <w:tab/>
        <w:t>Conduct of examinations</w:t>
      </w:r>
      <w:bookmarkEnd w:id="45"/>
      <w:bookmarkEnd w:id="46"/>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47" w:name="_Toc154744954"/>
      <w:bookmarkStart w:id="48" w:name="_Toc154744830"/>
      <w:r>
        <w:rPr>
          <w:rStyle w:val="CharSectno"/>
        </w:rPr>
        <w:t>18</w:t>
      </w:r>
      <w:r>
        <w:t>.</w:t>
      </w:r>
      <w:r>
        <w:tab/>
        <w:t>Financial requirements: building contractors</w:t>
      </w:r>
      <w:bookmarkEnd w:id="47"/>
      <w:bookmarkEnd w:id="48"/>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49" w:name="_Toc154744955"/>
      <w:bookmarkStart w:id="50" w:name="_Toc154744831"/>
      <w:r>
        <w:rPr>
          <w:rStyle w:val="CharSectno"/>
        </w:rPr>
        <w:t>19</w:t>
      </w:r>
      <w:r>
        <w:t>.</w:t>
      </w:r>
      <w:r>
        <w:tab/>
        <w:t>Prescribed requirements: building contractors</w:t>
      </w:r>
      <w:bookmarkEnd w:id="49"/>
      <w:bookmarkEnd w:id="50"/>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51" w:name="_Toc154744956"/>
      <w:bookmarkStart w:id="52" w:name="_Toc154744832"/>
      <w:r>
        <w:rPr>
          <w:rStyle w:val="CharSectno"/>
        </w:rPr>
        <w:t>20</w:t>
      </w:r>
      <w:r>
        <w:t>.</w:t>
      </w:r>
      <w:r>
        <w:tab/>
        <w:t>Supervisor for building contractor: eligible person</w:t>
      </w:r>
      <w:bookmarkEnd w:id="51"/>
      <w:bookmarkEnd w:id="52"/>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53" w:name="_Toc154744957"/>
      <w:bookmarkStart w:id="54" w:name="_Toc154744833"/>
      <w:r>
        <w:rPr>
          <w:rStyle w:val="CharSectno"/>
        </w:rPr>
        <w:t>21</w:t>
      </w:r>
      <w:r>
        <w:t>.</w:t>
      </w:r>
      <w:r>
        <w:tab/>
        <w:t>Display of signs</w:t>
      </w:r>
      <w:bookmarkEnd w:id="53"/>
      <w:bookmarkEnd w:id="54"/>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55" w:name="_Toc154744958"/>
      <w:bookmarkStart w:id="56" w:name="_Toc154744834"/>
      <w:r>
        <w:rPr>
          <w:rStyle w:val="CharDivNo"/>
        </w:rPr>
        <w:t>Division 3</w:t>
      </w:r>
      <w:r>
        <w:t> — </w:t>
      </w:r>
      <w:r>
        <w:rPr>
          <w:rStyle w:val="CharDivText"/>
        </w:rPr>
        <w:t>Owner</w:t>
      </w:r>
      <w:r>
        <w:rPr>
          <w:rStyle w:val="CharDivText"/>
        </w:rPr>
        <w:noBreakHyphen/>
        <w:t>builders</w:t>
      </w:r>
      <w:bookmarkEnd w:id="55"/>
      <w:bookmarkEnd w:id="56"/>
    </w:p>
    <w:p>
      <w:pPr>
        <w:pStyle w:val="Heading5"/>
      </w:pPr>
      <w:bookmarkStart w:id="57" w:name="_Toc154744959"/>
      <w:bookmarkStart w:id="58" w:name="_Toc154744835"/>
      <w:r>
        <w:rPr>
          <w:rStyle w:val="CharSectno"/>
        </w:rPr>
        <w:t>22</w:t>
      </w:r>
      <w:r>
        <w:t>.</w:t>
      </w:r>
      <w:r>
        <w:tab/>
        <w:t>Terms used</w:t>
      </w:r>
      <w:bookmarkEnd w:id="57"/>
      <w:bookmarkEnd w:id="58"/>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59" w:name="_Toc154744960"/>
      <w:bookmarkStart w:id="60" w:name="_Toc154744836"/>
      <w:r>
        <w:rPr>
          <w:rStyle w:val="CharSectno"/>
        </w:rPr>
        <w:t>23</w:t>
      </w:r>
      <w:r>
        <w:t>.</w:t>
      </w:r>
      <w:r>
        <w:tab/>
        <w:t>Owner</w:t>
      </w:r>
      <w:r>
        <w:noBreakHyphen/>
        <w:t>builder work</w:t>
      </w:r>
      <w:bookmarkEnd w:id="59"/>
      <w:bookmarkEnd w:id="60"/>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61" w:name="_Toc154744961"/>
      <w:bookmarkStart w:id="62" w:name="_Toc154744837"/>
      <w:r>
        <w:rPr>
          <w:rStyle w:val="CharSectno"/>
        </w:rPr>
        <w:t>24A</w:t>
      </w:r>
      <w:r>
        <w:t>.</w:t>
      </w:r>
      <w:r>
        <w:tab/>
        <w:t>Prescribed interests in land</w:t>
      </w:r>
      <w:bookmarkEnd w:id="61"/>
      <w:bookmarkEnd w:id="62"/>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63" w:name="_Toc154744962"/>
      <w:bookmarkStart w:id="64" w:name="_Toc154744838"/>
      <w:r>
        <w:rPr>
          <w:rStyle w:val="CharSectno"/>
        </w:rPr>
        <w:t>24</w:t>
      </w:r>
      <w:r>
        <w:t>.</w:t>
      </w:r>
      <w:r>
        <w:tab/>
        <w:t>Evidence of knowledge of duties and responsibilities: owner</w:t>
      </w:r>
      <w:r>
        <w:noBreakHyphen/>
        <w:t>builders</w:t>
      </w:r>
      <w:bookmarkEnd w:id="63"/>
      <w:bookmarkEnd w:id="64"/>
    </w:p>
    <w:p>
      <w:pPr>
        <w:pStyle w:val="Subsection"/>
      </w:pPr>
      <w:r>
        <w:tab/>
      </w:r>
      <w:r>
        <w:tab/>
        <w:t>For the purposes of section 43(3)(b) building practitioner is prescribed as a class of building service practitioner.</w:t>
      </w:r>
    </w:p>
    <w:p>
      <w:pPr>
        <w:pStyle w:val="Heading5"/>
      </w:pPr>
      <w:bookmarkStart w:id="65" w:name="_Toc154744963"/>
      <w:bookmarkStart w:id="66" w:name="_Toc154744839"/>
      <w:r>
        <w:rPr>
          <w:rStyle w:val="CharSectno"/>
        </w:rPr>
        <w:t>25</w:t>
      </w:r>
      <w:r>
        <w:t>.</w:t>
      </w:r>
      <w:r>
        <w:tab/>
        <w:t>Requirements for owner</w:t>
      </w:r>
      <w:r>
        <w:noBreakHyphen/>
        <w:t>builder approval</w:t>
      </w:r>
      <w:bookmarkEnd w:id="65"/>
      <w:bookmarkEnd w:id="66"/>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67" w:name="_Toc154744964"/>
      <w:bookmarkStart w:id="68" w:name="_Toc154744840"/>
      <w:r>
        <w:rPr>
          <w:rStyle w:val="CharSectno"/>
        </w:rPr>
        <w:t>26</w:t>
      </w:r>
      <w:r>
        <w:t>.</w:t>
      </w:r>
      <w:r>
        <w:tab/>
        <w:t>Conditions on owner</w:t>
      </w:r>
      <w:r>
        <w:noBreakHyphen/>
        <w:t>builder approvals</w:t>
      </w:r>
      <w:bookmarkEnd w:id="67"/>
      <w:bookmarkEnd w:id="68"/>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69" w:name="_Toc154744965"/>
      <w:bookmarkStart w:id="70" w:name="_Toc154744841"/>
      <w:r>
        <w:rPr>
          <w:rStyle w:val="CharSectno"/>
        </w:rPr>
        <w:t>27</w:t>
      </w:r>
      <w:r>
        <w:t>.</w:t>
      </w:r>
      <w:r>
        <w:tab/>
        <w:t>Display of signs</w:t>
      </w:r>
      <w:bookmarkEnd w:id="69"/>
      <w:bookmarkEnd w:id="70"/>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71" w:name="_Toc154744966"/>
      <w:bookmarkStart w:id="72" w:name="_Toc154744842"/>
      <w:r>
        <w:rPr>
          <w:rStyle w:val="CharPartNo"/>
        </w:rPr>
        <w:t>Part 3A</w:t>
      </w:r>
      <w:r>
        <w:rPr>
          <w:rStyle w:val="CharDivNo"/>
        </w:rPr>
        <w:t> </w:t>
      </w:r>
      <w:r>
        <w:t>—</w:t>
      </w:r>
      <w:r>
        <w:rPr>
          <w:rStyle w:val="CharDivText"/>
        </w:rPr>
        <w:t> </w:t>
      </w:r>
      <w:r>
        <w:rPr>
          <w:rStyle w:val="CharPartText"/>
        </w:rPr>
        <w:t>Building surveyors</w:t>
      </w:r>
      <w:bookmarkEnd w:id="71"/>
      <w:bookmarkEnd w:id="72"/>
    </w:p>
    <w:p>
      <w:pPr>
        <w:pStyle w:val="Footnoteheading"/>
      </w:pPr>
      <w:r>
        <w:tab/>
        <w:t>[Heading inserted: Gazette 12 Mar 2012 p. 992.]</w:t>
      </w:r>
    </w:p>
    <w:p>
      <w:pPr>
        <w:pStyle w:val="Heading5"/>
      </w:pPr>
      <w:bookmarkStart w:id="73" w:name="_Toc154744967"/>
      <w:bookmarkStart w:id="74" w:name="_Toc154744843"/>
      <w:r>
        <w:rPr>
          <w:rStyle w:val="CharSectno"/>
        </w:rPr>
        <w:t>28A</w:t>
      </w:r>
      <w:r>
        <w:t>.</w:t>
      </w:r>
      <w:r>
        <w:tab/>
        <w:t>Terms used</w:t>
      </w:r>
      <w:bookmarkEnd w:id="73"/>
      <w:bookmarkEnd w:id="74"/>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75" w:name="_Toc154744968"/>
      <w:bookmarkStart w:id="76" w:name="_Toc154744844"/>
      <w:r>
        <w:rPr>
          <w:rStyle w:val="CharSectno"/>
        </w:rPr>
        <w:t>28B</w:t>
      </w:r>
      <w:r>
        <w:t>.</w:t>
      </w:r>
      <w:r>
        <w:tab/>
        <w:t>Prescribed titles: building surveying practitioners and building surveying contractors</w:t>
      </w:r>
      <w:bookmarkEnd w:id="75"/>
      <w:bookmarkEnd w:id="76"/>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keepNext/>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77" w:name="_Toc154744969"/>
      <w:bookmarkStart w:id="78" w:name="_Toc154744845"/>
      <w:r>
        <w:rPr>
          <w:rStyle w:val="CharSectno"/>
        </w:rPr>
        <w:t>28C</w:t>
      </w:r>
      <w:r>
        <w:t>.</w:t>
      </w:r>
      <w:r>
        <w:tab/>
        <w:t>Building surveying contractors: building services prescribed</w:t>
      </w:r>
      <w:bookmarkEnd w:id="77"/>
      <w:bookmarkEnd w:id="78"/>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79" w:name="_Toc154744970"/>
      <w:bookmarkStart w:id="80" w:name="_Toc154744846"/>
      <w:r>
        <w:rPr>
          <w:rStyle w:val="CharSectno"/>
        </w:rPr>
        <w:t>28D</w:t>
      </w:r>
      <w:r>
        <w:t>.</w:t>
      </w:r>
      <w:r>
        <w:tab/>
        <w:t>Qualifications and experience: building surveying practitioners</w:t>
      </w:r>
      <w:bookmarkEnd w:id="79"/>
      <w:bookmarkEnd w:id="80"/>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keepNext/>
              <w:spacing w:before="100"/>
            </w:pPr>
            <w:r>
              <w:t>Set 4</w:t>
            </w:r>
          </w:p>
        </w:tc>
        <w:tc>
          <w:tcPr>
            <w:tcW w:w="2551" w:type="dxa"/>
          </w:tcPr>
          <w:p>
            <w:pPr>
              <w:pStyle w:val="TableNAm"/>
              <w:keepNext/>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keepNext/>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pPr>
            <w:r>
              <w:t>CPC50108 Diploma of Building Surveying as described on the National Register</w:t>
            </w:r>
          </w:p>
        </w:tc>
        <w:tc>
          <w:tcPr>
            <w:tcW w:w="2552" w:type="dxa"/>
          </w:tcPr>
          <w:p>
            <w:pPr>
              <w:pStyle w:val="TableNAm"/>
              <w:keepNext/>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CPC50108 Diploma of 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81" w:name="_Toc154744971"/>
      <w:bookmarkStart w:id="82" w:name="_Toc154744847"/>
      <w:r>
        <w:rPr>
          <w:rStyle w:val="CharSectno"/>
        </w:rPr>
        <w:t>28E</w:t>
      </w:r>
      <w:r>
        <w:t>.</w:t>
      </w:r>
      <w:r>
        <w:tab/>
        <w:t>Financial requirements: building surveying contractors</w:t>
      </w:r>
      <w:bookmarkEnd w:id="81"/>
      <w:bookmarkEnd w:id="82"/>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83" w:name="_Toc154744972"/>
      <w:bookmarkStart w:id="84" w:name="_Toc154744848"/>
      <w:r>
        <w:rPr>
          <w:rStyle w:val="CharSectno"/>
        </w:rPr>
        <w:t>28F</w:t>
      </w:r>
      <w:r>
        <w:t>.</w:t>
      </w:r>
      <w:r>
        <w:tab/>
        <w:t>Insurance requirements: building surveying contractors</w:t>
      </w:r>
      <w:bookmarkEnd w:id="83"/>
      <w:bookmarkEnd w:id="84"/>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85" w:name="_Toc154744973"/>
      <w:bookmarkStart w:id="86" w:name="_Toc154744849"/>
      <w:r>
        <w:rPr>
          <w:rStyle w:val="CharSectno"/>
        </w:rPr>
        <w:t>28G</w:t>
      </w:r>
      <w:r>
        <w:t>.</w:t>
      </w:r>
      <w:r>
        <w:tab/>
        <w:t>Prescribed requirements: building surveying contractors</w:t>
      </w:r>
      <w:bookmarkEnd w:id="85"/>
      <w:bookmarkEnd w:id="86"/>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87" w:name="_Toc154744974"/>
      <w:bookmarkStart w:id="88" w:name="_Toc154744850"/>
      <w:r>
        <w:rPr>
          <w:rStyle w:val="CharSectno"/>
        </w:rPr>
        <w:t>28H</w:t>
      </w:r>
      <w:r>
        <w:t>.</w:t>
      </w:r>
      <w:r>
        <w:tab/>
        <w:t>Supervisor for building surveying contractors: eligible person</w:t>
      </w:r>
      <w:bookmarkEnd w:id="87"/>
      <w:bookmarkEnd w:id="88"/>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89" w:name="_Toc154744975"/>
      <w:bookmarkStart w:id="90" w:name="_Toc154744851"/>
      <w:r>
        <w:rPr>
          <w:rStyle w:val="CharSectno"/>
        </w:rPr>
        <w:t>28I</w:t>
      </w:r>
      <w:r>
        <w:t>.</w:t>
      </w:r>
      <w:r>
        <w:tab/>
        <w:t>Condition on registration: building surveying contractor</w:t>
      </w:r>
      <w:bookmarkEnd w:id="89"/>
      <w:bookmarkEnd w:id="90"/>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91" w:name="_Toc154744976"/>
      <w:bookmarkStart w:id="92" w:name="_Toc154744852"/>
      <w:r>
        <w:rPr>
          <w:rStyle w:val="CharSectno"/>
        </w:rPr>
        <w:t>28J</w:t>
      </w:r>
      <w:r>
        <w:t>.</w:t>
      </w:r>
      <w:r>
        <w:tab/>
        <w:t>Display of certificate of registration</w:t>
      </w:r>
      <w:bookmarkEnd w:id="91"/>
      <w:bookmarkEnd w:id="92"/>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93" w:name="_Toc154744977"/>
      <w:bookmarkStart w:id="94" w:name="_Toc154744853"/>
      <w:r>
        <w:rPr>
          <w:rStyle w:val="CharSectno"/>
        </w:rPr>
        <w:t>28K</w:t>
      </w:r>
      <w:r>
        <w:t>.</w:t>
      </w:r>
      <w:r>
        <w:tab/>
        <w:t>Display of signs</w:t>
      </w:r>
      <w:bookmarkEnd w:id="93"/>
      <w:bookmarkEnd w:id="94"/>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95" w:name="_Toc154744978"/>
      <w:bookmarkStart w:id="96" w:name="_Toc154744854"/>
      <w:r>
        <w:rPr>
          <w:rStyle w:val="CharPartNo"/>
        </w:rPr>
        <w:t>Part 3</w:t>
      </w:r>
      <w:r>
        <w:rPr>
          <w:rStyle w:val="CharDivNo"/>
        </w:rPr>
        <w:t> </w:t>
      </w:r>
      <w:r>
        <w:t>—</w:t>
      </w:r>
      <w:r>
        <w:rPr>
          <w:rStyle w:val="CharDivText"/>
        </w:rPr>
        <w:t> </w:t>
      </w:r>
      <w:r>
        <w:rPr>
          <w:rStyle w:val="CharPartText"/>
        </w:rPr>
        <w:t>Painters</w:t>
      </w:r>
      <w:bookmarkEnd w:id="95"/>
      <w:bookmarkEnd w:id="96"/>
    </w:p>
    <w:p>
      <w:pPr>
        <w:pStyle w:val="Heading5"/>
        <w:spacing w:before="240"/>
      </w:pPr>
      <w:bookmarkStart w:id="97" w:name="_Toc154744979"/>
      <w:bookmarkStart w:id="98" w:name="_Toc154744855"/>
      <w:r>
        <w:rPr>
          <w:rStyle w:val="CharSectno"/>
        </w:rPr>
        <w:t>28</w:t>
      </w:r>
      <w:r>
        <w:t>.</w:t>
      </w:r>
      <w:r>
        <w:tab/>
        <w:t>Terms used</w:t>
      </w:r>
      <w:bookmarkEnd w:id="97"/>
      <w:bookmarkEnd w:id="98"/>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99" w:name="_Toc154744980"/>
      <w:bookmarkStart w:id="100" w:name="_Toc154744856"/>
      <w:r>
        <w:rPr>
          <w:rStyle w:val="CharSectno"/>
        </w:rPr>
        <w:t>29</w:t>
      </w:r>
      <w:r>
        <w:t>.</w:t>
      </w:r>
      <w:r>
        <w:tab/>
        <w:t>Prescribed titles: painting practitioners and painting contractors</w:t>
      </w:r>
      <w:bookmarkEnd w:id="99"/>
      <w:bookmarkEnd w:id="100"/>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01" w:name="_Toc154744981"/>
      <w:bookmarkStart w:id="102" w:name="_Toc154744857"/>
      <w:r>
        <w:rPr>
          <w:rStyle w:val="CharSectno"/>
        </w:rPr>
        <w:t>30</w:t>
      </w:r>
      <w:r>
        <w:t>.</w:t>
      </w:r>
      <w:r>
        <w:tab/>
        <w:t>Painting contractors: building services prescribed</w:t>
      </w:r>
      <w:bookmarkEnd w:id="101"/>
      <w:bookmarkEnd w:id="102"/>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03" w:name="_Toc154744982"/>
      <w:bookmarkStart w:id="104" w:name="_Toc154744858"/>
      <w:r>
        <w:rPr>
          <w:rStyle w:val="CharSectno"/>
        </w:rPr>
        <w:t>31</w:t>
      </w:r>
      <w:r>
        <w:t>.</w:t>
      </w:r>
      <w:r>
        <w:tab/>
        <w:t>Qualifications and experience: painting practitioners</w:t>
      </w:r>
      <w:bookmarkEnd w:id="103"/>
      <w:bookmarkEnd w:id="104"/>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r>
            <w:del w:id="105" w:author="Master Repository Process" w:date="2023-12-29T12:22:00Z">
              <w:r>
                <w:delText>CPC30611</w:delText>
              </w:r>
            </w:del>
            <w:ins w:id="106" w:author="Master Repository Process" w:date="2023-12-29T12:22:00Z">
              <w:r>
                <w:t>CPC30620</w:t>
              </w:r>
            </w:ins>
            <w:r>
              <w:t xml:space="preserve">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keepNext/>
        <w:spacing w:before="140"/>
      </w:pPr>
      <w:r>
        <w:tab/>
        <w:t>(4)</w:t>
      </w:r>
      <w:r>
        <w:tab/>
        <w:t xml:space="preserve">In subregulation (3) — </w:t>
      </w:r>
    </w:p>
    <w:p>
      <w:pPr>
        <w:pStyle w:val="Defstart"/>
        <w:keepNex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w:t>
      </w:r>
      <w:del w:id="107" w:author="Master Repository Process" w:date="2023-12-29T12:22:00Z">
        <w:r>
          <w:delText>7</w:delText>
        </w:r>
      </w:del>
      <w:ins w:id="108" w:author="Master Repository Process" w:date="2023-12-29T12:22:00Z">
        <w:r>
          <w:t>7; SL 2023/164 r. 5</w:t>
        </w:r>
      </w:ins>
      <w:r>
        <w:t>.]</w:t>
      </w:r>
    </w:p>
    <w:p>
      <w:pPr>
        <w:pStyle w:val="Heading5"/>
      </w:pPr>
      <w:bookmarkStart w:id="109" w:name="_Toc154744983"/>
      <w:bookmarkStart w:id="110" w:name="_Toc154744859"/>
      <w:r>
        <w:rPr>
          <w:rStyle w:val="CharSectno"/>
        </w:rPr>
        <w:t>32</w:t>
      </w:r>
      <w:r>
        <w:t>.</w:t>
      </w:r>
      <w:r>
        <w:tab/>
        <w:t>Conduct of examinations</w:t>
      </w:r>
      <w:bookmarkEnd w:id="109"/>
      <w:bookmarkEnd w:id="110"/>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111" w:name="_Toc154744984"/>
      <w:bookmarkStart w:id="112" w:name="_Toc154744860"/>
      <w:r>
        <w:rPr>
          <w:rStyle w:val="CharSectno"/>
        </w:rPr>
        <w:t>33</w:t>
      </w:r>
      <w:r>
        <w:t>.</w:t>
      </w:r>
      <w:r>
        <w:tab/>
        <w:t>Financial requirements: painting contractors</w:t>
      </w:r>
      <w:bookmarkEnd w:id="111"/>
      <w:bookmarkEnd w:id="112"/>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13" w:name="_Toc154744985"/>
      <w:bookmarkStart w:id="114" w:name="_Toc154744861"/>
      <w:r>
        <w:rPr>
          <w:rStyle w:val="CharSectno"/>
        </w:rPr>
        <w:t>34</w:t>
      </w:r>
      <w:r>
        <w:t>.</w:t>
      </w:r>
      <w:r>
        <w:tab/>
        <w:t>Prescribed requirements: painting contractors</w:t>
      </w:r>
      <w:bookmarkEnd w:id="113"/>
      <w:bookmarkEnd w:id="114"/>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15" w:name="_Toc154744986"/>
      <w:bookmarkStart w:id="116" w:name="_Toc154744862"/>
      <w:r>
        <w:rPr>
          <w:rStyle w:val="CharSectno"/>
        </w:rPr>
        <w:t>35</w:t>
      </w:r>
      <w:r>
        <w:t>.</w:t>
      </w:r>
      <w:r>
        <w:tab/>
        <w:t>Supervisor for painting contractor: eligible person</w:t>
      </w:r>
      <w:bookmarkEnd w:id="115"/>
      <w:bookmarkEnd w:id="116"/>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117" w:name="_Toc154744987"/>
      <w:bookmarkStart w:id="118" w:name="_Toc154744863"/>
      <w:r>
        <w:rPr>
          <w:rStyle w:val="CharSectno"/>
        </w:rPr>
        <w:t>36</w:t>
      </w:r>
      <w:r>
        <w:t>.</w:t>
      </w:r>
      <w:r>
        <w:tab/>
        <w:t>Display of signs</w:t>
      </w:r>
      <w:bookmarkEnd w:id="117"/>
      <w:bookmarkEnd w:id="118"/>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119" w:name="_Toc154744988"/>
      <w:bookmarkStart w:id="120" w:name="_Toc154744864"/>
      <w:r>
        <w:rPr>
          <w:rStyle w:val="CharPartNo"/>
        </w:rPr>
        <w:t>Part 3B</w:t>
      </w:r>
      <w:r>
        <w:rPr>
          <w:b w:val="0"/>
        </w:rPr>
        <w:t> </w:t>
      </w:r>
      <w:r>
        <w:t>—</w:t>
      </w:r>
      <w:r>
        <w:rPr>
          <w:b w:val="0"/>
        </w:rPr>
        <w:t> </w:t>
      </w:r>
      <w:r>
        <w:rPr>
          <w:rStyle w:val="CharPartText"/>
        </w:rPr>
        <w:t>Infringement notices</w:t>
      </w:r>
      <w:bookmarkEnd w:id="119"/>
      <w:bookmarkEnd w:id="120"/>
    </w:p>
    <w:p>
      <w:pPr>
        <w:pStyle w:val="Footnoteheading"/>
      </w:pPr>
      <w:r>
        <w:tab/>
        <w:t>[Heading inserted: Gazette 26 Apr 2019 p. 1215.]</w:t>
      </w:r>
    </w:p>
    <w:p>
      <w:pPr>
        <w:pStyle w:val="Heading5"/>
      </w:pPr>
      <w:bookmarkStart w:id="121" w:name="_Toc154744989"/>
      <w:bookmarkStart w:id="122" w:name="_Toc154744865"/>
      <w:r>
        <w:rPr>
          <w:rStyle w:val="CharSectno"/>
        </w:rPr>
        <w:t>36A</w:t>
      </w:r>
      <w:r>
        <w:t>.</w:t>
      </w:r>
      <w:r>
        <w:tab/>
        <w:t>Prescribed offences and modified penalties</w:t>
      </w:r>
      <w:bookmarkEnd w:id="121"/>
      <w:bookmarkEnd w:id="122"/>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123" w:name="_Toc154744990"/>
      <w:bookmarkStart w:id="124" w:name="_Toc154744866"/>
      <w:r>
        <w:rPr>
          <w:rStyle w:val="CharSectno"/>
        </w:rPr>
        <w:t>36B</w:t>
      </w:r>
      <w:r>
        <w:t>.</w:t>
      </w:r>
      <w:r>
        <w:tab/>
        <w:t>Authorised officers and approved officers</w:t>
      </w:r>
      <w:bookmarkEnd w:id="123"/>
      <w:bookmarkEnd w:id="124"/>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125" w:name="_Toc154744991"/>
      <w:bookmarkStart w:id="126" w:name="_Toc154744867"/>
      <w:r>
        <w:rPr>
          <w:rStyle w:val="CharSectno"/>
        </w:rPr>
        <w:t>36C</w:t>
      </w:r>
      <w:r>
        <w:t>.</w:t>
      </w:r>
      <w:r>
        <w:tab/>
        <w:t>Forms</w:t>
      </w:r>
      <w:bookmarkEnd w:id="125"/>
      <w:bookmarkEnd w:id="126"/>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127" w:name="_Toc154744992"/>
      <w:bookmarkStart w:id="128" w:name="_Toc154744868"/>
      <w:r>
        <w:rPr>
          <w:rStyle w:val="CharPartNo"/>
        </w:rPr>
        <w:t>Part 4</w:t>
      </w:r>
      <w:r>
        <w:t> — </w:t>
      </w:r>
      <w:r>
        <w:rPr>
          <w:rStyle w:val="CharPartText"/>
        </w:rPr>
        <w:t>Transitional provisions</w:t>
      </w:r>
      <w:bookmarkEnd w:id="127"/>
      <w:bookmarkEnd w:id="128"/>
    </w:p>
    <w:p>
      <w:pPr>
        <w:pStyle w:val="Heading3"/>
      </w:pPr>
      <w:bookmarkStart w:id="129" w:name="_Toc154744993"/>
      <w:bookmarkStart w:id="130" w:name="_Toc154744869"/>
      <w:r>
        <w:rPr>
          <w:rStyle w:val="CharDivNo"/>
        </w:rPr>
        <w:t>Division 1</w:t>
      </w:r>
      <w:r>
        <w:t> — </w:t>
      </w:r>
      <w:r>
        <w:rPr>
          <w:rStyle w:val="CharDivText"/>
          <w:i/>
        </w:rPr>
        <w:t>Builders’ Registration Act 1939</w:t>
      </w:r>
      <w:bookmarkEnd w:id="129"/>
      <w:bookmarkEnd w:id="130"/>
    </w:p>
    <w:p>
      <w:pPr>
        <w:pStyle w:val="Heading5"/>
      </w:pPr>
      <w:bookmarkStart w:id="131" w:name="_Toc154744994"/>
      <w:bookmarkStart w:id="132" w:name="_Toc154744870"/>
      <w:r>
        <w:rPr>
          <w:rStyle w:val="CharSectno"/>
        </w:rPr>
        <w:t>37</w:t>
      </w:r>
      <w:r>
        <w:t>.</w:t>
      </w:r>
      <w:r>
        <w:tab/>
        <w:t>Terms used</w:t>
      </w:r>
      <w:bookmarkEnd w:id="131"/>
      <w:bookmarkEnd w:id="132"/>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133" w:name="_Toc154744995"/>
      <w:bookmarkStart w:id="134" w:name="_Toc154744871"/>
      <w:r>
        <w:rPr>
          <w:rStyle w:val="CharSectno"/>
        </w:rPr>
        <w:t>38</w:t>
      </w:r>
      <w:r>
        <w:t>.</w:t>
      </w:r>
      <w:r>
        <w:tab/>
        <w:t>Continuation of registration (Act s. 114)</w:t>
      </w:r>
      <w:bookmarkEnd w:id="133"/>
      <w:bookmarkEnd w:id="134"/>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35" w:name="_Toc154744996"/>
      <w:bookmarkStart w:id="136" w:name="_Toc154744872"/>
      <w:r>
        <w:rPr>
          <w:rStyle w:val="CharSectno"/>
        </w:rPr>
        <w:t>39</w:t>
      </w:r>
      <w:r>
        <w:t>.</w:t>
      </w:r>
      <w:r>
        <w:tab/>
        <w:t>Continuation of declaration of ineligible persons</w:t>
      </w:r>
      <w:bookmarkEnd w:id="135"/>
      <w:bookmarkEnd w:id="136"/>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37" w:name="_Toc154744997"/>
      <w:bookmarkStart w:id="138" w:name="_Toc154744873"/>
      <w:r>
        <w:rPr>
          <w:rStyle w:val="CharSectno"/>
        </w:rPr>
        <w:t>40</w:t>
      </w:r>
      <w:r>
        <w:t>.</w:t>
      </w:r>
      <w:r>
        <w:tab/>
        <w:t>Membership of Board — experience as builder</w:t>
      </w:r>
      <w:bookmarkEnd w:id="137"/>
      <w:bookmarkEnd w:id="138"/>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39" w:name="_Toc154744998"/>
      <w:bookmarkStart w:id="140" w:name="_Toc154744874"/>
      <w:r>
        <w:rPr>
          <w:rStyle w:val="CharSectno"/>
        </w:rPr>
        <w:t>41</w:t>
      </w:r>
      <w:r>
        <w:t>.</w:t>
      </w:r>
      <w:r>
        <w:tab/>
        <w:t>Continuation of owner</w:t>
      </w:r>
      <w:r>
        <w:noBreakHyphen/>
        <w:t>builder authorisation</w:t>
      </w:r>
      <w:bookmarkEnd w:id="139"/>
      <w:bookmarkEnd w:id="140"/>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41" w:name="_Toc154744999"/>
      <w:bookmarkStart w:id="142" w:name="_Toc154744875"/>
      <w:r>
        <w:rPr>
          <w:rStyle w:val="CharSectno"/>
        </w:rPr>
        <w:t>42</w:t>
      </w:r>
      <w:r>
        <w:t>.</w:t>
      </w:r>
      <w:r>
        <w:tab/>
        <w:t>Building Commissioner may exercise powers</w:t>
      </w:r>
      <w:bookmarkEnd w:id="141"/>
      <w:bookmarkEnd w:id="142"/>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43" w:name="_Toc154745000"/>
      <w:bookmarkStart w:id="144" w:name="_Toc154744876"/>
      <w:r>
        <w:rPr>
          <w:rStyle w:val="CharDivNo"/>
        </w:rPr>
        <w:t>Division 2</w:t>
      </w:r>
      <w:r>
        <w:t> — </w:t>
      </w:r>
      <w:r>
        <w:rPr>
          <w:rStyle w:val="CharDivText"/>
          <w:i/>
        </w:rPr>
        <w:t>Painters’ Registration Act 1961</w:t>
      </w:r>
      <w:bookmarkEnd w:id="143"/>
      <w:bookmarkEnd w:id="144"/>
    </w:p>
    <w:p>
      <w:pPr>
        <w:pStyle w:val="Heading5"/>
      </w:pPr>
      <w:bookmarkStart w:id="145" w:name="_Toc154745001"/>
      <w:bookmarkStart w:id="146" w:name="_Toc154744877"/>
      <w:r>
        <w:rPr>
          <w:rStyle w:val="CharSectno"/>
        </w:rPr>
        <w:t>43</w:t>
      </w:r>
      <w:r>
        <w:t>.</w:t>
      </w:r>
      <w:r>
        <w:tab/>
        <w:t>Terms used</w:t>
      </w:r>
      <w:bookmarkEnd w:id="145"/>
      <w:bookmarkEnd w:id="146"/>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147" w:name="_Toc154745002"/>
      <w:bookmarkStart w:id="148" w:name="_Toc154744878"/>
      <w:r>
        <w:rPr>
          <w:rStyle w:val="CharSectno"/>
        </w:rPr>
        <w:t>44</w:t>
      </w:r>
      <w:r>
        <w:t>.</w:t>
      </w:r>
      <w:r>
        <w:tab/>
        <w:t>Continuation of registration (Act s. 127)</w:t>
      </w:r>
      <w:bookmarkEnd w:id="147"/>
      <w:bookmarkEnd w:id="148"/>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49" w:name="_Toc154745003"/>
      <w:bookmarkStart w:id="150" w:name="_Toc154744879"/>
      <w:r>
        <w:rPr>
          <w:rStyle w:val="CharSectno"/>
        </w:rPr>
        <w:t>45</w:t>
      </w:r>
      <w:r>
        <w:t>.</w:t>
      </w:r>
      <w:r>
        <w:tab/>
        <w:t>Membership of Board — experience as painter</w:t>
      </w:r>
      <w:bookmarkEnd w:id="149"/>
      <w:bookmarkEnd w:id="150"/>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151" w:name="_Toc154745004"/>
      <w:bookmarkStart w:id="152" w:name="_Toc154744880"/>
      <w:r>
        <w:rPr>
          <w:rStyle w:val="CharSectno"/>
        </w:rPr>
        <w:t>46</w:t>
      </w:r>
      <w:r>
        <w:t>.</w:t>
      </w:r>
      <w:r>
        <w:tab/>
        <w:t>Building Commissioner may exercise powers</w:t>
      </w:r>
      <w:bookmarkEnd w:id="151"/>
      <w:bookmarkEnd w:id="152"/>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53" w:name="_Toc154745005"/>
      <w:bookmarkStart w:id="154" w:name="_Toc154744881"/>
      <w:r>
        <w:rPr>
          <w:rStyle w:val="CharDivNo"/>
        </w:rPr>
        <w:t>Division 3</w:t>
      </w:r>
      <w:r>
        <w:t> — </w:t>
      </w:r>
      <w:r>
        <w:rPr>
          <w:rStyle w:val="CharDivText"/>
          <w:i/>
        </w:rPr>
        <w:t>Local Government (Building Surveyors) Regulations 2008</w:t>
      </w:r>
      <w:bookmarkEnd w:id="153"/>
      <w:bookmarkEnd w:id="154"/>
    </w:p>
    <w:p>
      <w:pPr>
        <w:pStyle w:val="Footnoteheading"/>
      </w:pPr>
      <w:r>
        <w:tab/>
        <w:t>[Heading inserted: Gazette 12 Mar 2012 p. 1002.]</w:t>
      </w:r>
    </w:p>
    <w:p>
      <w:pPr>
        <w:pStyle w:val="Heading5"/>
      </w:pPr>
      <w:bookmarkStart w:id="155" w:name="_Toc154745006"/>
      <w:bookmarkStart w:id="156" w:name="_Toc154744882"/>
      <w:r>
        <w:rPr>
          <w:rStyle w:val="CharSectno"/>
        </w:rPr>
        <w:t>47</w:t>
      </w:r>
      <w:r>
        <w:t>.</w:t>
      </w:r>
      <w:r>
        <w:tab/>
        <w:t>Terms used</w:t>
      </w:r>
      <w:bookmarkEnd w:id="155"/>
      <w:bookmarkEnd w:id="156"/>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157" w:name="_Toc154745007"/>
      <w:bookmarkStart w:id="158" w:name="_Toc154744883"/>
      <w:r>
        <w:rPr>
          <w:rStyle w:val="CharSectno"/>
        </w:rPr>
        <w:t>48</w:t>
      </w:r>
      <w:r>
        <w:t>.</w:t>
      </w:r>
      <w:r>
        <w:tab/>
        <w:t>Continuation of registration</w:t>
      </w:r>
      <w:bookmarkEnd w:id="157"/>
      <w:bookmarkEnd w:id="158"/>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159" w:name="_Toc154745008"/>
      <w:bookmarkStart w:id="160" w:name="_Toc154744884"/>
      <w:r>
        <w:rPr>
          <w:rStyle w:val="CharSectno"/>
        </w:rPr>
        <w:t>49</w:t>
      </w:r>
      <w:r>
        <w:t>.</w:t>
      </w:r>
      <w:r>
        <w:tab/>
        <w:t>Nominated supervisors for contractors before repeal day</w:t>
      </w:r>
      <w:bookmarkEnd w:id="159"/>
      <w:bookmarkEnd w:id="160"/>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161" w:name="_Toc154745009"/>
      <w:bookmarkStart w:id="162" w:name="_Toc154744885"/>
      <w:r>
        <w:rPr>
          <w:rStyle w:val="CharSectno"/>
        </w:rPr>
        <w:t>50</w:t>
      </w:r>
      <w:r>
        <w:t>.</w:t>
      </w:r>
      <w:r>
        <w:tab/>
        <w:t>Cancellation of certificate</w:t>
      </w:r>
      <w:bookmarkEnd w:id="161"/>
      <w:bookmarkEnd w:id="162"/>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163" w:name="_Toc154745010"/>
      <w:bookmarkStart w:id="164" w:name="_Toc154744886"/>
      <w:r>
        <w:rPr>
          <w:rStyle w:val="CharSectno"/>
        </w:rPr>
        <w:t>51</w:t>
      </w:r>
      <w:r>
        <w:t>.</w:t>
      </w:r>
      <w:r>
        <w:tab/>
        <w:t>Membership of Board — experience as a building surveyor</w:t>
      </w:r>
      <w:bookmarkEnd w:id="163"/>
      <w:bookmarkEnd w:id="164"/>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165" w:name="_Toc154745011"/>
      <w:bookmarkStart w:id="166" w:name="_Toc154744887"/>
      <w:r>
        <w:rPr>
          <w:rStyle w:val="CharDivNo"/>
        </w:rPr>
        <w:t>Division 4</w:t>
      </w:r>
      <w:r>
        <w:t> — </w:t>
      </w:r>
      <w:r>
        <w:rPr>
          <w:rStyle w:val="CharDivText"/>
          <w:i/>
        </w:rPr>
        <w:t>Building Services (Registration) Amendment Regulations (No. 2) 2017</w:t>
      </w:r>
      <w:bookmarkEnd w:id="165"/>
      <w:bookmarkEnd w:id="166"/>
    </w:p>
    <w:p>
      <w:pPr>
        <w:pStyle w:val="Footnoteheading"/>
        <w:keepNext/>
      </w:pPr>
      <w:r>
        <w:tab/>
        <w:t>[Heading inserted: Gazette 5 Jan 2018 p. 6.]</w:t>
      </w:r>
    </w:p>
    <w:p>
      <w:pPr>
        <w:pStyle w:val="Heading5"/>
      </w:pPr>
      <w:bookmarkStart w:id="167" w:name="_Toc154745012"/>
      <w:bookmarkStart w:id="168" w:name="_Toc154744888"/>
      <w:r>
        <w:rPr>
          <w:rStyle w:val="CharSectno"/>
        </w:rPr>
        <w:t>52</w:t>
      </w:r>
      <w:r>
        <w:t>.</w:t>
      </w:r>
      <w:r>
        <w:tab/>
        <w:t>Painting practitioners: applications for registration made before 1 September 2018</w:t>
      </w:r>
      <w:bookmarkEnd w:id="167"/>
      <w:bookmarkEnd w:id="168"/>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69" w:name="_Toc154745013"/>
      <w:bookmarkStart w:id="170" w:name="_Toc154744889"/>
      <w:r>
        <w:rPr>
          <w:rStyle w:val="CharSchNo"/>
        </w:rPr>
        <w:t>Schedule 1</w:t>
      </w:r>
      <w:r>
        <w:t> — </w:t>
      </w:r>
      <w:r>
        <w:rPr>
          <w:rStyle w:val="CharSchText"/>
        </w:rPr>
        <w:t>Fees</w:t>
      </w:r>
      <w:bookmarkEnd w:id="169"/>
      <w:bookmarkEnd w:id="170"/>
    </w:p>
    <w:p>
      <w:pPr>
        <w:pStyle w:val="yShoulderClause"/>
      </w:pPr>
      <w:r>
        <w:t>[r. 9]</w:t>
      </w:r>
    </w:p>
    <w:p>
      <w:pPr>
        <w:pStyle w:val="yFootnoteheading"/>
      </w:pPr>
      <w:r>
        <w:tab/>
        <w:t>[Heading inserted: SL 2023/35 r. 12.]</w:t>
      </w:r>
    </w:p>
    <w:p>
      <w:pPr>
        <w:pStyle w:val="yHeading3"/>
      </w:pPr>
      <w:bookmarkStart w:id="171" w:name="_Toc154745014"/>
      <w:bookmarkStart w:id="172" w:name="_Toc154744890"/>
      <w:r>
        <w:rPr>
          <w:rStyle w:val="CharSDivNo"/>
        </w:rPr>
        <w:t>Division 1</w:t>
      </w:r>
      <w:r>
        <w:t> — </w:t>
      </w:r>
      <w:r>
        <w:rPr>
          <w:rStyle w:val="CharSDivText"/>
        </w:rPr>
        <w:t>General</w:t>
      </w:r>
      <w:bookmarkEnd w:id="171"/>
      <w:bookmarkEnd w:id="172"/>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certificate of registration</w:t>
            </w:r>
          </w:p>
        </w:tc>
        <w:tc>
          <w:tcPr>
            <w:tcW w:w="1418" w:type="dxa"/>
            <w:tcBorders>
              <w:bottom w:val="nil"/>
            </w:tcBorders>
            <w:noWrap/>
            <w:vAlign w:val="bottom"/>
          </w:tcPr>
          <w:p>
            <w:pPr>
              <w:pStyle w:val="yTableNAm"/>
              <w:jc w:val="right"/>
            </w:pPr>
            <w:r>
              <w:t>71.00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certificate of registration following name change</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Provision of a certified copy of the register</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Provision of a certified copy of the register in respect of the classes of building service contractors in a specified occupation group referred to in regulation 8</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Provision of a certified copy of the entry in the register in respect of a specified building service provider on a specified day or within a specified period</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tcBorders>
            <w:noWrap/>
          </w:tcPr>
          <w:p>
            <w:pPr>
              <w:pStyle w:val="yTableNAm"/>
            </w:pPr>
            <w:r>
              <w:t>6.</w:t>
            </w:r>
          </w:p>
        </w:tc>
        <w:tc>
          <w:tcPr>
            <w:tcW w:w="3260" w:type="dxa"/>
            <w:tcBorders>
              <w:top w:val="nil"/>
            </w:tcBorders>
            <w:noWrap/>
          </w:tcPr>
          <w:p>
            <w:pPr>
              <w:pStyle w:val="yTableNAm"/>
            </w:pPr>
            <w:r>
              <w:t>Provision of a certified copy of entries that have been added to, or deleted from, the register after a specified day</w:t>
            </w:r>
          </w:p>
        </w:tc>
        <w:tc>
          <w:tcPr>
            <w:tcW w:w="1418" w:type="dxa"/>
            <w:tcBorders>
              <w:top w:val="nil"/>
            </w:tcBorders>
            <w:noWrap/>
            <w:vAlign w:val="bottom"/>
          </w:tcPr>
          <w:p>
            <w:pPr>
              <w:pStyle w:val="yTableNAm"/>
              <w:jc w:val="right"/>
            </w:pPr>
            <w:r>
              <w:t>67.00</w:t>
            </w:r>
          </w:p>
        </w:tc>
      </w:tr>
    </w:tbl>
    <w:p>
      <w:pPr>
        <w:pStyle w:val="yFootnotesection"/>
      </w:pPr>
      <w:r>
        <w:tab/>
        <w:t>[Division 1 inserted: SL 2023/35 r. 12.]</w:t>
      </w:r>
    </w:p>
    <w:p>
      <w:pPr>
        <w:pStyle w:val="yHeading3"/>
      </w:pPr>
      <w:bookmarkStart w:id="173" w:name="_Toc154745015"/>
      <w:bookmarkStart w:id="174" w:name="_Toc154744891"/>
      <w:r>
        <w:rPr>
          <w:rStyle w:val="CharSDivNo"/>
        </w:rPr>
        <w:t>Division 2</w:t>
      </w:r>
      <w:r>
        <w:t> — </w:t>
      </w:r>
      <w:r>
        <w:rPr>
          <w:rStyle w:val="CharSDivText"/>
        </w:rPr>
        <w:t>Builders</w:t>
      </w:r>
      <w:bookmarkEnd w:id="173"/>
      <w:bookmarkEnd w:id="174"/>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practitioner</w:t>
            </w:r>
          </w:p>
        </w:tc>
        <w:tc>
          <w:tcPr>
            <w:tcW w:w="1418" w:type="dxa"/>
            <w:tcBorders>
              <w:bottom w:val="nil"/>
            </w:tcBorders>
            <w:noWrap/>
            <w:vAlign w:val="bottom"/>
          </w:tcPr>
          <w:p>
            <w:pPr>
              <w:pStyle w:val="yTableNAm"/>
              <w:jc w:val="right"/>
            </w:pPr>
            <w:r>
              <w:t>259.00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contractor (individual)</w:t>
            </w:r>
          </w:p>
        </w:tc>
        <w:tc>
          <w:tcPr>
            <w:tcW w:w="1418" w:type="dxa"/>
            <w:tcBorders>
              <w:top w:val="nil"/>
              <w:bottom w:val="nil"/>
            </w:tcBorders>
            <w:noWrap/>
            <w:vAlign w:val="bottom"/>
          </w:tcPr>
          <w:p>
            <w:pPr>
              <w:pStyle w:val="yTableNAm"/>
              <w:jc w:val="right"/>
            </w:pPr>
            <w:r>
              <w:t>259.00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contractor (partnership)</w:t>
            </w:r>
          </w:p>
        </w:tc>
        <w:tc>
          <w:tcPr>
            <w:tcW w:w="1418" w:type="dxa"/>
            <w:tcBorders>
              <w:top w:val="nil"/>
              <w:bottom w:val="nil"/>
            </w:tcBorders>
            <w:noWrap/>
            <w:vAlign w:val="bottom"/>
          </w:tcPr>
          <w:p>
            <w:pPr>
              <w:pStyle w:val="yTableNAm"/>
              <w:jc w:val="right"/>
            </w:pPr>
            <w:r>
              <w:t>425.00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contractor (company)</w:t>
            </w:r>
          </w:p>
        </w:tc>
        <w:tc>
          <w:tcPr>
            <w:tcW w:w="1418" w:type="dxa"/>
            <w:tcBorders>
              <w:top w:val="nil"/>
              <w:bottom w:val="nil"/>
            </w:tcBorders>
            <w:noWrap/>
            <w:vAlign w:val="bottom"/>
          </w:tcPr>
          <w:p>
            <w:pPr>
              <w:pStyle w:val="yTableNAm"/>
              <w:jc w:val="right"/>
            </w:pPr>
            <w:r>
              <w:t>425.00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building practitioner (3 years)</w:t>
            </w:r>
          </w:p>
        </w:tc>
        <w:tc>
          <w:tcPr>
            <w:tcW w:w="1418" w:type="dxa"/>
            <w:tcBorders>
              <w:top w:val="nil"/>
              <w:bottom w:val="nil"/>
            </w:tcBorders>
            <w:noWrap/>
            <w:vAlign w:val="bottom"/>
          </w:tcPr>
          <w:p>
            <w:pPr>
              <w:pStyle w:val="yTableNAm"/>
              <w:jc w:val="right"/>
            </w:pPr>
            <w:r>
              <w:t>747.00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contractor (individual) (3 years)</w:t>
            </w:r>
          </w:p>
        </w:tc>
        <w:tc>
          <w:tcPr>
            <w:tcW w:w="1418" w:type="dxa"/>
            <w:tcBorders>
              <w:top w:val="nil"/>
              <w:bottom w:val="nil"/>
            </w:tcBorders>
            <w:noWrap/>
            <w:vAlign w:val="bottom"/>
          </w:tcPr>
          <w:p>
            <w:pPr>
              <w:pStyle w:val="yTableNAm"/>
              <w:jc w:val="right"/>
            </w:pPr>
            <w:r>
              <w:t>500.00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contractor (partnership) (3 years)</w:t>
            </w:r>
          </w:p>
        </w:tc>
        <w:tc>
          <w:tcPr>
            <w:tcW w:w="1418" w:type="dxa"/>
            <w:tcBorders>
              <w:top w:val="nil"/>
              <w:bottom w:val="nil"/>
            </w:tcBorders>
            <w:noWrap/>
            <w:vAlign w:val="bottom"/>
          </w:tcPr>
          <w:p>
            <w:pPr>
              <w:pStyle w:val="yTableNAm"/>
              <w:jc w:val="right"/>
            </w:pPr>
            <w:r>
              <w:t>1 621.00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contractor (company) (3 years)</w:t>
            </w:r>
          </w:p>
        </w:tc>
        <w:tc>
          <w:tcPr>
            <w:tcW w:w="1418" w:type="dxa"/>
            <w:tcBorders>
              <w:top w:val="nil"/>
              <w:bottom w:val="nil"/>
            </w:tcBorders>
            <w:noWrap/>
            <w:vAlign w:val="bottom"/>
          </w:tcPr>
          <w:p>
            <w:pPr>
              <w:pStyle w:val="yTableNAm"/>
              <w:jc w:val="right"/>
            </w:pPr>
            <w:r>
              <w:t>3 440.00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62.00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234.00</w:t>
            </w:r>
          </w:p>
        </w:tc>
      </w:tr>
      <w:tr>
        <w:trPr>
          <w:cantSplit/>
          <w:jc w:val="center"/>
        </w:trPr>
        <w:tc>
          <w:tcPr>
            <w:tcW w:w="709" w:type="dxa"/>
            <w:tcBorders>
              <w:top w:val="nil"/>
            </w:tcBorders>
            <w:noWrap/>
          </w:tcPr>
          <w:p>
            <w:pPr>
              <w:pStyle w:val="yTableNAm"/>
              <w:keepNext/>
            </w:pPr>
            <w:r>
              <w:t>11.</w:t>
            </w:r>
          </w:p>
        </w:tc>
        <w:tc>
          <w:tcPr>
            <w:tcW w:w="3260" w:type="dxa"/>
            <w:tcBorders>
              <w:top w:val="nil"/>
            </w:tcBorders>
            <w:noWrap/>
          </w:tcPr>
          <w:p>
            <w:pPr>
              <w:pStyle w:val="yTableNAm"/>
              <w:keepNext/>
            </w:pPr>
            <w:r>
              <w:t>Fee for marking an examination sat outside metropolitan area</w:t>
            </w:r>
          </w:p>
        </w:tc>
        <w:tc>
          <w:tcPr>
            <w:tcW w:w="1418" w:type="dxa"/>
            <w:tcBorders>
              <w:top w:val="nil"/>
            </w:tcBorders>
            <w:noWrap/>
            <w:vAlign w:val="bottom"/>
          </w:tcPr>
          <w:p>
            <w:pPr>
              <w:pStyle w:val="yTableNAm"/>
              <w:keepNext/>
              <w:jc w:val="right"/>
            </w:pPr>
            <w:r>
              <w:rPr>
                <w:color w:val="000000"/>
              </w:rPr>
              <w:t>71.00</w:t>
            </w:r>
          </w:p>
        </w:tc>
      </w:tr>
    </w:tbl>
    <w:p>
      <w:pPr>
        <w:pStyle w:val="yFootnotesection"/>
      </w:pPr>
      <w:r>
        <w:tab/>
        <w:t>[Division 2 inserted: SL 2023/35 r. 12.]</w:t>
      </w:r>
    </w:p>
    <w:p>
      <w:pPr>
        <w:pStyle w:val="yHeading3"/>
      </w:pPr>
      <w:bookmarkStart w:id="175" w:name="_Toc154745016"/>
      <w:bookmarkStart w:id="176" w:name="_Toc154744892"/>
      <w:r>
        <w:rPr>
          <w:rStyle w:val="CharSDivNo"/>
        </w:rPr>
        <w:t>Division 3</w:t>
      </w:r>
      <w:r>
        <w:t> — </w:t>
      </w:r>
      <w:r>
        <w:rPr>
          <w:rStyle w:val="CharSDivText"/>
        </w:rPr>
        <w:t>Owner</w:t>
      </w:r>
      <w:r>
        <w:rPr>
          <w:rStyle w:val="CharSDivText"/>
        </w:rPr>
        <w:noBreakHyphen/>
        <w:t>builders</w:t>
      </w:r>
      <w:bookmarkEnd w:id="175"/>
      <w:bookmarkEnd w:id="176"/>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builder approval (residential)</w:t>
            </w:r>
          </w:p>
        </w:tc>
        <w:tc>
          <w:tcPr>
            <w:tcW w:w="1418" w:type="dxa"/>
            <w:tcBorders>
              <w:bottom w:val="nil"/>
            </w:tcBorders>
            <w:noWrap/>
            <w:vAlign w:val="bottom"/>
          </w:tcPr>
          <w:p>
            <w:pPr>
              <w:pStyle w:val="yTableNAm"/>
              <w:jc w:val="right"/>
            </w:pPr>
            <w:r>
              <w:t>202.00</w:t>
            </w:r>
          </w:p>
        </w:tc>
      </w:tr>
      <w:tr>
        <w:trPr>
          <w:jc w:val="center"/>
        </w:trPr>
        <w:tc>
          <w:tcPr>
            <w:tcW w:w="709" w:type="dxa"/>
            <w:tcBorders>
              <w:top w:val="nil"/>
            </w:tcBorders>
            <w:noWrap/>
          </w:tcPr>
          <w:p>
            <w:pPr>
              <w:pStyle w:val="yTableNAm"/>
            </w:pPr>
            <w:r>
              <w:t>2.</w:t>
            </w:r>
          </w:p>
        </w:tc>
        <w:tc>
          <w:tcPr>
            <w:tcW w:w="3260" w:type="dxa"/>
            <w:tcBorders>
              <w:top w:val="nil"/>
            </w:tcBorders>
            <w:noWrap/>
          </w:tcPr>
          <w:p>
            <w:pPr>
              <w:pStyle w:val="yTableNAm"/>
            </w:pPr>
            <w:r>
              <w:t>Application for owner</w:t>
            </w:r>
            <w:r>
              <w:noBreakHyphen/>
              <w:t>builder approval (commercial)</w:t>
            </w:r>
          </w:p>
        </w:tc>
        <w:tc>
          <w:tcPr>
            <w:tcW w:w="1418" w:type="dxa"/>
            <w:tcBorders>
              <w:top w:val="nil"/>
            </w:tcBorders>
            <w:noWrap/>
            <w:vAlign w:val="bottom"/>
          </w:tcPr>
          <w:p>
            <w:pPr>
              <w:pStyle w:val="yTableNAm"/>
              <w:jc w:val="right"/>
            </w:pPr>
            <w:r>
              <w:t>467.00</w:t>
            </w:r>
          </w:p>
        </w:tc>
      </w:tr>
    </w:tbl>
    <w:p>
      <w:pPr>
        <w:pStyle w:val="yFootnotesection"/>
      </w:pPr>
      <w:r>
        <w:tab/>
        <w:t>[Division 3 inserted: SL 2023/35 r. 12.]</w:t>
      </w:r>
    </w:p>
    <w:p>
      <w:pPr>
        <w:pStyle w:val="yHeading3"/>
      </w:pPr>
      <w:bookmarkStart w:id="177" w:name="_Toc154745017"/>
      <w:bookmarkStart w:id="178" w:name="_Toc154744893"/>
      <w:r>
        <w:rPr>
          <w:rStyle w:val="CharSDivNo"/>
        </w:rPr>
        <w:t>Division 4</w:t>
      </w:r>
      <w:r>
        <w:t> — </w:t>
      </w:r>
      <w:r>
        <w:rPr>
          <w:rStyle w:val="CharSDivText"/>
        </w:rPr>
        <w:t>Building surveyors</w:t>
      </w:r>
      <w:bookmarkEnd w:id="177"/>
      <w:bookmarkEnd w:id="178"/>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surveying practitioner level 1 or level 2</w:t>
            </w:r>
          </w:p>
        </w:tc>
        <w:tc>
          <w:tcPr>
            <w:tcW w:w="1418" w:type="dxa"/>
            <w:tcBorders>
              <w:bottom w:val="nil"/>
            </w:tcBorders>
            <w:noWrap/>
            <w:vAlign w:val="bottom"/>
          </w:tcPr>
          <w:p>
            <w:pPr>
              <w:pStyle w:val="yTableNAm"/>
              <w:jc w:val="right"/>
            </w:pPr>
            <w:r>
              <w:t>137.00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surveying practitioner technician</w:t>
            </w:r>
          </w:p>
        </w:tc>
        <w:tc>
          <w:tcPr>
            <w:tcW w:w="1418" w:type="dxa"/>
            <w:tcBorders>
              <w:top w:val="nil"/>
              <w:bottom w:val="nil"/>
            </w:tcBorders>
            <w:noWrap/>
            <w:vAlign w:val="bottom"/>
          </w:tcPr>
          <w:p>
            <w:pPr>
              <w:pStyle w:val="yTableNAm"/>
              <w:jc w:val="right"/>
            </w:pPr>
            <w:r>
              <w:t>68.00</w:t>
            </w:r>
          </w:p>
        </w:tc>
      </w:tr>
      <w:tr>
        <w:trPr>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surveying contractor level 1 or level 2 (individual)</w:t>
            </w:r>
          </w:p>
        </w:tc>
        <w:tc>
          <w:tcPr>
            <w:tcW w:w="1418" w:type="dxa"/>
            <w:tcBorders>
              <w:top w:val="nil"/>
              <w:bottom w:val="nil"/>
            </w:tcBorders>
            <w:noWrap/>
            <w:vAlign w:val="bottom"/>
          </w:tcPr>
          <w:p>
            <w:pPr>
              <w:pStyle w:val="yTableNAm"/>
              <w:jc w:val="right"/>
            </w:pPr>
            <w:r>
              <w:t>91.00</w:t>
            </w:r>
          </w:p>
        </w:tc>
      </w:tr>
      <w:tr>
        <w:trPr>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surveying contractor level 1 or level 2 (partnership)</w:t>
            </w:r>
          </w:p>
        </w:tc>
        <w:tc>
          <w:tcPr>
            <w:tcW w:w="1418" w:type="dxa"/>
            <w:tcBorders>
              <w:top w:val="nil"/>
              <w:bottom w:val="nil"/>
            </w:tcBorders>
            <w:noWrap/>
            <w:vAlign w:val="bottom"/>
          </w:tcPr>
          <w:p>
            <w:pPr>
              <w:pStyle w:val="yTableNAm"/>
              <w:jc w:val="right"/>
            </w:pPr>
            <w:r>
              <w:t>87.00</w:t>
            </w:r>
          </w:p>
        </w:tc>
      </w:tr>
      <w:tr>
        <w:trPr>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Application for registration as building surveying contractor level 1 or level 2 (company)</w:t>
            </w:r>
          </w:p>
        </w:tc>
        <w:tc>
          <w:tcPr>
            <w:tcW w:w="1418" w:type="dxa"/>
            <w:tcBorders>
              <w:top w:val="nil"/>
              <w:bottom w:val="nil"/>
            </w:tcBorders>
            <w:noWrap/>
            <w:vAlign w:val="bottom"/>
          </w:tcPr>
          <w:p>
            <w:pPr>
              <w:pStyle w:val="yTableNAm"/>
              <w:jc w:val="right"/>
            </w:pPr>
            <w:r>
              <w:t>91.00</w:t>
            </w:r>
          </w:p>
        </w:tc>
      </w:tr>
      <w:tr>
        <w:trPr>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surveying practitioner technician (3 years)</w:t>
            </w:r>
          </w:p>
        </w:tc>
        <w:tc>
          <w:tcPr>
            <w:tcW w:w="1418" w:type="dxa"/>
            <w:tcBorders>
              <w:top w:val="nil"/>
              <w:bottom w:val="nil"/>
            </w:tcBorders>
            <w:noWrap/>
            <w:vAlign w:val="bottom"/>
          </w:tcPr>
          <w:p>
            <w:pPr>
              <w:pStyle w:val="yTableNAm"/>
              <w:jc w:val="right"/>
            </w:pPr>
            <w:r>
              <w:t>585.00</w:t>
            </w:r>
          </w:p>
        </w:tc>
      </w:tr>
      <w:tr>
        <w:trPr>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surveying practitioner level 1 or level 2 (3 years)</w:t>
            </w:r>
          </w:p>
        </w:tc>
        <w:tc>
          <w:tcPr>
            <w:tcW w:w="1418" w:type="dxa"/>
            <w:tcBorders>
              <w:top w:val="nil"/>
              <w:bottom w:val="nil"/>
            </w:tcBorders>
            <w:noWrap/>
            <w:vAlign w:val="bottom"/>
          </w:tcPr>
          <w:p>
            <w:pPr>
              <w:pStyle w:val="yTableNAm"/>
              <w:jc w:val="right"/>
            </w:pPr>
            <w:r>
              <w:t>1 125.00</w:t>
            </w:r>
          </w:p>
        </w:tc>
      </w:tr>
      <w:tr>
        <w:trPr>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surveying contractor level 1 or level 2 (individual) (3 years)</w:t>
            </w:r>
          </w:p>
        </w:tc>
        <w:tc>
          <w:tcPr>
            <w:tcW w:w="1418" w:type="dxa"/>
            <w:tcBorders>
              <w:top w:val="nil"/>
              <w:bottom w:val="nil"/>
            </w:tcBorders>
            <w:noWrap/>
            <w:vAlign w:val="bottom"/>
          </w:tcPr>
          <w:p>
            <w:pPr>
              <w:pStyle w:val="yTableNAm"/>
              <w:jc w:val="right"/>
            </w:pPr>
            <w:r>
              <w:t>788.00</w:t>
            </w:r>
          </w:p>
        </w:tc>
      </w:tr>
      <w:tr>
        <w:trPr>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Registration fee for building surveying contractor level 1 or level 2 (partnership) (3 years)</w:t>
            </w:r>
          </w:p>
        </w:tc>
        <w:tc>
          <w:tcPr>
            <w:tcW w:w="1418" w:type="dxa"/>
            <w:tcBorders>
              <w:top w:val="nil"/>
              <w:bottom w:val="nil"/>
            </w:tcBorders>
            <w:noWrap/>
            <w:vAlign w:val="bottom"/>
          </w:tcPr>
          <w:p>
            <w:pPr>
              <w:pStyle w:val="yTableNAm"/>
              <w:jc w:val="right"/>
            </w:pPr>
            <w:r>
              <w:t>1 874.00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Registration fee for building surveying contractor level 1 or level 2 (company) (3 years)</w:t>
            </w:r>
          </w:p>
        </w:tc>
        <w:tc>
          <w:tcPr>
            <w:tcW w:w="1418" w:type="dxa"/>
            <w:tcBorders>
              <w:top w:val="nil"/>
              <w:bottom w:val="nil"/>
            </w:tcBorders>
            <w:noWrap/>
            <w:vAlign w:val="bottom"/>
          </w:tcPr>
          <w:p>
            <w:pPr>
              <w:pStyle w:val="yTableNAm"/>
              <w:jc w:val="right"/>
            </w:pPr>
            <w:r>
              <w:t>2 569.00</w:t>
            </w:r>
          </w:p>
        </w:tc>
      </w:tr>
      <w:tr>
        <w:trPr>
          <w:jc w:val="center"/>
        </w:trPr>
        <w:tc>
          <w:tcPr>
            <w:tcW w:w="709" w:type="dxa"/>
            <w:tcBorders>
              <w:top w:val="nil"/>
            </w:tcBorders>
            <w:noWrap/>
          </w:tcPr>
          <w:p>
            <w:pPr>
              <w:pStyle w:val="yTableNAm"/>
            </w:pPr>
            <w:r>
              <w:t>11.</w:t>
            </w:r>
          </w:p>
        </w:tc>
        <w:tc>
          <w:tcPr>
            <w:tcW w:w="3260" w:type="dxa"/>
            <w:tcBorders>
              <w:top w:val="nil"/>
            </w:tcBorders>
            <w:noWrap/>
          </w:tcPr>
          <w:p>
            <w:pPr>
              <w:pStyle w:val="yTableNAm"/>
            </w:pPr>
            <w:r>
              <w:t>Late fee for application for renewal made after renewal period</w:t>
            </w:r>
          </w:p>
        </w:tc>
        <w:tc>
          <w:tcPr>
            <w:tcW w:w="1418" w:type="dxa"/>
            <w:tcBorders>
              <w:top w:val="nil"/>
            </w:tcBorders>
            <w:noWrap/>
            <w:vAlign w:val="bottom"/>
          </w:tcPr>
          <w:p>
            <w:pPr>
              <w:pStyle w:val="yTableNAm"/>
              <w:jc w:val="right"/>
            </w:pPr>
            <w:r>
              <w:t>83.00</w:t>
            </w:r>
          </w:p>
        </w:tc>
      </w:tr>
    </w:tbl>
    <w:p>
      <w:pPr>
        <w:pStyle w:val="yFootnotesection"/>
      </w:pPr>
      <w:r>
        <w:tab/>
        <w:t>[Division 4 inserted: SL 2023/35 r. 12.]</w:t>
      </w:r>
    </w:p>
    <w:p>
      <w:pPr>
        <w:pStyle w:val="yHeading3"/>
      </w:pPr>
      <w:bookmarkStart w:id="179" w:name="_Toc154745018"/>
      <w:bookmarkStart w:id="180" w:name="_Toc154744894"/>
      <w:r>
        <w:rPr>
          <w:rStyle w:val="CharSDivNo"/>
        </w:rPr>
        <w:t>Division 5</w:t>
      </w:r>
      <w:r>
        <w:t> — </w:t>
      </w:r>
      <w:r>
        <w:rPr>
          <w:rStyle w:val="CharSDivText"/>
        </w:rPr>
        <w:t>Painters</w:t>
      </w:r>
      <w:bookmarkEnd w:id="179"/>
      <w:bookmarkEnd w:id="180"/>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painting practitioner</w:t>
            </w:r>
          </w:p>
        </w:tc>
        <w:tc>
          <w:tcPr>
            <w:tcW w:w="1418" w:type="dxa"/>
            <w:tcBorders>
              <w:bottom w:val="nil"/>
            </w:tcBorders>
            <w:noWrap/>
            <w:vAlign w:val="bottom"/>
          </w:tcPr>
          <w:p>
            <w:pPr>
              <w:pStyle w:val="yTableNAm"/>
              <w:jc w:val="right"/>
            </w:pPr>
            <w:r>
              <w:t>107.00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painting contractor (individual)</w:t>
            </w:r>
          </w:p>
        </w:tc>
        <w:tc>
          <w:tcPr>
            <w:tcW w:w="1418" w:type="dxa"/>
            <w:tcBorders>
              <w:top w:val="nil"/>
              <w:bottom w:val="nil"/>
            </w:tcBorders>
            <w:noWrap/>
            <w:vAlign w:val="bottom"/>
          </w:tcPr>
          <w:p>
            <w:pPr>
              <w:pStyle w:val="yTableNAm"/>
              <w:jc w:val="right"/>
            </w:pPr>
            <w:r>
              <w:t>71.00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painting contractor (partnership)</w:t>
            </w:r>
          </w:p>
        </w:tc>
        <w:tc>
          <w:tcPr>
            <w:tcW w:w="1418" w:type="dxa"/>
            <w:tcBorders>
              <w:top w:val="nil"/>
              <w:bottom w:val="nil"/>
            </w:tcBorders>
            <w:noWrap/>
            <w:vAlign w:val="bottom"/>
          </w:tcPr>
          <w:p>
            <w:pPr>
              <w:pStyle w:val="yTableNAm"/>
              <w:jc w:val="right"/>
            </w:pPr>
            <w:r>
              <w:t>174.00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painting contractor (company)</w:t>
            </w:r>
          </w:p>
        </w:tc>
        <w:tc>
          <w:tcPr>
            <w:tcW w:w="1418" w:type="dxa"/>
            <w:tcBorders>
              <w:top w:val="nil"/>
              <w:bottom w:val="nil"/>
            </w:tcBorders>
            <w:noWrap/>
            <w:vAlign w:val="bottom"/>
          </w:tcPr>
          <w:p>
            <w:pPr>
              <w:pStyle w:val="yTableNAm"/>
              <w:jc w:val="right"/>
            </w:pPr>
            <w:r>
              <w:t>174.00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painting practitioner (3 years)</w:t>
            </w:r>
          </w:p>
        </w:tc>
        <w:tc>
          <w:tcPr>
            <w:tcW w:w="1418" w:type="dxa"/>
            <w:tcBorders>
              <w:top w:val="nil"/>
              <w:bottom w:val="nil"/>
            </w:tcBorders>
            <w:noWrap/>
            <w:vAlign w:val="bottom"/>
          </w:tcPr>
          <w:p>
            <w:pPr>
              <w:pStyle w:val="yTableNAm"/>
              <w:jc w:val="right"/>
            </w:pPr>
            <w:r>
              <w:t>501.00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painting contractor (individual) (3 years)</w:t>
            </w:r>
          </w:p>
        </w:tc>
        <w:tc>
          <w:tcPr>
            <w:tcW w:w="1418" w:type="dxa"/>
            <w:tcBorders>
              <w:top w:val="nil"/>
              <w:bottom w:val="nil"/>
            </w:tcBorders>
            <w:noWrap/>
            <w:vAlign w:val="bottom"/>
          </w:tcPr>
          <w:p>
            <w:pPr>
              <w:pStyle w:val="yTableNAm"/>
              <w:jc w:val="right"/>
            </w:pPr>
            <w:r>
              <w:t>353.00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painting contractor (partnership) (3 years)</w:t>
            </w:r>
          </w:p>
        </w:tc>
        <w:tc>
          <w:tcPr>
            <w:tcW w:w="1418" w:type="dxa"/>
            <w:tcBorders>
              <w:top w:val="nil"/>
              <w:bottom w:val="nil"/>
            </w:tcBorders>
            <w:noWrap/>
            <w:vAlign w:val="bottom"/>
          </w:tcPr>
          <w:p>
            <w:pPr>
              <w:pStyle w:val="yTableNAm"/>
              <w:jc w:val="right"/>
            </w:pPr>
            <w:r>
              <w:t>557.00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painting contractor (company) (3 years)</w:t>
            </w:r>
          </w:p>
        </w:tc>
        <w:tc>
          <w:tcPr>
            <w:tcW w:w="1418" w:type="dxa"/>
            <w:tcBorders>
              <w:top w:val="nil"/>
              <w:bottom w:val="nil"/>
            </w:tcBorders>
            <w:noWrap/>
            <w:vAlign w:val="bottom"/>
          </w:tcPr>
          <w:p>
            <w:pPr>
              <w:pStyle w:val="yTableNAm"/>
              <w:jc w:val="right"/>
            </w:pPr>
            <w:r>
              <w:t>1 200.00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t>43.00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t>111.95</w:t>
            </w:r>
          </w:p>
        </w:tc>
      </w:tr>
      <w:tr>
        <w:trPr>
          <w:cantSplit/>
          <w:jc w:val="center"/>
        </w:trPr>
        <w:tc>
          <w:tcPr>
            <w:tcW w:w="709" w:type="dxa"/>
            <w:tcBorders>
              <w:top w:val="nil"/>
            </w:tcBorders>
            <w:noWrap/>
          </w:tcPr>
          <w:p>
            <w:pPr>
              <w:pStyle w:val="yTableNAm"/>
              <w:keepNext/>
            </w:pPr>
            <w:r>
              <w:t>11.</w:t>
            </w:r>
          </w:p>
        </w:tc>
        <w:tc>
          <w:tcPr>
            <w:tcW w:w="3260" w:type="dxa"/>
            <w:tcBorders>
              <w:top w:val="nil"/>
            </w:tcBorders>
            <w:noWrap/>
          </w:tcPr>
          <w:p>
            <w:pPr>
              <w:pStyle w:val="yTableNAm"/>
              <w:keepNext/>
            </w:pPr>
            <w:r>
              <w:t>Fee for marking an examination sat outside metropolitan area</w:t>
            </w:r>
          </w:p>
        </w:tc>
        <w:tc>
          <w:tcPr>
            <w:tcW w:w="1418" w:type="dxa"/>
            <w:tcBorders>
              <w:top w:val="nil"/>
            </w:tcBorders>
            <w:noWrap/>
            <w:vAlign w:val="bottom"/>
          </w:tcPr>
          <w:p>
            <w:pPr>
              <w:pStyle w:val="yTableNAm"/>
              <w:keepNext/>
              <w:jc w:val="right"/>
            </w:pPr>
            <w:r>
              <w:t>58.50</w:t>
            </w:r>
          </w:p>
        </w:tc>
      </w:tr>
    </w:tbl>
    <w:p>
      <w:pPr>
        <w:pStyle w:val="yFootnotesection"/>
      </w:pPr>
      <w:r>
        <w:tab/>
        <w:t>[Division 5 inserted: SL 2023/35 r. 12.]</w:t>
      </w:r>
    </w:p>
    <w:p>
      <w:pPr>
        <w:pStyle w:val="yFootnotesection"/>
      </w:pPr>
    </w:p>
    <w:p>
      <w:pPr>
        <w:pStyle w:val="yFootnotesection"/>
        <w:rPr>
          <w:i w:val="0"/>
        </w:r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182" w:name="_Toc154745019"/>
      <w:bookmarkStart w:id="183" w:name="_Toc154744895"/>
      <w:r>
        <w:rPr>
          <w:rStyle w:val="CharSchNo"/>
        </w:rPr>
        <w:t>Schedule 2</w:t>
      </w:r>
      <w:r>
        <w:rPr>
          <w:rStyle w:val="CharSDivNo"/>
        </w:rPr>
        <w:t> </w:t>
      </w:r>
      <w:r>
        <w:t>—</w:t>
      </w:r>
      <w:r>
        <w:rPr>
          <w:rStyle w:val="CharSDivText"/>
        </w:rPr>
        <w:t> </w:t>
      </w:r>
      <w:r>
        <w:rPr>
          <w:rStyle w:val="CharSchText"/>
        </w:rPr>
        <w:t>Estimating the value of work</w:t>
      </w:r>
      <w:bookmarkEnd w:id="182"/>
      <w:bookmarkEnd w:id="183"/>
    </w:p>
    <w:p>
      <w:pPr>
        <w:pStyle w:val="yShoulderClause"/>
      </w:pPr>
      <w:r>
        <w:t>[r. 13(1), 28(1)]</w:t>
      </w:r>
    </w:p>
    <w:p>
      <w:pPr>
        <w:pStyle w:val="yHeading5"/>
      </w:pPr>
      <w:bookmarkStart w:id="184" w:name="_Toc154745020"/>
      <w:bookmarkStart w:id="185" w:name="_Toc154744896"/>
      <w:r>
        <w:rPr>
          <w:rStyle w:val="CharSClsNo"/>
        </w:rPr>
        <w:t>1</w:t>
      </w:r>
      <w:r>
        <w:t>.</w:t>
      </w:r>
      <w:r>
        <w:tab/>
        <w:t>Terms used</w:t>
      </w:r>
      <w:bookmarkEnd w:id="184"/>
      <w:bookmarkEnd w:id="185"/>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86" w:name="_Toc154745021"/>
      <w:bookmarkStart w:id="187" w:name="_Toc154744897"/>
      <w:r>
        <w:rPr>
          <w:rStyle w:val="CharSClsNo"/>
        </w:rPr>
        <w:t>2</w:t>
      </w:r>
      <w:r>
        <w:t>.</w:t>
      </w:r>
      <w:r>
        <w:tab/>
        <w:t>Estimated value of work</w:t>
      </w:r>
      <w:bookmarkEnd w:id="186"/>
      <w:bookmarkEnd w:id="187"/>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88" w:name="_Toc154745022"/>
      <w:bookmarkStart w:id="189" w:name="_Toc154744898"/>
      <w:r>
        <w:rPr>
          <w:rStyle w:val="CharSchNo"/>
        </w:rPr>
        <w:t>Schedule 3</w:t>
      </w:r>
      <w:r>
        <w:rPr>
          <w:rStyle w:val="CharSDivNo"/>
        </w:rPr>
        <w:t> </w:t>
      </w:r>
      <w:r>
        <w:t>— </w:t>
      </w:r>
      <w:r>
        <w:rPr>
          <w:rStyle w:val="CharSchText"/>
        </w:rPr>
        <w:t>Builder work: areas of State for purposes of definition</w:t>
      </w:r>
      <w:bookmarkEnd w:id="188"/>
      <w:bookmarkEnd w:id="189"/>
    </w:p>
    <w:p>
      <w:pPr>
        <w:pStyle w:val="yShoulderClause"/>
      </w:pPr>
      <w:r>
        <w:t>[r. 13(1)]</w:t>
      </w:r>
    </w:p>
    <w:p>
      <w:pPr>
        <w:pStyle w:val="yHeading5"/>
      </w:pPr>
      <w:bookmarkStart w:id="190" w:name="_Toc154745023"/>
      <w:bookmarkStart w:id="191" w:name="_Toc154744899"/>
      <w:r>
        <w:rPr>
          <w:rStyle w:val="CharSClsNo"/>
        </w:rPr>
        <w:t>1</w:t>
      </w:r>
      <w:r>
        <w:t>.</w:t>
      </w:r>
      <w:r>
        <w:tab/>
        <w:t>Term used: townsite</w:t>
      </w:r>
      <w:bookmarkEnd w:id="190"/>
      <w:bookmarkEnd w:id="191"/>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92" w:name="_Toc154745024"/>
      <w:bookmarkStart w:id="193" w:name="_Toc154744900"/>
      <w:r>
        <w:rPr>
          <w:rStyle w:val="CharSClsNo"/>
        </w:rPr>
        <w:t>2</w:t>
      </w:r>
      <w:r>
        <w:t>.</w:t>
      </w:r>
      <w:r>
        <w:tab/>
        <w:t>Areas of State</w:t>
      </w:r>
      <w:bookmarkEnd w:id="192"/>
      <w:bookmarkEnd w:id="193"/>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194" w:name="_Toc154745025"/>
      <w:bookmarkStart w:id="195" w:name="_Toc154744901"/>
      <w:r>
        <w:rPr>
          <w:rStyle w:val="CharSchNo"/>
        </w:rPr>
        <w:t>Schedule 4</w:t>
      </w:r>
      <w:r>
        <w:rPr>
          <w:rStyle w:val="CharSDivNo"/>
        </w:rPr>
        <w:t> </w:t>
      </w:r>
      <w:r>
        <w:t>—</w:t>
      </w:r>
      <w:r>
        <w:rPr>
          <w:rStyle w:val="CharSDivText"/>
        </w:rPr>
        <w:t> </w:t>
      </w:r>
      <w:r>
        <w:rPr>
          <w:rStyle w:val="CharSchText"/>
        </w:rPr>
        <w:t>Painter work: areas of the State for purposes of definition</w:t>
      </w:r>
      <w:bookmarkEnd w:id="194"/>
      <w:bookmarkEnd w:id="195"/>
    </w:p>
    <w:p>
      <w:pPr>
        <w:pStyle w:val="yShoulderClause"/>
      </w:pPr>
      <w:r>
        <w:t>[r. 28]</w:t>
      </w:r>
    </w:p>
    <w:p>
      <w:pPr>
        <w:pStyle w:val="yHeading5"/>
      </w:pPr>
      <w:bookmarkStart w:id="196" w:name="_Toc154745026"/>
      <w:bookmarkStart w:id="197" w:name="_Toc154744902"/>
      <w:r>
        <w:rPr>
          <w:rStyle w:val="CharSClsNo"/>
        </w:rPr>
        <w:t>1</w:t>
      </w:r>
      <w:r>
        <w:t>.</w:t>
      </w:r>
      <w:r>
        <w:tab/>
        <w:t>Term used: townsite</w:t>
      </w:r>
      <w:bookmarkEnd w:id="196"/>
      <w:bookmarkEnd w:id="197"/>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98" w:name="_Toc154745027"/>
      <w:bookmarkStart w:id="199" w:name="_Toc154744903"/>
      <w:r>
        <w:rPr>
          <w:rStyle w:val="CharSClsNo"/>
        </w:rPr>
        <w:t>2</w:t>
      </w:r>
      <w:r>
        <w:t>.</w:t>
      </w:r>
      <w:r>
        <w:tab/>
        <w:t>Areas of State</w:t>
      </w:r>
      <w:bookmarkEnd w:id="198"/>
      <w:bookmarkEnd w:id="199"/>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200" w:name="_Toc154745028"/>
      <w:bookmarkStart w:id="201" w:name="_Toc154744904"/>
      <w:r>
        <w:rPr>
          <w:rStyle w:val="CharSchNo"/>
        </w:rPr>
        <w:t>Schedule 5</w:t>
      </w:r>
      <w:r>
        <w:t> — </w:t>
      </w:r>
      <w:r>
        <w:rPr>
          <w:rStyle w:val="CharSchText"/>
        </w:rPr>
        <w:t>Prescribed offences and modified penalties</w:t>
      </w:r>
      <w:bookmarkEnd w:id="200"/>
      <w:bookmarkEnd w:id="201"/>
    </w:p>
    <w:p>
      <w:pPr>
        <w:pStyle w:val="yShoulderClause"/>
      </w:pPr>
      <w:r>
        <w:t>[r. 36A]</w:t>
      </w:r>
    </w:p>
    <w:p>
      <w:pPr>
        <w:pStyle w:val="yFootnoteheading"/>
      </w:pPr>
      <w:r>
        <w:tab/>
        <w:t>[Heading inserted: Gazette 26 Apr 2019 p. 1216.]</w:t>
      </w:r>
    </w:p>
    <w:p>
      <w:pPr>
        <w:pStyle w:val="yHeading3"/>
      </w:pPr>
      <w:bookmarkStart w:id="202" w:name="_Toc154745029"/>
      <w:bookmarkStart w:id="203" w:name="_Toc154744905"/>
      <w:r>
        <w:rPr>
          <w:rStyle w:val="CharSDivNo"/>
        </w:rPr>
        <w:t>Division 1</w:t>
      </w:r>
      <w:r>
        <w:t> — </w:t>
      </w:r>
      <w:r>
        <w:rPr>
          <w:rStyle w:val="CharSDivText"/>
        </w:rPr>
        <w:t>Preliminary</w:t>
      </w:r>
      <w:bookmarkEnd w:id="202"/>
      <w:bookmarkEnd w:id="203"/>
    </w:p>
    <w:p>
      <w:pPr>
        <w:pStyle w:val="yFootnoteheading"/>
      </w:pPr>
      <w:r>
        <w:tab/>
        <w:t>[Heading inserted: Gazette 26 Apr 2019 p. 1216.]</w:t>
      </w:r>
    </w:p>
    <w:p>
      <w:pPr>
        <w:pStyle w:val="yHeading5"/>
      </w:pPr>
      <w:bookmarkStart w:id="204" w:name="_Toc154745030"/>
      <w:bookmarkStart w:id="205" w:name="_Toc154744906"/>
      <w:r>
        <w:rPr>
          <w:rStyle w:val="CharSClsNo"/>
        </w:rPr>
        <w:t>1</w:t>
      </w:r>
      <w:r>
        <w:t>.</w:t>
      </w:r>
      <w:r>
        <w:tab/>
        <w:t>Terms used</w:t>
      </w:r>
      <w:bookmarkEnd w:id="204"/>
      <w:bookmarkEnd w:id="205"/>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pPr>
      <w:bookmarkStart w:id="206" w:name="_Toc154745031"/>
      <w:bookmarkStart w:id="207" w:name="_Toc154744907"/>
      <w:r>
        <w:rPr>
          <w:rStyle w:val="CharSDivNo"/>
        </w:rPr>
        <w:t>Division 2</w:t>
      </w:r>
      <w:r>
        <w:t> — </w:t>
      </w:r>
      <w:r>
        <w:rPr>
          <w:rStyle w:val="CharSDivText"/>
        </w:rPr>
        <w:t>Offences under the Act</w:t>
      </w:r>
      <w:bookmarkEnd w:id="206"/>
      <w:bookmarkEnd w:id="207"/>
    </w:p>
    <w:p>
      <w:pPr>
        <w:pStyle w:val="yFootnoteheading"/>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1072" w:type="dxa"/>
          </w:tcPr>
          <w:p>
            <w:pPr>
              <w:pStyle w:val="yTableNAm"/>
            </w:pPr>
            <w:r>
              <w:t>s. 32A(2)</w:t>
            </w:r>
          </w:p>
        </w:tc>
        <w:tc>
          <w:tcPr>
            <w:tcW w:w="2897" w:type="dxa"/>
          </w:tcPr>
          <w:p>
            <w:pPr>
              <w:pStyle w:val="yTableNAm"/>
            </w:pPr>
            <w:r>
              <w:t>Failure to notify the Board of new director</w:t>
            </w:r>
          </w:p>
        </w:tc>
        <w:tc>
          <w:tcPr>
            <w:tcW w:w="2977" w:type="dxa"/>
          </w:tcPr>
          <w:p>
            <w:pPr>
              <w:pStyle w:val="yTableNAm"/>
            </w:pPr>
            <w:r>
              <w:t>$1 000</w:t>
            </w:r>
          </w:p>
        </w:tc>
      </w:tr>
      <w:tr>
        <w:trPr>
          <w:cantSplit/>
        </w:trPr>
        <w:tc>
          <w:tcPr>
            <w:tcW w:w="1072" w:type="dxa"/>
          </w:tcPr>
          <w:p>
            <w:pPr>
              <w:pStyle w:val="yTableNAm"/>
            </w:pPr>
            <w:r>
              <w:rPr>
                <w:szCs w:val="22"/>
              </w:rPr>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 amended: SL 2022/101 r. 6.]</w:t>
      </w:r>
    </w:p>
    <w:p>
      <w:pPr>
        <w:pStyle w:val="yHeading3"/>
      </w:pPr>
      <w:bookmarkStart w:id="208" w:name="_Toc154745032"/>
      <w:bookmarkStart w:id="209" w:name="_Toc154744908"/>
      <w:r>
        <w:rPr>
          <w:rStyle w:val="CharSDivNo"/>
        </w:rPr>
        <w:t>Division 3</w:t>
      </w:r>
      <w:r>
        <w:t xml:space="preserve"> — </w:t>
      </w:r>
      <w:r>
        <w:rPr>
          <w:rStyle w:val="CharSDivText"/>
        </w:rPr>
        <w:t>Offences under these regulations</w:t>
      </w:r>
      <w:bookmarkEnd w:id="208"/>
      <w:bookmarkEnd w:id="209"/>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r>
        <w:tab/>
        <w:t>[Division 3 inserted: Gazette 26 Apr 2019 p. 1219.]</w:t>
      </w:r>
    </w:p>
    <w:p>
      <w:pPr>
        <w:pStyle w:val="yScheduleHeading"/>
      </w:pPr>
      <w:bookmarkStart w:id="210" w:name="_Toc154745033"/>
      <w:bookmarkStart w:id="211" w:name="_Toc154744909"/>
      <w:r>
        <w:rPr>
          <w:rStyle w:val="CharSchNo"/>
        </w:rPr>
        <w:t>Schedule 6</w:t>
      </w:r>
      <w:r>
        <w:rPr>
          <w:rStyle w:val="CharSDivNo"/>
        </w:rPr>
        <w:t> </w:t>
      </w:r>
      <w:r>
        <w:t>—</w:t>
      </w:r>
      <w:r>
        <w:rPr>
          <w:rStyle w:val="CharSDivText"/>
        </w:rPr>
        <w:t> </w:t>
      </w:r>
      <w:r>
        <w:rPr>
          <w:rStyle w:val="CharSchText"/>
        </w:rPr>
        <w:t>Forms</w:t>
      </w:r>
      <w:bookmarkEnd w:id="210"/>
      <w:bookmarkEnd w:id="211"/>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keepNext/>
            </w:pPr>
            <w:r>
              <w:rPr>
                <w:b/>
              </w:rPr>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p>
            <w:pPr>
              <w:pStyle w:val="yTableNAm"/>
              <w:keepNext/>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keepNext/>
            </w:pPr>
            <w:r>
              <w:rPr>
                <w:b/>
              </w:rPr>
              <w:t>How to pay</w:t>
            </w:r>
          </w:p>
        </w:tc>
        <w:tc>
          <w:tcPr>
            <w:tcW w:w="1276" w:type="dxa"/>
            <w:tcBorders>
              <w:bottom w:val="nil"/>
            </w:tcBorders>
          </w:tcPr>
          <w:p>
            <w:pPr>
              <w:pStyle w:val="yTableNAm"/>
              <w:keepNext/>
            </w:pPr>
            <w:r>
              <w:t>By post</w:t>
            </w:r>
          </w:p>
        </w:tc>
        <w:tc>
          <w:tcPr>
            <w:tcW w:w="4394" w:type="dxa"/>
            <w:gridSpan w:val="5"/>
            <w:tcBorders>
              <w:bottom w:val="nil"/>
            </w:tcBorders>
          </w:tcPr>
          <w:p>
            <w:pPr>
              <w:pStyle w:val="yTableNAm"/>
              <w:keepNext/>
            </w:pPr>
            <w:r>
              <w:t>Tick the relevant box below and post this notice to:</w:t>
            </w:r>
          </w:p>
          <w:p>
            <w:pPr>
              <w:pStyle w:val="yTableNAm"/>
              <w:keepNext/>
              <w:rPr>
                <w:i/>
              </w:rPr>
            </w:pPr>
            <w:r>
              <w:t xml:space="preserve">Approved Officer — </w:t>
            </w:r>
            <w:r>
              <w:rPr>
                <w:i/>
              </w:rPr>
              <w:t>Building Services (Registration) Act 2011</w:t>
            </w:r>
          </w:p>
          <w:p>
            <w:pPr>
              <w:pStyle w:val="yTableNAm"/>
              <w:keepNext/>
              <w:spacing w:before="60"/>
              <w:rPr>
                <w:rFonts w:eastAsia="MS Mincho"/>
              </w:rPr>
            </w:pPr>
            <w:r>
              <w:rPr>
                <w:rFonts w:eastAsia="MS Mincho"/>
              </w:rPr>
              <w:t>[</w:t>
            </w:r>
            <w:r>
              <w:rPr>
                <w:rFonts w:eastAsia="MS Mincho"/>
                <w:i/>
              </w:rPr>
              <w:t>Address</w:t>
            </w:r>
            <w:r>
              <w:rPr>
                <w:rFonts w:eastAsia="MS Mincho"/>
              </w:rPr>
              <w:t>]</w:t>
            </w:r>
          </w:p>
          <w:p>
            <w:pPr>
              <w:pStyle w:val="yTableNAm"/>
              <w:keepNext/>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keepNext/>
              <w:ind w:left="567" w:hanging="567"/>
            </w:pPr>
            <w:r>
              <w:rPr>
                <w:rFonts w:eastAsia="MS Mincho" w:hint="eastAsia"/>
                <w:sz w:val="20"/>
              </w:rPr>
              <w:sym w:font="ZapfDingbats" w:char="F072"/>
            </w:r>
            <w:r>
              <w:tab/>
              <w:t>I want to pay the modified penalty by credit card.  Please debit my credit card account.</w:t>
            </w:r>
          </w:p>
          <w:p>
            <w:pPr>
              <w:pStyle w:val="yTableNAm"/>
              <w:keepNext/>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pPr>
        <w:pStyle w:val="nHeading2"/>
      </w:pPr>
      <w:bookmarkStart w:id="212" w:name="_Toc154745034"/>
      <w:bookmarkStart w:id="213" w:name="_Toc154744910"/>
      <w:r>
        <w:t>Notes</w:t>
      </w:r>
      <w:bookmarkEnd w:id="212"/>
      <w:bookmarkEnd w:id="213"/>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14" w:name="_Toc154745035"/>
      <w:bookmarkStart w:id="215" w:name="_Toc154744911"/>
      <w:r>
        <w:t>Compilation table</w:t>
      </w:r>
      <w:bookmarkEnd w:id="214"/>
      <w:bookmarkEnd w:id="215"/>
    </w:p>
    <w:tbl>
      <w:tblPr>
        <w:tblW w:w="7068" w:type="dxa"/>
        <w:tblInd w:w="57"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5"/>
        <w:gridCol w:w="1254"/>
        <w:gridCol w:w="2679"/>
      </w:tblGrid>
      <w:tr>
        <w:trPr>
          <w:tblHeader/>
        </w:trPr>
        <w:tc>
          <w:tcPr>
            <w:tcW w:w="3135" w:type="dxa"/>
          </w:tcPr>
          <w:p>
            <w:pPr>
              <w:pStyle w:val="nTable"/>
              <w:spacing w:after="40"/>
              <w:rPr>
                <w:b/>
              </w:rPr>
            </w:pPr>
            <w:r>
              <w:rPr>
                <w:b/>
              </w:rPr>
              <w:t>Citation</w:t>
            </w:r>
          </w:p>
        </w:tc>
        <w:tc>
          <w:tcPr>
            <w:tcW w:w="1254" w:type="dxa"/>
          </w:tcPr>
          <w:p>
            <w:pPr>
              <w:pStyle w:val="nTable"/>
              <w:spacing w:after="40"/>
              <w:rPr>
                <w:b/>
              </w:rPr>
            </w:pPr>
            <w:r>
              <w:rPr>
                <w:b/>
              </w:rPr>
              <w:t>Published</w:t>
            </w:r>
          </w:p>
        </w:tc>
        <w:tc>
          <w:tcPr>
            <w:tcW w:w="2679" w:type="dxa"/>
          </w:tcPr>
          <w:p>
            <w:pPr>
              <w:pStyle w:val="nTable"/>
              <w:spacing w:after="40"/>
              <w:rPr>
                <w:b/>
              </w:rPr>
            </w:pPr>
            <w:r>
              <w:rPr>
                <w:b/>
              </w:rPr>
              <w:t>Commencement</w:t>
            </w:r>
          </w:p>
        </w:tc>
      </w:tr>
      <w:tr>
        <w:tc>
          <w:tcPr>
            <w:tcW w:w="3135" w:type="dxa"/>
            <w:tcBorders>
              <w:top w:val="single" w:sz="8" w:space="0" w:color="auto"/>
              <w:bottom w:val="nil"/>
            </w:tcBorders>
          </w:tcPr>
          <w:p>
            <w:pPr>
              <w:pStyle w:val="nTable"/>
              <w:spacing w:after="40"/>
            </w:pPr>
            <w:r>
              <w:rPr>
                <w:i/>
                <w:snapToGrid w:val="0"/>
              </w:rPr>
              <w:t>Building Services (Registration) Regulations 2011</w:t>
            </w:r>
          </w:p>
        </w:tc>
        <w:tc>
          <w:tcPr>
            <w:tcW w:w="1254" w:type="dxa"/>
            <w:tcBorders>
              <w:top w:val="single" w:sz="8" w:space="0" w:color="auto"/>
              <w:bottom w:val="nil"/>
            </w:tcBorders>
          </w:tcPr>
          <w:p>
            <w:pPr>
              <w:pStyle w:val="nTable"/>
              <w:spacing w:after="40"/>
            </w:pPr>
            <w:r>
              <w:t>26 Aug 2011 p. 3411-52</w:t>
            </w:r>
          </w:p>
        </w:tc>
        <w:tc>
          <w:tcPr>
            <w:tcW w:w="2679"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54" w:type="dxa"/>
            <w:tcBorders>
              <w:top w:val="nil"/>
              <w:left w:val="nil"/>
              <w:bottom w:val="nil"/>
              <w:right w:val="nil"/>
            </w:tcBorders>
          </w:tcPr>
          <w:p>
            <w:pPr>
              <w:pStyle w:val="nTable"/>
              <w:spacing w:after="40"/>
            </w:pPr>
            <w:r>
              <w:t>31 Jan 2012 p. 591</w:t>
            </w:r>
            <w:r>
              <w:noBreakHyphen/>
              <w:t>601</w:t>
            </w:r>
          </w:p>
        </w:tc>
        <w:tc>
          <w:tcPr>
            <w:tcW w:w="2679" w:type="dxa"/>
            <w:tcBorders>
              <w:top w:val="nil"/>
              <w:left w:val="nil"/>
              <w:bottom w:val="nil"/>
            </w:tcBorders>
          </w:tcPr>
          <w:p>
            <w:pPr>
              <w:pStyle w:val="nTable"/>
              <w:spacing w:after="40"/>
            </w:pPr>
            <w:r>
              <w:t>r. 1 and 2: 31 Jan 2012 (see r. 2(a));</w:t>
            </w:r>
            <w:r>
              <w:br/>
              <w:t>Regulations other than r. 1 and 2: 1 Feb 2012 (see r. 2(b))</w:t>
            </w:r>
          </w:p>
        </w:tc>
      </w:tr>
      <w:tr>
        <w:tc>
          <w:tcPr>
            <w:tcW w:w="3135"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54" w:type="dxa"/>
            <w:tcBorders>
              <w:top w:val="nil"/>
              <w:left w:val="nil"/>
              <w:bottom w:val="nil"/>
              <w:right w:val="nil"/>
            </w:tcBorders>
          </w:tcPr>
          <w:p>
            <w:pPr>
              <w:pStyle w:val="nTable"/>
              <w:spacing w:after="40"/>
            </w:pPr>
            <w:r>
              <w:t>12 Mar 2012 p. 989-1011</w:t>
            </w:r>
          </w:p>
        </w:tc>
        <w:tc>
          <w:tcPr>
            <w:tcW w:w="2679"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54" w:type="dxa"/>
            <w:tcBorders>
              <w:top w:val="nil"/>
              <w:left w:val="nil"/>
              <w:bottom w:val="nil"/>
              <w:right w:val="nil"/>
            </w:tcBorders>
          </w:tcPr>
          <w:p>
            <w:pPr>
              <w:pStyle w:val="nTable"/>
              <w:spacing w:after="40"/>
            </w:pPr>
            <w:r>
              <w:t>15 Jun 2012 p. 2617-20</w:t>
            </w:r>
          </w:p>
        </w:tc>
        <w:tc>
          <w:tcPr>
            <w:tcW w:w="2679" w:type="dxa"/>
            <w:tcBorders>
              <w:top w:val="nil"/>
              <w:left w:val="nil"/>
              <w:bottom w:val="nil"/>
            </w:tcBorders>
          </w:tcPr>
          <w:p>
            <w:pPr>
              <w:pStyle w:val="nTable"/>
              <w:spacing w:after="40"/>
            </w:pPr>
            <w:r>
              <w:t>r. 1 and 2: 15 Jun 2012 (see r. 2(a));</w:t>
            </w:r>
            <w:r>
              <w:br/>
              <w:t>Regulations other than r. 1 and 2: 1 Jul 2012 (see r. 2(b))</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54" w:type="dxa"/>
            <w:tcBorders>
              <w:top w:val="nil"/>
              <w:left w:val="nil"/>
              <w:bottom w:val="nil"/>
              <w:right w:val="nil"/>
            </w:tcBorders>
          </w:tcPr>
          <w:p>
            <w:pPr>
              <w:pStyle w:val="nTable"/>
              <w:spacing w:after="40"/>
            </w:pPr>
            <w:r>
              <w:t>6 Nov 2012 p. 5293-4</w:t>
            </w:r>
          </w:p>
        </w:tc>
        <w:tc>
          <w:tcPr>
            <w:tcW w:w="2679" w:type="dxa"/>
            <w:tcBorders>
              <w:top w:val="nil"/>
              <w:left w:val="nil"/>
              <w:bottom w:val="nil"/>
            </w:tcBorders>
          </w:tcPr>
          <w:p>
            <w:pPr>
              <w:pStyle w:val="nTable"/>
              <w:spacing w:after="40"/>
            </w:pPr>
            <w:r>
              <w:t>r. 1 and 2: 6 Nov 2012 (see r. 2(a));</w:t>
            </w:r>
            <w:r>
              <w:br/>
              <w:t>Regulations other than r. 1 and 2: 7 Nov 2012 (see r. 2(b))</w:t>
            </w:r>
          </w:p>
        </w:tc>
      </w:tr>
      <w:tr>
        <w:tc>
          <w:tcPr>
            <w:tcW w:w="3135"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54" w:type="dxa"/>
            <w:tcBorders>
              <w:top w:val="nil"/>
              <w:left w:val="nil"/>
              <w:bottom w:val="nil"/>
              <w:right w:val="nil"/>
            </w:tcBorders>
          </w:tcPr>
          <w:p>
            <w:pPr>
              <w:pStyle w:val="nTable"/>
              <w:spacing w:after="40"/>
            </w:pPr>
            <w:r>
              <w:t>18 Dec 2012 p. 6585-9</w:t>
            </w:r>
          </w:p>
        </w:tc>
        <w:tc>
          <w:tcPr>
            <w:tcW w:w="2679" w:type="dxa"/>
            <w:tcBorders>
              <w:top w:val="nil"/>
              <w:left w:val="nil"/>
              <w:bottom w:val="nil"/>
            </w:tcBorders>
          </w:tcPr>
          <w:p>
            <w:pPr>
              <w:pStyle w:val="nTable"/>
              <w:spacing w:after="40"/>
            </w:pPr>
            <w:r>
              <w:t>r. 1 and 2: 18 Dec 2012 (see r. 2(a));</w:t>
            </w:r>
            <w:r>
              <w:br/>
              <w:t>Regulations other than r. 1 and 2: 19 Dec 2012 (see r. 2(b))</w:t>
            </w:r>
          </w:p>
        </w:tc>
      </w:tr>
      <w:tr>
        <w:tc>
          <w:tcPr>
            <w:tcW w:w="3135"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54" w:type="dxa"/>
            <w:tcBorders>
              <w:top w:val="nil"/>
              <w:left w:val="nil"/>
              <w:bottom w:val="nil"/>
              <w:right w:val="nil"/>
            </w:tcBorders>
            <w:shd w:val="clear" w:color="auto" w:fill="auto"/>
          </w:tcPr>
          <w:p>
            <w:pPr>
              <w:pStyle w:val="nTable"/>
              <w:spacing w:after="40"/>
            </w:pPr>
            <w:r>
              <w:t>22 Jan 2013 p. 211</w:t>
            </w:r>
          </w:p>
        </w:tc>
        <w:tc>
          <w:tcPr>
            <w:tcW w:w="2679"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6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35"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54" w:type="dxa"/>
            <w:tcBorders>
              <w:top w:val="nil"/>
              <w:left w:val="nil"/>
              <w:bottom w:val="nil"/>
              <w:right w:val="nil"/>
            </w:tcBorders>
            <w:shd w:val="clear" w:color="auto" w:fill="auto"/>
          </w:tcPr>
          <w:p>
            <w:pPr>
              <w:pStyle w:val="nTable"/>
              <w:keepNext/>
              <w:spacing w:after="40"/>
            </w:pPr>
            <w:r>
              <w:t>27 Jun 2013 p. 2665-9</w:t>
            </w:r>
          </w:p>
        </w:tc>
        <w:tc>
          <w:tcPr>
            <w:tcW w:w="2679"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35"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54" w:type="dxa"/>
            <w:tcBorders>
              <w:top w:val="nil"/>
              <w:left w:val="nil"/>
              <w:bottom w:val="nil"/>
              <w:right w:val="nil"/>
            </w:tcBorders>
            <w:shd w:val="clear" w:color="auto" w:fill="auto"/>
          </w:tcPr>
          <w:p>
            <w:pPr>
              <w:pStyle w:val="nTable"/>
              <w:spacing w:after="40"/>
            </w:pPr>
            <w:r>
              <w:t>14 Nov 2013 p. 5029</w:t>
            </w:r>
          </w:p>
        </w:tc>
        <w:tc>
          <w:tcPr>
            <w:tcW w:w="2679"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54" w:type="dxa"/>
            <w:tcBorders>
              <w:top w:val="nil"/>
              <w:left w:val="nil"/>
              <w:bottom w:val="nil"/>
              <w:right w:val="nil"/>
            </w:tcBorders>
            <w:shd w:val="clear" w:color="auto" w:fill="auto"/>
          </w:tcPr>
          <w:p>
            <w:pPr>
              <w:pStyle w:val="nTable"/>
              <w:spacing w:after="40"/>
            </w:pPr>
            <w:r>
              <w:t>31 Dec 2013 p. 6535</w:t>
            </w:r>
            <w:r>
              <w:noBreakHyphen/>
              <w:t>9</w:t>
            </w:r>
          </w:p>
        </w:tc>
        <w:tc>
          <w:tcPr>
            <w:tcW w:w="2679"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54" w:type="dxa"/>
            <w:tcBorders>
              <w:top w:val="nil"/>
              <w:left w:val="nil"/>
              <w:bottom w:val="nil"/>
              <w:right w:val="nil"/>
            </w:tcBorders>
            <w:shd w:val="clear" w:color="auto" w:fill="auto"/>
          </w:tcPr>
          <w:p>
            <w:pPr>
              <w:pStyle w:val="nTable"/>
              <w:spacing w:after="40"/>
            </w:pPr>
            <w:r>
              <w:t>17 Jun 2014 p. 1959</w:t>
            </w:r>
            <w:r>
              <w:noBreakHyphen/>
              <w:t>61</w:t>
            </w:r>
          </w:p>
        </w:tc>
        <w:tc>
          <w:tcPr>
            <w:tcW w:w="2679"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54" w:type="dxa"/>
            <w:tcBorders>
              <w:top w:val="nil"/>
              <w:left w:val="nil"/>
              <w:bottom w:val="nil"/>
              <w:right w:val="nil"/>
            </w:tcBorders>
            <w:shd w:val="clear" w:color="auto" w:fill="auto"/>
          </w:tcPr>
          <w:p>
            <w:pPr>
              <w:pStyle w:val="nTable"/>
              <w:spacing w:after="40"/>
            </w:pPr>
            <w:r>
              <w:t>19 Dec 2014 p. 4841</w:t>
            </w:r>
            <w:r>
              <w:noBreakHyphen/>
              <w:t>2</w:t>
            </w:r>
          </w:p>
        </w:tc>
        <w:tc>
          <w:tcPr>
            <w:tcW w:w="2679"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6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35"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54" w:type="dxa"/>
            <w:tcBorders>
              <w:top w:val="nil"/>
              <w:bottom w:val="nil"/>
            </w:tcBorders>
            <w:shd w:val="clear" w:color="auto" w:fill="auto"/>
          </w:tcPr>
          <w:p>
            <w:pPr>
              <w:pStyle w:val="nTable"/>
              <w:spacing w:after="40"/>
              <w:rPr>
                <w:b/>
                <w:bCs/>
                <w:snapToGrid w:val="0"/>
              </w:rPr>
            </w:pPr>
            <w:r>
              <w:t>23 Jun 2015 p. 2165</w:t>
            </w:r>
            <w:r>
              <w:noBreakHyphen/>
              <w:t>7</w:t>
            </w:r>
          </w:p>
        </w:tc>
        <w:tc>
          <w:tcPr>
            <w:tcW w:w="2679"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35" w:type="dxa"/>
            <w:tcBorders>
              <w:top w:val="nil"/>
              <w:bottom w:val="nil"/>
            </w:tcBorders>
          </w:tcPr>
          <w:p>
            <w:pPr>
              <w:pStyle w:val="nTable"/>
              <w:spacing w:after="40"/>
            </w:pPr>
            <w:r>
              <w:rPr>
                <w:i/>
              </w:rPr>
              <w:t>Commerce Regulations Amendment (Fees and Charges) Regulations 2016</w:t>
            </w:r>
            <w:r>
              <w:t xml:space="preserve"> Pt. 4</w:t>
            </w:r>
          </w:p>
        </w:tc>
        <w:tc>
          <w:tcPr>
            <w:tcW w:w="1254" w:type="dxa"/>
            <w:tcBorders>
              <w:top w:val="nil"/>
              <w:bottom w:val="nil"/>
            </w:tcBorders>
          </w:tcPr>
          <w:p>
            <w:pPr>
              <w:pStyle w:val="nTable"/>
              <w:spacing w:after="40"/>
            </w:pPr>
            <w:r>
              <w:t>3 Jun 2016 p. 1745-73</w:t>
            </w:r>
          </w:p>
        </w:tc>
        <w:tc>
          <w:tcPr>
            <w:tcW w:w="2679" w:type="dxa"/>
            <w:tcBorders>
              <w:top w:val="nil"/>
              <w:bottom w:val="nil"/>
            </w:tcBorders>
          </w:tcPr>
          <w:p>
            <w:pPr>
              <w:pStyle w:val="nTable"/>
              <w:spacing w:after="40"/>
            </w:pPr>
            <w:r>
              <w:t>1 Jul 2016 (see r. 2(b))</w:t>
            </w:r>
          </w:p>
        </w:tc>
      </w:tr>
      <w:tr>
        <w:tc>
          <w:tcPr>
            <w:tcW w:w="3135" w:type="dxa"/>
            <w:tcBorders>
              <w:top w:val="nil"/>
              <w:bottom w:val="nil"/>
            </w:tcBorders>
          </w:tcPr>
          <w:p>
            <w:pPr>
              <w:pStyle w:val="nTable"/>
              <w:spacing w:after="40"/>
              <w:rPr>
                <w:i/>
              </w:rPr>
            </w:pPr>
            <w:r>
              <w:rPr>
                <w:i/>
              </w:rPr>
              <w:t>Building Services (Registration) Amendment Regulations 2017</w:t>
            </w:r>
          </w:p>
        </w:tc>
        <w:tc>
          <w:tcPr>
            <w:tcW w:w="1254" w:type="dxa"/>
            <w:tcBorders>
              <w:top w:val="nil"/>
              <w:bottom w:val="nil"/>
            </w:tcBorders>
          </w:tcPr>
          <w:p>
            <w:pPr>
              <w:pStyle w:val="nTable"/>
              <w:spacing w:after="40"/>
            </w:pPr>
            <w:r>
              <w:t>31 Mar 2017 p. 1941-2</w:t>
            </w:r>
          </w:p>
        </w:tc>
        <w:tc>
          <w:tcPr>
            <w:tcW w:w="2679"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35"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54" w:type="dxa"/>
            <w:tcBorders>
              <w:top w:val="nil"/>
              <w:bottom w:val="nil"/>
            </w:tcBorders>
          </w:tcPr>
          <w:p>
            <w:pPr>
              <w:pStyle w:val="nTable"/>
              <w:spacing w:after="40"/>
            </w:pPr>
            <w:r>
              <w:t>23 Jun 2017 p. 3213</w:t>
            </w:r>
            <w:r>
              <w:noBreakHyphen/>
              <w:t>52</w:t>
            </w:r>
          </w:p>
        </w:tc>
        <w:tc>
          <w:tcPr>
            <w:tcW w:w="2679" w:type="dxa"/>
            <w:tcBorders>
              <w:top w:val="nil"/>
              <w:bottom w:val="nil"/>
            </w:tcBorders>
          </w:tcPr>
          <w:p>
            <w:pPr>
              <w:pStyle w:val="nTable"/>
              <w:spacing w:after="40"/>
            </w:pPr>
            <w:r>
              <w:t>1 Jul 2017 (see r. 2(b))</w:t>
            </w:r>
          </w:p>
        </w:tc>
      </w:tr>
      <w:tr>
        <w:tc>
          <w:tcPr>
            <w:tcW w:w="3135" w:type="dxa"/>
            <w:tcBorders>
              <w:top w:val="nil"/>
              <w:bottom w:val="nil"/>
            </w:tcBorders>
          </w:tcPr>
          <w:p>
            <w:pPr>
              <w:pStyle w:val="nTable"/>
              <w:spacing w:after="40"/>
            </w:pPr>
            <w:r>
              <w:rPr>
                <w:i/>
              </w:rPr>
              <w:t>Building Regulations Amendment Regulations 2017</w:t>
            </w:r>
            <w:r>
              <w:t xml:space="preserve"> Pt. 3</w:t>
            </w:r>
          </w:p>
        </w:tc>
        <w:tc>
          <w:tcPr>
            <w:tcW w:w="1254" w:type="dxa"/>
            <w:tcBorders>
              <w:top w:val="nil"/>
              <w:bottom w:val="nil"/>
            </w:tcBorders>
          </w:tcPr>
          <w:p>
            <w:pPr>
              <w:pStyle w:val="nTable"/>
              <w:spacing w:after="40"/>
            </w:pPr>
            <w:r>
              <w:t>8 Aug 2017 p. 4343</w:t>
            </w:r>
            <w:r>
              <w:noBreakHyphen/>
              <w:t>5</w:t>
            </w:r>
          </w:p>
        </w:tc>
        <w:tc>
          <w:tcPr>
            <w:tcW w:w="2679"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35"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54" w:type="dxa"/>
            <w:tcBorders>
              <w:top w:val="nil"/>
              <w:bottom w:val="nil"/>
            </w:tcBorders>
          </w:tcPr>
          <w:p>
            <w:pPr>
              <w:pStyle w:val="nTable"/>
              <w:keepNext/>
              <w:spacing w:after="40"/>
            </w:pPr>
            <w:r>
              <w:t>5 Jan 2018 p. 4</w:t>
            </w:r>
            <w:r>
              <w:noBreakHyphen/>
              <w:t>8</w:t>
            </w:r>
          </w:p>
        </w:tc>
        <w:tc>
          <w:tcPr>
            <w:tcW w:w="2679"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35"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54" w:type="dxa"/>
            <w:tcBorders>
              <w:top w:val="nil"/>
              <w:bottom w:val="nil"/>
            </w:tcBorders>
          </w:tcPr>
          <w:p>
            <w:pPr>
              <w:pStyle w:val="nTable"/>
              <w:keepNext/>
              <w:spacing w:after="40"/>
            </w:pPr>
            <w:r>
              <w:t>25 Jun 2018 p. 2325</w:t>
            </w:r>
            <w:r>
              <w:noBreakHyphen/>
              <w:t>53</w:t>
            </w:r>
          </w:p>
        </w:tc>
        <w:tc>
          <w:tcPr>
            <w:tcW w:w="2679"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35" w:type="dxa"/>
            <w:tcBorders>
              <w:top w:val="nil"/>
              <w:bottom w:val="nil"/>
            </w:tcBorders>
          </w:tcPr>
          <w:p>
            <w:pPr>
              <w:pStyle w:val="nTable"/>
              <w:spacing w:after="40"/>
              <w:rPr>
                <w:i/>
              </w:rPr>
            </w:pPr>
            <w:r>
              <w:rPr>
                <w:i/>
              </w:rPr>
              <w:t>Building Services (Registration) Amendment Regulations 2018</w:t>
            </w:r>
          </w:p>
        </w:tc>
        <w:tc>
          <w:tcPr>
            <w:tcW w:w="1254" w:type="dxa"/>
            <w:tcBorders>
              <w:top w:val="nil"/>
              <w:bottom w:val="nil"/>
            </w:tcBorders>
          </w:tcPr>
          <w:p>
            <w:pPr>
              <w:pStyle w:val="nTable"/>
              <w:keepNext/>
              <w:spacing w:after="40"/>
            </w:pPr>
            <w:r>
              <w:t>21 Sep 2018 p. 3534</w:t>
            </w:r>
            <w:r>
              <w:noBreakHyphen/>
              <w:t>7</w:t>
            </w:r>
          </w:p>
        </w:tc>
        <w:tc>
          <w:tcPr>
            <w:tcW w:w="2679"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35" w:type="dxa"/>
            <w:tcBorders>
              <w:top w:val="nil"/>
              <w:bottom w:val="nil"/>
            </w:tcBorders>
          </w:tcPr>
          <w:p>
            <w:pPr>
              <w:pStyle w:val="nTable"/>
              <w:spacing w:after="40"/>
            </w:pPr>
            <w:r>
              <w:rPr>
                <w:i/>
              </w:rPr>
              <w:t xml:space="preserve">Commerce Regulations Amendment (Infringement Notices) Regulations 2019 </w:t>
            </w:r>
            <w:r>
              <w:t>Pt. 4</w:t>
            </w:r>
          </w:p>
        </w:tc>
        <w:tc>
          <w:tcPr>
            <w:tcW w:w="1254" w:type="dxa"/>
            <w:tcBorders>
              <w:top w:val="nil"/>
              <w:bottom w:val="nil"/>
            </w:tcBorders>
          </w:tcPr>
          <w:p>
            <w:pPr>
              <w:pStyle w:val="nTable"/>
              <w:spacing w:after="40"/>
            </w:pPr>
            <w:r>
              <w:t>26 Apr 2019 p. 1209-22</w:t>
            </w:r>
          </w:p>
        </w:tc>
        <w:tc>
          <w:tcPr>
            <w:tcW w:w="2679"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54" w:type="dxa"/>
            <w:tcBorders>
              <w:top w:val="nil"/>
              <w:left w:val="nil"/>
              <w:bottom w:val="nil"/>
              <w:right w:val="nil"/>
            </w:tcBorders>
          </w:tcPr>
          <w:p>
            <w:pPr>
              <w:pStyle w:val="nTable"/>
              <w:spacing w:after="40"/>
            </w:pPr>
            <w:r>
              <w:t>18 Jun 2019 p. 2077</w:t>
            </w:r>
            <w:r>
              <w:noBreakHyphen/>
              <w:t>115</w:t>
            </w:r>
          </w:p>
        </w:tc>
        <w:tc>
          <w:tcPr>
            <w:tcW w:w="2679"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54" w:type="dxa"/>
            <w:tcBorders>
              <w:top w:val="nil"/>
              <w:left w:val="nil"/>
              <w:bottom w:val="nil"/>
              <w:right w:val="nil"/>
            </w:tcBorders>
          </w:tcPr>
          <w:p>
            <w:pPr>
              <w:pStyle w:val="nTable"/>
              <w:spacing w:after="40"/>
            </w:pPr>
            <w:r>
              <w:t>SL 2020/163 25 Sep 2020</w:t>
            </w:r>
          </w:p>
        </w:tc>
        <w:tc>
          <w:tcPr>
            <w:tcW w:w="2679"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54" w:type="dxa"/>
            <w:tcBorders>
              <w:top w:val="nil"/>
              <w:left w:val="nil"/>
              <w:bottom w:val="nil"/>
              <w:right w:val="nil"/>
            </w:tcBorders>
          </w:tcPr>
          <w:p>
            <w:pPr>
              <w:pStyle w:val="nTable"/>
              <w:spacing w:after="40"/>
            </w:pPr>
            <w:r>
              <w:t>SL 2020/196 27 Oct 2020</w:t>
            </w:r>
          </w:p>
        </w:tc>
        <w:tc>
          <w:tcPr>
            <w:tcW w:w="2679"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54" w:type="dxa"/>
            <w:tcBorders>
              <w:top w:val="nil"/>
              <w:left w:val="nil"/>
              <w:bottom w:val="nil"/>
              <w:right w:val="nil"/>
            </w:tcBorders>
          </w:tcPr>
          <w:p>
            <w:pPr>
              <w:pStyle w:val="nTable"/>
              <w:spacing w:after="40"/>
            </w:pPr>
            <w:r>
              <w:t>SL 2021/86 21 Jun 2021</w:t>
            </w:r>
          </w:p>
        </w:tc>
        <w:tc>
          <w:tcPr>
            <w:tcW w:w="2679"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2) 2021</w:t>
            </w:r>
          </w:p>
        </w:tc>
        <w:tc>
          <w:tcPr>
            <w:tcW w:w="1254" w:type="dxa"/>
            <w:tcBorders>
              <w:top w:val="nil"/>
              <w:left w:val="nil"/>
              <w:bottom w:val="nil"/>
              <w:right w:val="nil"/>
            </w:tcBorders>
          </w:tcPr>
          <w:p>
            <w:pPr>
              <w:pStyle w:val="nTable"/>
              <w:spacing w:after="40"/>
            </w:pPr>
            <w:r>
              <w:t>SL 2021/170 8 Oct 2021</w:t>
            </w:r>
          </w:p>
        </w:tc>
        <w:tc>
          <w:tcPr>
            <w:tcW w:w="2679"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3) 2021</w:t>
            </w:r>
          </w:p>
        </w:tc>
        <w:tc>
          <w:tcPr>
            <w:tcW w:w="1254" w:type="dxa"/>
            <w:tcBorders>
              <w:top w:val="nil"/>
              <w:left w:val="nil"/>
              <w:bottom w:val="nil"/>
              <w:right w:val="nil"/>
            </w:tcBorders>
          </w:tcPr>
          <w:p>
            <w:pPr>
              <w:pStyle w:val="nTable"/>
              <w:spacing w:after="40"/>
            </w:pPr>
            <w:r>
              <w:t>SL 2021/213 17 Dec 2021</w:t>
            </w:r>
          </w:p>
        </w:tc>
        <w:tc>
          <w:tcPr>
            <w:tcW w:w="2679" w:type="dxa"/>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54" w:type="dxa"/>
            <w:tcBorders>
              <w:top w:val="nil"/>
              <w:left w:val="nil"/>
              <w:bottom w:val="nil"/>
              <w:right w:val="nil"/>
            </w:tcBorders>
          </w:tcPr>
          <w:p>
            <w:pPr>
              <w:pStyle w:val="nTable"/>
              <w:spacing w:after="40"/>
            </w:pPr>
            <w:r>
              <w:t>SL 2022/59 20 May 2022</w:t>
            </w:r>
          </w:p>
        </w:tc>
        <w:tc>
          <w:tcPr>
            <w:tcW w:w="2679" w:type="dxa"/>
            <w:tcBorders>
              <w:top w:val="nil"/>
              <w:left w:val="nil"/>
              <w:bottom w:val="nil"/>
            </w:tcBorders>
          </w:tcPr>
          <w:p>
            <w:pPr>
              <w:pStyle w:val="nTable"/>
              <w:spacing w:after="40"/>
              <w:rPr>
                <w:bCs/>
                <w:snapToGrid w:val="0"/>
                <w:spacing w:val="-2"/>
              </w:rPr>
            </w:pPr>
            <w:r>
              <w:t>1 Jul 2022 (see r. 2(b))</w:t>
            </w:r>
          </w:p>
        </w:tc>
      </w:tr>
      <w:tr>
        <w:tc>
          <w:tcPr>
            <w:tcW w:w="3135" w:type="dxa"/>
            <w:tcBorders>
              <w:top w:val="nil"/>
              <w:bottom w:val="nil"/>
            </w:tcBorders>
          </w:tcPr>
          <w:p>
            <w:pPr>
              <w:pStyle w:val="nTable"/>
              <w:spacing w:after="40"/>
            </w:pPr>
            <w:r>
              <w:rPr>
                <w:i/>
              </w:rPr>
              <w:t>Building Services (Registration) Amendment Regulations 2022</w:t>
            </w:r>
          </w:p>
        </w:tc>
        <w:tc>
          <w:tcPr>
            <w:tcW w:w="1254" w:type="dxa"/>
            <w:tcBorders>
              <w:top w:val="nil"/>
              <w:bottom w:val="nil"/>
            </w:tcBorders>
          </w:tcPr>
          <w:p>
            <w:pPr>
              <w:pStyle w:val="nTable"/>
              <w:spacing w:after="40"/>
            </w:pPr>
            <w:r>
              <w:t>SL 2022/101 17 Jun 2022</w:t>
            </w:r>
          </w:p>
        </w:tc>
        <w:tc>
          <w:tcPr>
            <w:tcW w:w="2679" w:type="dxa"/>
            <w:tcBorders>
              <w:top w:val="nil"/>
              <w:bottom w:val="nil"/>
            </w:tcBorders>
          </w:tcPr>
          <w:p>
            <w:pPr>
              <w:pStyle w:val="nTable"/>
              <w:spacing w:after="40"/>
            </w:pPr>
            <w:r>
              <w:t>r. 1 and 2: 17 Jun 2022 (see r. 2(a));</w:t>
            </w:r>
            <w:r>
              <w:br/>
              <w:t>Regulations other than r. 1 and 2: 1 Feb 2023 (see r. 2(b))</w:t>
            </w:r>
          </w:p>
        </w:tc>
      </w:tr>
      <w:tr>
        <w:tc>
          <w:tcPr>
            <w:tcW w:w="3135" w:type="dxa"/>
            <w:tcBorders>
              <w:top w:val="nil"/>
              <w:bottom w:val="nil"/>
            </w:tcBorders>
          </w:tcPr>
          <w:p>
            <w:pPr>
              <w:pStyle w:val="nTable"/>
              <w:spacing w:after="40"/>
              <w:rPr>
                <w:i/>
              </w:rPr>
            </w:pPr>
            <w:r>
              <w:rPr>
                <w:i/>
              </w:rPr>
              <w:t>Commerce Regulations Amendment (Fees and Charges) Regulations 2023</w:t>
            </w:r>
            <w:r>
              <w:t xml:space="preserve"> Pt. 5</w:t>
            </w:r>
          </w:p>
        </w:tc>
        <w:tc>
          <w:tcPr>
            <w:tcW w:w="1254" w:type="dxa"/>
            <w:tcBorders>
              <w:top w:val="nil"/>
              <w:bottom w:val="nil"/>
            </w:tcBorders>
          </w:tcPr>
          <w:p>
            <w:pPr>
              <w:pStyle w:val="nTable"/>
              <w:spacing w:after="40"/>
            </w:pPr>
            <w:r>
              <w:t>SL 2023/35 5 May 2023</w:t>
            </w:r>
          </w:p>
        </w:tc>
        <w:tc>
          <w:tcPr>
            <w:tcW w:w="2679" w:type="dxa"/>
            <w:tcBorders>
              <w:top w:val="nil"/>
              <w:bottom w:val="nil"/>
            </w:tcBorders>
          </w:tcPr>
          <w:p>
            <w:pPr>
              <w:pStyle w:val="nTable"/>
              <w:spacing w:after="40"/>
            </w:pPr>
            <w:r>
              <w:t>1 Jul 2023 (see r. 2(b))</w:t>
            </w:r>
          </w:p>
        </w:tc>
      </w:tr>
      <w:tr>
        <w:trPr>
          <w:ins w:id="216" w:author="Master Repository Process" w:date="2023-12-29T12:22:00Z"/>
        </w:trPr>
        <w:tc>
          <w:tcPr>
            <w:tcW w:w="3135" w:type="dxa"/>
            <w:tcBorders>
              <w:top w:val="nil"/>
              <w:bottom w:val="single" w:sz="4" w:space="0" w:color="auto"/>
            </w:tcBorders>
          </w:tcPr>
          <w:p>
            <w:pPr>
              <w:pStyle w:val="nTable"/>
              <w:spacing w:after="40"/>
              <w:rPr>
                <w:ins w:id="217" w:author="Master Repository Process" w:date="2023-12-29T12:22:00Z"/>
              </w:rPr>
            </w:pPr>
            <w:ins w:id="218" w:author="Master Repository Process" w:date="2023-12-29T12:22:00Z">
              <w:r>
                <w:rPr>
                  <w:i/>
                </w:rPr>
                <w:t>Building Services (Registration) Amendment Regulations (No. 2) 2023</w:t>
              </w:r>
              <w:r>
                <w:t xml:space="preserve"> (other than r. 4)</w:t>
              </w:r>
            </w:ins>
          </w:p>
        </w:tc>
        <w:tc>
          <w:tcPr>
            <w:tcW w:w="1254" w:type="dxa"/>
            <w:tcBorders>
              <w:top w:val="nil"/>
              <w:bottom w:val="single" w:sz="4" w:space="0" w:color="auto"/>
            </w:tcBorders>
          </w:tcPr>
          <w:p>
            <w:pPr>
              <w:pStyle w:val="nTable"/>
              <w:spacing w:after="40"/>
              <w:rPr>
                <w:ins w:id="219" w:author="Master Repository Process" w:date="2023-12-29T12:22:00Z"/>
              </w:rPr>
            </w:pPr>
            <w:ins w:id="220" w:author="Master Repository Process" w:date="2023-12-29T12:22:00Z">
              <w:r>
                <w:t>SL 2023/164</w:t>
              </w:r>
              <w:r>
                <w:br/>
                <w:t>1 Nov 2023</w:t>
              </w:r>
            </w:ins>
          </w:p>
        </w:tc>
        <w:tc>
          <w:tcPr>
            <w:tcW w:w="2679" w:type="dxa"/>
            <w:tcBorders>
              <w:top w:val="nil"/>
              <w:bottom w:val="single" w:sz="4" w:space="0" w:color="auto"/>
            </w:tcBorders>
          </w:tcPr>
          <w:p>
            <w:pPr>
              <w:pStyle w:val="nTable"/>
              <w:spacing w:after="40"/>
              <w:rPr>
                <w:ins w:id="221" w:author="Master Repository Process" w:date="2023-12-29T12:22:00Z"/>
              </w:rPr>
            </w:pPr>
            <w:ins w:id="222" w:author="Master Repository Process" w:date="2023-12-29T12:22:00Z">
              <w:r>
                <w:t>r. 1 and 2: 1 Nov 2023 (see r. 2(a));</w:t>
              </w:r>
              <w:r>
                <w:br/>
                <w:t>r. 3 and 5: 2 Nov 2023 (see r. 2(c))</w:t>
              </w:r>
            </w:ins>
          </w:p>
        </w:tc>
      </w:tr>
    </w:tbl>
    <w:p>
      <w:pPr>
        <w:pStyle w:val="nHeading3"/>
      </w:pPr>
      <w:bookmarkStart w:id="223" w:name="_Toc154745036"/>
      <w:bookmarkStart w:id="224" w:name="_Toc154744912"/>
      <w:r>
        <w:t>Uncommenced provisions table</w:t>
      </w:r>
      <w:bookmarkEnd w:id="223"/>
      <w:bookmarkEnd w:id="22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nil"/>
              <w:bottom w:val="nil"/>
            </w:tcBorders>
          </w:tcPr>
          <w:p>
            <w:pPr>
              <w:pStyle w:val="nTable"/>
              <w:spacing w:after="40"/>
              <w:rPr>
                <w:i/>
              </w:rPr>
            </w:pPr>
            <w:r>
              <w:rPr>
                <w:i/>
              </w:rPr>
              <w:t>Commerce Regulations Amendment (Building Services) Regulations 2023</w:t>
            </w:r>
            <w:r>
              <w:t xml:space="preserve"> Pt. 2</w:t>
            </w:r>
          </w:p>
        </w:tc>
        <w:tc>
          <w:tcPr>
            <w:tcW w:w="1276" w:type="dxa"/>
            <w:tcBorders>
              <w:top w:val="nil"/>
              <w:bottom w:val="nil"/>
            </w:tcBorders>
          </w:tcPr>
          <w:p>
            <w:pPr>
              <w:pStyle w:val="nTable"/>
              <w:spacing w:after="40"/>
            </w:pPr>
            <w:r>
              <w:t>SL 2023/64 2 Jun 2023</w:t>
            </w:r>
          </w:p>
        </w:tc>
        <w:tc>
          <w:tcPr>
            <w:tcW w:w="2693" w:type="dxa"/>
            <w:tcBorders>
              <w:top w:val="nil"/>
              <w:bottom w:val="nil"/>
            </w:tcBorders>
          </w:tcPr>
          <w:p>
            <w:pPr>
              <w:pStyle w:val="nTable"/>
              <w:spacing w:after="40"/>
            </w:pPr>
            <w:r>
              <w:t>Pt. 2 Div. 1 and 2: 1 Jul 2024 (see r. 2(b));</w:t>
            </w:r>
            <w:r>
              <w:br/>
              <w:t>Pt. 2 Div. 3: 1 Jul 2025 (see r. 2(c));</w:t>
            </w:r>
            <w:r>
              <w:br/>
              <w:t>Pt. 2 Div. 4: 1 Jul 2027 (see r. 2(d))</w:t>
            </w:r>
          </w:p>
        </w:tc>
      </w:tr>
      <w:tr>
        <w:tc>
          <w:tcPr>
            <w:tcW w:w="3118" w:type="dxa"/>
            <w:tcBorders>
              <w:top w:val="nil"/>
              <w:bottom w:val="nil"/>
            </w:tcBorders>
          </w:tcPr>
          <w:p>
            <w:pPr>
              <w:pStyle w:val="nTable"/>
              <w:spacing w:after="40"/>
            </w:pPr>
            <w:r>
              <w:rPr>
                <w:i/>
              </w:rPr>
              <w:t>Building Services (Registration) Amendment Regulations 2023</w:t>
            </w:r>
            <w:r>
              <w:t xml:space="preserve"> r. 3 and 4</w:t>
            </w:r>
          </w:p>
        </w:tc>
        <w:tc>
          <w:tcPr>
            <w:tcW w:w="1276" w:type="dxa"/>
            <w:tcBorders>
              <w:top w:val="nil"/>
              <w:bottom w:val="nil"/>
            </w:tcBorders>
          </w:tcPr>
          <w:p>
            <w:pPr>
              <w:pStyle w:val="nTable"/>
              <w:spacing w:after="40"/>
            </w:pPr>
            <w:r>
              <w:t>SL 2023/76 16 Jun 2023</w:t>
            </w:r>
          </w:p>
        </w:tc>
        <w:tc>
          <w:tcPr>
            <w:tcW w:w="2693" w:type="dxa"/>
            <w:tcBorders>
              <w:top w:val="nil"/>
              <w:bottom w:val="nil"/>
            </w:tcBorders>
          </w:tcPr>
          <w:p>
            <w:pPr>
              <w:pStyle w:val="nTable"/>
              <w:spacing w:after="40"/>
            </w:pPr>
            <w:r>
              <w:t>16 Jun 2024 (see r. 2(b))</w:t>
            </w:r>
          </w:p>
        </w:tc>
      </w:tr>
      <w:tr>
        <w:trPr>
          <w:ins w:id="225" w:author="Master Repository Process" w:date="2023-12-29T12:22:00Z"/>
        </w:trPr>
        <w:tc>
          <w:tcPr>
            <w:tcW w:w="3118" w:type="dxa"/>
            <w:tcBorders>
              <w:top w:val="nil"/>
              <w:bottom w:val="single" w:sz="4" w:space="0" w:color="auto"/>
            </w:tcBorders>
          </w:tcPr>
          <w:p>
            <w:pPr>
              <w:pStyle w:val="nTable"/>
              <w:spacing w:after="40"/>
              <w:rPr>
                <w:ins w:id="226" w:author="Master Repository Process" w:date="2023-12-29T12:22:00Z"/>
              </w:rPr>
            </w:pPr>
            <w:ins w:id="227" w:author="Master Repository Process" w:date="2023-12-29T12:22:00Z">
              <w:r>
                <w:rPr>
                  <w:i/>
                </w:rPr>
                <w:t>Building Services (Registration) Amendment Regulations (No. 2) 2023</w:t>
              </w:r>
              <w:r>
                <w:t xml:space="preserve"> r. 4</w:t>
              </w:r>
            </w:ins>
          </w:p>
        </w:tc>
        <w:tc>
          <w:tcPr>
            <w:tcW w:w="1276" w:type="dxa"/>
            <w:tcBorders>
              <w:top w:val="nil"/>
              <w:bottom w:val="single" w:sz="4" w:space="0" w:color="auto"/>
            </w:tcBorders>
          </w:tcPr>
          <w:p>
            <w:pPr>
              <w:pStyle w:val="nTable"/>
              <w:spacing w:after="40"/>
              <w:rPr>
                <w:ins w:id="228" w:author="Master Repository Process" w:date="2023-12-29T12:22:00Z"/>
              </w:rPr>
            </w:pPr>
            <w:ins w:id="229" w:author="Master Repository Process" w:date="2023-12-29T12:22:00Z">
              <w:r>
                <w:t>SL 2023/164</w:t>
              </w:r>
              <w:r>
                <w:br/>
                <w:t>1 Nov 2023</w:t>
              </w:r>
            </w:ins>
          </w:p>
        </w:tc>
        <w:tc>
          <w:tcPr>
            <w:tcW w:w="2693" w:type="dxa"/>
            <w:tcBorders>
              <w:top w:val="nil"/>
              <w:bottom w:val="single" w:sz="4" w:space="0" w:color="auto"/>
            </w:tcBorders>
          </w:tcPr>
          <w:p>
            <w:pPr>
              <w:pStyle w:val="nTable"/>
              <w:spacing w:after="40"/>
              <w:rPr>
                <w:ins w:id="230" w:author="Master Repository Process" w:date="2023-12-29T12:22:00Z"/>
              </w:rPr>
            </w:pPr>
            <w:ins w:id="231" w:author="Master Repository Process" w:date="2023-12-29T12:22:00Z">
              <w:r>
                <w:t>1 Jul 2024 (see r. 2(b)(ii) and SL 2023/64 cl. 2(b))</w:t>
              </w:r>
            </w:ins>
          </w:p>
        </w:tc>
      </w:tr>
    </w:tbl>
    <w:p>
      <w:pPr>
        <w:pStyle w:val="nHeading3"/>
      </w:pPr>
      <w:bookmarkStart w:id="232" w:name="_Toc154745037"/>
      <w:bookmarkStart w:id="233" w:name="_Toc154744913"/>
      <w:r>
        <w:t>Other notes</w:t>
      </w:r>
      <w:bookmarkEnd w:id="232"/>
      <w:bookmarkEnd w:id="233"/>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81" w:name="Schedule"/>
    <w:bookmarkEnd w:id="1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4" w:name="Compilation"/>
    <w:bookmarkEnd w:id="23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5" w:name="Coversheet"/>
    <w:bookmarkEnd w:id="2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55608"/>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 w:name="WAFER_20230626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24_GUID" w:val="5e8a1c1b-72e5-49f8-9f73-3632fdbae9ab"/>
    <w:docVar w:name="WAFER_20231027125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25120_GUID" w:val="c795c576-3b2f-4e53-96df-289fbf521383"/>
    <w:docVar w:name="WAFER_2023102712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25150_GUID" w:val="8c8842b5-505c-410a-a903-ad0e7ff66f2f"/>
    <w:docVar w:name="WAFER_20231227155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608_GUID" w:val="d33749f3-98c7-4e22-82bd-c950198c2b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2DCB54-0038-4764-8814-C5902B30D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13621</Words>
  <Characters>71785</Characters>
  <Application>Microsoft Office Word</Application>
  <DocSecurity>0</DocSecurity>
  <Lines>2871</Lines>
  <Paragraphs>1525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02-ab0-01 - 02-ac0-01</dc:title>
  <dc:subject/>
  <dc:creator/>
  <cp:keywords/>
  <dc:description/>
  <cp:lastModifiedBy>Master Repository Process</cp:lastModifiedBy>
  <cp:revision>2</cp:revision>
  <cp:lastPrinted>2019-05-01T01:45:00Z</cp:lastPrinted>
  <dcterms:created xsi:type="dcterms:W3CDTF">2023-12-29T04:22:00Z</dcterms:created>
  <dcterms:modified xsi:type="dcterms:W3CDTF">2023-12-29T04:22:00Z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Official">
    <vt:lpwstr/>
  </property>
  <property fmtid="{D5CDD505-2E9C-101B-9397-08002B2CF9AE}" pid="7" name="CommencementDate">
    <vt:lpwstr>20231102</vt:lpwstr>
  </property>
  <property fmtid="{D5CDD505-2E9C-101B-9397-08002B2CF9AE}" pid="8" name="CommencementAsAt">
    <vt:filetime>2023-11-01T16:00:00Z</vt:filetime>
  </property>
  <property fmtid="{D5CDD505-2E9C-101B-9397-08002B2CF9AE}" pid="9" name="CommencementYear">
    <vt:lpwstr>2023</vt:lpwstr>
  </property>
  <property fmtid="{D5CDD505-2E9C-101B-9397-08002B2CF9AE}" pid="10" name="FromSuffix">
    <vt:lpwstr>02-ab0-01</vt:lpwstr>
  </property>
  <property fmtid="{D5CDD505-2E9C-101B-9397-08002B2CF9AE}" pid="11" name="FromAsAtDate">
    <vt:lpwstr>01 Jul 2023</vt:lpwstr>
  </property>
  <property fmtid="{D5CDD505-2E9C-101B-9397-08002B2CF9AE}" pid="12" name="ToSuffix">
    <vt:lpwstr>02-ac0-01</vt:lpwstr>
  </property>
  <property fmtid="{D5CDD505-2E9C-101B-9397-08002B2CF9AE}" pid="13" name="ToAsAtDate">
    <vt:lpwstr>02 Nov 2023</vt:lpwstr>
  </property>
</Properties>
</file>