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03-r0-01</w:t>
      </w:r>
      <w:r>
        <w:fldChar w:fldCharType="end"/>
      </w:r>
      <w:r>
        <w:t>] and [</w:t>
      </w:r>
      <w:r>
        <w:fldChar w:fldCharType="begin"/>
      </w:r>
      <w:r>
        <w:instrText xml:space="preserve"> DocProperty ToAsAtDate</w:instrText>
      </w:r>
      <w:r>
        <w:fldChar w:fldCharType="separate"/>
      </w:r>
      <w:r>
        <w:t>29 Nov 2023</w:t>
      </w:r>
      <w:r>
        <w:fldChar w:fldCharType="end"/>
      </w:r>
      <w:r>
        <w:t xml:space="preserve">, </w:t>
      </w:r>
      <w:r>
        <w:fldChar w:fldCharType="begin"/>
      </w:r>
      <w:r>
        <w:instrText xml:space="preserve"> DocProperty ToSuffix</w:instrText>
      </w:r>
      <w:r>
        <w:fldChar w:fldCharType="separate"/>
      </w:r>
      <w:r>
        <w:t>03-s0-03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An Act dealing with the imposition of a number of kinds of duty</w:t>
      </w:r>
      <w:r>
        <w:t>.</w:t>
      </w:r>
    </w:p>
    <w:p>
      <w:pPr>
        <w:pStyle w:val="Heading2"/>
        <w:rPr>
          <w:sz w:val="32"/>
        </w:rPr>
      </w:pPr>
      <w:bookmarkStart w:id="2" w:name="_Toc161400390"/>
      <w:bookmarkStart w:id="3" w:name="_Toc161401048"/>
      <w:bookmarkStart w:id="4" w:name="_Toc154753545"/>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p>
    <w:p>
      <w:pPr>
        <w:pStyle w:val="Heading5"/>
        <w:spacing w:before="180"/>
      </w:pPr>
      <w:bookmarkStart w:id="5" w:name="_Toc161401049"/>
      <w:bookmarkStart w:id="6" w:name="_Toc154753546"/>
      <w:r>
        <w:rPr>
          <w:rStyle w:val="CharSectno"/>
        </w:rPr>
        <w:t>1</w:t>
      </w:r>
      <w:r>
        <w:t>.</w:t>
      </w:r>
      <w:r>
        <w:tab/>
      </w:r>
      <w:r>
        <w:rPr>
          <w:snapToGrid w:val="0"/>
        </w:rPr>
        <w:t>Short title</w:t>
      </w:r>
      <w:bookmarkEnd w:id="5"/>
      <w:bookmarkEnd w:id="6"/>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7" w:name="_Toc161401050"/>
      <w:bookmarkStart w:id="8" w:name="_Toc154753547"/>
      <w:r>
        <w:rPr>
          <w:rStyle w:val="CharSectno"/>
        </w:rPr>
        <w:t>2</w:t>
      </w:r>
      <w:r>
        <w:rPr>
          <w:snapToGrid w:val="0"/>
        </w:rPr>
        <w:t>.</w:t>
      </w:r>
      <w:r>
        <w:rPr>
          <w:snapToGrid w:val="0"/>
        </w:rPr>
        <w:tab/>
      </w:r>
      <w:r>
        <w:t>Commencement</w:t>
      </w:r>
      <w:bookmarkEnd w:id="7"/>
      <w:bookmarkEnd w:id="8"/>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9" w:name="_Toc161401051"/>
      <w:bookmarkStart w:id="10" w:name="_Toc154753548"/>
      <w:r>
        <w:rPr>
          <w:rStyle w:val="CharSectno"/>
        </w:rPr>
        <w:t>3</w:t>
      </w:r>
      <w:r>
        <w:rPr>
          <w:snapToGrid w:val="0"/>
        </w:rPr>
        <w:t xml:space="preserve">. </w:t>
      </w:r>
      <w:r>
        <w:rPr>
          <w:snapToGrid w:val="0"/>
          <w:vertAlign w:val="superscript"/>
        </w:rPr>
        <w:t>1M, 1MC</w:t>
      </w:r>
      <w:r>
        <w:rPr>
          <w:snapToGrid w:val="0"/>
        </w:rPr>
        <w:tab/>
        <w:t>Terms used</w:t>
      </w:r>
      <w:bookmarkEnd w:id="9"/>
      <w:bookmarkEnd w:id="10"/>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diversification lessee</w:t>
      </w:r>
      <w:r>
        <w:t xml:space="preserve"> has the meaning given in the </w:t>
      </w:r>
      <w:r>
        <w:rPr>
          <w:i/>
        </w:rPr>
        <w:t xml:space="preserve">Land Administration Act 1997 </w:t>
      </w:r>
      <w:r>
        <w:t>section 3(1);</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keepNex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tab/>
      </w:r>
      <w:r>
        <w:rPr>
          <w:rStyle w:val="CharDefText"/>
        </w:rPr>
        <w:t>lease</w:t>
      </w:r>
      <w:r>
        <w:t xml:space="preserve"> does not include a strata lease;</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pPr>
      <w:r>
        <w:tab/>
      </w:r>
      <w:r>
        <w:rPr>
          <w:rStyle w:val="CharDefText"/>
        </w:rPr>
        <w:t>strata lease</w:t>
      </w:r>
      <w:r>
        <w:t xml:space="preserve"> has the meaning given in the </w:t>
      </w:r>
      <w:r>
        <w:rPr>
          <w:i/>
        </w:rPr>
        <w:t xml:space="preserve">Strata Titles Act 1985 </w:t>
      </w:r>
      <w:r>
        <w:t>section 3(1);</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 No. 4 of 2023 s. 113.]</w:t>
      </w:r>
    </w:p>
    <w:p>
      <w:pPr>
        <w:pStyle w:val="Footnotesection"/>
      </w:pPr>
      <w:r>
        <w:tab/>
        <w:t>[Modification, to section 3, to have effect under the Commonwealth Places (Mirror Taxes Administration) Act 1999 s. 7, see Commonwealth Places (Mirror Taxes Administration) Regulations 2007 r. 7 and endnote 1M.]</w:t>
      </w:r>
    </w:p>
    <w:p>
      <w:pPr>
        <w:pStyle w:val="Footnotesection"/>
      </w:pPr>
      <w:r>
        <w:tab/>
        <w:t>[Modification, to section 3, to have effect under the Commonwealth Places (Mirror Taxes) Act 1998 (Commonwealth) s. 8, see Commonwealth Places (Mirror Taxes) (Modification of Applied Laws (WA)) Notice 2007 cl. 8 and endnote 1MC.]</w:t>
      </w:r>
    </w:p>
    <w:p>
      <w:pPr>
        <w:pStyle w:val="Heading5"/>
      </w:pPr>
      <w:bookmarkStart w:id="11" w:name="_Toc161401052"/>
      <w:bookmarkStart w:id="12" w:name="_Toc154753549"/>
      <w:r>
        <w:rPr>
          <w:rStyle w:val="CharSectno"/>
        </w:rPr>
        <w:t>3A</w:t>
      </w:r>
      <w:r>
        <w:t>.</w:t>
      </w:r>
      <w:r>
        <w:tab/>
        <w:t>Term used: land</w:t>
      </w:r>
      <w:bookmarkEnd w:id="11"/>
      <w:bookmarkEnd w:id="12"/>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(ea)</w:t>
      </w:r>
      <w:r>
        <w:tab/>
        <w:t>a diversification lease;</w:t>
      </w:r>
    </w:p>
    <w:p>
      <w:pPr>
        <w:pStyle w:val="Indenta"/>
      </w:pPr>
      <w:r>
        <w:tab/>
        <w:t>(eb)</w:t>
      </w:r>
      <w:r>
        <w:tab/>
        <w:t>an interest of a diversification lessee under a diversification lease;</w:t>
      </w:r>
    </w:p>
    <w:p>
      <w:pPr>
        <w:pStyle w:val="Indenta"/>
      </w:pPr>
      <w:r>
        <w:tab/>
        <w:t>(f)</w:t>
      </w:r>
      <w:r>
        <w:tab/>
        <w:t xml:space="preserve">anything fixed to land (including land the subject of a mining tenement, pastoral lease or diversification lease),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keepNext/>
      </w:pPr>
      <w:r>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keepNext/>
      </w:pPr>
      <w:r>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 amended: No. 4 of 2023 s. 114.]</w:t>
      </w:r>
    </w:p>
    <w:p>
      <w:pPr>
        <w:pStyle w:val="Heading5"/>
        <w:rPr>
          <w:snapToGrid w:val="0"/>
        </w:rPr>
      </w:pPr>
      <w:bookmarkStart w:id="13" w:name="_Toc161401053"/>
      <w:bookmarkStart w:id="14" w:name="_Toc154753550"/>
      <w:r>
        <w:rPr>
          <w:rStyle w:val="CharSectno"/>
        </w:rPr>
        <w:t>4</w:t>
      </w:r>
      <w:r>
        <w:rPr>
          <w:snapToGrid w:val="0"/>
        </w:rPr>
        <w:t>.</w:t>
      </w:r>
      <w:r>
        <w:rPr>
          <w:snapToGrid w:val="0"/>
        </w:rPr>
        <w:tab/>
        <w:t xml:space="preserve">Relationship with </w:t>
      </w:r>
      <w:r>
        <w:rPr>
          <w:i/>
          <w:iCs/>
          <w:snapToGrid w:val="0"/>
        </w:rPr>
        <w:t>Taxation Administration Act 2003</w:t>
      </w:r>
      <w:bookmarkEnd w:id="13"/>
      <w:bookmarkEnd w:id="14"/>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5" w:name="_Toc161401054"/>
      <w:bookmarkStart w:id="16" w:name="_Toc154753551"/>
      <w:r>
        <w:rPr>
          <w:rStyle w:val="CharSectno"/>
        </w:rPr>
        <w:t>5</w:t>
      </w:r>
      <w:r>
        <w:t>.</w:t>
      </w:r>
      <w:r>
        <w:tab/>
        <w:t>GST, effect of on value or consideration</w:t>
      </w:r>
      <w:bookmarkEnd w:id="15"/>
      <w:bookmarkEnd w:id="16"/>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7" w:name="_Toc161401055"/>
      <w:bookmarkStart w:id="18" w:name="_Toc154753552"/>
      <w:r>
        <w:rPr>
          <w:rStyle w:val="CharSectno"/>
        </w:rPr>
        <w:t>6</w:t>
      </w:r>
      <w:r>
        <w:t>.</w:t>
      </w:r>
      <w:r>
        <w:tab/>
        <w:t>Determining family relationships</w:t>
      </w:r>
      <w:bookmarkEnd w:id="17"/>
      <w:bookmarkEnd w:id="18"/>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19" w:name="_Toc161401056"/>
      <w:bookmarkStart w:id="20" w:name="_Toc154753553"/>
      <w:r>
        <w:rPr>
          <w:rStyle w:val="CharSectno"/>
        </w:rPr>
        <w:t>7</w:t>
      </w:r>
      <w:r>
        <w:t>.</w:t>
      </w:r>
      <w:r>
        <w:tab/>
        <w:t>References to being wound up</w:t>
      </w:r>
      <w:bookmarkEnd w:id="19"/>
      <w:bookmarkEnd w:id="20"/>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pPr>
        <w:pStyle w:val="Ednotesection"/>
      </w:pPr>
      <w:r>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pPr>
        <w:pStyle w:val="Heading5"/>
        <w:rPr>
          <w:snapToGrid w:val="0"/>
        </w:rPr>
      </w:pPr>
      <w:bookmarkStart w:id="21" w:name="_Toc161401057"/>
      <w:bookmarkStart w:id="22" w:name="_Toc154753554"/>
      <w:r>
        <w:rPr>
          <w:rStyle w:val="CharSectno"/>
        </w:rPr>
        <w:t>8</w:t>
      </w:r>
      <w:r>
        <w:rPr>
          <w:snapToGrid w:val="0"/>
        </w:rPr>
        <w:t>.</w:t>
      </w:r>
      <w:r>
        <w:rPr>
          <w:snapToGrid w:val="0"/>
        </w:rPr>
        <w:tab/>
        <w:t>Notes in text</w:t>
      </w:r>
      <w:bookmarkEnd w:id="21"/>
      <w:bookmarkEnd w:id="22"/>
    </w:p>
    <w:p>
      <w:pPr>
        <w:pStyle w:val="Subsection"/>
      </w:pPr>
      <w:r>
        <w:tab/>
      </w:r>
      <w:r>
        <w:tab/>
        <w:t>A note included in this Act is explanatory and is not part of this Act.</w:t>
      </w:r>
    </w:p>
    <w:p>
      <w:pPr>
        <w:pStyle w:val="Heading2"/>
        <w:rPr>
          <w:sz w:val="32"/>
        </w:rPr>
      </w:pPr>
      <w:bookmarkStart w:id="23" w:name="_Toc161400400"/>
      <w:bookmarkStart w:id="24" w:name="_Toc161401058"/>
      <w:bookmarkStart w:id="25" w:name="_Toc154753555"/>
      <w:r>
        <w:rPr>
          <w:rStyle w:val="CharPartNo"/>
          <w:sz w:val="32"/>
        </w:rPr>
        <w:t>Chapter 2</w:t>
      </w:r>
      <w:r>
        <w:rPr>
          <w:sz w:val="32"/>
        </w:rPr>
        <w:t> — </w:t>
      </w:r>
      <w:r>
        <w:rPr>
          <w:rStyle w:val="CharPartText"/>
          <w:sz w:val="32"/>
        </w:rPr>
        <w:t>Transfer duty</w:t>
      </w:r>
      <w:bookmarkEnd w:id="23"/>
      <w:bookmarkEnd w:id="24"/>
      <w:bookmarkEnd w:id="25"/>
    </w:p>
    <w:p>
      <w:pPr>
        <w:pStyle w:val="Heading3"/>
        <w:rPr>
          <w:sz w:val="28"/>
        </w:rPr>
      </w:pPr>
      <w:bookmarkStart w:id="26" w:name="_Toc161400401"/>
      <w:bookmarkStart w:id="27" w:name="_Toc161401059"/>
      <w:bookmarkStart w:id="28" w:name="_Toc154753556"/>
      <w:r>
        <w:rPr>
          <w:rStyle w:val="CharDivNo"/>
          <w:sz w:val="28"/>
        </w:rPr>
        <w:t>Part 1</w:t>
      </w:r>
      <w:r>
        <w:rPr>
          <w:sz w:val="28"/>
        </w:rPr>
        <w:t> — </w:t>
      </w:r>
      <w:r>
        <w:rPr>
          <w:rStyle w:val="CharDivText"/>
          <w:sz w:val="28"/>
        </w:rPr>
        <w:t>Preliminary</w:t>
      </w:r>
      <w:bookmarkEnd w:id="26"/>
      <w:bookmarkEnd w:id="27"/>
      <w:bookmarkEnd w:id="28"/>
    </w:p>
    <w:p>
      <w:pPr>
        <w:pStyle w:val="Heading5"/>
      </w:pPr>
      <w:bookmarkStart w:id="29" w:name="_Toc161401060"/>
      <w:bookmarkStart w:id="30" w:name="_Toc154753557"/>
      <w:r>
        <w:rPr>
          <w:rStyle w:val="CharSectno"/>
        </w:rPr>
        <w:t>9</w:t>
      </w:r>
      <w:r>
        <w:t>.</w:t>
      </w:r>
      <w:r>
        <w:tab/>
        <w:t>Terms used</w:t>
      </w:r>
      <w:bookmarkEnd w:id="29"/>
      <w:bookmarkEnd w:id="30"/>
    </w:p>
    <w:p>
      <w:pPr>
        <w:pStyle w:val="Subsection"/>
      </w:pPr>
      <w:r>
        <w:tab/>
      </w:r>
      <w:r>
        <w:tab/>
        <w:t xml:space="preserve">In this Chapter, unless the contrary intention appears — </w:t>
      </w:r>
    </w:p>
    <w:p>
      <w:pPr>
        <w:pStyle w:val="Defstart"/>
      </w:pPr>
      <w:r>
        <w:tab/>
      </w:r>
      <w:r>
        <w:rPr>
          <w:rStyle w:val="CharDefText"/>
        </w:rPr>
        <w:t>concessional farm</w:t>
      </w:r>
      <w:r>
        <w:rPr>
          <w:rStyle w:val="CharDefText"/>
        </w:rPr>
        <w:noBreakHyphen/>
        <w:t>in transaction</w:t>
      </w:r>
      <w:r>
        <w:t xml:space="preserve"> has the meaning given in section 91K(1);</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tab/>
      </w:r>
      <w:r>
        <w:rPr>
          <w:rStyle w:val="CharDefText"/>
        </w:rPr>
        <w:t>exploration requirement</w:t>
      </w:r>
      <w:r>
        <w:t xml:space="preserve"> has the meaning given in section 91K(1);</w:t>
      </w:r>
    </w:p>
    <w:p>
      <w:pPr>
        <w:pStyle w:val="Defstart"/>
      </w:pPr>
      <w:r>
        <w:rPr>
          <w:b/>
        </w:rPr>
        <w:tab/>
      </w:r>
      <w:r>
        <w:rPr>
          <w:rStyle w:val="CharDefText"/>
        </w:rPr>
        <w:t>Family Court Act</w:t>
      </w:r>
      <w:r>
        <w:t xml:space="preserve"> means the </w:t>
      </w:r>
      <w:r>
        <w:rPr>
          <w:i/>
          <w:iCs/>
        </w:rPr>
        <w:t>Family Court Act 1997</w:t>
      </w:r>
      <w:r>
        <w:t>;</w:t>
      </w:r>
    </w:p>
    <w:p>
      <w:pPr>
        <w:pStyle w:val="Defstart"/>
      </w:pPr>
      <w:r>
        <w:tab/>
      </w:r>
      <w:r>
        <w:rPr>
          <w:rStyle w:val="CharDefText"/>
        </w:rPr>
        <w:t>farmee</w:t>
      </w:r>
      <w:r>
        <w:t xml:space="preserve"> has the meaning given in section 91K(1);</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 No. 37 of 2022 s. 4.]</w:t>
      </w:r>
    </w:p>
    <w:p>
      <w:pPr>
        <w:pStyle w:val="Heading3"/>
        <w:spacing w:before="200"/>
        <w:rPr>
          <w:sz w:val="28"/>
        </w:rPr>
      </w:pPr>
      <w:bookmarkStart w:id="31" w:name="_Toc161400403"/>
      <w:bookmarkStart w:id="32" w:name="_Toc161401061"/>
      <w:bookmarkStart w:id="33" w:name="_Toc154753558"/>
      <w:r>
        <w:rPr>
          <w:rStyle w:val="CharDivNo"/>
          <w:sz w:val="28"/>
        </w:rPr>
        <w:t>Part 2</w:t>
      </w:r>
      <w:r>
        <w:rPr>
          <w:sz w:val="28"/>
        </w:rPr>
        <w:t> — </w:t>
      </w:r>
      <w:r>
        <w:rPr>
          <w:rStyle w:val="CharDivText"/>
          <w:sz w:val="28"/>
        </w:rPr>
        <w:t>Imposition of transfer duty</w:t>
      </w:r>
      <w:bookmarkEnd w:id="31"/>
      <w:bookmarkEnd w:id="32"/>
      <w:bookmarkEnd w:id="33"/>
    </w:p>
    <w:p>
      <w:pPr>
        <w:pStyle w:val="Heading5"/>
      </w:pPr>
      <w:bookmarkStart w:id="34" w:name="_Toc161401062"/>
      <w:bookmarkStart w:id="35" w:name="_Toc154753559"/>
      <w:r>
        <w:rPr>
          <w:rStyle w:val="CharSectno"/>
        </w:rPr>
        <w:t>10</w:t>
      </w:r>
      <w:r>
        <w:t>.</w:t>
      </w:r>
      <w:r>
        <w:tab/>
        <w:t>Transfer duty imposed</w:t>
      </w:r>
      <w:bookmarkEnd w:id="34"/>
      <w:bookmarkEnd w:id="35"/>
    </w:p>
    <w:p>
      <w:pPr>
        <w:pStyle w:val="Subsection"/>
      </w:pPr>
      <w:r>
        <w:tab/>
      </w:r>
      <w:r>
        <w:tab/>
        <w:t>Duty is imposed on dutiable transactions.</w:t>
      </w:r>
    </w:p>
    <w:p>
      <w:pPr>
        <w:pStyle w:val="Heading3"/>
        <w:rPr>
          <w:sz w:val="28"/>
        </w:rPr>
      </w:pPr>
      <w:bookmarkStart w:id="36" w:name="_Toc161400405"/>
      <w:bookmarkStart w:id="37" w:name="_Toc161401063"/>
      <w:bookmarkStart w:id="38" w:name="_Toc154753560"/>
      <w:r>
        <w:rPr>
          <w:rStyle w:val="CharDivNo"/>
          <w:sz w:val="28"/>
        </w:rPr>
        <w:t>Part 3</w:t>
      </w:r>
      <w:r>
        <w:rPr>
          <w:sz w:val="28"/>
        </w:rPr>
        <w:t> — </w:t>
      </w:r>
      <w:r>
        <w:rPr>
          <w:rStyle w:val="CharDivText"/>
          <w:sz w:val="28"/>
        </w:rPr>
        <w:t>Dutiable transactions and dutiable property</w:t>
      </w:r>
      <w:bookmarkEnd w:id="36"/>
      <w:bookmarkEnd w:id="37"/>
      <w:bookmarkEnd w:id="38"/>
    </w:p>
    <w:p>
      <w:pPr>
        <w:pStyle w:val="Heading4"/>
        <w:rPr>
          <w:sz w:val="26"/>
        </w:rPr>
      </w:pPr>
      <w:bookmarkStart w:id="39" w:name="_Toc161400406"/>
      <w:bookmarkStart w:id="40" w:name="_Toc161401064"/>
      <w:bookmarkStart w:id="41" w:name="_Toc154753561"/>
      <w:r>
        <w:rPr>
          <w:sz w:val="26"/>
        </w:rPr>
        <w:t>Division 1 — Dutiable transactions</w:t>
      </w:r>
      <w:bookmarkEnd w:id="39"/>
      <w:bookmarkEnd w:id="40"/>
      <w:bookmarkEnd w:id="41"/>
    </w:p>
    <w:p>
      <w:pPr>
        <w:pStyle w:val="Heading5"/>
      </w:pPr>
      <w:bookmarkStart w:id="42" w:name="_Toc161401065"/>
      <w:bookmarkStart w:id="43" w:name="_Toc154753562"/>
      <w:r>
        <w:rPr>
          <w:rStyle w:val="CharSectno"/>
        </w:rPr>
        <w:t>11</w:t>
      </w:r>
      <w:r>
        <w:t>.</w:t>
      </w:r>
      <w:r>
        <w:tab/>
        <w:t>Dutiable transaction</w:t>
      </w:r>
      <w:bookmarkEnd w:id="42"/>
      <w:bookmarkEnd w:id="43"/>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concessional farm</w:t>
      </w:r>
      <w:r>
        <w:noBreakHyphen/>
        <w:t>in transaction.</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tab/>
        <w:t>(3)</w:t>
      </w:r>
      <w:r>
        <w:tab/>
        <w:t>Subsection (2)(a) does not apply to a right referred to in section 16(1)(h), (i) or (j) or (3)(aa).</w:t>
      </w:r>
    </w:p>
    <w:p>
      <w:pPr>
        <w:pStyle w:val="Subsection"/>
      </w:pPr>
      <w:r>
        <w:tab/>
        <w:t>(4)</w:t>
      </w:r>
      <w:r>
        <w:tab/>
        <w:t>Subsection (2)(b) does not apply to a pastoral lease or diversification lease.</w:t>
      </w:r>
    </w:p>
    <w:p>
      <w:pPr>
        <w:pStyle w:val="Footnotesection"/>
      </w:pPr>
      <w:r>
        <w:tab/>
        <w:t>[Section 11 amended: No. 12 of 2019 s. 7; No. 37 of 2022 s. 5; No. 4 of 2023 s. 115.]</w:t>
      </w:r>
    </w:p>
    <w:p>
      <w:pPr>
        <w:pStyle w:val="Heading5"/>
      </w:pPr>
      <w:bookmarkStart w:id="44" w:name="_Toc161401066"/>
      <w:bookmarkStart w:id="45" w:name="_Toc154753563"/>
      <w:r>
        <w:rPr>
          <w:rStyle w:val="CharSectno"/>
        </w:rPr>
        <w:t>12</w:t>
      </w:r>
      <w:r>
        <w:t>.</w:t>
      </w:r>
      <w:r>
        <w:tab/>
        <w:t>Vesting of property by statute law</w:t>
      </w:r>
      <w:bookmarkEnd w:id="44"/>
      <w:bookmarkEnd w:id="45"/>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Ednotesection"/>
      </w:pPr>
      <w:r>
        <w:t>[</w:t>
      </w:r>
      <w:r>
        <w:rPr>
          <w:b/>
        </w:rPr>
        <w:t>13.</w:t>
      </w:r>
      <w:r>
        <w:tab/>
        <w:t>Deleted: No. 37 of 2022 s. 6.]</w:t>
      </w:r>
    </w:p>
    <w:p>
      <w:pPr>
        <w:pStyle w:val="Heading5"/>
      </w:pPr>
      <w:bookmarkStart w:id="46" w:name="_Toc161401067"/>
      <w:bookmarkStart w:id="47" w:name="_Toc154753564"/>
      <w:r>
        <w:rPr>
          <w:rStyle w:val="CharSectno"/>
        </w:rPr>
        <w:t>14</w:t>
      </w:r>
      <w:r>
        <w:t>.</w:t>
      </w:r>
      <w:r>
        <w:tab/>
        <w:t>Transactions as to chattels alone not usually dutiable</w:t>
      </w:r>
      <w:bookmarkEnd w:id="46"/>
      <w:bookmarkEnd w:id="47"/>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keepNext/>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48" w:name="_Toc161400410"/>
      <w:bookmarkStart w:id="49" w:name="_Toc161401068"/>
      <w:bookmarkStart w:id="50" w:name="_Toc154753565"/>
      <w:r>
        <w:rPr>
          <w:sz w:val="26"/>
        </w:rPr>
        <w:t>Division 2 — Dutiable property</w:t>
      </w:r>
      <w:bookmarkEnd w:id="48"/>
      <w:bookmarkEnd w:id="49"/>
      <w:bookmarkEnd w:id="50"/>
    </w:p>
    <w:p>
      <w:pPr>
        <w:pStyle w:val="Heading5"/>
      </w:pPr>
      <w:bookmarkStart w:id="51" w:name="_Toc161401069"/>
      <w:bookmarkStart w:id="52" w:name="_Toc154753566"/>
      <w:r>
        <w:rPr>
          <w:rStyle w:val="CharSectno"/>
        </w:rPr>
        <w:t>15</w:t>
      </w:r>
      <w:r>
        <w:t>.</w:t>
      </w:r>
      <w:r>
        <w:tab/>
        <w:t>Dutiable property</w:t>
      </w:r>
      <w:bookmarkEnd w:id="51"/>
      <w:bookmarkEnd w:id="52"/>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tab/>
        <w:t>(c)</w:t>
      </w:r>
      <w:r>
        <w:tab/>
        <w:t>a chattel in Western Australia;</w:t>
      </w:r>
    </w:p>
    <w:p>
      <w:pPr>
        <w:pStyle w:val="Indenta"/>
      </w:pPr>
      <w:r>
        <w:tab/>
        <w:t>(d)</w:t>
      </w:r>
      <w:r>
        <w:tab/>
        <w:t>a Western Australian business asset.</w:t>
      </w:r>
    </w:p>
    <w:p>
      <w:pPr>
        <w:pStyle w:val="Heading5"/>
      </w:pPr>
      <w:bookmarkStart w:id="53" w:name="_Toc161401070"/>
      <w:bookmarkStart w:id="54" w:name="_Toc154753567"/>
      <w:r>
        <w:rPr>
          <w:rStyle w:val="CharSectno"/>
        </w:rPr>
        <w:t>16</w:t>
      </w:r>
      <w:r>
        <w:t>.</w:t>
      </w:r>
      <w:r>
        <w:tab/>
        <w:t>References to right</w:t>
      </w:r>
      <w:bookmarkEnd w:id="53"/>
      <w:bookmarkEnd w:id="54"/>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55" w:name="_Toc161401071"/>
      <w:bookmarkStart w:id="56" w:name="_Toc154753568"/>
      <w:r>
        <w:rPr>
          <w:rStyle w:val="CharSectno"/>
        </w:rPr>
        <w:t>17</w:t>
      </w:r>
      <w:r>
        <w:t>.</w:t>
      </w:r>
      <w:r>
        <w:tab/>
        <w:t>New dutiable property</w:t>
      </w:r>
      <w:bookmarkEnd w:id="55"/>
      <w:bookmarkEnd w:id="56"/>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tabs>
          <w:tab w:val="left" w:pos="1560"/>
        </w:tabs>
      </w:pPr>
      <w:r>
        <w:tab/>
      </w:r>
      <w:r>
        <w:tab/>
        <w:t>Note for this subparagraph:</w:t>
      </w:r>
    </w:p>
    <w:p>
      <w:pPr>
        <w:pStyle w:val="PermNoteText"/>
        <w:tabs>
          <w:tab w:val="left" w:pos="1843"/>
        </w:tabs>
        <w:ind w:left="1843" w:hanging="964"/>
      </w:pPr>
      <w:r>
        <w:tab/>
        <w:t>Common property created on the registration or amendment of a community titles scheme is also not new dutiable property.</w:t>
      </w:r>
    </w:p>
    <w:p>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Indenta"/>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pPr>
        <w:pStyle w:val="PermNoteHeading"/>
        <w:tabs>
          <w:tab w:val="left" w:pos="1560"/>
        </w:tabs>
      </w:pPr>
      <w:r>
        <w:tab/>
      </w:r>
      <w:r>
        <w:tab/>
        <w:t>Note for this paragraph:</w:t>
      </w:r>
    </w:p>
    <w:p>
      <w:pPr>
        <w:pStyle w:val="PermNoteHeading"/>
        <w:tabs>
          <w:tab w:val="left" w:pos="1843"/>
        </w:tabs>
        <w:ind w:left="1843" w:hanging="1843"/>
      </w:pPr>
      <w:r>
        <w:tab/>
        <w:t>Common property created on the registration or amendment of a strata titles scheme is also not new dutiable property.</w:t>
      </w:r>
    </w:p>
    <w:p>
      <w:pPr>
        <w:pStyle w:val="Indenta"/>
      </w:pPr>
      <w:r>
        <w:tab/>
        <w:t>(ad)</w:t>
      </w:r>
      <w:r>
        <w:tab/>
        <w:t xml:space="preserve">an estate in land created on termination of a strata titles scheme under the </w:t>
      </w:r>
      <w:r>
        <w:rPr>
          <w:i/>
        </w:rPr>
        <w:t>Strata Titles Act 1985</w:t>
      </w:r>
      <w:r>
        <w:t>;</w:t>
      </w:r>
    </w:p>
    <w:p>
      <w:pPr>
        <w:pStyle w:val="Indenta"/>
      </w:pPr>
      <w:r>
        <w:tab/>
        <w:t>(b)</w:t>
      </w:r>
      <w:r>
        <w:tab/>
        <w:t>a partner’s interest in a partnership;</w:t>
      </w:r>
    </w:p>
    <w:p>
      <w:pPr>
        <w:pStyle w:val="Indenta"/>
      </w:pPr>
      <w:r>
        <w:tab/>
        <w:t>(c)</w:t>
      </w:r>
      <w:r>
        <w:tab/>
        <w:t>a lease (including a diversification lease but not including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pPr>
        <w:pStyle w:val="Footnotesection"/>
      </w:pPr>
      <w:r>
        <w:tab/>
        <w:t>[Section 17 amended: No. 12 of 2019 s. 11; No. 30 of 2018 s. 132; No. 32 of 2018 s. 204; No. 4 of 2023 s. 116.]</w:t>
      </w:r>
    </w:p>
    <w:p>
      <w:pPr>
        <w:pStyle w:val="Heading5"/>
        <w:spacing w:before="180"/>
      </w:pPr>
      <w:bookmarkStart w:id="57" w:name="_Toc161401072"/>
      <w:bookmarkStart w:id="58" w:name="_Toc154753569"/>
      <w:r>
        <w:rPr>
          <w:rStyle w:val="CharSectno"/>
        </w:rPr>
        <w:t>18</w:t>
      </w:r>
      <w:r>
        <w:t>.</w:t>
      </w:r>
      <w:r>
        <w:tab/>
        <w:t>Special dutiable property</w:t>
      </w:r>
      <w:bookmarkEnd w:id="57"/>
      <w:bookmarkEnd w:id="58"/>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 or diversification lease), if consideration is paid, or agreed to be paid, by the lessor for the surrender of the lease;</w:t>
      </w:r>
    </w:p>
    <w:p>
      <w:pPr>
        <w:pStyle w:val="Indenta"/>
      </w:pPr>
      <w:r>
        <w:tab/>
        <w:t>(caa)</w:t>
      </w:r>
      <w:r>
        <w:tab/>
        <w:t xml:space="preserve">a pastoral lease or diversification lease (the </w:t>
      </w:r>
      <w:r>
        <w:rPr>
          <w:rStyle w:val="CharDefText"/>
        </w:rPr>
        <w:t>old lease</w:t>
      </w:r>
      <w:r>
        <w:t xml:space="preserve">), in whole or in part, if — </w:t>
      </w:r>
    </w:p>
    <w:p>
      <w:pPr>
        <w:pStyle w:val="Indenti"/>
      </w:pPr>
      <w:r>
        <w:tab/>
        <w:t>(i)</w:t>
      </w:r>
      <w:r>
        <w:tab/>
        <w:t xml:space="preserve">the surrender of the old lease is made as part of an agreement, arrangement or understanding that a pastoral lease or diversification lease (the </w:t>
      </w:r>
      <w:r>
        <w:rPr>
          <w:rStyle w:val="CharDefText"/>
        </w:rPr>
        <w:t>new lease</w:t>
      </w:r>
      <w:r>
        <w:t>) be granted to another person; and</w:t>
      </w:r>
    </w:p>
    <w:p>
      <w:pPr>
        <w:pStyle w:val="Indenti"/>
      </w:pPr>
      <w:r>
        <w:tab/>
        <w:t>(ii)</w:t>
      </w:r>
      <w:r>
        <w:tab/>
        <w:t>there is, or will be, consideration for the surrender of the old lease; and</w:t>
      </w:r>
    </w:p>
    <w:p>
      <w:pPr>
        <w:pStyle w:val="Indenti"/>
      </w:pPr>
      <w:r>
        <w:tab/>
        <w:t>(iii)</w:t>
      </w:r>
      <w:r>
        <w:tab/>
        <w:t xml:space="preserve">in the case where the new lease is a pastoral lease, the grant of the new lease under the </w:t>
      </w:r>
      <w:r>
        <w:rPr>
          <w:i/>
        </w:rPr>
        <w:t>Land Administration Act 1997</w:t>
      </w:r>
      <w:r>
        <w:t xml:space="preserve"> section 101 is not subject to the payment of a sale price, or, in the case where the new lease is a diversification lease, there is not, and will not be, any consideration for the grant of the new lease;</w:t>
      </w:r>
    </w:p>
    <w:p>
      <w:pPr>
        <w:pStyle w:val="Indenta"/>
      </w:pPr>
      <w:r>
        <w:tab/>
        <w:t>(ca)</w:t>
      </w:r>
      <w:r>
        <w:tab/>
        <w:t>a strata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 No. 30 of 2018 s. 133; No. 4 of 2023 s. 117.]</w:t>
      </w:r>
    </w:p>
    <w:p>
      <w:pPr>
        <w:pStyle w:val="Heading5"/>
      </w:pPr>
      <w:bookmarkStart w:id="59" w:name="_Toc161401073"/>
      <w:bookmarkStart w:id="60" w:name="_Toc154753570"/>
      <w:r>
        <w:rPr>
          <w:rStyle w:val="CharSectno"/>
        </w:rPr>
        <w:t>18A</w:t>
      </w:r>
      <w:r>
        <w:t>.</w:t>
      </w:r>
      <w:r>
        <w:tab/>
        <w:t>Things fixed to land that are to be permanently removed</w:t>
      </w:r>
      <w:bookmarkEnd w:id="59"/>
      <w:bookmarkEnd w:id="60"/>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61" w:name="_Toc161400416"/>
      <w:bookmarkStart w:id="62" w:name="_Toc161401074"/>
      <w:bookmarkStart w:id="63" w:name="_Toc154753571"/>
      <w:r>
        <w:rPr>
          <w:rStyle w:val="CharDivNo"/>
          <w:sz w:val="28"/>
        </w:rPr>
        <w:t>Part 4</w:t>
      </w:r>
      <w:r>
        <w:rPr>
          <w:sz w:val="28"/>
        </w:rPr>
        <w:t> — </w:t>
      </w:r>
      <w:r>
        <w:rPr>
          <w:rStyle w:val="CharDivText"/>
          <w:sz w:val="28"/>
        </w:rPr>
        <w:t>Collection of transfer duty</w:t>
      </w:r>
      <w:bookmarkEnd w:id="61"/>
      <w:bookmarkEnd w:id="62"/>
      <w:bookmarkEnd w:id="63"/>
    </w:p>
    <w:p>
      <w:pPr>
        <w:pStyle w:val="Heading4"/>
        <w:spacing w:before="200"/>
        <w:rPr>
          <w:sz w:val="26"/>
        </w:rPr>
      </w:pPr>
      <w:bookmarkStart w:id="64" w:name="_Toc161400417"/>
      <w:bookmarkStart w:id="65" w:name="_Toc161401075"/>
      <w:bookmarkStart w:id="66" w:name="_Toc154753572"/>
      <w:r>
        <w:rPr>
          <w:sz w:val="26"/>
        </w:rPr>
        <w:t>Division 1 — Liability for transfer duty</w:t>
      </w:r>
      <w:bookmarkEnd w:id="64"/>
      <w:bookmarkEnd w:id="65"/>
      <w:bookmarkEnd w:id="66"/>
    </w:p>
    <w:p>
      <w:pPr>
        <w:pStyle w:val="Heading5"/>
        <w:spacing w:before="180"/>
      </w:pPr>
      <w:bookmarkStart w:id="67" w:name="_Toc161401076"/>
      <w:bookmarkStart w:id="68" w:name="_Toc154753573"/>
      <w:r>
        <w:rPr>
          <w:rStyle w:val="CharSectno"/>
        </w:rPr>
        <w:t>19</w:t>
      </w:r>
      <w:r>
        <w:t>.</w:t>
      </w:r>
      <w:r>
        <w:tab/>
        <w:t>When liability for duty arises</w:t>
      </w:r>
      <w:bookmarkEnd w:id="67"/>
      <w:bookmarkEnd w:id="68"/>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69" w:name="_Toc161401077"/>
      <w:bookmarkStart w:id="70" w:name="_Toc154753574"/>
      <w:r>
        <w:rPr>
          <w:rStyle w:val="CharSectno"/>
        </w:rPr>
        <w:t>20</w:t>
      </w:r>
      <w:r>
        <w:t>.</w:t>
      </w:r>
      <w:r>
        <w:tab/>
        <w:t>Who is liable to pay duty</w:t>
      </w:r>
      <w:bookmarkEnd w:id="69"/>
      <w:bookmarkEnd w:id="70"/>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71" w:name="_Toc161401078"/>
      <w:bookmarkStart w:id="72" w:name="_Toc154753575"/>
      <w:r>
        <w:rPr>
          <w:rStyle w:val="CharSectno"/>
        </w:rPr>
        <w:t>21</w:t>
      </w:r>
      <w:r>
        <w:t>.</w:t>
      </w:r>
      <w:r>
        <w:tab/>
        <w:t>Joint tenants to be treated as tenants in common in equal shares</w:t>
      </w:r>
      <w:bookmarkEnd w:id="71"/>
      <w:bookmarkEnd w:id="72"/>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73" w:name="_Toc161400421"/>
      <w:bookmarkStart w:id="74" w:name="_Toc161401079"/>
      <w:bookmarkStart w:id="75" w:name="_Toc154753576"/>
      <w:r>
        <w:rPr>
          <w:sz w:val="26"/>
        </w:rPr>
        <w:t>Division 2 — Lodging transaction records</w:t>
      </w:r>
      <w:bookmarkEnd w:id="73"/>
      <w:bookmarkEnd w:id="74"/>
      <w:bookmarkEnd w:id="75"/>
    </w:p>
    <w:p>
      <w:pPr>
        <w:pStyle w:val="Heading5"/>
      </w:pPr>
      <w:bookmarkStart w:id="76" w:name="_Toc161401080"/>
      <w:bookmarkStart w:id="77" w:name="_Toc154753577"/>
      <w:r>
        <w:rPr>
          <w:rStyle w:val="CharSectno"/>
        </w:rPr>
        <w:t>22A</w:t>
      </w:r>
      <w:r>
        <w:t>.</w:t>
      </w:r>
      <w:r>
        <w:tab/>
        <w:t>Terms used</w:t>
      </w:r>
      <w:bookmarkEnd w:id="76"/>
      <w:bookmarkEnd w:id="77"/>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78" w:name="_Toc161401081"/>
      <w:bookmarkStart w:id="79" w:name="_Toc154753578"/>
      <w:r>
        <w:rPr>
          <w:rStyle w:val="CharSectno"/>
        </w:rPr>
        <w:t>22</w:t>
      </w:r>
      <w:r>
        <w:t>.</w:t>
      </w:r>
      <w:r>
        <w:tab/>
        <w:t>Transfer duty statement to be made if no instrument</w:t>
      </w:r>
      <w:bookmarkEnd w:id="78"/>
      <w:bookmarkEnd w:id="79"/>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80" w:name="_Toc161401082"/>
      <w:bookmarkStart w:id="81" w:name="_Toc154753579"/>
      <w:r>
        <w:rPr>
          <w:rStyle w:val="CharSectno"/>
        </w:rPr>
        <w:t>23</w:t>
      </w:r>
      <w:r>
        <w:t>.</w:t>
      </w:r>
      <w:r>
        <w:tab/>
        <w:t>Instrument or statement for dutiable transaction, duty to lodge</w:t>
      </w:r>
      <w:bookmarkEnd w:id="80"/>
      <w:bookmarkEnd w:id="81"/>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No. 17 of 2010 s. 6; No. 2 of 2014 s. 52.]</w:t>
      </w:r>
    </w:p>
    <w:p>
      <w:pPr>
        <w:pStyle w:val="Heading5"/>
      </w:pPr>
      <w:bookmarkStart w:id="82" w:name="_Toc161401083"/>
      <w:bookmarkStart w:id="83" w:name="_Toc154753580"/>
      <w:r>
        <w:rPr>
          <w:rStyle w:val="CharSectno"/>
        </w:rPr>
        <w:t>24</w:t>
      </w:r>
      <w:r>
        <w:t>.</w:t>
      </w:r>
      <w:r>
        <w:tab/>
        <w:t>Form of dutiable transaction</w:t>
      </w:r>
      <w:bookmarkEnd w:id="82"/>
      <w:bookmarkEnd w:id="83"/>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84" w:name="_Toc161400426"/>
      <w:bookmarkStart w:id="85" w:name="_Toc161401084"/>
      <w:bookmarkStart w:id="86" w:name="_Toc154753581"/>
      <w:r>
        <w:rPr>
          <w:sz w:val="26"/>
        </w:rPr>
        <w:t>Division 3 — Payment of transfer duty</w:t>
      </w:r>
      <w:bookmarkEnd w:id="84"/>
      <w:bookmarkEnd w:id="85"/>
      <w:bookmarkEnd w:id="86"/>
    </w:p>
    <w:p>
      <w:pPr>
        <w:pStyle w:val="Heading5"/>
      </w:pPr>
      <w:bookmarkStart w:id="87" w:name="_Toc161401085"/>
      <w:bookmarkStart w:id="88" w:name="_Toc154753582"/>
      <w:r>
        <w:rPr>
          <w:rStyle w:val="CharSectno"/>
        </w:rPr>
        <w:t>25</w:t>
      </w:r>
      <w:r>
        <w:t>.</w:t>
      </w:r>
      <w:r>
        <w:tab/>
        <w:t>When duty must be paid</w:t>
      </w:r>
      <w:bookmarkEnd w:id="87"/>
      <w:bookmarkEnd w:id="88"/>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keepNext/>
      </w:pPr>
      <w:r>
        <w:tab/>
        <w:t>(b)</w:t>
      </w:r>
      <w:r>
        <w:tab/>
        <w:t>an issue of title conditional agreement.</w:t>
      </w:r>
    </w:p>
    <w:p>
      <w:pPr>
        <w:pStyle w:val="Footnotesection"/>
      </w:pPr>
      <w:r>
        <w:tab/>
        <w:t>[Section 25 inserted: No. 17 of 2010 s. 7; amended: No. 10 of 2013 s. 4.]</w:t>
      </w:r>
    </w:p>
    <w:p>
      <w:pPr>
        <w:pStyle w:val="Heading4"/>
        <w:rPr>
          <w:sz w:val="26"/>
        </w:rPr>
      </w:pPr>
      <w:bookmarkStart w:id="89" w:name="_Toc161400428"/>
      <w:bookmarkStart w:id="90" w:name="_Toc161401086"/>
      <w:bookmarkStart w:id="91" w:name="_Toc154753583"/>
      <w:r>
        <w:rPr>
          <w:sz w:val="26"/>
        </w:rPr>
        <w:t>Division 4 — Rate of transfer duty</w:t>
      </w:r>
      <w:bookmarkEnd w:id="89"/>
      <w:bookmarkEnd w:id="90"/>
      <w:bookmarkEnd w:id="91"/>
    </w:p>
    <w:p>
      <w:pPr>
        <w:pStyle w:val="Heading5"/>
        <w:spacing w:before="180"/>
      </w:pPr>
      <w:bookmarkStart w:id="92" w:name="_Toc161401087"/>
      <w:bookmarkStart w:id="93" w:name="_Toc154753584"/>
      <w:r>
        <w:rPr>
          <w:rStyle w:val="CharSectno"/>
        </w:rPr>
        <w:t>26</w:t>
      </w:r>
      <w:r>
        <w:t>.</w:t>
      </w:r>
      <w:r>
        <w:tab/>
        <w:t>Rate of transfer duty</w:t>
      </w:r>
      <w:bookmarkEnd w:id="92"/>
      <w:bookmarkEnd w:id="93"/>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94" w:name="_Toc161400430"/>
      <w:bookmarkStart w:id="95" w:name="_Toc161401088"/>
      <w:bookmarkStart w:id="96" w:name="_Toc154753585"/>
      <w:r>
        <w:rPr>
          <w:sz w:val="26"/>
        </w:rPr>
        <w:t>Division 5 — Dutiable value</w:t>
      </w:r>
      <w:bookmarkEnd w:id="94"/>
      <w:bookmarkEnd w:id="95"/>
      <w:bookmarkEnd w:id="96"/>
    </w:p>
    <w:p>
      <w:pPr>
        <w:pStyle w:val="Heading4"/>
        <w:rPr>
          <w:sz w:val="26"/>
        </w:rPr>
      </w:pPr>
      <w:bookmarkStart w:id="97" w:name="_Toc161400431"/>
      <w:bookmarkStart w:id="98" w:name="_Toc161401089"/>
      <w:bookmarkStart w:id="99" w:name="_Toc154753586"/>
      <w:r>
        <w:rPr>
          <w:sz w:val="26"/>
        </w:rPr>
        <w:t>Subdivision 1 — Dutiable value</w:t>
      </w:r>
      <w:bookmarkEnd w:id="97"/>
      <w:bookmarkEnd w:id="98"/>
      <w:bookmarkEnd w:id="99"/>
    </w:p>
    <w:p>
      <w:pPr>
        <w:pStyle w:val="Heading5"/>
        <w:spacing w:before="180"/>
      </w:pPr>
      <w:bookmarkStart w:id="100" w:name="_Toc161401090"/>
      <w:bookmarkStart w:id="101" w:name="_Toc154753587"/>
      <w:r>
        <w:rPr>
          <w:rStyle w:val="CharSectno"/>
        </w:rPr>
        <w:t>27</w:t>
      </w:r>
      <w:r>
        <w:t>.</w:t>
      </w:r>
      <w:r>
        <w:tab/>
        <w:t>Dutiable value of dutiable transactions, unless otherwise provided</w:t>
      </w:r>
      <w:bookmarkEnd w:id="100"/>
      <w:bookmarkEnd w:id="101"/>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102" w:name="_Toc161401091"/>
      <w:bookmarkStart w:id="103" w:name="_Toc154753588"/>
      <w:r>
        <w:rPr>
          <w:rStyle w:val="CharSectno"/>
        </w:rPr>
        <w:t>28</w:t>
      </w:r>
      <w:r>
        <w:t>.</w:t>
      </w:r>
      <w:r>
        <w:tab/>
        <w:t>Dutiable value of certain dutiable transactions</w:t>
      </w:r>
      <w:bookmarkEnd w:id="102"/>
      <w:bookmarkEnd w:id="103"/>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(other than a pastoral lease or diversification lease) is the consideration for the surrender of the lease paid or payable by the lessor.</w:t>
      </w:r>
    </w:p>
    <w:p>
      <w:pPr>
        <w:pStyle w:val="Subsection"/>
      </w:pPr>
      <w:r>
        <w:tab/>
        <w:t>(3A)</w:t>
      </w:r>
      <w:r>
        <w:tab/>
        <w:t>The dutiable value of a dutiable transaction that is the surrender of a pastoral lease or diversification lease in the circumstances referred to in section 18(caa) is the consideration for the surrender of the lease referred to in section 18(caa)(ii).</w:t>
      </w:r>
    </w:p>
    <w:p>
      <w:pPr>
        <w:pStyle w:val="Subsection"/>
      </w:pPr>
      <w:r>
        <w:tab/>
        <w:t>(4)</w:t>
      </w:r>
      <w:r>
        <w:tab/>
        <w:t xml:space="preserve">The dutiable value of a dutiable transaction that is the grant of a lease (other than a pastoral lease or diversification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pPr>
      <w:r>
        <w:tab/>
        <w:t>(4B)</w:t>
      </w:r>
      <w:r>
        <w:tab/>
        <w:t>The dutiable value of a dutiable transaction that is the grant of a diversification lease is the consideration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keepNext/>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 No. 4 of 2023 s. 118.]</w:t>
      </w:r>
    </w:p>
    <w:p>
      <w:pPr>
        <w:pStyle w:val="Heading5"/>
        <w:spacing w:before="240"/>
      </w:pPr>
      <w:bookmarkStart w:id="104" w:name="_Toc161401092"/>
      <w:bookmarkStart w:id="105" w:name="_Toc154753589"/>
      <w:r>
        <w:rPr>
          <w:rStyle w:val="CharSectno"/>
        </w:rPr>
        <w:t>29</w:t>
      </w:r>
      <w:r>
        <w:t>.</w:t>
      </w:r>
      <w:r>
        <w:tab/>
        <w:t>Dutiable value of certain dutiable transactions relating to corporation or unit trust scheme property on winding up</w:t>
      </w:r>
      <w:bookmarkEnd w:id="104"/>
      <w:bookmarkEnd w:id="105"/>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del w:id="106" w:author="Master Repository Process" w:date="2025-06-09T09:56:00Z"/>
          <w:position w:val="-24"/>
        </w:rPr>
      </w:pPr>
      <w:del w:id="107" w:author="Master Repository Process" w:date="2025-06-09T09:56: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30pt">
              <v:imagedata r:id="rId15" o:title=""/>
            </v:shape>
          </w:pict>
        </w:r>
      </w:del>
    </w:p>
    <w:p>
      <w:pPr>
        <w:pStyle w:val="Graphics"/>
        <w:spacing w:before="80"/>
        <w:ind w:left="1560"/>
        <w:rPr>
          <w:ins w:id="108" w:author="Master Repository Process" w:date="2025-06-09T09:56:00Z"/>
          <w:position w:val="-24"/>
        </w:rPr>
      </w:pPr>
      <w:ins w:id="109" w:author="Master Repository Process" w:date="2025-06-09T09:56:00Z">
        <w:r>
          <w:rPr>
            <w:position w:val="-24"/>
          </w:rPr>
          <w:pict>
            <v:shape id="_x0000_i1026" type="#_x0000_t75" style="width:64.5pt;height:29.25pt">
              <v:imagedata r:id="rId15" o:title=""/>
            </v:shape>
          </w:pict>
        </w:r>
      </w:ins>
    </w:p>
    <w:p>
      <w:pPr>
        <w:pStyle w:val="Indenta"/>
        <w:keepNext/>
      </w:pPr>
      <w:r>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rPr>
          <w:del w:id="110" w:author="Master Repository Process" w:date="2025-06-09T09:56:00Z"/>
        </w:rPr>
      </w:pPr>
      <w:del w:id="111" w:author="Master Repository Process" w:date="2025-06-09T09:56:00Z">
        <w:r>
          <w:rPr>
            <w:position w:val="-24"/>
          </w:rPr>
          <w:pict>
            <v:shape id="_x0000_i1027" type="#_x0000_t75" style="width:64.5pt;height:30pt">
              <v:imagedata r:id="rId15" o:title=""/>
            </v:shape>
          </w:pict>
        </w:r>
      </w:del>
    </w:p>
    <w:p>
      <w:pPr>
        <w:pStyle w:val="Graphics"/>
        <w:ind w:left="1560"/>
        <w:rPr>
          <w:ins w:id="112" w:author="Master Repository Process" w:date="2025-06-09T09:56:00Z"/>
        </w:rPr>
      </w:pPr>
      <w:ins w:id="113" w:author="Master Repository Process" w:date="2025-06-09T09:56:00Z">
        <w:r>
          <w:rPr>
            <w:position w:val="-24"/>
          </w:rPr>
          <w:pict>
            <v:shape id="_x0000_i1028" type="#_x0000_t75" style="width:64.5pt;height:29.25pt">
              <v:imagedata r:id="rId15" o:title=""/>
            </v:shape>
          </w:pict>
        </w:r>
      </w:ins>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keepNext/>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114" w:name="_Toc161400435"/>
      <w:bookmarkStart w:id="115" w:name="_Toc161401093"/>
      <w:bookmarkStart w:id="116" w:name="_Toc154753590"/>
      <w:r>
        <w:rPr>
          <w:sz w:val="26"/>
        </w:rPr>
        <w:t>Subdivision 2 — Consideration</w:t>
      </w:r>
      <w:bookmarkEnd w:id="114"/>
      <w:bookmarkEnd w:id="115"/>
      <w:bookmarkEnd w:id="116"/>
    </w:p>
    <w:p>
      <w:pPr>
        <w:pStyle w:val="Heading5"/>
      </w:pPr>
      <w:bookmarkStart w:id="117" w:name="_Toc161401094"/>
      <w:bookmarkStart w:id="118" w:name="_Toc154753591"/>
      <w:r>
        <w:rPr>
          <w:rStyle w:val="CharSectno"/>
        </w:rPr>
        <w:t>30</w:t>
      </w:r>
      <w:r>
        <w:t>.</w:t>
      </w:r>
      <w:r>
        <w:tab/>
        <w:t>Consideration for dutiable transaction</w:t>
      </w:r>
      <w:bookmarkEnd w:id="117"/>
      <w:bookmarkEnd w:id="118"/>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119" w:name="_Toc161401095"/>
      <w:bookmarkStart w:id="120" w:name="_Toc154753592"/>
      <w:r>
        <w:rPr>
          <w:rStyle w:val="CharSectno"/>
        </w:rPr>
        <w:t>31</w:t>
      </w:r>
      <w:r>
        <w:t>.</w:t>
      </w:r>
      <w:r>
        <w:tab/>
        <w:t>Changes to consideration before transfer, consequences of</w:t>
      </w:r>
      <w:bookmarkEnd w:id="119"/>
      <w:bookmarkEnd w:id="120"/>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121" w:name="_Toc161401096"/>
      <w:bookmarkStart w:id="122" w:name="_Toc154753593"/>
      <w:r>
        <w:rPr>
          <w:rStyle w:val="CharSectno"/>
        </w:rPr>
        <w:t>32</w:t>
      </w:r>
      <w:r>
        <w:t>.</w:t>
      </w:r>
      <w:r>
        <w:tab/>
        <w:t>Contingent consideration not paid, consequences of</w:t>
      </w:r>
      <w:bookmarkEnd w:id="121"/>
      <w:bookmarkEnd w:id="122"/>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keepNext/>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123" w:name="_Toc161401097"/>
      <w:bookmarkStart w:id="124" w:name="_Toc154753594"/>
      <w:r>
        <w:rPr>
          <w:rStyle w:val="CharSectno"/>
        </w:rPr>
        <w:t>33</w:t>
      </w:r>
      <w:r>
        <w:t>.</w:t>
      </w:r>
      <w:r>
        <w:tab/>
        <w:t>Agreement by instalments determined before final payment, consequences of</w:t>
      </w:r>
      <w:bookmarkEnd w:id="123"/>
      <w:bookmarkEnd w:id="124"/>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125" w:name="_Toc161401098"/>
      <w:bookmarkStart w:id="126" w:name="_Toc154753595"/>
      <w:r>
        <w:rPr>
          <w:rStyle w:val="CharSectno"/>
        </w:rPr>
        <w:t>34</w:t>
      </w:r>
      <w:r>
        <w:t>.</w:t>
      </w:r>
      <w:r>
        <w:tab/>
        <w:t>Options conferred by dutiable transactions that are exercised or not renewed, consequences of</w:t>
      </w:r>
      <w:bookmarkEnd w:id="125"/>
      <w:bookmarkEnd w:id="126"/>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keepNext/>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27" w:name="_Toc161401099"/>
      <w:bookmarkStart w:id="128" w:name="_Toc154753596"/>
      <w:r>
        <w:rPr>
          <w:rStyle w:val="CharSectno"/>
        </w:rPr>
        <w:t>35</w:t>
      </w:r>
      <w:r>
        <w:t>.</w:t>
      </w:r>
      <w:r>
        <w:tab/>
        <w:t>Option to acquire dutiable property, duty paid on to be credited</w:t>
      </w:r>
      <w:bookmarkEnd w:id="127"/>
      <w:bookmarkEnd w:id="128"/>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129" w:name="_Toc161400442"/>
      <w:bookmarkStart w:id="130" w:name="_Toc161401100"/>
      <w:bookmarkStart w:id="131" w:name="_Toc154753597"/>
      <w:r>
        <w:rPr>
          <w:sz w:val="26"/>
        </w:rPr>
        <w:t>Subdivision 3 — Unencumbered value</w:t>
      </w:r>
      <w:bookmarkEnd w:id="129"/>
      <w:bookmarkEnd w:id="130"/>
      <w:bookmarkEnd w:id="131"/>
    </w:p>
    <w:p>
      <w:pPr>
        <w:pStyle w:val="Heading5"/>
        <w:spacing w:before="160"/>
      </w:pPr>
      <w:bookmarkStart w:id="132" w:name="_Toc161401101"/>
      <w:bookmarkStart w:id="133" w:name="_Toc154753598"/>
      <w:r>
        <w:rPr>
          <w:rStyle w:val="CharSectno"/>
        </w:rPr>
        <w:t>36</w:t>
      </w:r>
      <w:r>
        <w:t>.</w:t>
      </w:r>
      <w:r>
        <w:tab/>
        <w:t>Determining unencumbered value of property</w:t>
      </w:r>
      <w:bookmarkEnd w:id="132"/>
      <w:bookmarkEnd w:id="133"/>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Subsection"/>
      </w:pPr>
      <w:r>
        <w:tab/>
        <w:t>(5)</w:t>
      </w:r>
      <w:r>
        <w:tab/>
        <w:t xml:space="preserve">When determining the unencumbered value of property that is land — </w:t>
      </w:r>
    </w:p>
    <w:p>
      <w:pPr>
        <w:pStyle w:val="Indenta"/>
      </w:pPr>
      <w:r>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pPr>
        <w:pStyle w:val="Indenta"/>
      </w:pPr>
      <w:r>
        <w:tab/>
        <w:t>(b)</w:t>
      </w:r>
      <w:r>
        <w:tab/>
        <w:t>if the land is the subject of a transfer, any improvement made to the land at the expense of the transferee before 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134" w:name="_Toc161401102"/>
      <w:bookmarkStart w:id="135" w:name="_Toc154753599"/>
      <w:r>
        <w:rPr>
          <w:rStyle w:val="CharSectno"/>
        </w:rPr>
        <w:t>36A</w:t>
      </w:r>
      <w:r>
        <w:t>.</w:t>
      </w:r>
      <w:r>
        <w:tab/>
        <w:t>Determining unencumbered value: fixtures and mining tenement fixtures</w:t>
      </w:r>
      <w:bookmarkEnd w:id="134"/>
      <w:bookmarkEnd w:id="135"/>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land.</w:t>
      </w:r>
    </w:p>
    <w:p>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136" w:name="_Toc161400445"/>
      <w:bookmarkStart w:id="137" w:name="_Toc161401103"/>
      <w:bookmarkStart w:id="138" w:name="_Toc154753600"/>
      <w:r>
        <w:rPr>
          <w:sz w:val="26"/>
        </w:rPr>
        <w:t>Subdivision 4 — Miscellaneous</w:t>
      </w:r>
      <w:bookmarkEnd w:id="136"/>
      <w:bookmarkEnd w:id="137"/>
      <w:bookmarkEnd w:id="138"/>
    </w:p>
    <w:p>
      <w:pPr>
        <w:pStyle w:val="Heading5"/>
      </w:pPr>
      <w:bookmarkStart w:id="139" w:name="_Toc161401104"/>
      <w:bookmarkStart w:id="140" w:name="_Toc154753601"/>
      <w:r>
        <w:rPr>
          <w:rStyle w:val="CharSectno"/>
        </w:rPr>
        <w:t>37</w:t>
      </w:r>
      <w:r>
        <w:t>.</w:t>
      </w:r>
      <w:r>
        <w:tab/>
        <w:t>Aggregation of dutiable transactions</w:t>
      </w:r>
      <w:bookmarkEnd w:id="139"/>
      <w:bookmarkEnd w:id="140"/>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141" w:name="_Toc161401105"/>
      <w:bookmarkStart w:id="142" w:name="_Toc154753602"/>
      <w:r>
        <w:rPr>
          <w:rStyle w:val="CharSectno"/>
        </w:rPr>
        <w:t>38</w:t>
      </w:r>
      <w:r>
        <w:t>.</w:t>
      </w:r>
      <w:r>
        <w:tab/>
        <w:t>Transactions as to dutiable and not dutiable property, duty on</w:t>
      </w:r>
      <w:bookmarkEnd w:id="141"/>
      <w:bookmarkEnd w:id="142"/>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143" w:name="_Toc161401106"/>
      <w:bookmarkStart w:id="144" w:name="_Toc154753603"/>
      <w:r>
        <w:rPr>
          <w:rStyle w:val="CharSectno"/>
        </w:rPr>
        <w:t>39</w:t>
      </w:r>
      <w:r>
        <w:t>.</w:t>
      </w:r>
      <w:r>
        <w:tab/>
        <w:t>Partitions of property, dutiable values in case of</w:t>
      </w:r>
      <w:bookmarkEnd w:id="143"/>
      <w:bookmarkEnd w:id="144"/>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keepNext/>
        <w:tabs>
          <w:tab w:val="left" w:pos="1560"/>
        </w:tabs>
        <w:spacing w:before="120" w:after="40"/>
      </w:pPr>
      <w:r>
        <w:tab/>
        <w:t>(2)</w:t>
      </w:r>
      <w:r>
        <w:tab/>
        <w:t xml:space="preserve">The dutiable value of a partition is to be determined in accordance with the following formula — </w:t>
      </w:r>
    </w:p>
    <w:p>
      <w:pPr>
        <w:pStyle w:val="Graphics"/>
        <w:keepNext/>
        <w:tabs>
          <w:tab w:val="left" w:pos="1560"/>
        </w:tabs>
        <w:ind w:left="896"/>
        <w:rPr>
          <w:del w:id="145" w:author="Master Repository Process" w:date="2025-06-09T09:56:00Z"/>
        </w:rPr>
      </w:pPr>
      <w:del w:id="146" w:author="Master Repository Process" w:date="2025-06-09T09:56:00Z">
        <w:r>
          <w:rPr>
            <w:position w:val="-24"/>
          </w:rPr>
          <w:pict>
            <v:shape id="_x0000_i1029" type="#_x0000_t75" style="width:64.5pt;height:30pt">
              <v:imagedata r:id="rId15" o:title=""/>
            </v:shape>
          </w:pict>
        </w:r>
      </w:del>
    </w:p>
    <w:p>
      <w:pPr>
        <w:pStyle w:val="Graphics"/>
        <w:keepNext/>
        <w:tabs>
          <w:tab w:val="left" w:pos="1560"/>
        </w:tabs>
        <w:ind w:left="896"/>
        <w:rPr>
          <w:ins w:id="147" w:author="Master Repository Process" w:date="2025-06-09T09:56:00Z"/>
        </w:rPr>
      </w:pPr>
      <w:ins w:id="148" w:author="Master Repository Process" w:date="2025-06-09T09:56:00Z">
        <w:r>
          <w:rPr>
            <w:position w:val="-24"/>
          </w:rPr>
          <w:pict>
            <v:shape id="_x0000_i1030" type="#_x0000_t75" style="width:64.5pt;height:29.25pt">
              <v:imagedata r:id="rId15" o:title=""/>
            </v:shape>
          </w:pict>
        </w:r>
      </w:ins>
    </w:p>
    <w:p>
      <w:pPr>
        <w:pStyle w:val="Subsection"/>
        <w:keepNext/>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149" w:name="_Toc161401107"/>
      <w:bookmarkStart w:id="150" w:name="_Toc154753604"/>
      <w:r>
        <w:rPr>
          <w:rStyle w:val="CharSectno"/>
        </w:rPr>
        <w:t>40</w:t>
      </w:r>
      <w:r>
        <w:t>.</w:t>
      </w:r>
      <w:r>
        <w:tab/>
        <w:t>Exchanges of dutiable property, duty on</w:t>
      </w:r>
      <w:bookmarkEnd w:id="149"/>
      <w:bookmarkEnd w:id="150"/>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keepNext/>
      </w:pPr>
      <w:r>
        <w:tab/>
        <w:t>(b)</w:t>
      </w:r>
      <w:r>
        <w:tab/>
        <w:t>the transfer of the second</w:t>
      </w:r>
      <w:r>
        <w:noBreakHyphen/>
        <w:t>mentioned property for consideration equal to the unencumbered value of that property.</w:t>
      </w:r>
    </w:p>
    <w:p>
      <w:pPr>
        <w:pStyle w:val="Heading4"/>
        <w:spacing w:before="180"/>
        <w:rPr>
          <w:sz w:val="26"/>
        </w:rPr>
      </w:pPr>
      <w:bookmarkStart w:id="151" w:name="_Toc161400450"/>
      <w:bookmarkStart w:id="152" w:name="_Toc161401108"/>
      <w:bookmarkStart w:id="153" w:name="_Toc154753605"/>
      <w:r>
        <w:rPr>
          <w:sz w:val="26"/>
        </w:rPr>
        <w:t>Division 6 — No double duty</w:t>
      </w:r>
      <w:bookmarkEnd w:id="151"/>
      <w:bookmarkEnd w:id="152"/>
      <w:bookmarkEnd w:id="153"/>
    </w:p>
    <w:p>
      <w:pPr>
        <w:pStyle w:val="Heading5"/>
        <w:spacing w:before="180"/>
      </w:pPr>
      <w:bookmarkStart w:id="154" w:name="_Toc161401109"/>
      <w:bookmarkStart w:id="155" w:name="_Toc154753606"/>
      <w:r>
        <w:rPr>
          <w:rStyle w:val="CharSectno"/>
        </w:rPr>
        <w:t>41</w:t>
      </w:r>
      <w:r>
        <w:t>.</w:t>
      </w:r>
      <w:r>
        <w:tab/>
        <w:t>No double duty — general</w:t>
      </w:r>
      <w:bookmarkEnd w:id="154"/>
      <w:bookmarkEnd w:id="155"/>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156" w:name="_Toc161401110"/>
      <w:bookmarkStart w:id="157" w:name="_Toc154753607"/>
      <w:r>
        <w:rPr>
          <w:rStyle w:val="CharSectno"/>
        </w:rPr>
        <w:t>42</w:t>
      </w:r>
      <w:r>
        <w:t>.</w:t>
      </w:r>
      <w:r>
        <w:tab/>
        <w:t>No double duty — particular dutiable transactions</w:t>
      </w:r>
      <w:bookmarkEnd w:id="156"/>
      <w:bookmarkEnd w:id="157"/>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keepNext/>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keepNext/>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Ednotesubsection"/>
      </w:pPr>
      <w:r>
        <w:tab/>
        <w:t>[(15)</w:t>
      </w:r>
      <w:r>
        <w:tab/>
        <w:t>deleted]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 No. 37 of 2022 s. 7.]</w:t>
      </w:r>
    </w:p>
    <w:p>
      <w:pPr>
        <w:pStyle w:val="Heading5"/>
      </w:pPr>
      <w:bookmarkStart w:id="158" w:name="_Toc161401111"/>
      <w:bookmarkStart w:id="159" w:name="_Toc154753608"/>
      <w:r>
        <w:rPr>
          <w:rStyle w:val="CharSectno"/>
        </w:rPr>
        <w:t>43</w:t>
      </w:r>
      <w:r>
        <w:t>.</w:t>
      </w:r>
      <w:r>
        <w:tab/>
        <w:t>Persons related to purchaser for s. 42(2)(a)</w:t>
      </w:r>
      <w:bookmarkEnd w:id="158"/>
      <w:bookmarkEnd w:id="159"/>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160" w:name="_Toc161400454"/>
      <w:bookmarkStart w:id="161" w:name="_Toc161401112"/>
      <w:bookmarkStart w:id="162" w:name="_Toc154753609"/>
      <w:r>
        <w:rPr>
          <w:sz w:val="26"/>
        </w:rPr>
        <w:t>Division 7 — Interim assessment of transfer duty</w:t>
      </w:r>
      <w:bookmarkEnd w:id="160"/>
      <w:bookmarkEnd w:id="161"/>
      <w:bookmarkEnd w:id="162"/>
    </w:p>
    <w:p>
      <w:pPr>
        <w:pStyle w:val="Footnoteheading"/>
      </w:pPr>
      <w:r>
        <w:tab/>
        <w:t>[Heading inserted: No. 10 of 2013 s. 5.]</w:t>
      </w:r>
    </w:p>
    <w:p>
      <w:pPr>
        <w:pStyle w:val="Heading5"/>
        <w:spacing w:before="180"/>
      </w:pPr>
      <w:bookmarkStart w:id="163" w:name="_Toc161401113"/>
      <w:bookmarkStart w:id="164" w:name="_Toc154753610"/>
      <w:r>
        <w:rPr>
          <w:rStyle w:val="CharSectno"/>
        </w:rPr>
        <w:t>44A</w:t>
      </w:r>
      <w:r>
        <w:t>.</w:t>
      </w:r>
      <w:r>
        <w:tab/>
        <w:t>Interim assessment of transfer duty</w:t>
      </w:r>
      <w:bookmarkEnd w:id="163"/>
      <w:bookmarkEnd w:id="164"/>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keepNext/>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165" w:name="_Toc161400456"/>
      <w:bookmarkStart w:id="166" w:name="_Toc161401114"/>
      <w:bookmarkStart w:id="167" w:name="_Toc154753611"/>
      <w:r>
        <w:rPr>
          <w:rStyle w:val="CharDivNo"/>
          <w:sz w:val="28"/>
        </w:rPr>
        <w:t>Part 5</w:t>
      </w:r>
      <w:r>
        <w:rPr>
          <w:sz w:val="28"/>
        </w:rPr>
        <w:t> — </w:t>
      </w:r>
      <w:r>
        <w:rPr>
          <w:rStyle w:val="CharDivText"/>
          <w:sz w:val="28"/>
        </w:rPr>
        <w:t>Application of this Chapter to certain transactions</w:t>
      </w:r>
      <w:bookmarkEnd w:id="165"/>
      <w:bookmarkEnd w:id="166"/>
      <w:bookmarkEnd w:id="167"/>
    </w:p>
    <w:p>
      <w:pPr>
        <w:pStyle w:val="Heading4"/>
        <w:keepNext w:val="0"/>
        <w:rPr>
          <w:sz w:val="26"/>
        </w:rPr>
      </w:pPr>
      <w:bookmarkStart w:id="168" w:name="_Toc161400457"/>
      <w:bookmarkStart w:id="169" w:name="_Toc161401115"/>
      <w:bookmarkStart w:id="170" w:name="_Toc154753612"/>
      <w:r>
        <w:rPr>
          <w:sz w:val="26"/>
        </w:rPr>
        <w:t>Division 1 — Simultaneous put and call options</w:t>
      </w:r>
      <w:bookmarkEnd w:id="168"/>
      <w:bookmarkEnd w:id="169"/>
      <w:bookmarkEnd w:id="170"/>
    </w:p>
    <w:p>
      <w:pPr>
        <w:pStyle w:val="Heading4"/>
        <w:rPr>
          <w:sz w:val="26"/>
        </w:rPr>
      </w:pPr>
      <w:bookmarkStart w:id="171" w:name="_Toc161400458"/>
      <w:bookmarkStart w:id="172" w:name="_Toc161401116"/>
      <w:bookmarkStart w:id="173" w:name="_Toc154753613"/>
      <w:r>
        <w:rPr>
          <w:sz w:val="26"/>
        </w:rPr>
        <w:t>Subdivision 1 — Terms used in this Division</w:t>
      </w:r>
      <w:bookmarkEnd w:id="171"/>
      <w:bookmarkEnd w:id="172"/>
      <w:bookmarkEnd w:id="173"/>
    </w:p>
    <w:p>
      <w:pPr>
        <w:pStyle w:val="Heading5"/>
        <w:keepNext w:val="0"/>
      </w:pPr>
      <w:bookmarkStart w:id="174" w:name="_Toc161401117"/>
      <w:bookmarkStart w:id="175" w:name="_Toc154753614"/>
      <w:r>
        <w:rPr>
          <w:rStyle w:val="CharSectno"/>
        </w:rPr>
        <w:t>44</w:t>
      </w:r>
      <w:r>
        <w:t>.</w:t>
      </w:r>
      <w:r>
        <w:tab/>
        <w:t>Terms used</w:t>
      </w:r>
      <w:bookmarkEnd w:id="174"/>
      <w:bookmarkEnd w:id="175"/>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176" w:name="_Toc161400460"/>
      <w:bookmarkStart w:id="177" w:name="_Toc161401118"/>
      <w:bookmarkStart w:id="178" w:name="_Toc154753615"/>
      <w:r>
        <w:rPr>
          <w:sz w:val="26"/>
        </w:rPr>
        <w:t>Subdivision 2 — Simultaneous put and call options</w:t>
      </w:r>
      <w:bookmarkEnd w:id="176"/>
      <w:bookmarkEnd w:id="177"/>
      <w:bookmarkEnd w:id="178"/>
    </w:p>
    <w:p>
      <w:pPr>
        <w:pStyle w:val="Heading5"/>
        <w:spacing w:before="240"/>
      </w:pPr>
      <w:bookmarkStart w:id="179" w:name="_Toc161401119"/>
      <w:bookmarkStart w:id="180" w:name="_Toc154753616"/>
      <w:r>
        <w:rPr>
          <w:rStyle w:val="CharSectno"/>
        </w:rPr>
        <w:t>45</w:t>
      </w:r>
      <w:r>
        <w:t>.</w:t>
      </w:r>
      <w:r>
        <w:tab/>
        <w:t>Call option of simultaneous put and call option to be taken to be agreement for transfer of option property</w:t>
      </w:r>
      <w:bookmarkEnd w:id="179"/>
      <w:bookmarkEnd w:id="180"/>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181" w:name="_Toc161401120"/>
      <w:bookmarkStart w:id="182" w:name="_Toc154753617"/>
      <w:r>
        <w:rPr>
          <w:rStyle w:val="CharSectno"/>
        </w:rPr>
        <w:t>46</w:t>
      </w:r>
      <w:r>
        <w:t>.</w:t>
      </w:r>
      <w:r>
        <w:tab/>
        <w:t>Simultaneous put and call option, dutiable value of</w:t>
      </w:r>
      <w:bookmarkEnd w:id="181"/>
      <w:bookmarkEnd w:id="182"/>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183" w:name="_Toc161401121"/>
      <w:bookmarkStart w:id="184" w:name="_Toc154753618"/>
      <w:r>
        <w:rPr>
          <w:rStyle w:val="CharSectno"/>
        </w:rPr>
        <w:t>47</w:t>
      </w:r>
      <w:r>
        <w:t>.</w:t>
      </w:r>
      <w:r>
        <w:tab/>
        <w:t>Dutiable transaction referred to in s. 45, duty paid on to be credited</w:t>
      </w:r>
      <w:bookmarkEnd w:id="183"/>
      <w:bookmarkEnd w:id="184"/>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185" w:name="_Toc161401122"/>
      <w:bookmarkStart w:id="186" w:name="_Toc154753619"/>
      <w:r>
        <w:rPr>
          <w:rStyle w:val="CharSectno"/>
        </w:rPr>
        <w:t>48</w:t>
      </w:r>
      <w:r>
        <w:t>.</w:t>
      </w:r>
      <w:r>
        <w:tab/>
        <w:t>Simultaneous put and call option not exercised or assigned, consequences of</w:t>
      </w:r>
      <w:bookmarkEnd w:id="185"/>
      <w:bookmarkEnd w:id="186"/>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187" w:name="_Toc161400465"/>
      <w:bookmarkStart w:id="188" w:name="_Toc161401123"/>
      <w:bookmarkStart w:id="189" w:name="_Toc154753620"/>
      <w:r>
        <w:rPr>
          <w:sz w:val="26"/>
        </w:rPr>
        <w:t>Subdivision 3 — Assignment of call option</w:t>
      </w:r>
      <w:bookmarkEnd w:id="187"/>
      <w:bookmarkEnd w:id="188"/>
      <w:bookmarkEnd w:id="189"/>
    </w:p>
    <w:p>
      <w:pPr>
        <w:pStyle w:val="Heading5"/>
        <w:spacing w:before="180"/>
      </w:pPr>
      <w:bookmarkStart w:id="190" w:name="_Toc161401124"/>
      <w:bookmarkStart w:id="191" w:name="_Toc154753621"/>
      <w:r>
        <w:rPr>
          <w:rStyle w:val="CharSectno"/>
        </w:rPr>
        <w:t>49</w:t>
      </w:r>
      <w:r>
        <w:t>.</w:t>
      </w:r>
      <w:r>
        <w:tab/>
        <w:t>Assignment of call option to be taken to be agreement for transfer of option property</w:t>
      </w:r>
      <w:bookmarkEnd w:id="190"/>
      <w:bookmarkEnd w:id="191"/>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192" w:name="_Toc161401125"/>
      <w:bookmarkStart w:id="193" w:name="_Toc154753622"/>
      <w:r>
        <w:rPr>
          <w:rStyle w:val="CharSectno"/>
        </w:rPr>
        <w:t>50</w:t>
      </w:r>
      <w:r>
        <w:t>.</w:t>
      </w:r>
      <w:r>
        <w:tab/>
        <w:t>Assignment of call option, dutiable value of</w:t>
      </w:r>
      <w:bookmarkEnd w:id="192"/>
      <w:bookmarkEnd w:id="193"/>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194" w:name="_Toc161401126"/>
      <w:bookmarkStart w:id="195" w:name="_Toc154753623"/>
      <w:r>
        <w:rPr>
          <w:rStyle w:val="CharSectno"/>
        </w:rPr>
        <w:t>51</w:t>
      </w:r>
      <w:r>
        <w:t>.</w:t>
      </w:r>
      <w:r>
        <w:tab/>
        <w:t>Dutiable transaction referred to in s. 49, duty paid on to be credited</w:t>
      </w:r>
      <w:bookmarkEnd w:id="194"/>
      <w:bookmarkEnd w:id="195"/>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196" w:name="_Toc161401127"/>
      <w:bookmarkStart w:id="197" w:name="_Toc154753624"/>
      <w:r>
        <w:rPr>
          <w:rStyle w:val="CharSectno"/>
        </w:rPr>
        <w:t>52</w:t>
      </w:r>
      <w:r>
        <w:t>.</w:t>
      </w:r>
      <w:r>
        <w:tab/>
        <w:t>Assigned call option not exercised or further assigned, consequences of</w:t>
      </w:r>
      <w:bookmarkEnd w:id="196"/>
      <w:bookmarkEnd w:id="197"/>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198" w:name="_Toc161400470"/>
      <w:bookmarkStart w:id="199" w:name="_Toc161401128"/>
      <w:bookmarkStart w:id="200" w:name="_Toc154753625"/>
      <w:r>
        <w:rPr>
          <w:sz w:val="26"/>
        </w:rPr>
        <w:t>Division 2 — Discretionary trust acquisitions and surrenders</w:t>
      </w:r>
      <w:bookmarkEnd w:id="198"/>
      <w:bookmarkEnd w:id="199"/>
      <w:bookmarkEnd w:id="200"/>
    </w:p>
    <w:p>
      <w:pPr>
        <w:pStyle w:val="Heading4"/>
        <w:rPr>
          <w:sz w:val="26"/>
        </w:rPr>
      </w:pPr>
      <w:bookmarkStart w:id="201" w:name="_Toc161400471"/>
      <w:bookmarkStart w:id="202" w:name="_Toc161401129"/>
      <w:bookmarkStart w:id="203" w:name="_Toc154753626"/>
      <w:r>
        <w:rPr>
          <w:sz w:val="26"/>
        </w:rPr>
        <w:t>Subdivision 1 — Terms used in this Division</w:t>
      </w:r>
      <w:bookmarkEnd w:id="201"/>
      <w:bookmarkEnd w:id="202"/>
      <w:bookmarkEnd w:id="203"/>
    </w:p>
    <w:p>
      <w:pPr>
        <w:pStyle w:val="Heading5"/>
        <w:spacing w:before="240"/>
      </w:pPr>
      <w:bookmarkStart w:id="204" w:name="_Toc161401130"/>
      <w:bookmarkStart w:id="205" w:name="_Toc154753627"/>
      <w:r>
        <w:rPr>
          <w:rStyle w:val="CharSectno"/>
        </w:rPr>
        <w:t>53</w:t>
      </w:r>
      <w:r>
        <w:t>.</w:t>
      </w:r>
      <w:r>
        <w:tab/>
        <w:t>References to partnership or trust holding property</w:t>
      </w:r>
      <w:bookmarkEnd w:id="204"/>
      <w:bookmarkEnd w:id="205"/>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206" w:name="_Toc161401131"/>
      <w:bookmarkStart w:id="207" w:name="_Toc154753628"/>
      <w:r>
        <w:rPr>
          <w:rStyle w:val="CharSectno"/>
        </w:rPr>
        <w:t>54</w:t>
      </w:r>
      <w:r>
        <w:t>.</w:t>
      </w:r>
      <w:r>
        <w:tab/>
        <w:t>References to taker in default</w:t>
      </w:r>
      <w:bookmarkEnd w:id="206"/>
      <w:bookmarkEnd w:id="207"/>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208" w:name="_Toc161401132"/>
      <w:bookmarkStart w:id="209" w:name="_Toc154753629"/>
      <w:r>
        <w:rPr>
          <w:rStyle w:val="CharSectno"/>
        </w:rPr>
        <w:t>55</w:t>
      </w:r>
      <w:r>
        <w:t>.</w:t>
      </w:r>
      <w:r>
        <w:tab/>
        <w:t>References to trust acquisition</w:t>
      </w:r>
      <w:bookmarkEnd w:id="208"/>
      <w:bookmarkEnd w:id="209"/>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210" w:name="_Toc161401133"/>
      <w:bookmarkStart w:id="211" w:name="_Toc154753630"/>
      <w:r>
        <w:rPr>
          <w:rStyle w:val="CharSectno"/>
        </w:rPr>
        <w:t>56</w:t>
      </w:r>
      <w:r>
        <w:t>.</w:t>
      </w:r>
      <w:r>
        <w:tab/>
        <w:t>References to trust surrender</w:t>
      </w:r>
      <w:bookmarkEnd w:id="210"/>
      <w:bookmarkEnd w:id="211"/>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212" w:name="_Toc161401134"/>
      <w:bookmarkStart w:id="213" w:name="_Toc154753631"/>
      <w:r>
        <w:rPr>
          <w:rStyle w:val="CharSectno"/>
        </w:rPr>
        <w:t>57</w:t>
      </w:r>
      <w:r>
        <w:t>.</w:t>
      </w:r>
      <w:r>
        <w:tab/>
        <w:t>When discretionary trust holds indirect interest in dutiable property</w:t>
      </w:r>
      <w:bookmarkEnd w:id="212"/>
      <w:bookmarkEnd w:id="213"/>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214" w:name="_Toc161400477"/>
      <w:bookmarkStart w:id="215" w:name="_Toc161401135"/>
      <w:bookmarkStart w:id="216" w:name="_Toc154753632"/>
      <w:r>
        <w:rPr>
          <w:sz w:val="26"/>
        </w:rPr>
        <w:t>Subdivision 2 — Trust acquisitions and trust surrenders</w:t>
      </w:r>
      <w:bookmarkEnd w:id="214"/>
      <w:bookmarkEnd w:id="215"/>
      <w:bookmarkEnd w:id="216"/>
    </w:p>
    <w:p>
      <w:pPr>
        <w:pStyle w:val="Heading5"/>
        <w:spacing w:before="200"/>
      </w:pPr>
      <w:bookmarkStart w:id="217" w:name="_Toc161401136"/>
      <w:bookmarkStart w:id="218" w:name="_Toc154753633"/>
      <w:r>
        <w:rPr>
          <w:rStyle w:val="CharSectno"/>
        </w:rPr>
        <w:t>58</w:t>
      </w:r>
      <w:r>
        <w:t>.</w:t>
      </w:r>
      <w:r>
        <w:tab/>
        <w:t>When person acquires interest in discretionary trust</w:t>
      </w:r>
      <w:bookmarkEnd w:id="217"/>
      <w:bookmarkEnd w:id="218"/>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219" w:name="_Toc161401137"/>
      <w:bookmarkStart w:id="220" w:name="_Toc154753634"/>
      <w:r>
        <w:rPr>
          <w:rStyle w:val="CharSectno"/>
        </w:rPr>
        <w:t>59</w:t>
      </w:r>
      <w:r>
        <w:t>.</w:t>
      </w:r>
      <w:r>
        <w:tab/>
        <w:t>Trust acquisition or trust surrender, dutiable value of</w:t>
      </w:r>
      <w:bookmarkEnd w:id="219"/>
      <w:bookmarkEnd w:id="220"/>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221" w:name="_Toc161401138"/>
      <w:bookmarkStart w:id="222" w:name="_Toc154753635"/>
      <w:r>
        <w:rPr>
          <w:rStyle w:val="CharSectno"/>
        </w:rPr>
        <w:t>60</w:t>
      </w:r>
      <w:r>
        <w:t>.</w:t>
      </w:r>
      <w:r>
        <w:tab/>
        <w:t>References to interest in discretionary trust of taker in default</w:t>
      </w:r>
      <w:bookmarkEnd w:id="221"/>
      <w:bookmarkEnd w:id="222"/>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223" w:name="_Toc161401139"/>
      <w:bookmarkStart w:id="224" w:name="_Toc154753636"/>
      <w:r>
        <w:rPr>
          <w:rStyle w:val="CharSectno"/>
        </w:rPr>
        <w:t>61</w:t>
      </w:r>
      <w:r>
        <w:t>.</w:t>
      </w:r>
      <w:r>
        <w:tab/>
        <w:t>Taker in default’s interest, value of for s. 59(b)</w:t>
      </w:r>
      <w:bookmarkEnd w:id="223"/>
      <w:bookmarkEnd w:id="224"/>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pPr>
        <w:pStyle w:val="PermNoteHeading"/>
      </w:pPr>
      <w:r>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pPr>
      <w:r>
        <w:tab/>
        <w:t>[Section 61 amended: No. 12 of 2019 s. 21.]</w:t>
      </w:r>
    </w:p>
    <w:p>
      <w:pPr>
        <w:pStyle w:val="Heading5"/>
      </w:pPr>
      <w:bookmarkStart w:id="225" w:name="_Toc161401140"/>
      <w:bookmarkStart w:id="226" w:name="_Toc154753637"/>
      <w:r>
        <w:rPr>
          <w:rStyle w:val="CharSectno"/>
        </w:rPr>
        <w:t>62</w:t>
      </w:r>
      <w:r>
        <w:t>.</w:t>
      </w:r>
      <w:r>
        <w:tab/>
        <w:t>When trust acquisition or trust surrender is not dutiable transaction</w:t>
      </w:r>
      <w:bookmarkEnd w:id="225"/>
      <w:bookmarkEnd w:id="226"/>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227" w:name="_Toc161400483"/>
      <w:bookmarkStart w:id="228" w:name="_Toc161401141"/>
      <w:bookmarkStart w:id="229" w:name="_Toc154753638"/>
      <w:r>
        <w:rPr>
          <w:sz w:val="26"/>
        </w:rPr>
        <w:t>Division 3 — Corporate trustees</w:t>
      </w:r>
      <w:bookmarkEnd w:id="227"/>
      <w:bookmarkEnd w:id="228"/>
      <w:bookmarkEnd w:id="229"/>
    </w:p>
    <w:p>
      <w:pPr>
        <w:pStyle w:val="Heading4"/>
        <w:rPr>
          <w:sz w:val="26"/>
        </w:rPr>
      </w:pPr>
      <w:bookmarkStart w:id="230" w:name="_Toc161400484"/>
      <w:bookmarkStart w:id="231" w:name="_Toc161401142"/>
      <w:bookmarkStart w:id="232" w:name="_Toc154753639"/>
      <w:r>
        <w:rPr>
          <w:sz w:val="26"/>
        </w:rPr>
        <w:t>Subdivision 1 — Terms used in this Division</w:t>
      </w:r>
      <w:bookmarkEnd w:id="230"/>
      <w:bookmarkEnd w:id="231"/>
      <w:bookmarkEnd w:id="232"/>
    </w:p>
    <w:p>
      <w:pPr>
        <w:pStyle w:val="Heading5"/>
      </w:pPr>
      <w:bookmarkStart w:id="233" w:name="_Toc161401143"/>
      <w:bookmarkStart w:id="234" w:name="_Toc154753640"/>
      <w:r>
        <w:rPr>
          <w:rStyle w:val="CharSectno"/>
        </w:rPr>
        <w:t>63</w:t>
      </w:r>
      <w:r>
        <w:t>.</w:t>
      </w:r>
      <w:r>
        <w:tab/>
        <w:t>Terms used</w:t>
      </w:r>
      <w:bookmarkEnd w:id="233"/>
      <w:bookmarkEnd w:id="234"/>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235" w:name="_Toc161401144"/>
      <w:bookmarkStart w:id="236" w:name="_Toc154753641"/>
      <w:r>
        <w:rPr>
          <w:rStyle w:val="CharSectno"/>
        </w:rPr>
        <w:t>64</w:t>
      </w:r>
      <w:r>
        <w:t>.</w:t>
      </w:r>
      <w:r>
        <w:tab/>
        <w:t>References to trustee of discretionary trust holding property</w:t>
      </w:r>
      <w:bookmarkEnd w:id="235"/>
      <w:bookmarkEnd w:id="236"/>
    </w:p>
    <w:p>
      <w:pPr>
        <w:pStyle w:val="Subsection"/>
      </w:pPr>
      <w:r>
        <w:tab/>
      </w:r>
      <w:r>
        <w:tab/>
        <w:t>A reference to a trustee of a discretionary trust holding property is a reference to the holding of the property by the trustee under the trust.</w:t>
      </w:r>
    </w:p>
    <w:p>
      <w:pPr>
        <w:pStyle w:val="Heading5"/>
      </w:pPr>
      <w:bookmarkStart w:id="237" w:name="_Toc161401145"/>
      <w:bookmarkStart w:id="238" w:name="_Toc154753642"/>
      <w:r>
        <w:rPr>
          <w:rStyle w:val="CharSectno"/>
        </w:rPr>
        <w:t>65</w:t>
      </w:r>
      <w:r>
        <w:t>.</w:t>
      </w:r>
      <w:r>
        <w:tab/>
        <w:t>References to corporate trustee</w:t>
      </w:r>
      <w:bookmarkEnd w:id="237"/>
      <w:bookmarkEnd w:id="238"/>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239" w:name="_Toc161401146"/>
      <w:bookmarkStart w:id="240" w:name="_Toc154753643"/>
      <w:r>
        <w:rPr>
          <w:rStyle w:val="CharSectno"/>
        </w:rPr>
        <w:t>66</w:t>
      </w:r>
      <w:r>
        <w:t>.</w:t>
      </w:r>
      <w:r>
        <w:tab/>
        <w:t>When corporate trustee holds indirect interest in dutiable property</w:t>
      </w:r>
      <w:bookmarkEnd w:id="239"/>
      <w:bookmarkEnd w:id="240"/>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241" w:name="_Toc161400489"/>
      <w:bookmarkStart w:id="242" w:name="_Toc161401147"/>
      <w:bookmarkStart w:id="243" w:name="_Toc154753644"/>
      <w:r>
        <w:rPr>
          <w:sz w:val="26"/>
        </w:rPr>
        <w:t>Subdivision 2 — Disposition of shares in a corporate trustee</w:t>
      </w:r>
      <w:bookmarkEnd w:id="241"/>
      <w:bookmarkEnd w:id="242"/>
      <w:bookmarkEnd w:id="243"/>
    </w:p>
    <w:p>
      <w:pPr>
        <w:pStyle w:val="Heading5"/>
        <w:spacing w:before="180"/>
      </w:pPr>
      <w:bookmarkStart w:id="244" w:name="_Toc161401148"/>
      <w:bookmarkStart w:id="245" w:name="_Toc154753645"/>
      <w:r>
        <w:rPr>
          <w:rStyle w:val="CharSectno"/>
        </w:rPr>
        <w:t>67</w:t>
      </w:r>
      <w:r>
        <w:t>.</w:t>
      </w:r>
      <w:r>
        <w:tab/>
        <w:t xml:space="preserve">Share disposition taken to be agreement </w:t>
      </w:r>
      <w:r>
        <w:rPr>
          <w:snapToGrid w:val="0"/>
        </w:rPr>
        <w:t>for transfer of</w:t>
      </w:r>
      <w:r>
        <w:t xml:space="preserve"> trust property</w:t>
      </w:r>
      <w:bookmarkEnd w:id="244"/>
      <w:bookmarkEnd w:id="245"/>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246" w:name="_Toc161401149"/>
      <w:bookmarkStart w:id="247" w:name="_Toc154753646"/>
      <w:r>
        <w:rPr>
          <w:rStyle w:val="CharSectno"/>
        </w:rPr>
        <w:t>68</w:t>
      </w:r>
      <w:r>
        <w:t>.</w:t>
      </w:r>
      <w:r>
        <w:tab/>
        <w:t>Transaction referred to in s. 67, dutiable value of</w:t>
      </w:r>
      <w:bookmarkEnd w:id="246"/>
      <w:bookmarkEnd w:id="247"/>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248" w:name="_Toc161401150"/>
      <w:bookmarkStart w:id="249" w:name="_Toc154753647"/>
      <w:r>
        <w:rPr>
          <w:rStyle w:val="CharSectno"/>
        </w:rPr>
        <w:t>69</w:t>
      </w:r>
      <w:r>
        <w:t>.</w:t>
      </w:r>
      <w:r>
        <w:tab/>
        <w:t>Person liable to pay duty on disposition of share</w:t>
      </w:r>
      <w:bookmarkEnd w:id="248"/>
      <w:bookmarkEnd w:id="249"/>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250" w:name="_Toc161400493"/>
      <w:bookmarkStart w:id="251" w:name="_Toc161401151"/>
      <w:bookmarkStart w:id="252" w:name="_Toc154753648"/>
      <w:r>
        <w:rPr>
          <w:sz w:val="26"/>
        </w:rPr>
        <w:t>Division 4 — Partnerships</w:t>
      </w:r>
      <w:bookmarkEnd w:id="250"/>
      <w:bookmarkEnd w:id="251"/>
      <w:bookmarkEnd w:id="252"/>
    </w:p>
    <w:p>
      <w:pPr>
        <w:pStyle w:val="Heading4"/>
        <w:rPr>
          <w:sz w:val="26"/>
        </w:rPr>
      </w:pPr>
      <w:bookmarkStart w:id="253" w:name="_Toc161400494"/>
      <w:bookmarkStart w:id="254" w:name="_Toc161401152"/>
      <w:bookmarkStart w:id="255" w:name="_Toc154753649"/>
      <w:r>
        <w:rPr>
          <w:sz w:val="26"/>
        </w:rPr>
        <w:t>Subdivision 1 — Terms used in this Division</w:t>
      </w:r>
      <w:bookmarkEnd w:id="253"/>
      <w:bookmarkEnd w:id="254"/>
      <w:bookmarkEnd w:id="255"/>
    </w:p>
    <w:p>
      <w:pPr>
        <w:pStyle w:val="Heading5"/>
        <w:spacing w:before="180"/>
      </w:pPr>
      <w:bookmarkStart w:id="256" w:name="_Toc161401153"/>
      <w:bookmarkStart w:id="257" w:name="_Toc154753650"/>
      <w:r>
        <w:rPr>
          <w:rStyle w:val="CharSectno"/>
        </w:rPr>
        <w:t>70</w:t>
      </w:r>
      <w:r>
        <w:t>.</w:t>
      </w:r>
      <w:r>
        <w:tab/>
        <w:t>Term used: dutiable property</w:t>
      </w:r>
      <w:bookmarkEnd w:id="256"/>
      <w:bookmarkEnd w:id="257"/>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258" w:name="_Toc161401154"/>
      <w:bookmarkStart w:id="259" w:name="_Toc154753651"/>
      <w:r>
        <w:rPr>
          <w:rStyle w:val="CharSectno"/>
        </w:rPr>
        <w:t>71</w:t>
      </w:r>
      <w:r>
        <w:t>.</w:t>
      </w:r>
      <w:r>
        <w:tab/>
        <w:t>References to partnership or trust holding property</w:t>
      </w:r>
      <w:bookmarkEnd w:id="258"/>
      <w:bookmarkEnd w:id="259"/>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60" w:name="_Toc161401155"/>
      <w:bookmarkStart w:id="261" w:name="_Toc154753652"/>
      <w:r>
        <w:rPr>
          <w:rStyle w:val="CharSectno"/>
        </w:rPr>
        <w:t>72</w:t>
      </w:r>
      <w:r>
        <w:t>.</w:t>
      </w:r>
      <w:r>
        <w:tab/>
        <w:t>References to partnership acquisition</w:t>
      </w:r>
      <w:bookmarkEnd w:id="260"/>
      <w:bookmarkEnd w:id="261"/>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pPr>
      <w:r>
        <w:tab/>
        <w:t>(e)</w:t>
      </w:r>
      <w:r>
        <w:tab/>
        <w:t>an indirect interest in property referred to in paragraph (a), (b), (c) or (d).</w:t>
      </w:r>
    </w:p>
    <w:p>
      <w:pPr>
        <w:pStyle w:val="Footnotesection"/>
      </w:pPr>
      <w:r>
        <w:tab/>
        <w:t>[Section 72 amended: No. 17 of 2010 s. 13; No. 12 of 2019 s. 26.]</w:t>
      </w:r>
    </w:p>
    <w:p>
      <w:pPr>
        <w:pStyle w:val="Heading5"/>
      </w:pPr>
      <w:bookmarkStart w:id="262" w:name="_Toc161401156"/>
      <w:bookmarkStart w:id="263" w:name="_Toc154753653"/>
      <w:r>
        <w:rPr>
          <w:rStyle w:val="CharSectno"/>
        </w:rPr>
        <w:t>73</w:t>
      </w:r>
      <w:r>
        <w:t>.</w:t>
      </w:r>
      <w:r>
        <w:tab/>
        <w:t>When partnership holds indirect interest in property</w:t>
      </w:r>
      <w:bookmarkEnd w:id="262"/>
      <w:bookmarkEnd w:id="263"/>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264" w:name="_Toc161401157"/>
      <w:bookmarkStart w:id="265" w:name="_Toc154753654"/>
      <w:r>
        <w:rPr>
          <w:rStyle w:val="CharSectno"/>
        </w:rPr>
        <w:t>74</w:t>
      </w:r>
      <w:r>
        <w:t>.</w:t>
      </w:r>
      <w:r>
        <w:tab/>
        <w:t>References to partner’s partnership interest</w:t>
      </w:r>
      <w:bookmarkEnd w:id="264"/>
      <w:bookmarkEnd w:id="265"/>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266" w:name="_Toc161400500"/>
      <w:bookmarkStart w:id="267" w:name="_Toc161401158"/>
      <w:bookmarkStart w:id="268" w:name="_Toc154753655"/>
      <w:r>
        <w:rPr>
          <w:sz w:val="26"/>
        </w:rPr>
        <w:t>Subdivision 2 — Acquiring partnership interests</w:t>
      </w:r>
      <w:bookmarkEnd w:id="266"/>
      <w:bookmarkEnd w:id="267"/>
      <w:bookmarkEnd w:id="268"/>
    </w:p>
    <w:p>
      <w:pPr>
        <w:pStyle w:val="Heading5"/>
      </w:pPr>
      <w:bookmarkStart w:id="269" w:name="_Toc161401159"/>
      <w:bookmarkStart w:id="270" w:name="_Toc154753656"/>
      <w:r>
        <w:rPr>
          <w:rStyle w:val="CharSectno"/>
        </w:rPr>
        <w:t>75</w:t>
      </w:r>
      <w:r>
        <w:t>.</w:t>
      </w:r>
      <w:r>
        <w:tab/>
        <w:t>When person acquires partnership interest</w:t>
      </w:r>
      <w:bookmarkEnd w:id="269"/>
      <w:bookmarkEnd w:id="270"/>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271" w:name="_Toc161401160"/>
      <w:bookmarkStart w:id="272" w:name="_Toc154753657"/>
      <w:r>
        <w:rPr>
          <w:rStyle w:val="CharSectno"/>
        </w:rPr>
        <w:t>76</w:t>
      </w:r>
      <w:r>
        <w:t>.</w:t>
      </w:r>
      <w:r>
        <w:tab/>
        <w:t>Partnership acquisition, dutiable value of</w:t>
      </w:r>
      <w:bookmarkEnd w:id="271"/>
      <w:bookmarkEnd w:id="272"/>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273" w:name="_Toc161401161"/>
      <w:bookmarkStart w:id="274" w:name="_Toc154753658"/>
      <w:r>
        <w:rPr>
          <w:rStyle w:val="CharSectno"/>
        </w:rPr>
        <w:t>77</w:t>
      </w:r>
      <w:r>
        <w:t>.</w:t>
      </w:r>
      <w:r>
        <w:tab/>
        <w:t>Partnership interest, value of for s. 76(b)</w:t>
      </w:r>
      <w:bookmarkEnd w:id="273"/>
      <w:bookmarkEnd w:id="274"/>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partnership has in the linked entity, calculated under section 154A(2) 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275" w:name="_Toc161401162"/>
      <w:bookmarkStart w:id="276" w:name="_Toc154753659"/>
      <w:r>
        <w:rPr>
          <w:rStyle w:val="CharSectno"/>
        </w:rPr>
        <w:t>78</w:t>
      </w:r>
      <w:r>
        <w:t>.</w:t>
      </w:r>
      <w:r>
        <w:tab/>
        <w:t>Dutiable value of transfer of dutiable property to retiring partner</w:t>
      </w:r>
      <w:bookmarkEnd w:id="275"/>
      <w:bookmarkEnd w:id="276"/>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if the transfer property is an interest in the relevant partnership property — relevant retained 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277" w:name="_Toc161401163"/>
      <w:bookmarkStart w:id="278" w:name="_Toc154753660"/>
      <w:r>
        <w:rPr>
          <w:rStyle w:val="CharSectno"/>
        </w:rPr>
        <w:t>78A</w:t>
      </w:r>
      <w:r>
        <w:t>.</w:t>
      </w:r>
      <w:r>
        <w:tab/>
        <w:t>Certain retained property taken to be transferred to retiring partner</w:t>
      </w:r>
      <w:bookmarkEnd w:id="277"/>
      <w:bookmarkEnd w:id="278"/>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pageBreakBefore/>
        <w:spacing w:before="0"/>
        <w:rPr>
          <w:sz w:val="26"/>
        </w:rPr>
      </w:pPr>
      <w:bookmarkStart w:id="279" w:name="_Toc161400506"/>
      <w:bookmarkStart w:id="280" w:name="_Toc161401164"/>
      <w:bookmarkStart w:id="281" w:name="_Toc154753661"/>
      <w:r>
        <w:rPr>
          <w:sz w:val="26"/>
        </w:rPr>
        <w:t>Division 5 — Western Australian business assets</w:t>
      </w:r>
      <w:bookmarkEnd w:id="279"/>
      <w:bookmarkEnd w:id="280"/>
      <w:bookmarkEnd w:id="281"/>
    </w:p>
    <w:p>
      <w:pPr>
        <w:pStyle w:val="Heading4"/>
        <w:rPr>
          <w:sz w:val="26"/>
        </w:rPr>
      </w:pPr>
      <w:bookmarkStart w:id="282" w:name="_Toc161400507"/>
      <w:bookmarkStart w:id="283" w:name="_Toc161401165"/>
      <w:bookmarkStart w:id="284" w:name="_Toc154753662"/>
      <w:r>
        <w:rPr>
          <w:sz w:val="26"/>
        </w:rPr>
        <w:t>Subdivision 1 — Terms used in this Division</w:t>
      </w:r>
      <w:bookmarkEnd w:id="282"/>
      <w:bookmarkEnd w:id="283"/>
      <w:bookmarkEnd w:id="284"/>
    </w:p>
    <w:p>
      <w:pPr>
        <w:pStyle w:val="Heading5"/>
        <w:keepNext w:val="0"/>
        <w:keepLines w:val="0"/>
      </w:pPr>
      <w:bookmarkStart w:id="285" w:name="_Toc161401166"/>
      <w:bookmarkStart w:id="286" w:name="_Toc154753663"/>
      <w:r>
        <w:rPr>
          <w:rStyle w:val="CharSectno"/>
        </w:rPr>
        <w:t>79</w:t>
      </w:r>
      <w:r>
        <w:t>.</w:t>
      </w:r>
      <w:r>
        <w:tab/>
        <w:t>Terms used</w:t>
      </w:r>
      <w:bookmarkEnd w:id="285"/>
      <w:bookmarkEnd w:id="286"/>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287" w:name="_Toc161400509"/>
      <w:bookmarkStart w:id="288" w:name="_Toc161401167"/>
      <w:bookmarkStart w:id="289" w:name="_Toc154753664"/>
      <w:r>
        <w:rPr>
          <w:sz w:val="26"/>
        </w:rPr>
        <w:t>Subdivision 2 — Particular transactions involving business assets</w:t>
      </w:r>
      <w:bookmarkEnd w:id="287"/>
      <w:bookmarkEnd w:id="288"/>
      <w:bookmarkEnd w:id="289"/>
    </w:p>
    <w:p>
      <w:pPr>
        <w:pStyle w:val="Heading5"/>
      </w:pPr>
      <w:bookmarkStart w:id="290" w:name="_Toc161401168"/>
      <w:bookmarkStart w:id="291" w:name="_Toc154753665"/>
      <w:r>
        <w:rPr>
          <w:rStyle w:val="CharSectno"/>
        </w:rPr>
        <w:t>80</w:t>
      </w:r>
      <w:r>
        <w:t>.</w:t>
      </w:r>
      <w:r>
        <w:tab/>
        <w:t>Some transactions involving business licences to be taken to be agreements for transfer</w:t>
      </w:r>
      <w:bookmarkEnd w:id="290"/>
      <w:bookmarkEnd w:id="29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292" w:name="_Toc161401169"/>
      <w:bookmarkStart w:id="293" w:name="_Toc154753666"/>
      <w:r>
        <w:rPr>
          <w:rStyle w:val="CharSectno"/>
        </w:rPr>
        <w:t>81</w:t>
      </w:r>
      <w:r>
        <w:t>.</w:t>
      </w:r>
      <w:r>
        <w:tab/>
        <w:t>Transactions for particular WA business assets that are not dutiable transactions</w:t>
      </w:r>
      <w:bookmarkEnd w:id="292"/>
      <w:bookmarkEnd w:id="293"/>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294" w:name="_Toc161400512"/>
      <w:bookmarkStart w:id="295" w:name="_Toc161401170"/>
      <w:bookmarkStart w:id="296" w:name="_Toc154753667"/>
      <w:r>
        <w:rPr>
          <w:sz w:val="26"/>
        </w:rPr>
        <w:t>Subdivision 3 — Dutiable value of dutiable transactions for business assets</w:t>
      </w:r>
      <w:bookmarkEnd w:id="294"/>
      <w:bookmarkEnd w:id="295"/>
      <w:bookmarkEnd w:id="296"/>
    </w:p>
    <w:p>
      <w:pPr>
        <w:pStyle w:val="Heading5"/>
        <w:spacing w:before="240"/>
      </w:pPr>
      <w:bookmarkStart w:id="297" w:name="_Toc161401171"/>
      <w:bookmarkStart w:id="298" w:name="_Toc154753668"/>
      <w:r>
        <w:rPr>
          <w:rStyle w:val="CharSectno"/>
        </w:rPr>
        <w:t>82</w:t>
      </w:r>
      <w:r>
        <w:t>.</w:t>
      </w:r>
      <w:r>
        <w:tab/>
        <w:t>Dutiable transaction for business asset, dutiable value of</w:t>
      </w:r>
      <w:bookmarkEnd w:id="297"/>
      <w:bookmarkEnd w:id="298"/>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299" w:name="_Toc161401172"/>
      <w:bookmarkStart w:id="300" w:name="_Toc154753669"/>
      <w:r>
        <w:rPr>
          <w:rStyle w:val="CharSectno"/>
        </w:rPr>
        <w:t>83</w:t>
      </w:r>
      <w:r>
        <w:t>.</w:t>
      </w:r>
      <w:r>
        <w:tab/>
        <w:t>Certain business licences required by Cwlth law, dutiable value of for s. 82(a)</w:t>
      </w:r>
      <w:bookmarkEnd w:id="299"/>
      <w:bookmarkEnd w:id="300"/>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301" w:name="_Toc161401173"/>
      <w:bookmarkStart w:id="302" w:name="_Toc154753670"/>
      <w:r>
        <w:rPr>
          <w:rStyle w:val="CharSectno"/>
        </w:rPr>
        <w:t>84</w:t>
      </w:r>
      <w:r>
        <w:t>.</w:t>
      </w:r>
      <w:r>
        <w:tab/>
        <w:t>Business licences required by WA law, dutiable value of for s. 82(b)</w:t>
      </w:r>
      <w:bookmarkEnd w:id="301"/>
      <w:bookmarkEnd w:id="302"/>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303" w:name="_Toc161401174"/>
      <w:bookmarkStart w:id="304" w:name="_Toc154753671"/>
      <w:r>
        <w:rPr>
          <w:rStyle w:val="CharSectno"/>
        </w:rPr>
        <w:t>85</w:t>
      </w:r>
      <w:r>
        <w:t>.</w:t>
      </w:r>
      <w:r>
        <w:tab/>
        <w:t>Dutiable value of business asset where principal place of business is in WA</w:t>
      </w:r>
      <w:bookmarkEnd w:id="303"/>
      <w:bookmarkEnd w:id="304"/>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rPr>
          <w:del w:id="305" w:author="Master Repository Process" w:date="2025-06-09T09:56:00Z"/>
        </w:rPr>
      </w:pPr>
      <w:del w:id="306" w:author="Master Repository Process" w:date="2025-06-09T09:56:00Z">
        <w:r>
          <w:rPr>
            <w:position w:val="-24"/>
          </w:rPr>
          <w:pict>
            <v:shape id="_x0000_i1031" type="#_x0000_t75" style="width:115.5pt;height:30pt">
              <v:imagedata r:id="rId16" o:title=""/>
            </v:shape>
          </w:pict>
        </w:r>
      </w:del>
    </w:p>
    <w:p>
      <w:pPr>
        <w:pStyle w:val="Graphics"/>
        <w:spacing w:before="60"/>
        <w:ind w:left="958"/>
        <w:rPr>
          <w:ins w:id="307" w:author="Master Repository Process" w:date="2025-06-09T09:56:00Z"/>
        </w:rPr>
      </w:pPr>
      <w:ins w:id="308" w:author="Master Repository Process" w:date="2025-06-09T09:56:00Z">
        <w:r>
          <w:rPr>
            <w:position w:val="-24"/>
          </w:rPr>
          <w:pict>
            <v:shape id="_x0000_i1032" type="#_x0000_t75" style="width:114.75pt;height:29.25pt">
              <v:imagedata r:id="rId16" o:title=""/>
            </v:shape>
          </w:pict>
        </w:r>
      </w:ins>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309" w:name="_Toc161401175"/>
      <w:bookmarkStart w:id="310" w:name="_Toc154753672"/>
      <w:r>
        <w:rPr>
          <w:rStyle w:val="CharSectno"/>
        </w:rPr>
        <w:t>86</w:t>
      </w:r>
      <w:r>
        <w:t>.</w:t>
      </w:r>
      <w:r>
        <w:tab/>
        <w:t>Dutiable value of business asset where principal place of business is out of WA</w:t>
      </w:r>
      <w:bookmarkEnd w:id="309"/>
      <w:bookmarkEnd w:id="310"/>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rPr>
          <w:del w:id="311" w:author="Master Repository Process" w:date="2025-06-09T09:56:00Z"/>
        </w:rPr>
      </w:pPr>
      <w:del w:id="312" w:author="Master Repository Process" w:date="2025-06-09T09:56:00Z">
        <w:r>
          <w:rPr>
            <w:position w:val="-24"/>
          </w:rPr>
          <w:pict>
            <v:shape id="_x0000_i1033" type="#_x0000_t75" style="width:102pt;height:30pt">
              <v:imagedata r:id="rId17" o:title=""/>
            </v:shape>
          </w:pict>
        </w:r>
      </w:del>
    </w:p>
    <w:p>
      <w:pPr>
        <w:pStyle w:val="Graphics"/>
        <w:spacing w:before="60"/>
        <w:ind w:left="907"/>
        <w:rPr>
          <w:ins w:id="313" w:author="Master Repository Process" w:date="2025-06-09T09:56:00Z"/>
        </w:rPr>
      </w:pPr>
      <w:ins w:id="314" w:author="Master Repository Process" w:date="2025-06-09T09:56:00Z">
        <w:r>
          <w:rPr>
            <w:position w:val="-24"/>
          </w:rPr>
          <w:pict>
            <v:shape id="_x0000_i1034" type="#_x0000_t75" style="width:101.25pt;height:29.25pt">
              <v:imagedata r:id="rId17" o:title=""/>
            </v:shape>
          </w:pict>
        </w:r>
      </w:ins>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315" w:name="_Toc161400518"/>
      <w:bookmarkStart w:id="316" w:name="_Toc161401176"/>
      <w:bookmarkStart w:id="317" w:name="_Toc154753673"/>
      <w:r>
        <w:rPr>
          <w:sz w:val="26"/>
        </w:rPr>
        <w:t>Division 6 — Conditional agreements</w:t>
      </w:r>
      <w:bookmarkEnd w:id="315"/>
      <w:bookmarkEnd w:id="316"/>
      <w:bookmarkEnd w:id="317"/>
    </w:p>
    <w:p>
      <w:pPr>
        <w:pStyle w:val="Heading5"/>
        <w:spacing w:before="240"/>
      </w:pPr>
      <w:bookmarkStart w:id="318" w:name="_Toc161401177"/>
      <w:bookmarkStart w:id="319" w:name="_Toc154753674"/>
      <w:r>
        <w:rPr>
          <w:rStyle w:val="CharSectno"/>
        </w:rPr>
        <w:t>87</w:t>
      </w:r>
      <w:r>
        <w:t>.</w:t>
      </w:r>
      <w:r>
        <w:tab/>
        <w:t>References to conditional agreement</w:t>
      </w:r>
      <w:bookmarkEnd w:id="318"/>
      <w:bookmarkEnd w:id="319"/>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(ia)</w:t>
      </w:r>
      <w:r>
        <w:tab/>
        <w:t xml:space="preserve">the registration of a community titles scheme or an amendment of a community titles scheme under the </w:t>
      </w:r>
      <w:r>
        <w:rPr>
          <w:i/>
        </w:rPr>
        <w:t>Community Titles Act 2018</w:t>
      </w:r>
      <w:r>
        <w:t>; or</w:t>
      </w:r>
    </w:p>
    <w:p>
      <w:pPr>
        <w:pStyle w:val="Indenti"/>
      </w:pPr>
      <w:r>
        <w:tab/>
        <w:t>(ii)</w:t>
      </w:r>
      <w:r>
        <w:tab/>
        <w:t xml:space="preserve">the registration of a strata titles scheme or an amendment of a strata titles scheme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pPr>
      <w:r>
        <w:tab/>
        <w:t>(h)</w:t>
      </w:r>
      <w:r>
        <w:tab/>
        <w:t>a child or remoter lineal descendant of a former spouse or former de facto partner of a person,</w:t>
      </w:r>
    </w:p>
    <w:p>
      <w:pPr>
        <w:pStyle w:val="Subsection"/>
      </w:pPr>
      <w:r>
        <w:tab/>
      </w:r>
      <w:r>
        <w:tab/>
        <w:t>or more than one of them.</w:t>
      </w:r>
    </w:p>
    <w:p>
      <w:pPr>
        <w:pStyle w:val="Footnotesection"/>
        <w:ind w:left="890" w:hanging="890"/>
      </w:pPr>
      <w:r>
        <w:tab/>
        <w:t>[Section 87 amended: No. 17 of 2010 s. 8; No. 12 of 2019 s. 33; No. 30 of 2018 s. 134; No. 32 of 2018 s. 205.]</w:t>
      </w:r>
    </w:p>
    <w:p>
      <w:pPr>
        <w:pStyle w:val="Heading5"/>
        <w:keepLines w:val="0"/>
        <w:spacing w:before="240"/>
      </w:pPr>
      <w:bookmarkStart w:id="320" w:name="_Toc161401178"/>
      <w:bookmarkStart w:id="321" w:name="_Toc154753675"/>
      <w:r>
        <w:rPr>
          <w:rStyle w:val="CharSectno"/>
        </w:rPr>
        <w:t>88A</w:t>
      </w:r>
      <w:r>
        <w:t>.</w:t>
      </w:r>
      <w:r>
        <w:tab/>
        <w:t>General conditional agreements, no duty on if terminated on relevant grounds</w:t>
      </w:r>
      <w:bookmarkEnd w:id="320"/>
      <w:bookmarkEnd w:id="321"/>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322" w:name="_Toc161401179"/>
      <w:bookmarkStart w:id="323" w:name="_Toc154753676"/>
      <w:r>
        <w:rPr>
          <w:rStyle w:val="CharSectno"/>
        </w:rPr>
        <w:t>88</w:t>
      </w:r>
      <w:r>
        <w:t>.</w:t>
      </w:r>
      <w:r>
        <w:tab/>
        <w:t>References to farming land conditional agreement</w:t>
      </w:r>
      <w:bookmarkEnd w:id="322"/>
      <w:bookmarkEnd w:id="323"/>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324" w:name="_Toc161401180"/>
      <w:bookmarkStart w:id="325" w:name="_Toc154753677"/>
      <w:r>
        <w:rPr>
          <w:rStyle w:val="CharSectno"/>
        </w:rPr>
        <w:t>89</w:t>
      </w:r>
      <w:r>
        <w:t>.</w:t>
      </w:r>
      <w:r>
        <w:tab/>
        <w:t>References to mining tenement conditional agreement</w:t>
      </w:r>
      <w:bookmarkEnd w:id="324"/>
      <w:bookmarkEnd w:id="325"/>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326" w:name="_Toc161401181"/>
      <w:bookmarkStart w:id="327" w:name="_Toc154753678"/>
      <w:r>
        <w:rPr>
          <w:rStyle w:val="CharSectno"/>
        </w:rPr>
        <w:t>90</w:t>
      </w:r>
      <w:r>
        <w:t>.</w:t>
      </w:r>
      <w:r>
        <w:tab/>
        <w:t>References to issue of title conditional agreement</w:t>
      </w:r>
      <w:bookmarkEnd w:id="326"/>
      <w:bookmarkEnd w:id="327"/>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pPr>
      <w:r>
        <w:tab/>
        <w:t>(ab)</w:t>
      </w:r>
      <w:r>
        <w:tab/>
        <w:t xml:space="preserve">for — </w:t>
      </w:r>
    </w:p>
    <w:p>
      <w:pPr>
        <w:pStyle w:val="Indenti"/>
      </w:pPr>
      <w:r>
        <w:tab/>
        <w:t>(i)</w:t>
      </w:r>
      <w:r>
        <w:tab/>
        <w:t xml:space="preserve">the sale of a lot in a community titles (building) scheme (within the meaning of the </w:t>
      </w:r>
      <w:r>
        <w:rPr>
          <w:i/>
        </w:rPr>
        <w:t>Community Titles Act 2018</w:t>
      </w:r>
      <w:r>
        <w:t>); and</w:t>
      </w:r>
    </w:p>
    <w:p>
      <w:pPr>
        <w:pStyle w:val="Indenti"/>
      </w:pPr>
      <w:r>
        <w:tab/>
        <w:t>(ii)</w:t>
      </w:r>
      <w:r>
        <w:tab/>
        <w:t>the construction on the lot, after liability for duty on the agreement arises, of a building for commercial, residential or mixed use purposes;</w:t>
      </w:r>
    </w:p>
    <w:p>
      <w:pPr>
        <w:pStyle w:val="Indenta"/>
      </w:pPr>
      <w:r>
        <w:tab/>
      </w:r>
      <w:r>
        <w:tab/>
        <w:t>or</w:t>
      </w:r>
    </w:p>
    <w:p>
      <w:pPr>
        <w:pStyle w:val="Indenta"/>
        <w:spacing w:before="60"/>
      </w:pPr>
      <w:r>
        <w:tab/>
        <w:t>(b)</w:t>
      </w:r>
      <w:r>
        <w:tab/>
        <w:t xml:space="preserve">for — </w:t>
      </w:r>
    </w:p>
    <w:p>
      <w:pPr>
        <w:pStyle w:val="Indenti"/>
        <w:spacing w:before="60"/>
      </w:pPr>
      <w:r>
        <w:tab/>
        <w:t>(i)</w:t>
      </w:r>
      <w:r>
        <w:tab/>
        <w:t xml:space="preserve">the sale of a lot in a strata scheme (within the meaning of the </w:t>
      </w:r>
      <w:r>
        <w:rPr>
          <w:i/>
        </w:rPr>
        <w:t>Strata Titles Act 1985</w:t>
      </w:r>
      <w:r>
        <w:t>); and</w:t>
      </w:r>
    </w:p>
    <w:p>
      <w:pPr>
        <w:pStyle w:val="Indenti"/>
        <w:spacing w:before="60"/>
      </w:pPr>
      <w:r>
        <w:tab/>
        <w:t>(ii)</w:t>
      </w:r>
      <w:r>
        <w:tab/>
        <w:t>the construction on the lot, after liability for duty on the agreement arises, of a building for commercial, residential or mixed use purposes.</w:t>
      </w:r>
    </w:p>
    <w:p>
      <w:pPr>
        <w:pStyle w:val="Footnotesection"/>
        <w:spacing w:before="80"/>
        <w:ind w:left="890" w:hanging="890"/>
      </w:pPr>
      <w:r>
        <w:tab/>
        <w:t>[Section 90 inserted: No. 17 of 2010 s. 10; amended: No. 30 of 2018 s. 135; No. 32 of 2018 s. 206.]</w:t>
      </w:r>
    </w:p>
    <w:p>
      <w:pPr>
        <w:pStyle w:val="Heading5"/>
        <w:spacing w:before="180"/>
      </w:pPr>
      <w:bookmarkStart w:id="328" w:name="_Toc161401182"/>
      <w:bookmarkStart w:id="329" w:name="_Toc154753679"/>
      <w:r>
        <w:rPr>
          <w:rStyle w:val="CharSectno"/>
        </w:rPr>
        <w:t>91</w:t>
      </w:r>
      <w:r>
        <w:t>.</w:t>
      </w:r>
      <w:r>
        <w:tab/>
        <w:t>References to subdivision conditional agreement</w:t>
      </w:r>
      <w:bookmarkEnd w:id="328"/>
      <w:bookmarkEnd w:id="329"/>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rPr>
          <w:sz w:val="26"/>
          <w:szCs w:val="26"/>
        </w:rPr>
      </w:pPr>
      <w:bookmarkStart w:id="330" w:name="_Toc161400525"/>
      <w:bookmarkStart w:id="331" w:name="_Toc161401183"/>
      <w:bookmarkStart w:id="332" w:name="_Toc154753680"/>
      <w:r>
        <w:rPr>
          <w:sz w:val="26"/>
        </w:rPr>
        <w:t>Division 7</w:t>
      </w:r>
      <w:r>
        <w:rPr>
          <w:sz w:val="26"/>
          <w:szCs w:val="26"/>
        </w:rPr>
        <w:t> — Rights relating to fixed infrastructure</w:t>
      </w:r>
      <w:bookmarkEnd w:id="330"/>
      <w:bookmarkEnd w:id="331"/>
      <w:bookmarkEnd w:id="332"/>
    </w:p>
    <w:p>
      <w:pPr>
        <w:pStyle w:val="Footnoteheading"/>
        <w:keepNext/>
      </w:pPr>
      <w:r>
        <w:tab/>
        <w:t>[Heading inserted: No. 12 of 2019 s. 34.]</w:t>
      </w:r>
    </w:p>
    <w:p>
      <w:pPr>
        <w:pStyle w:val="Heading5"/>
      </w:pPr>
      <w:bookmarkStart w:id="333" w:name="_Toc161401184"/>
      <w:bookmarkStart w:id="334" w:name="_Toc154753681"/>
      <w:r>
        <w:rPr>
          <w:rStyle w:val="CharSectno"/>
        </w:rPr>
        <w:t>91A</w:t>
      </w:r>
      <w:r>
        <w:t>.</w:t>
      </w:r>
      <w:r>
        <w:tab/>
        <w:t>Terms used</w:t>
      </w:r>
      <w:bookmarkEnd w:id="333"/>
      <w:bookmarkEnd w:id="334"/>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a purpose related to the control, operation, use, construction, inspection, testing, maintenance or repair 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tab/>
        <w:t>(c)</w:t>
      </w:r>
      <w:r>
        <w:tab/>
        <w:t>the thing referred to in paragraph (a) is fixed infrastructure;</w:t>
      </w:r>
    </w:p>
    <w:p>
      <w:pPr>
        <w:pStyle w:val="Defstart"/>
      </w:pPr>
      <w:r>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335" w:name="_Toc161401185"/>
      <w:bookmarkStart w:id="336" w:name="_Toc154753682"/>
      <w:r>
        <w:rPr>
          <w:rStyle w:val="CharSectno"/>
        </w:rPr>
        <w:t>91B</w:t>
      </w:r>
      <w:r>
        <w:t>.</w:t>
      </w:r>
      <w:r>
        <w:tab/>
        <w:t>Some transactions involving fixed infrastructure statutory licences to be taken to be agreements for transfer</w:t>
      </w:r>
      <w:bookmarkEnd w:id="335"/>
      <w:bookmarkEnd w:id="336"/>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337" w:name="_Toc161401186"/>
      <w:bookmarkStart w:id="338" w:name="_Toc154753683"/>
      <w:r>
        <w:rPr>
          <w:rStyle w:val="CharSectno"/>
        </w:rPr>
        <w:t>91C</w:t>
      </w:r>
      <w:r>
        <w:t>.</w:t>
      </w:r>
      <w:r>
        <w:tab/>
        <w:t>Which transactions as to fixed infrastructure access rights and fixed infrastructure statutory licences are dutiable</w:t>
      </w:r>
      <w:bookmarkEnd w:id="337"/>
      <w:bookmarkEnd w:id="338"/>
    </w:p>
    <w:p>
      <w:pPr>
        <w:pStyle w:val="Subsection"/>
      </w:pPr>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p>
    <w:p>
      <w:pPr>
        <w:pStyle w:val="Subsection"/>
      </w:pPr>
      <w:r>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339" w:name="_Toc161401187"/>
      <w:bookmarkStart w:id="340" w:name="_Toc154753684"/>
      <w:r>
        <w:rPr>
          <w:rStyle w:val="CharSectno"/>
        </w:rPr>
        <w:t>91D</w:t>
      </w:r>
      <w:r>
        <w:t>.</w:t>
      </w:r>
      <w:r>
        <w:tab/>
        <w:t>Dutiable value of fixed infrastructure statutory licences</w:t>
      </w:r>
      <w:bookmarkEnd w:id="339"/>
      <w:bookmarkEnd w:id="340"/>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Footnotesection"/>
      </w:pPr>
      <w:r>
        <w:tab/>
        <w:t>[Section 91D inserted: No. 12 of 2019 s. 34.]</w:t>
      </w:r>
    </w:p>
    <w:p>
      <w:pPr>
        <w:pStyle w:val="Heading4"/>
        <w:rPr>
          <w:sz w:val="26"/>
          <w:szCs w:val="26"/>
        </w:rPr>
      </w:pPr>
      <w:bookmarkStart w:id="341" w:name="_Toc161400530"/>
      <w:bookmarkStart w:id="342" w:name="_Toc161401188"/>
      <w:bookmarkStart w:id="343" w:name="_Toc154753685"/>
      <w:r>
        <w:rPr>
          <w:sz w:val="26"/>
          <w:szCs w:val="26"/>
        </w:rPr>
        <w:t>Division 7A — Prospecting licences and related dutiable property</w:t>
      </w:r>
      <w:bookmarkEnd w:id="341"/>
      <w:bookmarkEnd w:id="342"/>
      <w:bookmarkEnd w:id="343"/>
    </w:p>
    <w:p>
      <w:pPr>
        <w:pStyle w:val="Footnoteheading"/>
        <w:keepNext/>
        <w:keepLines/>
      </w:pPr>
      <w:r>
        <w:tab/>
        <w:t>[Heading inserted: No. 16 of 2022 s. 19.]</w:t>
      </w:r>
    </w:p>
    <w:p>
      <w:pPr>
        <w:pStyle w:val="Heading5"/>
      </w:pPr>
      <w:bookmarkStart w:id="344" w:name="_Toc161401189"/>
      <w:bookmarkStart w:id="345" w:name="_Toc154753686"/>
      <w:r>
        <w:rPr>
          <w:rStyle w:val="CharSectno"/>
        </w:rPr>
        <w:t>91DA</w:t>
      </w:r>
      <w:r>
        <w:t>.</w:t>
      </w:r>
      <w:r>
        <w:tab/>
        <w:t>Transactions as to prospecting licences or related dutiable property alone not usually dutiable</w:t>
      </w:r>
      <w:bookmarkEnd w:id="344"/>
      <w:bookmarkEnd w:id="345"/>
    </w:p>
    <w:p>
      <w:pPr>
        <w:pStyle w:val="Subsection"/>
      </w:pPr>
      <w:r>
        <w:tab/>
        <w:t>(1)</w:t>
      </w:r>
      <w:r>
        <w:tab/>
        <w:t xml:space="preserve">Subject to subsections (2) and (3), a transaction is not a dutiable transaction if the only dutiable property the subject of the transaction consists of any or all of the following — </w:t>
      </w:r>
    </w:p>
    <w:p>
      <w:pPr>
        <w:pStyle w:val="Indenta"/>
      </w:pPr>
      <w:r>
        <w:tab/>
        <w:t>(a)</w:t>
      </w:r>
      <w:r>
        <w:tab/>
        <w:t xml:space="preserve">a prospecting licence granted under the </w:t>
      </w:r>
      <w:r>
        <w:rPr>
          <w:i/>
        </w:rPr>
        <w:t>Mining Act 1978</w:t>
      </w:r>
      <w:r>
        <w:t xml:space="preserve"> section 40;</w:t>
      </w:r>
    </w:p>
    <w:p>
      <w:pPr>
        <w:pStyle w:val="Indenta"/>
      </w:pPr>
      <w:r>
        <w:tab/>
        <w:t>(b)</w:t>
      </w:r>
      <w:r>
        <w:tab/>
        <w:t xml:space="preserve">an estate or interest in a prospecting licence granted under the </w:t>
      </w:r>
      <w:r>
        <w:rPr>
          <w:i/>
        </w:rPr>
        <w:t>Mining Act 1978</w:t>
      </w:r>
      <w:r>
        <w:t xml:space="preserve"> section 40;</w:t>
      </w:r>
    </w:p>
    <w:p>
      <w:pPr>
        <w:pStyle w:val="Indenta"/>
      </w:pPr>
      <w:r>
        <w:tab/>
        <w:t>(c)</w:t>
      </w:r>
      <w:r>
        <w:tab/>
        <w:t xml:space="preserve">a derivative mining right in relation to a prospecting licence granted under the </w:t>
      </w:r>
      <w:r>
        <w:rPr>
          <w:i/>
        </w:rPr>
        <w:t>Mining Act 1978</w:t>
      </w:r>
      <w:r>
        <w:t xml:space="preserve"> section 40;</w:t>
      </w:r>
    </w:p>
    <w:p>
      <w:pPr>
        <w:pStyle w:val="Indenta"/>
      </w:pPr>
      <w:r>
        <w:tab/>
        <w:t>(d)</w:t>
      </w:r>
      <w:r>
        <w:tab/>
        <w:t xml:space="preserve">a right under an application for a prospecting licence under the </w:t>
      </w:r>
      <w:r>
        <w:rPr>
          <w:i/>
        </w:rPr>
        <w:t>Mining Act 1978</w:t>
      </w:r>
      <w:r>
        <w:t xml:space="preserve"> section 41;</w:t>
      </w:r>
    </w:p>
    <w:p>
      <w:pPr>
        <w:pStyle w:val="Indenta"/>
      </w:pPr>
      <w:r>
        <w:tab/>
        <w:t>(e)</w:t>
      </w:r>
      <w:r>
        <w:tab/>
        <w:t>a part of, or an interest in, a right of a kind referred to in paragraph (c) or (d).</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keepNext/>
      </w:pPr>
      <w:r>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91DA inserted: No. 16 of 2022 s. 19.]</w:t>
      </w:r>
    </w:p>
    <w:p>
      <w:pPr>
        <w:pStyle w:val="Heading4"/>
        <w:keepLines/>
        <w:rPr>
          <w:sz w:val="26"/>
          <w:szCs w:val="26"/>
        </w:rPr>
      </w:pPr>
      <w:bookmarkStart w:id="346" w:name="_Toc161400532"/>
      <w:bookmarkStart w:id="347" w:name="_Toc161401190"/>
      <w:bookmarkStart w:id="348" w:name="_Toc154753687"/>
      <w:r>
        <w:rPr>
          <w:sz w:val="26"/>
          <w:szCs w:val="26"/>
        </w:rPr>
        <w:t>Division 8 — Derivative mining rights</w:t>
      </w:r>
      <w:bookmarkEnd w:id="346"/>
      <w:bookmarkEnd w:id="347"/>
      <w:bookmarkEnd w:id="348"/>
    </w:p>
    <w:p>
      <w:pPr>
        <w:pStyle w:val="Footnoteheading"/>
        <w:keepNext/>
        <w:keepLines/>
      </w:pPr>
      <w:r>
        <w:tab/>
        <w:t>[Heading inserted: No. 12 of 2019 s. 34.]</w:t>
      </w:r>
    </w:p>
    <w:p>
      <w:pPr>
        <w:pStyle w:val="Heading5"/>
      </w:pPr>
      <w:bookmarkStart w:id="349" w:name="_Toc161401191"/>
      <w:bookmarkStart w:id="350" w:name="_Toc154753688"/>
      <w:r>
        <w:rPr>
          <w:rStyle w:val="CharSectno"/>
        </w:rPr>
        <w:t>91E</w:t>
      </w:r>
      <w:r>
        <w:t>.</w:t>
      </w:r>
      <w:r>
        <w:tab/>
        <w:t>Agreement for transfer of mining tenement conditional on grant of derivative mining right to transferor</w:t>
      </w:r>
      <w:bookmarkEnd w:id="349"/>
      <w:bookmarkEnd w:id="350"/>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351" w:name="_Toc161401192"/>
      <w:bookmarkStart w:id="352" w:name="_Toc154753689"/>
      <w:r>
        <w:rPr>
          <w:rStyle w:val="CharSectno"/>
        </w:rPr>
        <w:t>91F</w:t>
      </w:r>
      <w:r>
        <w:t>.</w:t>
      </w:r>
      <w:r>
        <w:tab/>
        <w:t>Agreement for transfer of mining tenement conditional on grant of derivative mining right to current right holder</w:t>
      </w:r>
      <w:bookmarkEnd w:id="351"/>
      <w:bookmarkEnd w:id="352"/>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keepNext/>
      </w:pPr>
      <w:r>
        <w:tab/>
        <w:t>(b)</w:t>
      </w:r>
      <w:r>
        <w:tab/>
        <w:t>the acquisition, on its grant, of the previous right.</w:t>
      </w:r>
    </w:p>
    <w:p>
      <w:pPr>
        <w:pStyle w:val="Footnotesection"/>
      </w:pPr>
      <w:r>
        <w:tab/>
        <w:t>[Section 91F inserted: No. 12 of 2019 s. 34.]</w:t>
      </w:r>
    </w:p>
    <w:p>
      <w:pPr>
        <w:pStyle w:val="Heading5"/>
      </w:pPr>
      <w:bookmarkStart w:id="353" w:name="_Toc161401193"/>
      <w:bookmarkStart w:id="354" w:name="_Toc154753690"/>
      <w:r>
        <w:rPr>
          <w:rStyle w:val="CharSectno"/>
        </w:rPr>
        <w:t>91G</w:t>
      </w:r>
      <w:r>
        <w:t>.</w:t>
      </w:r>
      <w:r>
        <w:tab/>
        <w:t>Transfer or agreement for transfer of mining tenement to holder of derivative mining right</w:t>
      </w:r>
      <w:bookmarkEnd w:id="353"/>
      <w:bookmarkEnd w:id="354"/>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355" w:name="_Toc161401194"/>
      <w:bookmarkStart w:id="356" w:name="_Toc154753691"/>
      <w:r>
        <w:rPr>
          <w:rStyle w:val="CharSectno"/>
        </w:rPr>
        <w:t>91H</w:t>
      </w:r>
      <w:r>
        <w:t>.</w:t>
      </w:r>
      <w:r>
        <w:tab/>
        <w:t>Acquisition of derivative mining right substantially the same as was held in relation to previous mining tenement</w:t>
      </w:r>
      <w:bookmarkEnd w:id="355"/>
      <w:bookmarkEnd w:id="356"/>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 or is not a dutiable transaction.</w:t>
      </w:r>
    </w:p>
    <w:p>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pPr>
        <w:pStyle w:val="Footnotesection"/>
      </w:pPr>
      <w:r>
        <w:tab/>
        <w:t>[Section 91H inserted: No. 12 of 2019 s. 34; amended: No. 16 of 2022 s. 20.]</w:t>
      </w:r>
    </w:p>
    <w:p>
      <w:pPr>
        <w:pStyle w:val="Heading5"/>
      </w:pPr>
      <w:bookmarkStart w:id="357" w:name="_Toc161401195"/>
      <w:bookmarkStart w:id="358" w:name="_Toc154753692"/>
      <w:r>
        <w:rPr>
          <w:rStyle w:val="CharSectno"/>
        </w:rPr>
        <w:t>91I</w:t>
      </w:r>
      <w:r>
        <w:t>.</w:t>
      </w:r>
      <w:r>
        <w:tab/>
        <w:t>Failure to grant, or surrender of, derivative mining right after transfer of mining tenement</w:t>
      </w:r>
      <w:bookmarkEnd w:id="357"/>
      <w:bookmarkEnd w:id="358"/>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tab/>
        <w:t>(2)</w:t>
      </w:r>
      <w:r>
        <w:tab/>
        <w:t xml:space="preserve">A mining tenement valuation provision that applies to an agreement for the transfer of a mining tenement when liability for duty on the agreement arises ceases to apply to the agreement if — </w:t>
      </w:r>
    </w:p>
    <w:p>
      <w:pPr>
        <w:pStyle w:val="Indenta"/>
      </w:pPr>
      <w:r>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4"/>
        <w:keepLines/>
        <w:rPr>
          <w:sz w:val="26"/>
          <w:szCs w:val="26"/>
        </w:rPr>
      </w:pPr>
      <w:bookmarkStart w:id="359" w:name="_Toc161400538"/>
      <w:bookmarkStart w:id="360" w:name="_Toc161401196"/>
      <w:bookmarkStart w:id="361" w:name="_Toc154753693"/>
      <w:r>
        <w:rPr>
          <w:sz w:val="26"/>
          <w:szCs w:val="26"/>
        </w:rPr>
        <w:t>Division 9 — Farm</w:t>
      </w:r>
      <w:r>
        <w:rPr>
          <w:sz w:val="26"/>
          <w:szCs w:val="26"/>
        </w:rPr>
        <w:noBreakHyphen/>
        <w:t>in agreements and farm</w:t>
      </w:r>
      <w:r>
        <w:rPr>
          <w:sz w:val="26"/>
          <w:szCs w:val="26"/>
        </w:rPr>
        <w:noBreakHyphen/>
        <w:t>in transactions</w:t>
      </w:r>
      <w:bookmarkEnd w:id="359"/>
      <w:bookmarkEnd w:id="360"/>
      <w:bookmarkEnd w:id="361"/>
    </w:p>
    <w:p>
      <w:pPr>
        <w:pStyle w:val="Footnoteheading"/>
      </w:pPr>
      <w:r>
        <w:tab/>
        <w:t>[Heading inserted: No. 37 of 2022 s. 8.]</w:t>
      </w:r>
    </w:p>
    <w:p>
      <w:pPr>
        <w:pStyle w:val="Heading4"/>
        <w:keepNext w:val="0"/>
        <w:rPr>
          <w:sz w:val="26"/>
          <w:szCs w:val="26"/>
        </w:rPr>
      </w:pPr>
      <w:bookmarkStart w:id="362" w:name="_Toc161400539"/>
      <w:bookmarkStart w:id="363" w:name="_Toc161401197"/>
      <w:bookmarkStart w:id="364" w:name="_Toc154753694"/>
      <w:r>
        <w:rPr>
          <w:sz w:val="26"/>
          <w:szCs w:val="26"/>
        </w:rPr>
        <w:t>Subdivision 1 — Preliminary</w:t>
      </w:r>
      <w:bookmarkEnd w:id="362"/>
      <w:bookmarkEnd w:id="363"/>
      <w:bookmarkEnd w:id="364"/>
    </w:p>
    <w:p>
      <w:pPr>
        <w:pStyle w:val="Footnoteheading"/>
      </w:pPr>
      <w:r>
        <w:tab/>
        <w:t>[Heading inserted: No. 37 of 2022 s. 8.]</w:t>
      </w:r>
    </w:p>
    <w:p>
      <w:pPr>
        <w:pStyle w:val="Heading5"/>
      </w:pPr>
      <w:bookmarkStart w:id="365" w:name="_Toc161401198"/>
      <w:bookmarkStart w:id="366" w:name="_Toc154753695"/>
      <w:r>
        <w:rPr>
          <w:rStyle w:val="CharSectno"/>
        </w:rPr>
        <w:t>91J</w:t>
      </w:r>
      <w:r>
        <w:t>.</w:t>
      </w:r>
      <w:r>
        <w:tab/>
        <w:t>Introduction to Division</w:t>
      </w:r>
      <w:bookmarkEnd w:id="365"/>
      <w:bookmarkEnd w:id="366"/>
    </w:p>
    <w:p>
      <w:pPr>
        <w:pStyle w:val="Subsection"/>
        <w:keepNext/>
      </w:pPr>
      <w:r>
        <w:tab/>
      </w:r>
      <w:r>
        <w:tab/>
        <w:t xml:space="preserve">This Division — </w:t>
      </w:r>
    </w:p>
    <w:p>
      <w:pPr>
        <w:pStyle w:val="Indenta"/>
        <w:keepNext/>
      </w:pPr>
      <w:r>
        <w:tab/>
        <w:t>(a)</w:t>
      </w:r>
      <w:r>
        <w:tab/>
        <w:t>explains farm</w:t>
      </w:r>
      <w:r>
        <w:noBreakHyphen/>
        <w:t>in agreements, farm</w:t>
      </w:r>
      <w:r>
        <w:noBreakHyphen/>
        <w:t>in transactions and related concepts; and</w:t>
      </w:r>
    </w:p>
    <w:p>
      <w:pPr>
        <w:pStyle w:val="Indenta"/>
        <w:keepNext/>
      </w:pPr>
      <w:r>
        <w:tab/>
        <w:t>(b)</w:t>
      </w:r>
      <w:r>
        <w:tab/>
        <w:t>includes various provisions dealing with the treatment of farm</w:t>
      </w:r>
      <w:r>
        <w:noBreakHyphen/>
        <w:t>in agreements and farm</w:t>
      </w:r>
      <w:r>
        <w:noBreakHyphen/>
        <w:t>in transactions for duty purposes.</w:t>
      </w:r>
    </w:p>
    <w:p>
      <w:pPr>
        <w:pStyle w:val="Footnotesection"/>
      </w:pPr>
      <w:r>
        <w:tab/>
        <w:t>[Section 91J inserted: No. 37 of 2022 s. 8.]</w:t>
      </w:r>
    </w:p>
    <w:p>
      <w:pPr>
        <w:pStyle w:val="Heading5"/>
        <w:keepNext w:val="0"/>
      </w:pPr>
      <w:bookmarkStart w:id="367" w:name="_Toc161401199"/>
      <w:bookmarkStart w:id="368" w:name="_Toc154753696"/>
      <w:r>
        <w:rPr>
          <w:rStyle w:val="CharSectno"/>
        </w:rPr>
        <w:t>91K</w:t>
      </w:r>
      <w:r>
        <w:t>.</w:t>
      </w:r>
      <w:r>
        <w:tab/>
        <w:t>Terms used</w:t>
      </w:r>
      <w:bookmarkEnd w:id="367"/>
      <w:bookmarkEnd w:id="368"/>
    </w:p>
    <w:p>
      <w:pPr>
        <w:pStyle w:val="Subsection"/>
      </w:pPr>
      <w:r>
        <w:tab/>
        <w:t>(1)</w:t>
      </w:r>
      <w:r>
        <w:tab/>
        <w:t xml:space="preserve">In this Division — </w:t>
      </w:r>
    </w:p>
    <w:p>
      <w:pPr>
        <w:pStyle w:val="Defstart"/>
      </w:pPr>
      <w:r>
        <w:tab/>
      </w:r>
      <w:r>
        <w:rPr>
          <w:rStyle w:val="CharDefText"/>
        </w:rPr>
        <w:t>concessional farm</w:t>
      </w:r>
      <w:r>
        <w:rPr>
          <w:rStyle w:val="CharDefText"/>
        </w:rPr>
        <w:noBreakHyphen/>
        <w:t>in transaction</w:t>
      </w:r>
      <w:r>
        <w:t xml:space="preserve"> has the meaning given in section 91L(3), subject to section 91L(4), Subdivision 4 and section 91U;</w:t>
      </w:r>
    </w:p>
    <w:p>
      <w:pPr>
        <w:pStyle w:val="Defstart"/>
      </w:pPr>
      <w:r>
        <w:tab/>
      </w:r>
      <w:r>
        <w:rPr>
          <w:rStyle w:val="CharDefText"/>
        </w:rPr>
        <w:t>exploration</w:t>
      </w:r>
      <w:r>
        <w:t xml:space="preserve"> includes development that is carried out solely —</w:t>
      </w:r>
    </w:p>
    <w:p>
      <w:pPr>
        <w:pStyle w:val="Defpara"/>
      </w:pPr>
      <w:r>
        <w:tab/>
        <w:t>(a)</w:t>
      </w:r>
      <w:r>
        <w:tab/>
        <w:t>for the purpose of facilitating exploration; or</w:t>
      </w:r>
    </w:p>
    <w:p>
      <w:pPr>
        <w:pStyle w:val="Defpara"/>
      </w:pPr>
      <w:r>
        <w:tab/>
        <w:t>(b)</w:t>
      </w:r>
      <w:r>
        <w:tab/>
        <w:t>otherwise incidentally to exploration;</w:t>
      </w:r>
    </w:p>
    <w:p>
      <w:pPr>
        <w:pStyle w:val="Defstart"/>
      </w:pPr>
      <w:r>
        <w:tab/>
      </w:r>
      <w:r>
        <w:rPr>
          <w:rStyle w:val="CharDefText"/>
        </w:rPr>
        <w:t>exploration amount</w:t>
      </w:r>
      <w:r>
        <w:t xml:space="preserve"> has the meaning given in section 91N(5), subject to section 91N(6);</w:t>
      </w:r>
    </w:p>
    <w:p>
      <w:pPr>
        <w:pStyle w:val="Defstart"/>
      </w:pPr>
      <w:r>
        <w:tab/>
      </w:r>
      <w:r>
        <w:rPr>
          <w:rStyle w:val="CharDefText"/>
        </w:rPr>
        <w:t>exploration licence</w:t>
      </w:r>
      <w:r>
        <w:t xml:space="preserve"> means an exploration licence granted under the </w:t>
      </w:r>
      <w:r>
        <w:rPr>
          <w:i/>
        </w:rPr>
        <w:t>Mining Act 1978</w:t>
      </w:r>
      <w:r>
        <w:t xml:space="preserve"> section 57;</w:t>
      </w:r>
    </w:p>
    <w:p>
      <w:pPr>
        <w:pStyle w:val="Defstart"/>
      </w:pPr>
      <w:r>
        <w:tab/>
      </w:r>
      <w:r>
        <w:rPr>
          <w:rStyle w:val="CharDefText"/>
        </w:rPr>
        <w:t>exploration requirement</w:t>
      </w:r>
      <w:r>
        <w:t xml:space="preserve"> has the meaning given in section 91N(1) to (4), subject to section 91N(6);</w:t>
      </w:r>
    </w:p>
    <w:p>
      <w:pPr>
        <w:pStyle w:val="Defstart"/>
      </w:pPr>
      <w:r>
        <w:tab/>
      </w:r>
      <w:r>
        <w:rPr>
          <w:rStyle w:val="CharDefText"/>
        </w:rPr>
        <w:t>farmee</w:t>
      </w:r>
      <w:r>
        <w:t xml:space="preserve"> has the meaning given in section 91L(1)(b);</w:t>
      </w:r>
    </w:p>
    <w:p>
      <w:pPr>
        <w:pStyle w:val="Defstart"/>
      </w:pPr>
      <w:r>
        <w:tab/>
      </w:r>
      <w:r>
        <w:rPr>
          <w:rStyle w:val="CharDefText"/>
        </w:rPr>
        <w:t>farm</w:t>
      </w:r>
      <w:r>
        <w:rPr>
          <w:rStyle w:val="CharDefText"/>
        </w:rPr>
        <w:noBreakHyphen/>
        <w:t>in agreement</w:t>
      </w:r>
      <w:r>
        <w:t xml:space="preserve"> has the meaning given in section 91L(1) and (2);</w:t>
      </w:r>
    </w:p>
    <w:p>
      <w:pPr>
        <w:pStyle w:val="Defstart"/>
      </w:pPr>
      <w:r>
        <w:tab/>
      </w:r>
      <w:r>
        <w:rPr>
          <w:rStyle w:val="CharDefText"/>
        </w:rPr>
        <w:t>farm</w:t>
      </w:r>
      <w:r>
        <w:rPr>
          <w:rStyle w:val="CharDefText"/>
        </w:rPr>
        <w:noBreakHyphen/>
        <w:t>in transaction</w:t>
      </w:r>
      <w:r>
        <w:t xml:space="preserve"> has the meaning given in section 91M(1), subject to section 91M(2) to (5);</w:t>
      </w:r>
    </w:p>
    <w:p>
      <w:pPr>
        <w:pStyle w:val="Defstart"/>
      </w:pPr>
      <w:r>
        <w:tab/>
      </w:r>
      <w:r>
        <w:rPr>
          <w:rStyle w:val="CharDefText"/>
        </w:rPr>
        <w:t>farmor</w:t>
      </w:r>
      <w:r>
        <w:t xml:space="preserve"> has the meaning given in section 91L(1)(a);</w:t>
      </w:r>
    </w:p>
    <w:p>
      <w:pPr>
        <w:pStyle w:val="Defstart"/>
      </w:pPr>
      <w:r>
        <w:tab/>
      </w:r>
      <w:r>
        <w:rPr>
          <w:rStyle w:val="CharDefText"/>
        </w:rPr>
        <w:t>minerals</w:t>
      </w:r>
      <w:r>
        <w:t xml:space="preserve"> has the meaning given in the </w:t>
      </w:r>
      <w:r>
        <w:rPr>
          <w:i/>
        </w:rPr>
        <w:t>Mining Act 1978</w:t>
      </w:r>
      <w:r>
        <w:t xml:space="preserve"> section 8(1);</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primary farmor</w:t>
      </w:r>
      <w:r>
        <w:t xml:space="preserve"> — </w:t>
      </w:r>
    </w:p>
    <w:p>
      <w:pPr>
        <w:pStyle w:val="Defpara"/>
      </w:pPr>
      <w:r>
        <w:tab/>
        <w:t>(a)</w:t>
      </w:r>
      <w:r>
        <w:tab/>
        <w:t>means a person who is the holder, or 1 of the holders, of a mining tenement; and</w:t>
      </w:r>
    </w:p>
    <w:p>
      <w:pPr>
        <w:pStyle w:val="Defpara"/>
      </w:pPr>
      <w:r>
        <w:tab/>
        <w:t>(b)</w:t>
      </w:r>
      <w:r>
        <w:tab/>
        <w:t xml:space="preserve">includes a person (the </w:t>
      </w:r>
      <w:r>
        <w:rPr>
          <w:rStyle w:val="CharDefText"/>
        </w:rPr>
        <w:t>transferee</w:t>
      </w:r>
      <w:r>
        <w:t>) who is not the holder, or 1 of the holders, of a mining tenement in a case where —</w:t>
      </w:r>
    </w:p>
    <w:p>
      <w:pPr>
        <w:pStyle w:val="Defsubpara"/>
        <w:keepLines w:val="0"/>
      </w:pPr>
      <w:r>
        <w:tab/>
        <w:t>(i)</w:t>
      </w:r>
      <w:r>
        <w:tab/>
        <w:t>there is a transfer of an interest in the mining tenement to the transferee in order to make the transferee the holder, or 1 of the holders, of the mining tenement; and</w:t>
      </w:r>
    </w:p>
    <w:p>
      <w:pPr>
        <w:pStyle w:val="Defsubpara"/>
        <w:keepLines w:val="0"/>
      </w:pPr>
      <w:r>
        <w:tab/>
        <w:t>(ii)</w:t>
      </w:r>
      <w:r>
        <w:tab/>
        <w:t xml:space="preserve">the transfer is still to be registered under the </w:t>
      </w:r>
      <w:r>
        <w:rPr>
          <w:i/>
        </w:rPr>
        <w:t>Mining Act 1978</w:t>
      </w:r>
      <w:r>
        <w:t xml:space="preserve"> section 103C; and</w:t>
      </w:r>
    </w:p>
    <w:p>
      <w:pPr>
        <w:pStyle w:val="Defsubpara"/>
        <w:keepLines w:val="0"/>
      </w:pPr>
      <w:r>
        <w:tab/>
        <w:t>(iii)</w:t>
      </w:r>
      <w:r>
        <w:tab/>
        <w:t xml:space="preserve">but for the application of the </w:t>
      </w:r>
      <w:r>
        <w:rPr>
          <w:i/>
        </w:rPr>
        <w:t>Mining Act 1978</w:t>
      </w:r>
      <w:r>
        <w:t xml:space="preserve"> section 103C(8) to the transfer, the transferee would be the holder, or 1 of the holders, of the mining tenement; and</w:t>
      </w:r>
    </w:p>
    <w:p>
      <w:pPr>
        <w:pStyle w:val="Defsubpara"/>
        <w:keepLines w:val="0"/>
      </w:pPr>
      <w:r>
        <w:tab/>
        <w:t>(iv)</w:t>
      </w:r>
      <w:r>
        <w:tab/>
        <w:t>subsection (2) of this section applies to the transfer;</w:t>
      </w:r>
    </w:p>
    <w:p>
      <w:pPr>
        <w:pStyle w:val="Defpara"/>
      </w:pPr>
      <w:r>
        <w:tab/>
      </w:r>
      <w:r>
        <w:tab/>
        <w:t>and</w:t>
      </w:r>
    </w:p>
    <w:p>
      <w:pPr>
        <w:pStyle w:val="Defpara"/>
      </w:pPr>
      <w:r>
        <w:tab/>
        <w:t>(c)</w:t>
      </w:r>
      <w:r>
        <w:tab/>
        <w:t xml:space="preserve">includes a person who is the applicant, or 1 of the applicants, under the </w:t>
      </w:r>
      <w:r>
        <w:rPr>
          <w:i/>
        </w:rPr>
        <w:t xml:space="preserve">Mining Act 1978 </w:t>
      </w:r>
      <w:r>
        <w:t>for a mining tenement in a case where the application is still to be determined;</w:t>
      </w:r>
    </w:p>
    <w:p>
      <w:pPr>
        <w:pStyle w:val="Defstart"/>
      </w:pPr>
      <w:r>
        <w:tab/>
      </w:r>
      <w:r>
        <w:rPr>
          <w:rStyle w:val="CharDefText"/>
        </w:rPr>
        <w:t>prospecting licence</w:t>
      </w:r>
      <w:r>
        <w:t xml:space="preserve"> means a prospecting licence granted under the </w:t>
      </w:r>
      <w:r>
        <w:rPr>
          <w:i/>
        </w:rPr>
        <w:t>Mining Act 1978</w:t>
      </w:r>
      <w:r>
        <w:t xml:space="preserve"> section 40;</w:t>
      </w:r>
    </w:p>
    <w:p>
      <w:pPr>
        <w:pStyle w:val="Defstart"/>
        <w:keepNext/>
      </w:pPr>
      <w:r>
        <w:tab/>
      </w:r>
      <w:r>
        <w:rPr>
          <w:rStyle w:val="CharDefText"/>
        </w:rPr>
        <w:t>purchase agreement</w:t>
      </w:r>
      <w:r>
        <w:t xml:space="preserve"> has the meaning given in section 91M(9);</w:t>
      </w:r>
    </w:p>
    <w:p>
      <w:pPr>
        <w:pStyle w:val="Defstart"/>
        <w:keepNext/>
      </w:pPr>
      <w:r>
        <w:tab/>
      </w:r>
      <w:r>
        <w:rPr>
          <w:rStyle w:val="CharDefText"/>
        </w:rPr>
        <w:t>relevant derivative mining right</w:t>
      </w:r>
      <w:r>
        <w:t>, in relation to a farm</w:t>
      </w:r>
      <w:r>
        <w:noBreakHyphen/>
        <w:t>in transaction, means a derivative mining right that is a relevant derivative mining right for the farm</w:t>
      </w:r>
      <w:r>
        <w:noBreakHyphen/>
        <w:t>in transaction under section 91M(1)(a)(ii), subject to subsection (3) of this section;</w:t>
      </w:r>
    </w:p>
    <w:p>
      <w:pPr>
        <w:pStyle w:val="Defstart"/>
        <w:keepNext/>
      </w:pPr>
      <w:r>
        <w:tab/>
      </w:r>
      <w:r>
        <w:rPr>
          <w:rStyle w:val="CharDefText"/>
        </w:rPr>
        <w:t>relevant mining tenement</w:t>
      </w:r>
      <w:r>
        <w:t>, in relation to a farm</w:t>
      </w:r>
      <w:r>
        <w:noBreakHyphen/>
        <w:t>in transaction, means a mining tenement that is a relevant mining tenement for the farm</w:t>
      </w:r>
      <w:r>
        <w:noBreakHyphen/>
        <w:t>in transaction under section 91M(1)(a)(i), subject to subsection (3) of this section;</w:t>
      </w:r>
    </w:p>
    <w:p>
      <w:pPr>
        <w:pStyle w:val="Defstart"/>
        <w:keepNext/>
      </w:pPr>
      <w:r>
        <w:tab/>
      </w:r>
      <w:r>
        <w:rPr>
          <w:rStyle w:val="CharDefText"/>
        </w:rPr>
        <w:t>replacement derivative mining right</w:t>
      </w:r>
      <w:r>
        <w:t xml:space="preserve"> has the meaning given in section 91M(7) and (8);</w:t>
      </w:r>
    </w:p>
    <w:p>
      <w:pPr>
        <w:pStyle w:val="Defstart"/>
        <w:keepNext/>
      </w:pPr>
      <w:r>
        <w:tab/>
      </w:r>
      <w:r>
        <w:rPr>
          <w:rStyle w:val="CharDefText"/>
        </w:rPr>
        <w:t>replacement mining tenement</w:t>
      </w:r>
      <w:r>
        <w:t xml:space="preserve"> has the meaning given in section 91M(6);</w:t>
      </w:r>
    </w:p>
    <w:p>
      <w:pPr>
        <w:pStyle w:val="Defstart"/>
        <w:keepNext/>
      </w:pPr>
      <w:r>
        <w:tab/>
      </w:r>
      <w:r>
        <w:rPr>
          <w:rStyle w:val="CharDefText"/>
        </w:rPr>
        <w:t>vary</w:t>
      </w:r>
      <w:r>
        <w:t>, in relation to an agreement, includes to modify the agreement’s effect.</w:t>
      </w:r>
    </w:p>
    <w:p>
      <w:pPr>
        <w:pStyle w:val="Subsection"/>
        <w:keepNext/>
      </w:pPr>
      <w:r>
        <w:tab/>
        <w:t>(2)</w:t>
      </w:r>
      <w:r>
        <w:tab/>
        <w:t xml:space="preserve">This subsection applies to a transfer for the purposes of paragraph (b)(iv) of the definition of </w:t>
      </w:r>
      <w:r>
        <w:rPr>
          <w:b/>
          <w:i/>
        </w:rPr>
        <w:t>primary farmor</w:t>
      </w:r>
      <w:r>
        <w:t xml:space="preserve"> in subsection (1) if —</w:t>
      </w:r>
    </w:p>
    <w:p>
      <w:pPr>
        <w:pStyle w:val="Indenta"/>
      </w:pPr>
      <w:r>
        <w:tab/>
        <w:t>(a)</w:t>
      </w:r>
      <w:r>
        <w:tab/>
        <w:t xml:space="preserve">the transfer is made to the transferee — </w:t>
      </w:r>
    </w:p>
    <w:p>
      <w:pPr>
        <w:pStyle w:val="Indenti"/>
        <w:keepNext/>
      </w:pPr>
      <w:r>
        <w:tab/>
        <w:t>(i)</w:t>
      </w:r>
      <w:r>
        <w:tab/>
        <w:t>under a farm</w:t>
      </w:r>
      <w:r>
        <w:noBreakHyphen/>
        <w:t>in transaction as contemplated in section 91M(1)(c)(i); and</w:t>
      </w:r>
    </w:p>
    <w:p>
      <w:pPr>
        <w:pStyle w:val="Indenti"/>
        <w:keepNext/>
      </w:pPr>
      <w:r>
        <w:tab/>
        <w:t>(ii)</w:t>
      </w:r>
      <w:r>
        <w:tab/>
        <w:t>without limiting subparagraph (i), after the transferee has fulfilled the exploration requirement;</w:t>
      </w:r>
    </w:p>
    <w:p>
      <w:pPr>
        <w:pStyle w:val="Indenta"/>
        <w:keepNext/>
      </w:pPr>
      <w:r>
        <w:tab/>
      </w:r>
      <w:r>
        <w:tab/>
        <w:t>or</w:t>
      </w:r>
    </w:p>
    <w:p>
      <w:pPr>
        <w:pStyle w:val="Indenta"/>
        <w:keepNext/>
      </w:pPr>
      <w:r>
        <w:tab/>
        <w:t>(b)</w:t>
      </w:r>
      <w:r>
        <w:tab/>
        <w:t>the transfer is made to the transferee as a purchaser of the interest in the mining tenement.</w:t>
      </w:r>
    </w:p>
    <w:p>
      <w:pPr>
        <w:pStyle w:val="Subsection"/>
      </w:pPr>
      <w:r>
        <w:tab/>
        <w:t>(3)</w:t>
      </w:r>
      <w:r>
        <w:tab/>
        <w:t xml:space="preserve">In sections 91M(1)(c) and (d) and (3) to (5), 91N(2) and (4), 91Q(2), 91T(3) and (4)(b) and 91V(1), references to a relevant mining tenement or relevant derivative mining right include, respectively — </w:t>
      </w:r>
    </w:p>
    <w:p>
      <w:pPr>
        <w:pStyle w:val="Indenta"/>
      </w:pPr>
      <w:r>
        <w:tab/>
        <w:t>(a)</w:t>
      </w:r>
      <w:r>
        <w:tab/>
        <w:t>a replacement mining tenement for the relevant mining tenement; or</w:t>
      </w:r>
    </w:p>
    <w:p>
      <w:pPr>
        <w:pStyle w:val="Indenta"/>
      </w:pPr>
      <w:r>
        <w:tab/>
        <w:t>(b)</w:t>
      </w:r>
      <w:r>
        <w:tab/>
        <w:t>a replacement derivative mining right for the relevant derivative mining right.</w:t>
      </w:r>
    </w:p>
    <w:p>
      <w:pPr>
        <w:pStyle w:val="Subsection"/>
      </w:pPr>
      <w:r>
        <w:tab/>
        <w:t>(4)</w:t>
      </w:r>
      <w:r>
        <w:tab/>
        <w:t>In this Division, references to a mining tenement or derivative mining right being granted to replace another mining tenement or derivative mining right include cases where the mining tenement or derivative mining right is granted in substitution, conversion or renewal of the other mining tenement or derivative mining right.</w:t>
      </w:r>
    </w:p>
    <w:p>
      <w:pPr>
        <w:pStyle w:val="Subsection"/>
      </w:pPr>
      <w:r>
        <w:tab/>
        <w:t>(5)</w:t>
      </w:r>
      <w:r>
        <w:tab/>
        <w:t>In this Division, references to exploration of a mining tenement or derivative mining right are to exploration of land the subject of the mining tenement or derivative mining right.</w:t>
      </w:r>
    </w:p>
    <w:p>
      <w:pPr>
        <w:pStyle w:val="Footnotesection"/>
      </w:pPr>
      <w:r>
        <w:tab/>
        <w:t>[Section 91K inserted: No. 37 of 2022 s. 8.]</w:t>
      </w:r>
    </w:p>
    <w:p>
      <w:pPr>
        <w:pStyle w:val="Heading4"/>
      </w:pPr>
      <w:bookmarkStart w:id="369" w:name="_Toc161400542"/>
      <w:bookmarkStart w:id="370" w:name="_Toc161401200"/>
      <w:bookmarkStart w:id="371" w:name="_Toc154753697"/>
      <w:r>
        <w:rPr>
          <w:sz w:val="26"/>
          <w:szCs w:val="26"/>
        </w:rPr>
        <w:t>Subdivision 2 — Explanation of farm</w:t>
      </w:r>
      <w:r>
        <w:rPr>
          <w:sz w:val="26"/>
          <w:szCs w:val="26"/>
        </w:rPr>
        <w:noBreakHyphen/>
        <w:t>in agreements, farm</w:t>
      </w:r>
      <w:r>
        <w:rPr>
          <w:sz w:val="26"/>
          <w:szCs w:val="26"/>
        </w:rPr>
        <w:noBreakHyphen/>
        <w:t>in transactions and related concepts</w:t>
      </w:r>
      <w:bookmarkEnd w:id="369"/>
      <w:bookmarkEnd w:id="370"/>
      <w:bookmarkEnd w:id="371"/>
    </w:p>
    <w:p>
      <w:pPr>
        <w:pStyle w:val="Footnoteheading"/>
      </w:pPr>
      <w:r>
        <w:tab/>
        <w:t>[Heading inserted: No. 37 of 2022 s. 8.]</w:t>
      </w:r>
    </w:p>
    <w:p>
      <w:pPr>
        <w:pStyle w:val="Heading5"/>
      </w:pPr>
      <w:bookmarkStart w:id="372" w:name="_Toc161401201"/>
      <w:bookmarkStart w:id="373" w:name="_Toc154753698"/>
      <w:r>
        <w:rPr>
          <w:rStyle w:val="CharSectno"/>
        </w:rPr>
        <w:t>91L</w:t>
      </w:r>
      <w:r>
        <w:t>.</w:t>
      </w:r>
      <w:r>
        <w:tab/>
        <w:t>Farm</w:t>
      </w:r>
      <w:r>
        <w:noBreakHyphen/>
        <w:t>in agreements and concessional farm</w:t>
      </w:r>
      <w:r>
        <w:noBreakHyphen/>
        <w:t>in transactions</w:t>
      </w:r>
      <w:bookmarkEnd w:id="372"/>
      <w:bookmarkEnd w:id="373"/>
    </w:p>
    <w:p>
      <w:pPr>
        <w:pStyle w:val="Subsection"/>
      </w:pPr>
      <w:r>
        <w:tab/>
        <w:t>(1)</w:t>
      </w:r>
      <w:r>
        <w:tab/>
        <w:t xml:space="preserve">A </w:t>
      </w:r>
      <w:r>
        <w:rPr>
          <w:rStyle w:val="CharDefText"/>
        </w:rPr>
        <w:t>farm</w:t>
      </w:r>
      <w:r>
        <w:rPr>
          <w:rStyle w:val="CharDefText"/>
        </w:rPr>
        <w:noBreakHyphen/>
        <w:t>in agreement</w:t>
      </w:r>
      <w:r>
        <w:t xml:space="preserve"> is an agreement, whether conditional or not, that is made between the following persons and contains 1 or more farm</w:t>
      </w:r>
      <w:r>
        <w:noBreakHyphen/>
        <w:t xml:space="preserve">in transactions — </w:t>
      </w:r>
    </w:p>
    <w:p>
      <w:pPr>
        <w:pStyle w:val="Indenta"/>
      </w:pPr>
      <w:r>
        <w:tab/>
        <w:t>(a)</w:t>
      </w:r>
      <w:r>
        <w:tab/>
        <w:t xml:space="preserve">a person (the </w:t>
      </w:r>
      <w:r>
        <w:rPr>
          <w:rStyle w:val="CharDefText"/>
        </w:rPr>
        <w:t>farmor</w:t>
      </w:r>
      <w:r>
        <w:t xml:space="preserve">) who is either or both of the following — </w:t>
      </w:r>
    </w:p>
    <w:p>
      <w:pPr>
        <w:pStyle w:val="Indenti"/>
      </w:pPr>
      <w:r>
        <w:tab/>
        <w:t>(i)</w:t>
      </w:r>
      <w:r>
        <w:tab/>
        <w:t>a primary farmor for 1 or more mining tenements;</w:t>
      </w:r>
    </w:p>
    <w:p>
      <w:pPr>
        <w:pStyle w:val="Indenti"/>
      </w:pPr>
      <w:r>
        <w:tab/>
        <w:t>(ii)</w:t>
      </w:r>
      <w:r>
        <w:tab/>
        <w:t>the holder, or 1 of the holders, of 1 or more derivative mining rights;</w:t>
      </w:r>
    </w:p>
    <w:p>
      <w:pPr>
        <w:pStyle w:val="Indenta"/>
      </w:pPr>
      <w:r>
        <w:tab/>
        <w:t>(b)</w:t>
      </w:r>
      <w:r>
        <w:tab/>
        <w:t xml:space="preserve">another person (the </w:t>
      </w:r>
      <w:r>
        <w:rPr>
          <w:rStyle w:val="CharDefText"/>
        </w:rPr>
        <w:t>farmee</w:t>
      </w:r>
      <w:r>
        <w:t>).</w:t>
      </w:r>
    </w:p>
    <w:p>
      <w:pPr>
        <w:pStyle w:val="Subsection"/>
      </w:pPr>
      <w:r>
        <w:tab/>
        <w:t>(2)</w:t>
      </w:r>
      <w:r>
        <w:tab/>
        <w:t>In addition to the 1 or more farm</w:t>
      </w:r>
      <w:r>
        <w:noBreakHyphen/>
        <w:t>in transactions, a farm</w:t>
      </w:r>
      <w:r>
        <w:noBreakHyphen/>
        <w:t>in agreement may contain other types of transactions.</w:t>
      </w:r>
    </w:p>
    <w:p>
      <w:pPr>
        <w:pStyle w:val="Subsection"/>
      </w:pPr>
      <w:r>
        <w:tab/>
        <w:t>(3)</w:t>
      </w:r>
      <w:r>
        <w:tab/>
        <w:t>A farm</w:t>
      </w:r>
      <w:r>
        <w:noBreakHyphen/>
        <w:t>in transaction contained in a farm</w:t>
      </w:r>
      <w:r>
        <w:noBreakHyphen/>
        <w:t xml:space="preserve">in agreement is a </w:t>
      </w:r>
      <w:r>
        <w:rPr>
          <w:rStyle w:val="CharDefText"/>
        </w:rPr>
        <w:t>concessional farm</w:t>
      </w:r>
      <w:r>
        <w:rPr>
          <w:rStyle w:val="CharDefText"/>
        </w:rPr>
        <w:noBreakHyphen/>
        <w:t>in transaction</w:t>
      </w:r>
      <w:r>
        <w:t>.</w:t>
      </w:r>
    </w:p>
    <w:p>
      <w:pPr>
        <w:pStyle w:val="Subsection"/>
      </w:pPr>
      <w:r>
        <w:tab/>
        <w:t>(4)</w:t>
      </w:r>
      <w:r>
        <w:tab/>
        <w:t>Despite subsection (3), a farm</w:t>
      </w:r>
      <w:r>
        <w:noBreakHyphen/>
        <w:t>in transaction contained in a farm</w:t>
      </w:r>
      <w:r>
        <w:noBreakHyphen/>
        <w:t xml:space="preserve">in agreement is not a </w:t>
      </w:r>
      <w:r>
        <w:rPr>
          <w:rStyle w:val="CharDefText"/>
        </w:rPr>
        <w:t>concessional farm</w:t>
      </w:r>
      <w:r>
        <w:rPr>
          <w:rStyle w:val="CharDefText"/>
        </w:rPr>
        <w:noBreakHyphen/>
        <w:t>in transaction</w:t>
      </w:r>
      <w:r>
        <w:t xml:space="preserve"> if, when the farm</w:t>
      </w:r>
      <w:r>
        <w:noBreakHyphen/>
        <w:t xml:space="preserve">in agreement is made — </w:t>
      </w:r>
    </w:p>
    <w:p>
      <w:pPr>
        <w:pStyle w:val="Indenta"/>
      </w:pPr>
      <w:r>
        <w:tab/>
        <w:t>(a)</w:t>
      </w:r>
      <w:r>
        <w:tab/>
        <w:t xml:space="preserve">the farmee — </w:t>
      </w:r>
    </w:p>
    <w:p>
      <w:pPr>
        <w:pStyle w:val="Indenti"/>
      </w:pPr>
      <w:r>
        <w:tab/>
        <w:t>(i)</w:t>
      </w:r>
      <w:r>
        <w:tab/>
        <w:t>is a primary farmor for a relevant mining tenement; or</w:t>
      </w:r>
    </w:p>
    <w:p>
      <w:pPr>
        <w:pStyle w:val="Indenti"/>
      </w:pPr>
      <w:r>
        <w:tab/>
        <w:t>(ii)</w:t>
      </w:r>
      <w:r>
        <w:tab/>
        <w:t>is the holder, or 1 of the holders, of a derivative mining right that authorises exploitation of land the subject of a relevant mining tenement; or</w:t>
      </w:r>
    </w:p>
    <w:p>
      <w:pPr>
        <w:pStyle w:val="Indenti"/>
      </w:pPr>
      <w:r>
        <w:tab/>
        <w:t>(iii)</w:t>
      </w:r>
      <w:r>
        <w:tab/>
        <w:t>otherwise has any interest in a relevant mining tenement or in a derivative mining right of the type referred to in subparagraph (ii);</w:t>
      </w:r>
    </w:p>
    <w:p>
      <w:pPr>
        <w:pStyle w:val="Indenta"/>
      </w:pPr>
      <w:r>
        <w:tab/>
      </w:r>
      <w:r>
        <w:tab/>
        <w:t>or</w:t>
      </w:r>
    </w:p>
    <w:p>
      <w:pPr>
        <w:pStyle w:val="Indenta"/>
      </w:pPr>
      <w:r>
        <w:tab/>
        <w:t>(b)</w:t>
      </w:r>
      <w:r>
        <w:tab/>
        <w:t xml:space="preserve">the farmee — </w:t>
      </w:r>
    </w:p>
    <w:p>
      <w:pPr>
        <w:pStyle w:val="Indenti"/>
      </w:pPr>
      <w:r>
        <w:tab/>
        <w:t>(i)</w:t>
      </w:r>
      <w:r>
        <w:tab/>
        <w:t>is 1 of the holders of a relevant derivative mining right; or</w:t>
      </w:r>
    </w:p>
    <w:p>
      <w:pPr>
        <w:pStyle w:val="Indenti"/>
      </w:pPr>
      <w:r>
        <w:tab/>
        <w:t>(ii)</w:t>
      </w:r>
      <w:r>
        <w:tab/>
        <w:t>is a primary farmor for a mining tenement to which a relevant derivative mining right relates; or</w:t>
      </w:r>
    </w:p>
    <w:p>
      <w:pPr>
        <w:pStyle w:val="Indenti"/>
      </w:pPr>
      <w:r>
        <w:tab/>
        <w:t>(iii)</w:t>
      </w:r>
      <w:r>
        <w:tab/>
        <w:t>is the holder, or 1 of the holders, of a derivative mining right (other than a relevant derivative mining right) that authorises exploitation of land the subject of a mining tenement of the type referred to in subparagraph (ii); or</w:t>
      </w:r>
    </w:p>
    <w:p>
      <w:pPr>
        <w:pStyle w:val="Indenti"/>
        <w:keepNext/>
      </w:pPr>
      <w:r>
        <w:tab/>
        <w:t>(iv)</w:t>
      </w:r>
      <w:r>
        <w:tab/>
        <w:t>otherwise has any interest in a relevant derivative mining right, in a mining tenement of the type referred to in subparagraph (ii) or in a derivative mining right of the type referred to in subparagraph (iii).</w:t>
      </w:r>
    </w:p>
    <w:p>
      <w:pPr>
        <w:pStyle w:val="Footnotesection"/>
      </w:pPr>
      <w:r>
        <w:tab/>
        <w:t>[Section 91L inserted: No. 37 of 2022 s. 8.]</w:t>
      </w:r>
    </w:p>
    <w:p>
      <w:pPr>
        <w:pStyle w:val="Heading5"/>
      </w:pPr>
      <w:bookmarkStart w:id="374" w:name="_Toc161401202"/>
      <w:bookmarkStart w:id="375" w:name="_Toc154753699"/>
      <w:r>
        <w:rPr>
          <w:rStyle w:val="CharSectno"/>
        </w:rPr>
        <w:t>91M</w:t>
      </w:r>
      <w:r>
        <w:t>.</w:t>
      </w:r>
      <w:r>
        <w:tab/>
        <w:t>Farm</w:t>
      </w:r>
      <w:r>
        <w:noBreakHyphen/>
        <w:t>in transactions and other concepts</w:t>
      </w:r>
      <w:bookmarkEnd w:id="374"/>
      <w:bookmarkEnd w:id="375"/>
    </w:p>
    <w:p>
      <w:pPr>
        <w:pStyle w:val="Subsection"/>
      </w:pPr>
      <w:r>
        <w:tab/>
        <w:t>(1)</w:t>
      </w:r>
      <w:r>
        <w:tab/>
        <w:t xml:space="preserve">A </w:t>
      </w:r>
      <w:r>
        <w:rPr>
          <w:rStyle w:val="CharDefText"/>
        </w:rPr>
        <w:t>farm</w:t>
      </w:r>
      <w:r>
        <w:rPr>
          <w:rStyle w:val="CharDefText"/>
        </w:rPr>
        <w:noBreakHyphen/>
        <w:t>in transaction</w:t>
      </w:r>
      <w:r>
        <w:t xml:space="preserve"> is an agreement, whether conditional or not, to the effect that — </w:t>
      </w:r>
    </w:p>
    <w:p>
      <w:pPr>
        <w:pStyle w:val="Indenta"/>
      </w:pPr>
      <w:r>
        <w:tab/>
        <w:t>(a)</w:t>
      </w:r>
      <w:r>
        <w:tab/>
        <w:t xml:space="preserve">as set out in paragraphs (b) to (d), the agreement relates to either or both of the following — </w:t>
      </w:r>
    </w:p>
    <w:p>
      <w:pPr>
        <w:pStyle w:val="Indenti"/>
      </w:pPr>
      <w:r>
        <w:tab/>
        <w:t>(i)</w:t>
      </w:r>
      <w:r>
        <w:tab/>
        <w:t xml:space="preserve">the mining tenement, or 1 or more of the mining tenements, referred to in section 91L(1)(a)(i) (each such mining tenement to which the agreement relates being a </w:t>
      </w:r>
      <w:r>
        <w:rPr>
          <w:rStyle w:val="CharDefText"/>
        </w:rPr>
        <w:t>relevant mining tenement</w:t>
      </w:r>
      <w:r>
        <w:t>);</w:t>
      </w:r>
    </w:p>
    <w:p>
      <w:pPr>
        <w:pStyle w:val="Indenti"/>
      </w:pPr>
      <w:r>
        <w:tab/>
        <w:t>(ii)</w:t>
      </w:r>
      <w:r>
        <w:tab/>
        <w:t xml:space="preserve">the derivative mining right, or 1 or more of the derivative mining rights, referred to in section 91L(1)(a)(ii) (each such derivative mining right to which the agreement relates being a </w:t>
      </w:r>
      <w:r>
        <w:rPr>
          <w:rStyle w:val="CharDefText"/>
        </w:rPr>
        <w:t>relevant derivative mining right</w:t>
      </w:r>
      <w:r>
        <w:t>);</w:t>
      </w:r>
    </w:p>
    <w:p>
      <w:pPr>
        <w:pStyle w:val="Indenta"/>
      </w:pPr>
      <w:r>
        <w:tab/>
      </w:r>
      <w:r>
        <w:tab/>
        <w:t>and</w:t>
      </w:r>
    </w:p>
    <w:p>
      <w:pPr>
        <w:pStyle w:val="Indenta"/>
      </w:pPr>
      <w:r>
        <w:tab/>
        <w:t>(b)</w:t>
      </w:r>
      <w:r>
        <w:tab/>
        <w:t>the farmee is to fulfil, or has the option of fulfilling, an exploration requirement; and</w:t>
      </w:r>
    </w:p>
    <w:p>
      <w:pPr>
        <w:pStyle w:val="Indenta"/>
      </w:pPr>
      <w:r>
        <w:tab/>
        <w:t>(c)</w:t>
      </w:r>
      <w:r>
        <w:tab/>
        <w:t xml:space="preserve">if paragraph (a)(i) applies — after the farmee fulfils the exploration requirement, the farmor is to do, or the farmee has the option of requiring the farmor to do, either or both of the following — </w:t>
      </w:r>
    </w:p>
    <w:p>
      <w:pPr>
        <w:pStyle w:val="Indenti"/>
      </w:pPr>
      <w:r>
        <w:tab/>
        <w:t>(i)</w:t>
      </w:r>
      <w:r>
        <w:tab/>
        <w:t>transfer to the farmee an interest in each relevant mining tenement;</w:t>
      </w:r>
    </w:p>
    <w:p>
      <w:pPr>
        <w:pStyle w:val="Indenti"/>
      </w:pPr>
      <w:r>
        <w:tab/>
        <w:t>(ii)</w:t>
      </w:r>
      <w:r>
        <w:tab/>
        <w:t>grant the farmee a derivative mining right in relation to each relevant mining tenement;</w:t>
      </w:r>
    </w:p>
    <w:p>
      <w:pPr>
        <w:pStyle w:val="Indenta"/>
      </w:pPr>
      <w:r>
        <w:tab/>
      </w:r>
      <w:r>
        <w:tab/>
        <w:t>and</w:t>
      </w:r>
    </w:p>
    <w:p>
      <w:pPr>
        <w:pStyle w:val="Indenta"/>
      </w:pPr>
      <w:r>
        <w:tab/>
        <w:t>(d)</w:t>
      </w:r>
      <w:r>
        <w:tab/>
        <w:t>if paragraph (a)(ii) applies — after the farmee fulfils the exploration requirement, the farmor is to arrange, or the farmee has the option of requiring the farmor to arrange, for the farmee to acquire an interest in each relevant derivative mining right.</w:t>
      </w:r>
    </w:p>
    <w:p>
      <w:pPr>
        <w:pStyle w:val="Subsection"/>
      </w:pPr>
      <w:r>
        <w:tab/>
        <w:t>(2)</w:t>
      </w:r>
      <w:r>
        <w:tab/>
        <w:t xml:space="preserve">Despite subsection (1), an agreement is not a </w:t>
      </w:r>
      <w:r>
        <w:rPr>
          <w:rStyle w:val="CharDefText"/>
        </w:rPr>
        <w:t>farm</w:t>
      </w:r>
      <w:r>
        <w:rPr>
          <w:rStyle w:val="CharDefText"/>
        </w:rPr>
        <w:noBreakHyphen/>
        <w:t>in transaction</w:t>
      </w:r>
      <w:r>
        <w:t xml:space="preserve"> if — </w:t>
      </w:r>
    </w:p>
    <w:p>
      <w:pPr>
        <w:pStyle w:val="Indenta"/>
      </w:pPr>
      <w:r>
        <w:tab/>
        <w:t>(a)</w:t>
      </w:r>
      <w:r>
        <w:tab/>
        <w:t>otherwise than under a purchase agreement, the farmee is to acquire, or has the option of acquiring, a beneficial interest without fulfilling the exploration requirement; and</w:t>
      </w:r>
    </w:p>
    <w:p>
      <w:pPr>
        <w:pStyle w:val="Indenta"/>
      </w:pPr>
      <w:r>
        <w:tab/>
        <w:t>(b)</w:t>
      </w:r>
      <w:r>
        <w:tab/>
        <w:t>the beneficial interest corresponds (wholly or partly) to a legal interest that the farmee is to acquire, or has the option of acquiring, after fulfilling the exploration requirement as contemplated in subsection (1)(c)(i) or (ii) or (d).</w:t>
      </w:r>
    </w:p>
    <w:p>
      <w:pPr>
        <w:pStyle w:val="Subsection"/>
      </w:pPr>
      <w:r>
        <w:tab/>
        <w:t>(3)</w:t>
      </w:r>
      <w:r>
        <w:tab/>
        <w:t xml:space="preserve">The requirement of subsection (1)(c)(i) is met only if — </w:t>
      </w:r>
    </w:p>
    <w:p>
      <w:pPr>
        <w:pStyle w:val="Indenta"/>
      </w:pPr>
      <w:r>
        <w:tab/>
        <w:t>(a)</w:t>
      </w:r>
      <w:r>
        <w:tab/>
        <w:t xml:space="preserve">the agreement specifies — </w:t>
      </w:r>
    </w:p>
    <w:p>
      <w:pPr>
        <w:pStyle w:val="Indenti"/>
      </w:pPr>
      <w:r>
        <w:tab/>
        <w:t>(i)</w:t>
      </w:r>
      <w:r>
        <w:tab/>
        <w:t>the interest or interests to be transferred;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mining tenement, the interest to be transferred is, or will be, such that, were the transfer to be made, the farmor and farmee would both be, or would still both be, holders of the relevant mining tenement.</w:t>
      </w:r>
    </w:p>
    <w:p>
      <w:pPr>
        <w:pStyle w:val="Subsection"/>
      </w:pPr>
      <w:r>
        <w:tab/>
        <w:t>(4)</w:t>
      </w:r>
      <w:r>
        <w:tab/>
        <w:t xml:space="preserve">The requirement of subsection (1)(c)(ii) is met only if — </w:t>
      </w:r>
    </w:p>
    <w:p>
      <w:pPr>
        <w:pStyle w:val="Indenta"/>
      </w:pPr>
      <w:r>
        <w:tab/>
        <w:t>(a)</w:t>
      </w:r>
      <w:r>
        <w:tab/>
        <w:t xml:space="preserve">the agreement specifies — </w:t>
      </w:r>
    </w:p>
    <w:p>
      <w:pPr>
        <w:pStyle w:val="Indenti"/>
      </w:pPr>
      <w:r>
        <w:tab/>
        <w:t>(i)</w:t>
      </w:r>
      <w:r>
        <w:tab/>
        <w:t>the mining to be authorised by each derivative mining right; or</w:t>
      </w:r>
    </w:p>
    <w:p>
      <w:pPr>
        <w:pStyle w:val="Indenti"/>
      </w:pPr>
      <w:r>
        <w:tab/>
        <w:t>(ii)</w:t>
      </w:r>
      <w:r>
        <w:tab/>
        <w:t>the way in which that mining is to be determined;</w:t>
      </w:r>
    </w:p>
    <w:p>
      <w:pPr>
        <w:pStyle w:val="Indenta"/>
      </w:pPr>
      <w:r>
        <w:tab/>
      </w:r>
      <w:r>
        <w:tab/>
        <w:t>and</w:t>
      </w:r>
    </w:p>
    <w:p>
      <w:pPr>
        <w:pStyle w:val="Indenta"/>
      </w:pPr>
      <w:r>
        <w:tab/>
        <w:t>(b)</w:t>
      </w:r>
      <w:r>
        <w:tab/>
        <w:t>in relation to each relevant mining tenement, were the derivative mining right to be granted, the grant would not result in the farmee having, at any time, substantially the same authority to carry out mining that the farmor has, at that time, under the relevant mining tenement.</w:t>
      </w:r>
    </w:p>
    <w:p>
      <w:pPr>
        <w:pStyle w:val="Subsection"/>
      </w:pPr>
      <w:r>
        <w:tab/>
        <w:t>(5)</w:t>
      </w:r>
      <w:r>
        <w:tab/>
        <w:t>The requirement of subsection (1)(d) is met only if —</w:t>
      </w:r>
    </w:p>
    <w:p>
      <w:pPr>
        <w:pStyle w:val="Indenta"/>
      </w:pPr>
      <w:r>
        <w:tab/>
        <w:t>(a)</w:t>
      </w:r>
      <w:r>
        <w:tab/>
        <w:t xml:space="preserve">the agreement specifies — </w:t>
      </w:r>
    </w:p>
    <w:p>
      <w:pPr>
        <w:pStyle w:val="Indenti"/>
      </w:pPr>
      <w:r>
        <w:tab/>
        <w:t>(i)</w:t>
      </w:r>
      <w:r>
        <w:tab/>
        <w:t>the interest or interests to be acquired;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derivative mining right, the interest to be acquired is, or will be, such that, were it to be acquired, the farmor and farmee would both be, or would still both be, holders of the relevant derivative mining right.</w:t>
      </w:r>
    </w:p>
    <w:p>
      <w:pPr>
        <w:pStyle w:val="Subsection"/>
      </w:pPr>
      <w:r>
        <w:tab/>
        <w:t>(6)</w:t>
      </w:r>
      <w:r>
        <w:tab/>
        <w:t xml:space="preserve">A </w:t>
      </w:r>
      <w:r>
        <w:rPr>
          <w:rStyle w:val="CharDefText"/>
        </w:rPr>
        <w:t>replacement mining tenement</w:t>
      </w:r>
      <w:r>
        <w:t xml:space="preserve">, for a relevant mining tenement, is a mining tenement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mining tenement; or</w:t>
      </w:r>
    </w:p>
    <w:p>
      <w:pPr>
        <w:pStyle w:val="Indenti"/>
      </w:pPr>
      <w:r>
        <w:tab/>
        <w:t>(ii)</w:t>
      </w:r>
      <w:r>
        <w:tab/>
        <w:t>an earlier replacement mining tenement for the relevant mining tenement; or</w:t>
      </w:r>
    </w:p>
    <w:p>
      <w:pPr>
        <w:pStyle w:val="Indenti"/>
      </w:pPr>
      <w:r>
        <w:tab/>
        <w:t>(iii)</w:t>
      </w:r>
      <w:r>
        <w:tab/>
        <w:t>a mining tenement referred to in subparagraph (i) or (ii), together with 1 or more other mining tenements each of which is also a relevant mining tenement for the farm</w:t>
      </w:r>
      <w:r>
        <w:noBreakHyphen/>
        <w:t>in transaction or a replacement mining tenement for such a relevant mining tenement;</w:t>
      </w:r>
    </w:p>
    <w:p>
      <w:pPr>
        <w:pStyle w:val="Indenta"/>
      </w:pPr>
      <w:r>
        <w:tab/>
      </w:r>
      <w:r>
        <w:tab/>
        <w:t>and</w:t>
      </w:r>
    </w:p>
    <w:p>
      <w:pPr>
        <w:pStyle w:val="Indenta"/>
        <w:keepNext/>
      </w:pPr>
      <w:r>
        <w:tab/>
        <w:t>(b)</w:t>
      </w:r>
      <w:r>
        <w:tab/>
        <w:t xml:space="preserve">that relates only to the land, or to a part of the land, the subject of — </w:t>
      </w:r>
    </w:p>
    <w:p>
      <w:pPr>
        <w:pStyle w:val="Indenti"/>
      </w:pPr>
      <w:r>
        <w:tab/>
        <w:t>(i)</w:t>
      </w:r>
      <w:r>
        <w:tab/>
        <w:t>the mining tenement that is replaced; or</w:t>
      </w:r>
    </w:p>
    <w:p>
      <w:pPr>
        <w:pStyle w:val="Indenti"/>
      </w:pPr>
      <w:r>
        <w:tab/>
        <w:t>(ii)</w:t>
      </w:r>
      <w:r>
        <w:tab/>
        <w:t>the mining tenements that are replaced (taken together as if they were a single mining tenement);</w:t>
      </w:r>
    </w:p>
    <w:p>
      <w:pPr>
        <w:pStyle w:val="Indenta"/>
      </w:pPr>
      <w:r>
        <w:tab/>
      </w:r>
      <w:r>
        <w:tab/>
        <w:t>and</w:t>
      </w:r>
    </w:p>
    <w:p>
      <w:pPr>
        <w:pStyle w:val="Indenta"/>
      </w:pPr>
      <w:r>
        <w:tab/>
        <w:t>(c)</w:t>
      </w:r>
      <w:r>
        <w:tab/>
        <w:t>of which the farmor is the holder or 1 of the holders.</w:t>
      </w:r>
    </w:p>
    <w:p>
      <w:pPr>
        <w:pStyle w:val="Subsection"/>
      </w:pPr>
      <w:r>
        <w:tab/>
        <w:t>(7)</w:t>
      </w:r>
      <w:r>
        <w:tab/>
        <w:t xml:space="preserve">A </w:t>
      </w:r>
      <w:r>
        <w:rPr>
          <w:rStyle w:val="CharDefText"/>
        </w:rPr>
        <w:t>replacement derivative mining right</w:t>
      </w:r>
      <w:r>
        <w:t xml:space="preserve">, for a relevant derivative mining right, is a derivative mining right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derivative mining right; or</w:t>
      </w:r>
    </w:p>
    <w:p>
      <w:pPr>
        <w:pStyle w:val="Indenti"/>
      </w:pPr>
      <w:r>
        <w:tab/>
        <w:t>(ii)</w:t>
      </w:r>
      <w:r>
        <w:tab/>
        <w:t>an earlier replacement derivative mining right for the relevant derivative mining right; or</w:t>
      </w:r>
    </w:p>
    <w:p>
      <w:pPr>
        <w:pStyle w:val="Indenti"/>
      </w:pPr>
      <w:r>
        <w:tab/>
        <w:t>(iii)</w:t>
      </w:r>
      <w:r>
        <w:tab/>
        <w:t>a derivative mining right referred to in subparagraph (i) or (ii), together with 1 or more other derivative mining rights each of which is also a relevant derivative mining right for the farm</w:t>
      </w:r>
      <w:r>
        <w:noBreakHyphen/>
        <w:t>in transaction or a replacement derivative mining right for such a relevant derivative mining right;</w:t>
      </w:r>
    </w:p>
    <w:p>
      <w:pPr>
        <w:pStyle w:val="Indenta"/>
      </w:pPr>
      <w:r>
        <w:tab/>
      </w:r>
      <w:r>
        <w:tab/>
        <w:t>and</w:t>
      </w:r>
    </w:p>
    <w:p>
      <w:pPr>
        <w:pStyle w:val="Indenta"/>
      </w:pPr>
      <w:r>
        <w:tab/>
        <w:t>(b)</w:t>
      </w:r>
      <w:r>
        <w:tab/>
        <w:t xml:space="preserve">that relates only to the land, or to a part of the land, the subject of — </w:t>
      </w:r>
    </w:p>
    <w:p>
      <w:pPr>
        <w:pStyle w:val="Indenti"/>
      </w:pPr>
      <w:r>
        <w:tab/>
        <w:t>(i)</w:t>
      </w:r>
      <w:r>
        <w:tab/>
        <w:t>the derivative mining right that is replaced; or</w:t>
      </w:r>
    </w:p>
    <w:p>
      <w:pPr>
        <w:pStyle w:val="Indenti"/>
      </w:pPr>
      <w:r>
        <w:tab/>
        <w:t>(ii)</w:t>
      </w:r>
      <w:r>
        <w:tab/>
        <w:t>the derivative mining rights that are replaced (taken together as if they were a single derivative mining right);</w:t>
      </w:r>
    </w:p>
    <w:p>
      <w:pPr>
        <w:pStyle w:val="Indenta"/>
      </w:pPr>
      <w:r>
        <w:tab/>
      </w:r>
      <w:r>
        <w:tab/>
        <w:t>and</w:t>
      </w:r>
    </w:p>
    <w:p>
      <w:pPr>
        <w:pStyle w:val="Indenta"/>
        <w:keepNext/>
      </w:pPr>
      <w:r>
        <w:tab/>
        <w:t>(c)</w:t>
      </w:r>
      <w:r>
        <w:tab/>
        <w:t xml:space="preserve">subject to subsection (8), that does not authorise any mining beyond the mining authorised by — </w:t>
      </w:r>
    </w:p>
    <w:p>
      <w:pPr>
        <w:pStyle w:val="Indenti"/>
      </w:pPr>
      <w:r>
        <w:tab/>
        <w:t>(i)</w:t>
      </w:r>
      <w:r>
        <w:tab/>
        <w:t>the derivative mining right that is replaced; or</w:t>
      </w:r>
    </w:p>
    <w:p>
      <w:pPr>
        <w:pStyle w:val="Indenti"/>
      </w:pPr>
      <w:r>
        <w:tab/>
        <w:t>(ii)</w:t>
      </w:r>
      <w:r>
        <w:tab/>
        <w:t>the derivative mining rights that are replaced;</w:t>
      </w:r>
    </w:p>
    <w:p>
      <w:pPr>
        <w:pStyle w:val="Indenta"/>
      </w:pPr>
      <w:r>
        <w:tab/>
      </w:r>
      <w:r>
        <w:tab/>
        <w:t>and</w:t>
      </w:r>
    </w:p>
    <w:p>
      <w:pPr>
        <w:pStyle w:val="Indenta"/>
      </w:pPr>
      <w:r>
        <w:tab/>
        <w:t>(d)</w:t>
      </w:r>
      <w:r>
        <w:tab/>
        <w:t>of which the farmor is the holder or 1 of the holders.</w:t>
      </w:r>
    </w:p>
    <w:p>
      <w:pPr>
        <w:pStyle w:val="Subsection"/>
      </w:pPr>
      <w:r>
        <w:tab/>
        <w:t>(8)</w:t>
      </w:r>
      <w:r>
        <w:tab/>
        <w:t xml:space="preserve">The requirement of subsection (7)(c) does not have to be met if — </w:t>
      </w:r>
    </w:p>
    <w:p>
      <w:pPr>
        <w:pStyle w:val="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Indenta"/>
      </w:pPr>
      <w:r>
        <w:tab/>
        <w:t>(b)</w:t>
      </w:r>
      <w:r>
        <w:tab/>
        <w:t>the new mining tenement authorises mining beyond the mining authorised by the previous mining tenement; and</w:t>
      </w:r>
    </w:p>
    <w:p>
      <w:pPr>
        <w:pStyle w:val="Indenta"/>
      </w:pPr>
      <w:r>
        <w:tab/>
        <w:t>(c)</w:t>
      </w:r>
      <w:r>
        <w:tab/>
        <w:t xml:space="preserve">the derivative mining right only authorises mining for minerals for which mining is authorised by — </w:t>
      </w:r>
    </w:p>
    <w:p>
      <w:pPr>
        <w:pStyle w:val="Indenti"/>
      </w:pPr>
      <w:r>
        <w:tab/>
        <w:t>(i)</w:t>
      </w:r>
      <w:r>
        <w:tab/>
        <w:t>the derivative mining right that is replaced; or</w:t>
      </w:r>
    </w:p>
    <w:p>
      <w:pPr>
        <w:pStyle w:val="Indenti"/>
      </w:pPr>
      <w:r>
        <w:tab/>
        <w:t>(ii)</w:t>
      </w:r>
      <w:r>
        <w:tab/>
        <w:t>the derivative mining rights that are replaced.</w:t>
      </w:r>
    </w:p>
    <w:p>
      <w:pPr>
        <w:pStyle w:val="Subsection"/>
      </w:pPr>
      <w:r>
        <w:tab/>
        <w:t>(9)</w:t>
      </w:r>
      <w:r>
        <w:tab/>
        <w:t xml:space="preserve">A </w:t>
      </w:r>
      <w:r>
        <w:rPr>
          <w:rStyle w:val="CharDefText"/>
        </w:rPr>
        <w:t>purchase agreement</w:t>
      </w:r>
      <w:r>
        <w:t>, in relation to a farm</w:t>
      </w:r>
      <w:r>
        <w:noBreakHyphen/>
        <w:t xml:space="preserve">in transaction, is an agreement made between the farmor and farmee to the effect that — </w:t>
      </w:r>
    </w:p>
    <w:p>
      <w:pPr>
        <w:pStyle w:val="Indenta"/>
      </w:pPr>
      <w:r>
        <w:tab/>
        <w:t>(a)</w:t>
      </w:r>
      <w:r>
        <w:tab/>
        <w:t>the farmee is to provide consideration, or has the option of providing consideration, to the farmor; and</w:t>
      </w:r>
    </w:p>
    <w:p>
      <w:pPr>
        <w:pStyle w:val="Indenta"/>
      </w:pPr>
      <w:r>
        <w:tab/>
        <w:t>(b)</w:t>
      </w:r>
      <w:r>
        <w:tab/>
        <w:t>the providing of the consideration by the farmee would be in lieu of the farmee fulfilling a part (but not the whole) of the exploration requirement; and</w:t>
      </w:r>
    </w:p>
    <w:p>
      <w:pPr>
        <w:pStyle w:val="Indenta"/>
      </w:pPr>
      <w:r>
        <w:tab/>
        <w:t>(c)</w:t>
      </w:r>
      <w:r>
        <w:tab/>
        <w:t>were the farmee to provide the consideration — the farm</w:t>
      </w:r>
      <w:r>
        <w:noBreakHyphen/>
        <w:t xml:space="preserve">in transaction would be varied — </w:t>
      </w:r>
    </w:p>
    <w:p>
      <w:pPr>
        <w:pStyle w:val="Indenti"/>
      </w:pPr>
      <w:r>
        <w:tab/>
        <w:t>(i)</w:t>
      </w:r>
      <w:r>
        <w:tab/>
        <w:t>so as to reduce the exploration requirement by excluding the part referred to in paragraph (b); and</w:t>
      </w:r>
    </w:p>
    <w:p>
      <w:pPr>
        <w:pStyle w:val="Indenti"/>
      </w:pPr>
      <w:r>
        <w:tab/>
        <w:t>(ii)</w:t>
      </w:r>
      <w:r>
        <w:tab/>
        <w:t>so that, accordingly, the reduced exploration requirement would become the exploration requirement for the farm</w:t>
      </w:r>
      <w:r>
        <w:noBreakHyphen/>
        <w:t>in transaction.</w:t>
      </w:r>
    </w:p>
    <w:p>
      <w:pPr>
        <w:pStyle w:val="Footnotesection"/>
      </w:pPr>
      <w:r>
        <w:tab/>
        <w:t>[Section 91M inserted: No. 37 of 2022 s. 8.]</w:t>
      </w:r>
    </w:p>
    <w:p>
      <w:pPr>
        <w:pStyle w:val="Heading5"/>
      </w:pPr>
      <w:bookmarkStart w:id="376" w:name="_Toc161401203"/>
      <w:bookmarkStart w:id="377" w:name="_Toc154753700"/>
      <w:r>
        <w:rPr>
          <w:rStyle w:val="CharSectno"/>
        </w:rPr>
        <w:t>91N</w:t>
      </w:r>
      <w:r>
        <w:t>.</w:t>
      </w:r>
      <w:r>
        <w:tab/>
        <w:t>Exploration requirement and exploration amount</w:t>
      </w:r>
      <w:bookmarkEnd w:id="376"/>
      <w:bookmarkEnd w:id="377"/>
    </w:p>
    <w:p>
      <w:pPr>
        <w:pStyle w:val="Subsection"/>
      </w:pPr>
      <w:r>
        <w:tab/>
        <w:t>(1)</w:t>
      </w:r>
      <w:r>
        <w:tab/>
        <w:t xml:space="preserve">For the purposes of section 91M(1), an </w:t>
      </w:r>
      <w:r>
        <w:rPr>
          <w:rStyle w:val="CharDefText"/>
        </w:rPr>
        <w:t>exploration requirement</w:t>
      </w:r>
      <w:r>
        <w:t xml:space="preserve"> is a requirement to do either or both of the following after the farm</w:t>
      </w:r>
      <w:r>
        <w:noBreakHyphen/>
        <w:t xml:space="preserve">in transaction is made — </w:t>
      </w:r>
    </w:p>
    <w:p>
      <w:pPr>
        <w:pStyle w:val="Indenta"/>
      </w:pPr>
      <w:r>
        <w:tab/>
        <w:t>(a)</w:t>
      </w:r>
      <w:r>
        <w:tab/>
        <w:t>expend, on exploration carried out by the farmee after the farm</w:t>
      </w:r>
      <w:r>
        <w:noBreakHyphen/>
        <w:t>in transaction is made, an amount that is specified in, or determined in accordance with, the farm</w:t>
      </w:r>
      <w:r>
        <w:noBreakHyphen/>
        <w:t>in transaction;</w:t>
      </w:r>
    </w:p>
    <w:p>
      <w:pPr>
        <w:pStyle w:val="Indenta"/>
      </w:pPr>
      <w:r>
        <w:tab/>
        <w:t>(b)</w:t>
      </w:r>
      <w:r>
        <w:tab/>
        <w:t>carry out exploration as specified in, or determined in accordance with, the farm</w:t>
      </w:r>
      <w:r>
        <w:noBreakHyphen/>
        <w:t>in transaction.</w:t>
      </w:r>
    </w:p>
    <w:p>
      <w:pPr>
        <w:pStyle w:val="Subsection"/>
      </w:pPr>
      <w:r>
        <w:tab/>
        <w:t>(2)</w:t>
      </w:r>
      <w:r>
        <w:tab/>
        <w:t xml:space="preserve">In subsection (1)(a) and (b), references to exploration are to — </w:t>
      </w:r>
    </w:p>
    <w:p>
      <w:pPr>
        <w:pStyle w:val="Indenta"/>
      </w:pPr>
      <w:r>
        <w:tab/>
        <w:t>(a)</w:t>
      </w:r>
      <w:r>
        <w:tab/>
        <w:t xml:space="preserve">subject to paragraph (b) and subsection (4), exploration that consists, and only consists, of the following — </w:t>
      </w:r>
    </w:p>
    <w:p>
      <w:pPr>
        <w:pStyle w:val="Indenti"/>
      </w:pPr>
      <w:r>
        <w:tab/>
        <w:t>(i)</w:t>
      </w:r>
      <w:r>
        <w:tab/>
        <w:t>if only section 91M(1)(a)(i) applies — exploration of each relevant mining tenement;</w:t>
      </w:r>
    </w:p>
    <w:p>
      <w:pPr>
        <w:pStyle w:val="Indenti"/>
      </w:pPr>
      <w:r>
        <w:tab/>
        <w:t>(ii)</w:t>
      </w:r>
      <w:r>
        <w:tab/>
        <w:t>if only section 91M(1)(a)(ii) applies — exploration of each relevant derivative mining right;</w:t>
      </w:r>
    </w:p>
    <w:p>
      <w:pPr>
        <w:pStyle w:val="Indenti"/>
      </w:pPr>
      <w:r>
        <w:tab/>
        <w:t>(iii)</w:t>
      </w:r>
      <w:r>
        <w:tab/>
        <w:t>if both section 91M(1)(a)(i) and (ii) apply — exploration of each relevant mining tenement and each relevant derivative mining right;</w:t>
      </w:r>
    </w:p>
    <w:p>
      <w:pPr>
        <w:pStyle w:val="Indenta"/>
      </w:pPr>
      <w:r>
        <w:tab/>
      </w:r>
      <w:r>
        <w:tab/>
        <w:t>and</w:t>
      </w:r>
    </w:p>
    <w:p>
      <w:pPr>
        <w:pStyle w:val="Indenta"/>
      </w:pPr>
      <w:r>
        <w:tab/>
        <w:t>(b)</w:t>
      </w:r>
      <w:r>
        <w:tab/>
        <w:t xml:space="preserve">in relation to exploration of a relevant derivative mining right, exploration that consists only of either or both of the following — </w:t>
      </w:r>
    </w:p>
    <w:p>
      <w:pPr>
        <w:pStyle w:val="Indenti"/>
      </w:pPr>
      <w:r>
        <w:tab/>
        <w:t>(i)</w:t>
      </w:r>
      <w:r>
        <w:tab/>
        <w:t>mining that is authorised by the relevant derivative mining right;</w:t>
      </w:r>
    </w:p>
    <w:p>
      <w:pPr>
        <w:pStyle w:val="Indenti"/>
      </w:pPr>
      <w:r>
        <w:tab/>
        <w:t>(ii)</w:t>
      </w:r>
      <w:r>
        <w:tab/>
        <w:t>activities that are solely incidental to mining that is so authorised.</w:t>
      </w:r>
    </w:p>
    <w:p>
      <w:pPr>
        <w:pStyle w:val="Subsection"/>
      </w:pPr>
      <w:r>
        <w:tab/>
        <w:t>(3)</w:t>
      </w:r>
      <w:r>
        <w:tab/>
        <w:t xml:space="preserve">Subsection (4) — </w:t>
      </w:r>
    </w:p>
    <w:p>
      <w:pPr>
        <w:pStyle w:val="Indenta"/>
      </w:pPr>
      <w:r>
        <w:tab/>
        <w:t>(a)</w:t>
      </w:r>
      <w:r>
        <w:tab/>
        <w:t>applies to any relevant mining tenement that has not been granted when the farm</w:t>
      </w:r>
      <w:r>
        <w:noBreakHyphen/>
        <w:t>in transaction is made; but</w:t>
      </w:r>
    </w:p>
    <w:p>
      <w:pPr>
        <w:pStyle w:val="Indenta"/>
      </w:pPr>
      <w:r>
        <w:tab/>
        <w:t>(b)</w:t>
      </w:r>
      <w:r>
        <w:tab/>
        <w:t xml:space="preserve">cannot be relied upon in a way that would mean, in effect, that — </w:t>
      </w:r>
    </w:p>
    <w:p>
      <w:pPr>
        <w:pStyle w:val="Indenti"/>
      </w:pPr>
      <w:r>
        <w:tab/>
        <w:t>(i)</w:t>
      </w:r>
      <w:r>
        <w:tab/>
        <w:t>no amount is required to be expended as referred to in subsection (1)(a); and</w:t>
      </w:r>
    </w:p>
    <w:p>
      <w:pPr>
        <w:pStyle w:val="Indenti"/>
      </w:pPr>
      <w:r>
        <w:tab/>
        <w:t>(ii)</w:t>
      </w:r>
      <w:r>
        <w:tab/>
        <w:t>no exploration is required to be carried out as referred to in subsection (1)(b).</w:t>
      </w:r>
    </w:p>
    <w:p>
      <w:pPr>
        <w:pStyle w:val="Subsection"/>
      </w:pPr>
      <w:r>
        <w:tab/>
        <w:t>(4)</w:t>
      </w:r>
      <w:r>
        <w:tab/>
        <w:t>Despite subsection (2)(a)(i) and (iii), the exploration on which an amount is required to be expended as referred to in subsection (1)(a), or that is required to be carried out as referred to in subsection (1)(b), need not include any exploration of the relevant mining tenement.</w:t>
      </w:r>
    </w:p>
    <w:p>
      <w:pPr>
        <w:pStyle w:val="Subsection"/>
      </w:pPr>
      <w:r>
        <w:tab/>
        <w:t>(5)</w:t>
      </w:r>
      <w:r>
        <w:tab/>
        <w:t>In relation to a concessional farm</w:t>
      </w:r>
      <w:r>
        <w:noBreakHyphen/>
        <w:t xml:space="preserve">in transaction, the </w:t>
      </w:r>
      <w:r>
        <w:rPr>
          <w:rStyle w:val="CharDefText"/>
        </w:rPr>
        <w:t>exploration amount</w:t>
      </w:r>
      <w:r>
        <w:t xml:space="preserve"> is, as the case requires — </w:t>
      </w:r>
    </w:p>
    <w:p>
      <w:pPr>
        <w:pStyle w:val="Indenta"/>
      </w:pPr>
      <w:r>
        <w:tab/>
        <w:t>(a)</w:t>
      </w:r>
      <w:r>
        <w:tab/>
        <w:t>the amount required to be expended as referred to in subsection (1)(a); or</w:t>
      </w:r>
    </w:p>
    <w:p>
      <w:pPr>
        <w:pStyle w:val="Indenta"/>
      </w:pPr>
      <w:r>
        <w:tab/>
        <w:t>(b)</w:t>
      </w:r>
      <w:r>
        <w:tab/>
        <w:t>the amount expended by the farmee after the concessional farm</w:t>
      </w:r>
      <w:r>
        <w:noBreakHyphen/>
        <w:t>in transaction is made on the exploration required to be carried out as referred to in subsection (1)(b); or</w:t>
      </w:r>
    </w:p>
    <w:p>
      <w:pPr>
        <w:pStyle w:val="Indenta"/>
      </w:pPr>
      <w:r>
        <w:tab/>
        <w:t>(c)</w:t>
      </w:r>
      <w:r>
        <w:tab/>
        <w:t>the amount required to be expended as referred to in subsection (1)(a) and any additional amount expended by the farmee after the concessional farm</w:t>
      </w:r>
      <w:r>
        <w:noBreakHyphen/>
        <w:t>in transaction is made on the exploration required to be carried out as referred to in subsection (1)(b).</w:t>
      </w:r>
    </w:p>
    <w:p>
      <w:pPr>
        <w:pStyle w:val="Subsection"/>
      </w:pPr>
      <w:r>
        <w:tab/>
        <w:t>(6)</w:t>
      </w:r>
      <w:r>
        <w:tab/>
        <w:t>The Commissioner may, in relation to an agreement, allow expenditure on administrative costs that would not otherwise be regarded as expenditure on exploration for the purposes of this section to be so regarded, subject to any limits or other conditions imposed by the Commissioner.</w:t>
      </w:r>
    </w:p>
    <w:p>
      <w:pPr>
        <w:pStyle w:val="Footnotesection"/>
      </w:pPr>
      <w:r>
        <w:tab/>
        <w:t>[Section 91N inserted: No. 37 of 2022 s. 8.]</w:t>
      </w:r>
    </w:p>
    <w:p>
      <w:pPr>
        <w:pStyle w:val="Heading4"/>
      </w:pPr>
      <w:bookmarkStart w:id="378" w:name="_Toc161400546"/>
      <w:bookmarkStart w:id="379" w:name="_Toc161401204"/>
      <w:bookmarkStart w:id="380" w:name="_Toc154753701"/>
      <w:r>
        <w:rPr>
          <w:sz w:val="26"/>
          <w:szCs w:val="26"/>
        </w:rPr>
        <w:t>Subdivision 3 — Treatment of farm</w:t>
      </w:r>
      <w:r>
        <w:rPr>
          <w:sz w:val="26"/>
          <w:szCs w:val="26"/>
        </w:rPr>
        <w:noBreakHyphen/>
        <w:t>in agreements and farm</w:t>
      </w:r>
      <w:r>
        <w:rPr>
          <w:sz w:val="26"/>
          <w:szCs w:val="26"/>
        </w:rPr>
        <w:noBreakHyphen/>
        <w:t>in transactions for duty purposes</w:t>
      </w:r>
      <w:bookmarkEnd w:id="378"/>
      <w:bookmarkEnd w:id="379"/>
      <w:bookmarkEnd w:id="380"/>
    </w:p>
    <w:p>
      <w:pPr>
        <w:pStyle w:val="Footnoteheading"/>
      </w:pPr>
      <w:r>
        <w:tab/>
        <w:t>[Heading inserted: No. 37 of 2022 s. 8.]</w:t>
      </w:r>
    </w:p>
    <w:p>
      <w:pPr>
        <w:pStyle w:val="Heading5"/>
        <w:keepNext w:val="0"/>
        <w:keepLines w:val="0"/>
      </w:pPr>
      <w:bookmarkStart w:id="381" w:name="_Toc161401205"/>
      <w:bookmarkStart w:id="382" w:name="_Toc154753702"/>
      <w:r>
        <w:rPr>
          <w:rStyle w:val="CharSectno"/>
        </w:rPr>
        <w:t>91O</w:t>
      </w:r>
      <w:r>
        <w:t>.</w:t>
      </w:r>
      <w:r>
        <w:tab/>
        <w:t>Consideration</w:t>
      </w:r>
      <w:bookmarkEnd w:id="381"/>
      <w:bookmarkEnd w:id="382"/>
    </w:p>
    <w:p>
      <w:pPr>
        <w:pStyle w:val="Subsection"/>
      </w:pPr>
      <w:r>
        <w:tab/>
        <w:t>(1)</w:t>
      </w:r>
      <w:r>
        <w:tab/>
        <w:t>For the purposes of this Act, the exploration amount for a concessional farm</w:t>
      </w:r>
      <w:r>
        <w:noBreakHyphen/>
        <w:t>in transaction is taken not to be consideration for the concessional farm</w:t>
      </w:r>
      <w:r>
        <w:noBreakHyphen/>
        <w:t>in transaction.</w:t>
      </w:r>
    </w:p>
    <w:p>
      <w:pPr>
        <w:pStyle w:val="Subsection"/>
      </w:pPr>
      <w:r>
        <w:tab/>
        <w:t>(2)</w:t>
      </w:r>
      <w:r>
        <w:tab/>
        <w:t>Section 11(2) does not prevent a concessional farm</w:t>
      </w:r>
      <w:r>
        <w:noBreakHyphen/>
        <w:t>in transaction from being a dutiable transaction.</w:t>
      </w:r>
    </w:p>
    <w:p>
      <w:pPr>
        <w:pStyle w:val="Subsection"/>
      </w:pPr>
      <w:r>
        <w:tab/>
        <w:t>(3)</w:t>
      </w:r>
      <w:r>
        <w:tab/>
        <w:t xml:space="preserve">Subsections (4) to (6) apply if — </w:t>
      </w:r>
    </w:p>
    <w:p>
      <w:pPr>
        <w:pStyle w:val="Indenta"/>
      </w:pPr>
      <w:r>
        <w:tab/>
        <w:t>(a)</w:t>
      </w:r>
      <w:r>
        <w:tab/>
        <w:t>a farm</w:t>
      </w:r>
      <w:r>
        <w:noBreakHyphen/>
        <w:t>in agreement is made; and</w:t>
      </w:r>
    </w:p>
    <w:p>
      <w:pPr>
        <w:pStyle w:val="Indenta"/>
      </w:pPr>
      <w:r>
        <w:tab/>
        <w:t>(b)</w:t>
      </w:r>
      <w:r>
        <w:tab/>
        <w:t xml:space="preserve">there is, or will be, consideration (the </w:t>
      </w:r>
      <w:r>
        <w:rPr>
          <w:rStyle w:val="CharDefText"/>
        </w:rPr>
        <w:t>relevant consideration</w:t>
      </w:r>
      <w:r>
        <w:t>) that is, or will be, consideration for the farm</w:t>
      </w:r>
      <w:r>
        <w:noBreakHyphen/>
        <w:t>in agreement (as opposed to being, for example, consideration for a concessional farm</w:t>
      </w:r>
      <w:r>
        <w:noBreakHyphen/>
        <w:t>in transaction, or for another type of transaction, contained in the farm</w:t>
      </w:r>
      <w:r>
        <w:noBreakHyphen/>
        <w:t>in agreement).</w:t>
      </w:r>
    </w:p>
    <w:p>
      <w:pPr>
        <w:pStyle w:val="Subsection"/>
      </w:pPr>
      <w:r>
        <w:tab/>
        <w:t>(4)</w:t>
      </w:r>
      <w:r>
        <w:tab/>
        <w:t>The farm</w:t>
      </w:r>
      <w:r>
        <w:noBreakHyphen/>
        <w:t>in agreement is taken to contain, in addition to the 1 or more transactions that it actually contains, a dutiable transaction that is the acquisition by the farmee of a derivative mining right.</w:t>
      </w:r>
    </w:p>
    <w:p>
      <w:pPr>
        <w:pStyle w:val="Subsection"/>
      </w:pPr>
      <w:r>
        <w:tab/>
        <w:t>(5)</w:t>
      </w:r>
      <w:r>
        <w:tab/>
        <w:t>The derivative mining right is taken to be acquired by the farmee on the making of the farm</w:t>
      </w:r>
      <w:r>
        <w:noBreakHyphen/>
        <w:t>in agreement.</w:t>
      </w:r>
    </w:p>
    <w:p>
      <w:pPr>
        <w:pStyle w:val="Subsection"/>
      </w:pPr>
      <w:r>
        <w:tab/>
        <w:t>(6)</w:t>
      </w:r>
      <w:r>
        <w:tab/>
        <w:t>The dutiable value of the dutiable transaction is taken to be the relevant consideration.</w:t>
      </w:r>
    </w:p>
    <w:p>
      <w:pPr>
        <w:pStyle w:val="Footnotesection"/>
      </w:pPr>
      <w:r>
        <w:tab/>
        <w:t>[Section 91O inserted: No. 37 of 2022 s. 8.]</w:t>
      </w:r>
    </w:p>
    <w:p>
      <w:pPr>
        <w:pStyle w:val="Heading5"/>
        <w:keepNext w:val="0"/>
        <w:keepLines w:val="0"/>
      </w:pPr>
      <w:bookmarkStart w:id="383" w:name="_Toc161401206"/>
      <w:bookmarkStart w:id="384" w:name="_Toc154753703"/>
      <w:r>
        <w:rPr>
          <w:rStyle w:val="CharSectno"/>
        </w:rPr>
        <w:t>91P</w:t>
      </w:r>
      <w:r>
        <w:t>.</w:t>
      </w:r>
      <w:r>
        <w:tab/>
        <w:t>General rules relating to charging of duty</w:t>
      </w:r>
      <w:bookmarkEnd w:id="383"/>
      <w:bookmarkEnd w:id="384"/>
    </w:p>
    <w:p>
      <w:pPr>
        <w:pStyle w:val="Subsection"/>
      </w:pPr>
      <w:r>
        <w:tab/>
        <w:t>(1)</w:t>
      </w:r>
      <w:r>
        <w:tab/>
        <w:t>Nominal duty is chargeable on a concessional farm</w:t>
      </w:r>
      <w:r>
        <w:noBreakHyphen/>
        <w:t>in transaction if there is not, and will not be, any consideration for the concessional farm</w:t>
      </w:r>
      <w:r>
        <w:noBreakHyphen/>
        <w:t>in transaction.</w:t>
      </w:r>
    </w:p>
    <w:p>
      <w:pPr>
        <w:pStyle w:val="Subsection"/>
      </w:pPr>
      <w:r>
        <w:tab/>
        <w:t>(2)</w:t>
      </w:r>
      <w:r>
        <w:tab/>
        <w:t xml:space="preserve">Subsection (3) applies if — </w:t>
      </w:r>
    </w:p>
    <w:p>
      <w:pPr>
        <w:pStyle w:val="Indenta"/>
      </w:pPr>
      <w:r>
        <w:tab/>
        <w:t>(a)</w:t>
      </w:r>
      <w:r>
        <w:tab/>
        <w:t>a farm</w:t>
      </w:r>
      <w:r>
        <w:noBreakHyphen/>
        <w:t>in agreement contains 2 or more concessional farm</w:t>
      </w:r>
      <w:r>
        <w:noBreakHyphen/>
        <w:t>in transactions; and</w:t>
      </w:r>
    </w:p>
    <w:p>
      <w:pPr>
        <w:pStyle w:val="Indenta"/>
      </w:pPr>
      <w:r>
        <w:tab/>
        <w:t>(b)</w:t>
      </w:r>
      <w:r>
        <w:tab/>
        <w:t>apart from subsection (3), nominal duty would be chargeable on all of the concessional farm</w:t>
      </w:r>
      <w:r>
        <w:noBreakHyphen/>
        <w:t>in transactions contained in the farm</w:t>
      </w:r>
      <w:r>
        <w:noBreakHyphen/>
        <w:t>in agreement.</w:t>
      </w:r>
    </w:p>
    <w:p>
      <w:pPr>
        <w:pStyle w:val="Subsection"/>
      </w:pPr>
      <w:r>
        <w:tab/>
        <w:t>(3)</w:t>
      </w:r>
      <w:r>
        <w:tab/>
        <w:t>Nominal duty is chargeable on all of the concessional farm</w:t>
      </w:r>
      <w:r>
        <w:noBreakHyphen/>
        <w:t>in transactions taken together as if they were a single dutiable transaction.</w:t>
      </w:r>
    </w:p>
    <w:p>
      <w:pPr>
        <w:pStyle w:val="Subsection"/>
      </w:pPr>
      <w:r>
        <w:tab/>
        <w:t>(4)</w:t>
      </w:r>
      <w:r>
        <w:tab/>
        <w:t>The dutiable value of a dutiable transaction that is a concessional farm</w:t>
      </w:r>
      <w:r>
        <w:noBreakHyphen/>
        <w:t>in transaction is the consideration for the concessional farm</w:t>
      </w:r>
      <w:r>
        <w:noBreakHyphen/>
        <w:t>in transaction.</w:t>
      </w:r>
    </w:p>
    <w:p>
      <w:pPr>
        <w:pStyle w:val="Subsection"/>
      </w:pPr>
      <w:r>
        <w:tab/>
        <w:t>(5)</w:t>
      </w:r>
      <w:r>
        <w:tab/>
        <w:t>Duty is not chargeable on a concessional farm</w:t>
      </w:r>
      <w:r>
        <w:noBreakHyphen/>
        <w:t xml:space="preserve">in transaction if — </w:t>
      </w:r>
    </w:p>
    <w:p>
      <w:pPr>
        <w:pStyle w:val="Indenta"/>
      </w:pPr>
      <w:r>
        <w:tab/>
        <w:t>(a)</w:t>
      </w:r>
      <w:r>
        <w:tab/>
        <w:t>apart from this subsection, the concessional farm</w:t>
      </w:r>
      <w:r>
        <w:noBreakHyphen/>
        <w:t>in transaction would be chargeable with nominal duty; and</w:t>
      </w:r>
    </w:p>
    <w:p>
      <w:pPr>
        <w:pStyle w:val="Indenta"/>
      </w:pPr>
      <w:r>
        <w:tab/>
        <w:t>(b)</w:t>
      </w:r>
      <w:r>
        <w:tab/>
        <w:t>the farm</w:t>
      </w:r>
      <w:r>
        <w:noBreakHyphen/>
        <w:t>in agreement that contains the concessional farm</w:t>
      </w:r>
      <w:r>
        <w:noBreakHyphen/>
        <w:t>in transaction also contains 1 or more other concessional farm</w:t>
      </w:r>
      <w:r>
        <w:noBreakHyphen/>
        <w:t>in transactions on which duty is chargeable at the general rate of duty.</w:t>
      </w:r>
    </w:p>
    <w:p>
      <w:pPr>
        <w:pStyle w:val="Subsection"/>
      </w:pPr>
      <w:r>
        <w:tab/>
        <w:t>(6)</w:t>
      </w:r>
      <w:r>
        <w:tab/>
        <w:t>If a farm</w:t>
      </w:r>
      <w:r>
        <w:noBreakHyphen/>
        <w:t>in agreement contains 2 or more concessional farm</w:t>
      </w:r>
      <w:r>
        <w:noBreakHyphen/>
        <w:t>in transactions on which duty is chargeable at the general rate of duty, the amount of duty chargeable on each of those concessional farm</w:t>
      </w:r>
      <w:r>
        <w:noBreakHyphen/>
        <w:t xml:space="preserve">in transactions must be determined as follows — </w:t>
      </w:r>
    </w:p>
    <w:p>
      <w:pPr>
        <w:pStyle w:val="Indenta"/>
      </w:pPr>
      <w:r>
        <w:tab/>
        <w:t>(a)</w:t>
      </w:r>
      <w:r>
        <w:tab/>
        <w:t>first, aggregate the dutiable values of the concessional farm</w:t>
      </w:r>
      <w:r>
        <w:noBreakHyphen/>
        <w:t>in transactions;</w:t>
      </w:r>
    </w:p>
    <w:p>
      <w:pPr>
        <w:pStyle w:val="Indenta"/>
      </w:pPr>
      <w:r>
        <w:tab/>
        <w:t>(b)</w:t>
      </w:r>
      <w:r>
        <w:tab/>
        <w:t>second, apply the general rate of duty to the aggregate dutiable value;</w:t>
      </w:r>
    </w:p>
    <w:p>
      <w:pPr>
        <w:pStyle w:val="Indenta"/>
      </w:pPr>
      <w:r>
        <w:tab/>
        <w:t>(c)</w:t>
      </w:r>
      <w:r>
        <w:tab/>
        <w:t>third, apportion the resulting amount of duty between the concessional farm</w:t>
      </w:r>
      <w:r>
        <w:noBreakHyphen/>
        <w:t>in transactions in the way determined by the Commissioner.</w:t>
      </w:r>
    </w:p>
    <w:p>
      <w:pPr>
        <w:pStyle w:val="Subsection"/>
      </w:pPr>
      <w:r>
        <w:tab/>
        <w:t>(7)</w:t>
      </w:r>
      <w:r>
        <w:tab/>
        <w:t>If a farm</w:t>
      </w:r>
      <w:r>
        <w:noBreakHyphen/>
        <w:t>in agreement contains 2 or more concessional farm</w:t>
      </w:r>
      <w:r>
        <w:noBreakHyphen/>
        <w:t>in transactions and the Commissioner is, at any time, reassessing the duty chargeable on any of the concessional farm</w:t>
      </w:r>
      <w:r>
        <w:noBreakHyphen/>
        <w:t>in transactions, the Commissioner must also reassess the duty chargeable on any of the other concessional farm</w:t>
      </w:r>
      <w:r>
        <w:noBreakHyphen/>
        <w:t>in transactions as necessary for the purpose of applying subsection (3), (5) or (6).</w:t>
      </w:r>
    </w:p>
    <w:p>
      <w:pPr>
        <w:pStyle w:val="Subsection"/>
      </w:pPr>
      <w:r>
        <w:tab/>
        <w:t>(8)</w:t>
      </w:r>
      <w:r>
        <w:tab/>
        <w:t>The limitations as to time in the Taxation Administration Act section 17 do not apply in respect of a reassessment under subsection (7).</w:t>
      </w:r>
    </w:p>
    <w:p>
      <w:pPr>
        <w:pStyle w:val="Footnotesection"/>
      </w:pPr>
      <w:r>
        <w:tab/>
        <w:t>[Section 91P inserted: No. 37 of 2022 s. 8.]</w:t>
      </w:r>
    </w:p>
    <w:p>
      <w:pPr>
        <w:pStyle w:val="Heading5"/>
        <w:keepNext w:val="0"/>
        <w:keepLines w:val="0"/>
      </w:pPr>
      <w:bookmarkStart w:id="385" w:name="_Toc161401207"/>
      <w:bookmarkStart w:id="386" w:name="_Toc154753704"/>
      <w:r>
        <w:rPr>
          <w:rStyle w:val="CharSectno"/>
        </w:rPr>
        <w:t>91Q</w:t>
      </w:r>
      <w:r>
        <w:t>.</w:t>
      </w:r>
      <w:r>
        <w:tab/>
        <w:t>Changes to consideration</w:t>
      </w:r>
      <w:bookmarkEnd w:id="385"/>
      <w:bookmarkEnd w:id="386"/>
    </w:p>
    <w:p>
      <w:pPr>
        <w:pStyle w:val="Subsection"/>
      </w:pPr>
      <w:r>
        <w:tab/>
        <w:t>(1)</w:t>
      </w:r>
      <w:r>
        <w:tab/>
        <w:t>Subsection (3) applies to a concessional farm</w:t>
      </w:r>
      <w:r>
        <w:noBreakHyphen/>
        <w:t>in transaction if, before the concessional farm</w:t>
      </w:r>
      <w:r>
        <w:noBreakHyphen/>
        <w:t>in transaction is completed, the consideration for the concessional farm</w:t>
      </w:r>
      <w:r>
        <w:noBreakHyphen/>
        <w:t>in transaction is increased or reduced.</w:t>
      </w:r>
    </w:p>
    <w:p>
      <w:pPr>
        <w:pStyle w:val="PermNoteHeading"/>
        <w:keepNext w:val="0"/>
      </w:pPr>
      <w:r>
        <w:tab/>
        <w:t>Example for this subsection:</w:t>
      </w:r>
    </w:p>
    <w:p>
      <w:pPr>
        <w:pStyle w:val="PermNoteText"/>
      </w:pPr>
      <w:r>
        <w:tab/>
      </w:r>
      <w:r>
        <w:tab/>
        <w:t>There is a purchase agreement in relation to a concessional farm</w:t>
      </w:r>
      <w:r>
        <w:noBreakHyphen/>
        <w:t>in transaction and the farmee provides the consideration referred to in section 91M(9)(a).</w:t>
      </w:r>
    </w:p>
    <w:p>
      <w:pPr>
        <w:pStyle w:val="Subsection"/>
      </w:pPr>
      <w:r>
        <w:tab/>
        <w:t>(2)</w:t>
      </w:r>
      <w:r>
        <w:tab/>
        <w:t>For the purposes of subsection (1), a concessional farm</w:t>
      </w:r>
      <w:r>
        <w:noBreakHyphen/>
        <w:t xml:space="preserve">in transaction is </w:t>
      </w:r>
      <w:r>
        <w:rPr>
          <w:rStyle w:val="CharDefText"/>
        </w:rPr>
        <w:t>completed</w:t>
      </w:r>
      <w:r>
        <w:t xml:space="preserve"> when either of the following applies after the farmee has fulfilled the exploration requirement — </w:t>
      </w:r>
    </w:p>
    <w:p>
      <w:pPr>
        <w:pStyle w:val="Indenta"/>
      </w:pPr>
      <w:r>
        <w:tab/>
        <w:t>(a)</w:t>
      </w:r>
      <w:r>
        <w:tab/>
        <w:t xml:space="preserve">as contemplated in section 91M(1)(c) or (d), the farmee — </w:t>
      </w:r>
    </w:p>
    <w:p>
      <w:pPr>
        <w:pStyle w:val="Indenti"/>
      </w:pPr>
      <w:r>
        <w:tab/>
        <w:t>(i)</w:t>
      </w:r>
      <w:r>
        <w:tab/>
        <w:t>acquires an interest in a relevant mining tenement; or</w:t>
      </w:r>
    </w:p>
    <w:p>
      <w:pPr>
        <w:pStyle w:val="Indenti"/>
      </w:pPr>
      <w:r>
        <w:tab/>
        <w:t>(ii)</w:t>
      </w:r>
      <w:r>
        <w:tab/>
        <w:t>is granted a derivative mining right in relation to a relevant mining tenement; or</w:t>
      </w:r>
    </w:p>
    <w:p>
      <w:pPr>
        <w:pStyle w:val="Indenti"/>
      </w:pPr>
      <w:r>
        <w:tab/>
        <w:t>(iii)</w:t>
      </w:r>
      <w:r>
        <w:tab/>
        <w:t>acquires an interest in a relevant derivative mining right;</w:t>
      </w:r>
    </w:p>
    <w:p>
      <w:pPr>
        <w:pStyle w:val="Indenta"/>
      </w:pPr>
      <w:r>
        <w:tab/>
        <w:t>(b)</w:t>
      </w:r>
      <w:r>
        <w:tab/>
        <w:t>paragraph (a) cannot apply because all of the farmee’s options, as contemplated in section 91M(1)(c) and (d), have terminated without being exercised.</w:t>
      </w:r>
    </w:p>
    <w:p>
      <w:pPr>
        <w:pStyle w:val="Subsection"/>
      </w:pPr>
      <w:r>
        <w:tab/>
        <w:t>(3)</w:t>
      </w:r>
      <w:r>
        <w:tab/>
        <w:t>The Commissioner must assess or reassess the duty chargeable on the concessional farm</w:t>
      </w:r>
      <w:r>
        <w:noBreakHyphen/>
        <w:t>in transaction on the basis of the increased or reduced consideration.</w:t>
      </w:r>
    </w:p>
    <w:p>
      <w:pPr>
        <w:pStyle w:val="Subsection"/>
      </w:pPr>
      <w:r>
        <w:tab/>
        <w:t>(4)</w:t>
      </w:r>
      <w:r>
        <w:tab/>
        <w:t>However, if it is reduced consideration, the Commissioner does not have to reassess the duty unless the taxpayer makes an application for the reassessment.</w:t>
      </w:r>
    </w:p>
    <w:p>
      <w:pPr>
        <w:pStyle w:val="Subsection"/>
      </w:pPr>
      <w:r>
        <w:tab/>
        <w:t>(5)</w:t>
      </w:r>
      <w:r>
        <w:tab/>
        <w:t>If there is increased consideration after the concessional farm</w:t>
      </w:r>
      <w:r>
        <w:noBreakHyphen/>
        <w:t>in transaction is duty endorsed, section 31(5) applies with any necessary modifications.</w:t>
      </w:r>
    </w:p>
    <w:p>
      <w:pPr>
        <w:pStyle w:val="Subsection"/>
      </w:pPr>
      <w:r>
        <w:tab/>
        <w:t>(6)</w:t>
      </w:r>
      <w:r>
        <w:tab/>
        <w:t>Duty is chargeable on a reassessment under subsection (3) in relation to a concessional farm</w:t>
      </w:r>
      <w:r>
        <w:noBreakHyphen/>
        <w:t>in transaction at the same rate and using the same thresholds that applied when liability for duty on the concessional farm</w:t>
      </w:r>
      <w:r>
        <w:noBreakHyphen/>
        <w:t>in transaction initially arose.</w:t>
      </w:r>
    </w:p>
    <w:p>
      <w:pPr>
        <w:pStyle w:val="Subsection"/>
      </w:pPr>
      <w:r>
        <w:tab/>
        <w:t>(7)</w:t>
      </w:r>
      <w:r>
        <w:tab/>
        <w:t>Subsection (3) does not apply in a case where a taxpayer may apply for a reassessment because of subsection (8).</w:t>
      </w:r>
    </w:p>
    <w:p>
      <w:pPr>
        <w:pStyle w:val="Subsection"/>
      </w:pPr>
      <w:r>
        <w:tab/>
        <w:t>(8)</w:t>
      </w:r>
      <w:r>
        <w:tab/>
        <w:t>If any part of the consideration for a concessional farm</w:t>
      </w:r>
      <w:r>
        <w:noBreakHyphen/>
        <w:t>in transaction is dependent on the happening of a future event, or on a future event not happening, section 32(1) and (3) apply, with any necessary modifications, as if references to an agreement for the transfer of dutiable property were to the concessional farm</w:t>
      </w:r>
      <w:r>
        <w:noBreakHyphen/>
        <w:t>in transaction.</w:t>
      </w:r>
    </w:p>
    <w:p>
      <w:pPr>
        <w:pStyle w:val="Subsection"/>
        <w:keepNext/>
      </w:pPr>
      <w:r>
        <w:tab/>
        <w:t>(9)</w:t>
      </w:r>
      <w:r>
        <w:tab/>
        <w:t xml:space="preserve">For the purposes of subsection (8),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concessional farm</w:t>
      </w:r>
      <w:r>
        <w:noBreakHyphen/>
        <w:t>in transaction was made;</w:t>
      </w:r>
    </w:p>
    <w:p>
      <w:pPr>
        <w:pStyle w:val="Indenti"/>
      </w:pPr>
      <w:r>
        <w:tab/>
        <w:t>(ii)</w:t>
      </w:r>
      <w:r>
        <w:tab/>
        <w:t>12 months after the day on which the requirements of section 32(1)(b) and (c) (as applied under subsection (8)) were fulfilled;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91Q inserted: No. 37 of 2022 s. 8.]</w:t>
      </w:r>
    </w:p>
    <w:p>
      <w:pPr>
        <w:pStyle w:val="Heading5"/>
        <w:keepNext w:val="0"/>
        <w:keepLines w:val="0"/>
      </w:pPr>
      <w:bookmarkStart w:id="387" w:name="_Toc161401208"/>
      <w:bookmarkStart w:id="388" w:name="_Toc154753705"/>
      <w:r>
        <w:rPr>
          <w:rStyle w:val="CharSectno"/>
        </w:rPr>
        <w:t>91R</w:t>
      </w:r>
      <w:r>
        <w:t>.</w:t>
      </w:r>
      <w:r>
        <w:tab/>
        <w:t>No double duty</w:t>
      </w:r>
      <w:bookmarkEnd w:id="387"/>
      <w:bookmarkEnd w:id="388"/>
    </w:p>
    <w:p>
      <w:pPr>
        <w:pStyle w:val="Subsection"/>
      </w:pPr>
      <w:r>
        <w:tab/>
        <w:t>(1)</w:t>
      </w:r>
      <w:r>
        <w:tab/>
        <w:t xml:space="preserve">In this section — </w:t>
      </w:r>
    </w:p>
    <w:p>
      <w:pPr>
        <w:pStyle w:val="Defstart"/>
      </w:pPr>
      <w:r>
        <w:tab/>
      </w:r>
      <w:r>
        <w:rPr>
          <w:rStyle w:val="CharDefText"/>
        </w:rPr>
        <w:t>consideration</w:t>
      </w:r>
      <w:r>
        <w:t>, in relation to a dutiable transaction, does not include the exploration amount for the concessional farm</w:t>
      </w:r>
      <w:r>
        <w:noBreakHyphen/>
        <w:t>in transaction concerned.</w:t>
      </w:r>
    </w:p>
    <w:p>
      <w:pPr>
        <w:pStyle w:val="Subsection"/>
      </w:pPr>
      <w:r>
        <w:tab/>
        <w:t>(2)</w:t>
      </w:r>
      <w:r>
        <w:tab/>
        <w:t xml:space="preserve">Duty is not chargeable on a dutiable transaction if — </w:t>
      </w:r>
    </w:p>
    <w:p>
      <w:pPr>
        <w:pStyle w:val="Indenta"/>
      </w:pPr>
      <w:r>
        <w:tab/>
        <w:t>(a)</w:t>
      </w:r>
      <w:r>
        <w:tab/>
        <w:t xml:space="preserve">the dutiable transaction — </w:t>
      </w:r>
    </w:p>
    <w:p>
      <w:pPr>
        <w:pStyle w:val="Indenti"/>
      </w:pPr>
      <w:r>
        <w:tab/>
        <w:t>(i)</w:t>
      </w:r>
      <w:r>
        <w:tab/>
        <w:t>is under a concessional farm</w:t>
      </w:r>
      <w:r>
        <w:noBreakHyphen/>
        <w:t>in transaction as contemplated in section 91M(1)(c) or (d); and</w:t>
      </w:r>
    </w:p>
    <w:p>
      <w:pPr>
        <w:pStyle w:val="Indenti"/>
      </w:pPr>
      <w:r>
        <w:tab/>
        <w:t>(ii)</w:t>
      </w:r>
      <w:r>
        <w:tab/>
        <w:t>without limiting subparagraph (i), occurs after the farmee has fulfilled the exploration requirement;</w:t>
      </w:r>
    </w:p>
    <w:p>
      <w:pPr>
        <w:pStyle w:val="Indenta"/>
      </w:pPr>
      <w:r>
        <w:tab/>
      </w:r>
      <w:r>
        <w:tab/>
        <w:t>and</w:t>
      </w:r>
    </w:p>
    <w:p>
      <w:pPr>
        <w:pStyle w:val="Indenta"/>
      </w:pPr>
      <w:r>
        <w:tab/>
        <w:t>(b)</w:t>
      </w:r>
      <w:r>
        <w:tab/>
        <w:t>the concessional farm</w:t>
      </w:r>
      <w:r>
        <w:noBreakHyphen/>
        <w:t>in transaction is duty endorsed.</w:t>
      </w:r>
    </w:p>
    <w:p>
      <w:pPr>
        <w:pStyle w:val="Subsection"/>
      </w:pPr>
      <w:r>
        <w:tab/>
        <w:t>(3)</w:t>
      </w:r>
      <w:r>
        <w:tab/>
        <w:t xml:space="preserve">Duty is not chargeable on a dutiable transaction (the </w:t>
      </w:r>
      <w:r>
        <w:rPr>
          <w:rStyle w:val="CharDefText"/>
        </w:rPr>
        <w:t>replacement dutiable transaction</w:t>
      </w:r>
      <w:r>
        <w:t xml:space="preserve">) if — </w:t>
      </w:r>
    </w:p>
    <w:p>
      <w:pPr>
        <w:pStyle w:val="Indenta"/>
      </w:pPr>
      <w:r>
        <w:tab/>
        <w:t>(a)</w:t>
      </w:r>
      <w:r>
        <w:tab/>
        <w:t xml:space="preserve">the replacement dutiable transaction — </w:t>
      </w:r>
    </w:p>
    <w:p>
      <w:pPr>
        <w:pStyle w:val="Indenti"/>
      </w:pPr>
      <w:r>
        <w:tab/>
        <w:t>(i)</w:t>
      </w:r>
      <w:r>
        <w:tab/>
        <w:t>is in lieu of a dutiable transaction that, had it occurred, would have been under a concessional farm</w:t>
      </w:r>
      <w:r>
        <w:noBreakHyphen/>
        <w:t>in transaction as contemplated in section 91M(1)(c) or (d); and</w:t>
      </w:r>
    </w:p>
    <w:p>
      <w:pPr>
        <w:pStyle w:val="Indenti"/>
        <w:keepNext/>
        <w:keepLines/>
      </w:pPr>
      <w:r>
        <w:tab/>
        <w:t>(ii)</w:t>
      </w:r>
      <w:r>
        <w:tab/>
        <w:t>would be a dutiable transaction under the concessional farm</w:t>
      </w:r>
      <w:r>
        <w:noBreakHyphen/>
        <w:t>in transaction as contemplated in section 91M(1)(c) or (d) except only that the replacement dutiable transaction involves a replacement mining tenement for a relevant mining tenement, or a replacement derivative mining right for a relevant derivative mining right, that was not anticipated in the concessional farm</w:t>
      </w:r>
      <w:r>
        <w:noBreakHyphen/>
        <w:t>in transaction; and</w:t>
      </w:r>
    </w:p>
    <w:p>
      <w:pPr>
        <w:pStyle w:val="Indenti"/>
      </w:pPr>
      <w:r>
        <w:tab/>
        <w:t>(iii)</w:t>
      </w:r>
      <w:r>
        <w:tab/>
        <w:t>without limiting subparagraphs (i) and (ii), occurs after the farmee has fulfilled the exploration requirement for the concessional farm</w:t>
      </w:r>
      <w:r>
        <w:noBreakHyphen/>
        <w:t>in transaction;</w:t>
      </w:r>
    </w:p>
    <w:p>
      <w:pPr>
        <w:pStyle w:val="Indenta"/>
      </w:pPr>
      <w:r>
        <w:tab/>
      </w:r>
      <w:r>
        <w:tab/>
        <w:t>and</w:t>
      </w:r>
    </w:p>
    <w:p>
      <w:pPr>
        <w:pStyle w:val="Indenta"/>
      </w:pPr>
      <w:r>
        <w:tab/>
        <w:t>(b)</w:t>
      </w:r>
      <w:r>
        <w:tab/>
        <w:t>the concessional farm</w:t>
      </w:r>
      <w:r>
        <w:noBreakHyphen/>
        <w:t>in transaction is duty endorsed.</w:t>
      </w:r>
    </w:p>
    <w:p>
      <w:pPr>
        <w:pStyle w:val="Subsection"/>
      </w:pPr>
      <w:r>
        <w:tab/>
        <w:t>(4)</w:t>
      </w:r>
      <w:r>
        <w:tab/>
        <w:t>Duty is chargeable on a dutiable transaction to which subsection (2) or (3) would otherwise apply if there is, or will be, consideration for the dutiable transaction.</w:t>
      </w:r>
    </w:p>
    <w:p>
      <w:pPr>
        <w:pStyle w:val="Subsection"/>
      </w:pPr>
      <w:r>
        <w:tab/>
        <w:t>(5)</w:t>
      </w:r>
      <w:r>
        <w:tab/>
        <w:t>For the purposes of subsection (4), the dutiable value of the dutiable transaction is the consideration for the dutiable transaction to the extent that the consideration was not taken into account when the concessional farm</w:t>
      </w:r>
      <w:r>
        <w:noBreakHyphen/>
        <w:t>in transaction was duty endorsed.</w:t>
      </w:r>
    </w:p>
    <w:p>
      <w:pPr>
        <w:pStyle w:val="Subsection"/>
        <w:keepNext/>
      </w:pPr>
      <w:r>
        <w:tab/>
        <w:t>(6)</w:t>
      </w:r>
      <w:r>
        <w:tab/>
        <w:t>In subsection (3)(a)(i), the reference to a dutiable transaction includes a transaction that would be a dutiable transaction but for the application of section 91DA to the transaction.</w:t>
      </w:r>
    </w:p>
    <w:p>
      <w:pPr>
        <w:pStyle w:val="Footnotesection"/>
      </w:pPr>
      <w:r>
        <w:tab/>
        <w:t>[Section 91R inserted: No. 37 of 2022 s. 8.]</w:t>
      </w:r>
    </w:p>
    <w:p>
      <w:pPr>
        <w:pStyle w:val="Heading4"/>
      </w:pPr>
      <w:bookmarkStart w:id="389" w:name="_Toc161400551"/>
      <w:bookmarkStart w:id="390" w:name="_Toc161401209"/>
      <w:bookmarkStart w:id="391" w:name="_Toc154753706"/>
      <w:r>
        <w:rPr>
          <w:sz w:val="26"/>
          <w:szCs w:val="26"/>
        </w:rPr>
        <w:t>Subdivision 4 — Variations and other events affecting farm</w:t>
      </w:r>
      <w:r>
        <w:rPr>
          <w:sz w:val="26"/>
          <w:szCs w:val="26"/>
        </w:rPr>
        <w:noBreakHyphen/>
        <w:t>in agreements and farm</w:t>
      </w:r>
      <w:r>
        <w:rPr>
          <w:sz w:val="26"/>
          <w:szCs w:val="26"/>
        </w:rPr>
        <w:noBreakHyphen/>
        <w:t>in transactions</w:t>
      </w:r>
      <w:bookmarkEnd w:id="389"/>
      <w:bookmarkEnd w:id="390"/>
      <w:bookmarkEnd w:id="391"/>
    </w:p>
    <w:p>
      <w:pPr>
        <w:pStyle w:val="Footnoteheading"/>
        <w:keepNext/>
      </w:pPr>
      <w:r>
        <w:tab/>
        <w:t>[Heading inserted: No. 37 of 2022 s. 8.]</w:t>
      </w:r>
    </w:p>
    <w:p>
      <w:pPr>
        <w:pStyle w:val="Heading5"/>
        <w:keepLines w:val="0"/>
      </w:pPr>
      <w:bookmarkStart w:id="392" w:name="_Toc161401210"/>
      <w:bookmarkStart w:id="393" w:name="_Toc154753707"/>
      <w:r>
        <w:rPr>
          <w:rStyle w:val="CharSectno"/>
        </w:rPr>
        <w:t>91S</w:t>
      </w:r>
      <w:r>
        <w:t>.</w:t>
      </w:r>
      <w:r>
        <w:tab/>
        <w:t>Farm</w:t>
      </w:r>
      <w:r>
        <w:noBreakHyphen/>
        <w:t>in transaction added to farm</w:t>
      </w:r>
      <w:r>
        <w:noBreakHyphen/>
        <w:t>in agreement</w:t>
      </w:r>
      <w:bookmarkEnd w:id="392"/>
      <w:bookmarkEnd w:id="393"/>
    </w:p>
    <w:p>
      <w:pPr>
        <w:pStyle w:val="Subsection"/>
      </w:pPr>
      <w:r>
        <w:tab/>
        <w:t>(1)</w:t>
      </w:r>
      <w:r>
        <w:tab/>
        <w:t>This section applies if a farm</w:t>
      </w:r>
      <w:r>
        <w:noBreakHyphen/>
        <w:t xml:space="preserve">in transaction (the </w:t>
      </w:r>
      <w:r>
        <w:rPr>
          <w:rStyle w:val="CharDefText"/>
        </w:rPr>
        <w:t>additional farm</w:t>
      </w:r>
      <w:r>
        <w:rPr>
          <w:rStyle w:val="CharDefText"/>
        </w:rPr>
        <w:noBreakHyphen/>
        <w:t>in transaction</w:t>
      </w:r>
      <w:r>
        <w:t>) is added to a farm</w:t>
      </w:r>
      <w:r>
        <w:noBreakHyphen/>
        <w:t>in agreement after the farm</w:t>
      </w:r>
      <w:r>
        <w:noBreakHyphen/>
        <w:t>in agreement is made.</w:t>
      </w:r>
    </w:p>
    <w:p>
      <w:pPr>
        <w:pStyle w:val="Subsection"/>
      </w:pPr>
      <w:r>
        <w:tab/>
        <w:t>(2)</w:t>
      </w:r>
      <w:r>
        <w:tab/>
        <w:t>The additional farm</w:t>
      </w:r>
      <w:r>
        <w:noBreakHyphen/>
        <w:t>in transaction is a concessional farm</w:t>
      </w:r>
      <w:r>
        <w:noBreakHyphen/>
        <w:t xml:space="preserve">in transaction only — </w:t>
      </w:r>
    </w:p>
    <w:p>
      <w:pPr>
        <w:pStyle w:val="Indenta"/>
      </w:pPr>
      <w:r>
        <w:tab/>
        <w:t>(a)</w:t>
      </w:r>
      <w:r>
        <w:tab/>
        <w:t>if the additional farm</w:t>
      </w:r>
      <w:r>
        <w:noBreakHyphen/>
        <w:t xml:space="preserve">in transaction — </w:t>
      </w:r>
    </w:p>
    <w:p>
      <w:pPr>
        <w:pStyle w:val="Indenti"/>
      </w:pPr>
      <w:r>
        <w:tab/>
        <w:t>(i)</w:t>
      </w:r>
      <w:r>
        <w:tab/>
        <w:t>is a concessional farm</w:t>
      </w:r>
      <w:r>
        <w:noBreakHyphen/>
        <w:t>in transaction under subsection (3) or (4); and</w:t>
      </w:r>
    </w:p>
    <w:p>
      <w:pPr>
        <w:pStyle w:val="Indenti"/>
      </w:pPr>
      <w:r>
        <w:tab/>
        <w:t>(ii)</w:t>
      </w:r>
      <w:r>
        <w:tab/>
        <w:t>if both section 91M(1)(a)(i) and (ii) apply — is a concessional farm</w:t>
      </w:r>
      <w:r>
        <w:noBreakHyphen/>
        <w:t>in transaction under both subsections (3) and (4);</w:t>
      </w:r>
    </w:p>
    <w:p>
      <w:pPr>
        <w:pStyle w:val="Indenta"/>
      </w:pPr>
      <w:r>
        <w:tab/>
      </w:r>
      <w:r>
        <w:tab/>
        <w:t>or</w:t>
      </w:r>
    </w:p>
    <w:p>
      <w:pPr>
        <w:pStyle w:val="Indenta"/>
      </w:pPr>
      <w:r>
        <w:tab/>
        <w:t>(b)</w:t>
      </w:r>
      <w:r>
        <w:tab/>
        <w:t>in any circumstances prescribed for the purposes of this paragraph.</w:t>
      </w:r>
    </w:p>
    <w:p>
      <w:pPr>
        <w:pStyle w:val="Subsection"/>
      </w:pPr>
      <w:r>
        <w:tab/>
        <w:t>(3)</w:t>
      </w:r>
      <w:r>
        <w:tab/>
        <w:t>The additional farm</w:t>
      </w:r>
      <w:r>
        <w:noBreakHyphen/>
        <w:t>in transaction is a concessional farm</w:t>
      </w:r>
      <w:r>
        <w:noBreakHyphen/>
        <w:t xml:space="preserve">in transaction if — </w:t>
      </w:r>
    </w:p>
    <w:p>
      <w:pPr>
        <w:pStyle w:val="Indenta"/>
      </w:pPr>
      <w:r>
        <w:tab/>
        <w:t>(a)</w:t>
      </w:r>
      <w:r>
        <w:tab/>
        <w:t>section 91M(1)(a)(i) and (c)(i) apply; and</w:t>
      </w:r>
    </w:p>
    <w:p>
      <w:pPr>
        <w:pStyle w:val="Indenta"/>
      </w:pPr>
      <w:r>
        <w:tab/>
        <w:t>(b)</w:t>
      </w:r>
      <w:r>
        <w:tab/>
        <w:t>each relevant mining tenement for the additional farm</w:t>
      </w:r>
      <w:r>
        <w:noBreakHyphen/>
        <w:t xml:space="preserve">in transaction is also either of the following — </w:t>
      </w:r>
    </w:p>
    <w:p>
      <w:pPr>
        <w:pStyle w:val="Indenti"/>
      </w:pPr>
      <w:r>
        <w:tab/>
        <w:t>(i)</w:t>
      </w:r>
      <w:r>
        <w:tab/>
        <w:t>a relevant mining tenement for a concessional farm</w:t>
      </w:r>
      <w:r>
        <w:noBreakHyphen/>
        <w:t>in transaction that was contained in the farm</w:t>
      </w:r>
      <w:r>
        <w:noBreakHyphen/>
        <w:t>in agreement when the farm</w:t>
      </w:r>
      <w:r>
        <w:noBreakHyphen/>
        <w:t>in agreement was made;</w:t>
      </w:r>
    </w:p>
    <w:p>
      <w:pPr>
        <w:pStyle w:val="Indenti"/>
        <w:keepNext/>
      </w:pPr>
      <w:r>
        <w:tab/>
        <w:t>(ii)</w:t>
      </w:r>
      <w:r>
        <w:tab/>
        <w:t>a replacement mining tenement for a relevant mining tenement referred to in subparagraph (i);</w:t>
      </w:r>
    </w:p>
    <w:p>
      <w:pPr>
        <w:pStyle w:val="Indenta"/>
        <w:keepNext/>
      </w:pPr>
      <w:r>
        <w:tab/>
      </w:r>
      <w:r>
        <w:tab/>
        <w:t>and</w:t>
      </w:r>
    </w:p>
    <w:p>
      <w:pPr>
        <w:pStyle w:val="Indenta"/>
      </w:pPr>
      <w:r>
        <w:tab/>
        <w:t>(c)</w:t>
      </w:r>
      <w:r>
        <w:tab/>
        <w:t>when the additional farm</w:t>
      </w:r>
      <w:r>
        <w:noBreakHyphen/>
        <w:t>in transaction is added to the farm</w:t>
      </w:r>
      <w:r>
        <w:noBreakHyphen/>
        <w:t>in agreement, the farmee is not the holder, or 1 of the holders, of any relevant mining tenement for the additional farm</w:t>
      </w:r>
      <w:r>
        <w:noBreakHyphen/>
        <w:t>in transaction.</w:t>
      </w:r>
    </w:p>
    <w:p>
      <w:pPr>
        <w:pStyle w:val="Subsection"/>
      </w:pPr>
      <w:r>
        <w:tab/>
        <w:t>(4)</w:t>
      </w:r>
      <w:r>
        <w:tab/>
        <w:t>The additional farm</w:t>
      </w:r>
      <w:r>
        <w:noBreakHyphen/>
        <w:t>in transaction is a concessional farm</w:t>
      </w:r>
      <w:r>
        <w:noBreakHyphen/>
        <w:t xml:space="preserve">in transaction if — </w:t>
      </w:r>
    </w:p>
    <w:p>
      <w:pPr>
        <w:pStyle w:val="Indenta"/>
      </w:pPr>
      <w:r>
        <w:tab/>
        <w:t>(a)</w:t>
      </w:r>
      <w:r>
        <w:tab/>
        <w:t>section 91M(1)(a)(ii) applies; and</w:t>
      </w:r>
    </w:p>
    <w:p>
      <w:pPr>
        <w:pStyle w:val="Indenta"/>
      </w:pPr>
      <w:r>
        <w:tab/>
        <w:t>(b)</w:t>
      </w:r>
      <w:r>
        <w:tab/>
        <w:t>each relevant derivative mining right for the additional farm</w:t>
      </w:r>
      <w:r>
        <w:noBreakHyphen/>
        <w:t xml:space="preserve">in transaction is also either of the following — </w:t>
      </w:r>
    </w:p>
    <w:p>
      <w:pPr>
        <w:pStyle w:val="Indenti"/>
      </w:pPr>
      <w:r>
        <w:tab/>
        <w:t>(i)</w:t>
      </w:r>
      <w:r>
        <w:tab/>
        <w:t>a relevant derivative mining right for a concessional farm</w:t>
      </w:r>
      <w:r>
        <w:noBreakHyphen/>
        <w:t>in transaction that was contained in the farm</w:t>
      </w:r>
      <w:r>
        <w:noBreakHyphen/>
        <w:t>in agreement when the farm</w:t>
      </w:r>
      <w:r>
        <w:noBreakHyphen/>
        <w:t>in agreement was made;</w:t>
      </w:r>
    </w:p>
    <w:p>
      <w:pPr>
        <w:pStyle w:val="Indenti"/>
      </w:pPr>
      <w:r>
        <w:tab/>
        <w:t>(ii)</w:t>
      </w:r>
      <w:r>
        <w:tab/>
        <w:t>a replacement derivative mining right for a relevant derivative mining right referred to in subparagraph (i);</w:t>
      </w:r>
    </w:p>
    <w:p>
      <w:pPr>
        <w:pStyle w:val="Indenta"/>
      </w:pPr>
      <w:r>
        <w:tab/>
      </w:r>
      <w:r>
        <w:tab/>
        <w:t>and</w:t>
      </w:r>
    </w:p>
    <w:p>
      <w:pPr>
        <w:pStyle w:val="Indenta"/>
      </w:pPr>
      <w:r>
        <w:tab/>
        <w:t>(c)</w:t>
      </w:r>
      <w:r>
        <w:tab/>
        <w:t>the Commissioner is satisfied that, when the additional farm</w:t>
      </w:r>
      <w:r>
        <w:noBreakHyphen/>
        <w:t>in transaction is added to the farm</w:t>
      </w:r>
      <w:r>
        <w:noBreakHyphen/>
        <w:t>in agreement, the farmee is not the holder, or 1 of the holders, of any relevant derivative mining right for the additional farm</w:t>
      </w:r>
      <w:r>
        <w:noBreakHyphen/>
        <w:t>in transaction.</w:t>
      </w:r>
    </w:p>
    <w:p>
      <w:pPr>
        <w:pStyle w:val="Subsection"/>
      </w:pPr>
      <w:r>
        <w:tab/>
        <w:t>(5)</w:t>
      </w:r>
      <w:r>
        <w:tab/>
        <w:t>If the additional farm</w:t>
      </w:r>
      <w:r>
        <w:noBreakHyphen/>
        <w:t>in transaction is a concessional farm</w:t>
      </w:r>
      <w:r>
        <w:noBreakHyphen/>
        <w:t>in transaction, the Commissioner may, for the purpose of applying section 91P(3), (5) or (6), reassess the duty chargeable on any other concessional farm</w:t>
      </w:r>
      <w:r>
        <w:noBreakHyphen/>
        <w:t>in transaction contained in the farm</w:t>
      </w:r>
      <w:r>
        <w:noBreakHyphen/>
        <w:t xml:space="preserve">in agreement — </w:t>
      </w:r>
    </w:p>
    <w:p>
      <w:pPr>
        <w:pStyle w:val="Indenta"/>
      </w:pPr>
      <w:r>
        <w:tab/>
        <w:t>(a)</w:t>
      </w:r>
      <w:r>
        <w:tab/>
        <w:t>on the Commissioner’s own initiative; or</w:t>
      </w:r>
    </w:p>
    <w:p>
      <w:pPr>
        <w:pStyle w:val="Indenta"/>
      </w:pPr>
      <w:r>
        <w:tab/>
        <w:t>(b)</w:t>
      </w:r>
      <w:r>
        <w:tab/>
        <w:t>on the application of the taxpayer.</w:t>
      </w:r>
    </w:p>
    <w:p>
      <w:pPr>
        <w:pStyle w:val="Subsection"/>
      </w:pPr>
      <w:r>
        <w:tab/>
        <w:t>(6)</w:t>
      </w:r>
      <w:r>
        <w:tab/>
        <w:t>For the purposes of a reassessment under subsection (5) of the duty chargeable on a concessional farm</w:t>
      </w:r>
      <w:r>
        <w:noBreakHyphen/>
        <w:t>in transaction, the concessional farm</w:t>
      </w:r>
      <w:r>
        <w:noBreakHyphen/>
        <w:t>in transaction is to be taken to have been made when the additional farm</w:t>
      </w:r>
      <w:r>
        <w:noBreakHyphen/>
        <w:t>in transaction is added to the farm</w:t>
      </w:r>
      <w:r>
        <w:noBreakHyphen/>
        <w:t>in agreement.</w:t>
      </w:r>
    </w:p>
    <w:p>
      <w:pPr>
        <w:pStyle w:val="Subsection"/>
      </w:pPr>
      <w:r>
        <w:tab/>
        <w:t>(7)</w:t>
      </w:r>
      <w:r>
        <w:tab/>
        <w:t xml:space="preserve">For the purposes of a reassessment under subsection (5), the Taxation Administration Act section 17 applies as if — </w:t>
      </w:r>
    </w:p>
    <w:p>
      <w:pPr>
        <w:pStyle w:val="Indenta"/>
      </w:pPr>
      <w:r>
        <w:tab/>
        <w:t>(a)</w:t>
      </w:r>
      <w:r>
        <w:tab/>
        <w:t xml:space="preserve">in subsection (1) of that section, the reference to 5 years after the original assessment was made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Indenta"/>
      </w:pPr>
      <w:r>
        <w:tab/>
      </w:r>
      <w:r>
        <w:tab/>
        <w:t>and</w:t>
      </w:r>
    </w:p>
    <w:p>
      <w:pPr>
        <w:pStyle w:val="Indenta"/>
      </w:pPr>
      <w:r>
        <w:tab/>
        <w:t>(b)</w:t>
      </w:r>
      <w:r>
        <w:tab/>
        <w:t xml:space="preserve">in subsection (4) of that section, references to 5 years after the date of the original assessment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Footnotesection"/>
      </w:pPr>
      <w:r>
        <w:tab/>
        <w:t>[Section 91S inserted: No. 37 of 2022 s. 8.]</w:t>
      </w:r>
    </w:p>
    <w:p>
      <w:pPr>
        <w:pStyle w:val="Heading5"/>
        <w:keepNext w:val="0"/>
        <w:keepLines w:val="0"/>
      </w:pPr>
      <w:bookmarkStart w:id="394" w:name="_Toc161401211"/>
      <w:bookmarkStart w:id="395" w:name="_Toc154753708"/>
      <w:r>
        <w:rPr>
          <w:rStyle w:val="CharSectno"/>
        </w:rPr>
        <w:t>91T</w:t>
      </w:r>
      <w:r>
        <w:t>.</w:t>
      </w:r>
      <w:r>
        <w:tab/>
        <w:t>Variation to farm</w:t>
      </w:r>
      <w:r>
        <w:noBreakHyphen/>
        <w:t>in transaction</w:t>
      </w:r>
      <w:bookmarkEnd w:id="394"/>
      <w:bookmarkEnd w:id="395"/>
    </w:p>
    <w:p>
      <w:pPr>
        <w:pStyle w:val="Subsection"/>
      </w:pPr>
      <w:r>
        <w:tab/>
        <w:t>(1)</w:t>
      </w:r>
      <w:r>
        <w:tab/>
        <w:t>If an agreement that is a concessional farm</w:t>
      </w:r>
      <w:r>
        <w:noBreakHyphen/>
        <w:t>in transaction ceases to meet the requirements for a farm</w:t>
      </w:r>
      <w:r>
        <w:noBreakHyphen/>
        <w:t>in transaction set out in section 91M(1) to (5), the agreement ceases to be a concessional farm</w:t>
      </w:r>
      <w:r>
        <w:noBreakHyphen/>
        <w:t>in transaction accordingly.</w:t>
      </w:r>
    </w:p>
    <w:p>
      <w:pPr>
        <w:pStyle w:val="Subsection"/>
      </w:pPr>
      <w:r>
        <w:tab/>
        <w:t>(2)</w:t>
      </w:r>
      <w:r>
        <w:tab/>
        <w:t>Subsection (4) applies if an agreement that is a concessional farm</w:t>
      </w:r>
      <w:r>
        <w:noBreakHyphen/>
        <w:t xml:space="preserve">in transaction is varied so as to add a relevant mining tenement or relevant derivative mining right,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all of the following apply — </w:t>
      </w:r>
    </w:p>
    <w:p>
      <w:pPr>
        <w:pStyle w:val="Indenti"/>
      </w:pPr>
      <w:r>
        <w:tab/>
        <w:t>(i)</w:t>
      </w:r>
      <w:r>
        <w:tab/>
        <w:t>the relevant mining tenement is a prospecting licence or exploration licence or the relevant derivative mining right relates to a prospecting licence or exploration licence;</w:t>
      </w:r>
    </w:p>
    <w:p>
      <w:pPr>
        <w:pStyle w:val="Indenti"/>
      </w:pPr>
      <w:r>
        <w:tab/>
        <w:t>(ii)</w:t>
      </w:r>
      <w:r>
        <w:tab/>
        <w:t>the relevant mining tenement or relevant derivative mining right was granted after the concessional farm</w:t>
      </w:r>
      <w:r>
        <w:noBreakHyphen/>
        <w:t>in transaction was made;</w:t>
      </w:r>
    </w:p>
    <w:p>
      <w:pPr>
        <w:pStyle w:val="Indenti"/>
      </w:pPr>
      <w:r>
        <w:tab/>
        <w:t>(iii)</w:t>
      </w:r>
      <w:r>
        <w:tab/>
        <w:t>the variation occurs within 3 months after the day on which the relevant mining tenement or relevant derivative mining right was granted or within a longer period allowed by the Commissioner;</w:t>
      </w:r>
    </w:p>
    <w:p>
      <w:pPr>
        <w:pStyle w:val="Indenta"/>
      </w:pPr>
      <w:r>
        <w:tab/>
        <w:t>(c)</w:t>
      </w:r>
      <w:r>
        <w:tab/>
        <w:t>any circumstances prescribed for the purposes of this paragraph.</w:t>
      </w:r>
    </w:p>
    <w:p>
      <w:pPr>
        <w:pStyle w:val="Subsection"/>
      </w:pPr>
      <w:r>
        <w:tab/>
        <w:t>(3)</w:t>
      </w:r>
      <w:r>
        <w:tab/>
        <w:t>Subsection (4) also applies if an agreement that is a concessional farm</w:t>
      </w:r>
      <w:r>
        <w:noBreakHyphen/>
        <w:t xml:space="preserve">in transaction is varied so as to increase the interest in a relevant mining tenement, or in a relevant derivative mining right, that the farmee is to acquire, or might acquire, as contemplated in section 91M(1)(c)(i) or (d),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as the case requires — </w:t>
      </w:r>
    </w:p>
    <w:p>
      <w:pPr>
        <w:pStyle w:val="Indenti"/>
      </w:pPr>
      <w:r>
        <w:tab/>
        <w:t>(i)</w:t>
      </w:r>
      <w:r>
        <w:tab/>
        <w:t>the farmee is not the holder, or 1 of the holders, of the relevant mining tenement when the variation occurs; or</w:t>
      </w:r>
    </w:p>
    <w:p>
      <w:pPr>
        <w:pStyle w:val="Indenti"/>
        <w:keepNext/>
        <w:keepLines/>
      </w:pPr>
      <w:r>
        <w:tab/>
        <w:t>(ii)</w:t>
      </w:r>
      <w:r>
        <w:tab/>
        <w:t>the Commissioner is satisfied that, when the variation occurs, the farmee is not the holder, or 1 of the holders, of the relevant derivative mining right;</w:t>
      </w:r>
    </w:p>
    <w:p>
      <w:pPr>
        <w:pStyle w:val="Indenta"/>
      </w:pPr>
      <w:r>
        <w:tab/>
        <w:t>(c)</w:t>
      </w:r>
      <w:r>
        <w:tab/>
        <w:t>any circumstances prescribed for the purposes of this paragraph.</w:t>
      </w:r>
    </w:p>
    <w:p>
      <w:pPr>
        <w:pStyle w:val="Subsection"/>
      </w:pPr>
      <w:r>
        <w:tab/>
        <w:t>(4)</w:t>
      </w:r>
      <w:r>
        <w:tab/>
        <w:t>The agreement is taken not to be a concessional farm</w:t>
      </w:r>
      <w:r>
        <w:noBreakHyphen/>
        <w:t xml:space="preserve">in transaction to the extent that the agreement relates to — </w:t>
      </w:r>
    </w:p>
    <w:p>
      <w:pPr>
        <w:pStyle w:val="Indenta"/>
      </w:pPr>
      <w:r>
        <w:tab/>
        <w:t>(a)</w:t>
      </w:r>
      <w:r>
        <w:tab/>
        <w:t>the relevant mining tenement or relevant derivative mining right that is added; or</w:t>
      </w:r>
    </w:p>
    <w:p>
      <w:pPr>
        <w:pStyle w:val="Indenta"/>
      </w:pPr>
      <w:r>
        <w:tab/>
        <w:t>(b)</w:t>
      </w:r>
      <w:r>
        <w:tab/>
        <w:t>the increase in the interest in the relevant mining tenement or relevant derivative mining right.</w:t>
      </w:r>
    </w:p>
    <w:p>
      <w:pPr>
        <w:pStyle w:val="Subsection"/>
      </w:pPr>
      <w:r>
        <w:tab/>
        <w:t>(5)</w:t>
      </w:r>
      <w:r>
        <w:tab/>
        <w:t>Regulations may prescribe circumstances in which, if an agreement that is a concessional farm</w:t>
      </w:r>
      <w:r>
        <w:noBreakHyphen/>
        <w:t xml:space="preserve">in transaction is varied, the agreement — </w:t>
      </w:r>
    </w:p>
    <w:p>
      <w:pPr>
        <w:pStyle w:val="Indenta"/>
      </w:pPr>
      <w:r>
        <w:tab/>
        <w:t>(a)</w:t>
      </w:r>
      <w:r>
        <w:tab/>
        <w:t>ceases to be a concessional farm</w:t>
      </w:r>
      <w:r>
        <w:noBreakHyphen/>
        <w:t>in transaction; or</w:t>
      </w:r>
    </w:p>
    <w:p>
      <w:pPr>
        <w:pStyle w:val="Indenta"/>
      </w:pPr>
      <w:r>
        <w:tab/>
        <w:t>(b)</w:t>
      </w:r>
      <w:r>
        <w:tab/>
        <w:t>is taken</w:t>
      </w:r>
      <w:r>
        <w:rPr>
          <w:b/>
        </w:rPr>
        <w:t xml:space="preserve"> </w:t>
      </w:r>
      <w:r>
        <w:t>not to be a concessional farm</w:t>
      </w:r>
      <w:r>
        <w:noBreakHyphen/>
        <w:t>in transaction to a prescribed extent.</w:t>
      </w:r>
    </w:p>
    <w:p>
      <w:pPr>
        <w:pStyle w:val="Subsection"/>
      </w:pPr>
      <w:r>
        <w:tab/>
        <w:t>(6)</w:t>
      </w:r>
      <w:r>
        <w:tab/>
        <w:t xml:space="preserve">Subsections (7) to (10) apply if, at any time (the </w:t>
      </w:r>
      <w:r>
        <w:rPr>
          <w:rStyle w:val="CharDefText"/>
        </w:rPr>
        <w:t>relevant time</w:t>
      </w:r>
      <w:r>
        <w:t xml:space="preserve">), under this section or under regulations made for the purposes of subsection (5) — </w:t>
      </w:r>
    </w:p>
    <w:p>
      <w:pPr>
        <w:pStyle w:val="Indenta"/>
      </w:pPr>
      <w:r>
        <w:tab/>
        <w:t>(a)</w:t>
      </w:r>
      <w:r>
        <w:tab/>
        <w:t>an agreement ceases to be a concessional farm</w:t>
      </w:r>
      <w:r>
        <w:noBreakHyphen/>
        <w:t>in transaction; or</w:t>
      </w:r>
    </w:p>
    <w:p>
      <w:pPr>
        <w:pStyle w:val="Indenta"/>
      </w:pPr>
      <w:r>
        <w:tab/>
        <w:t>(b)</w:t>
      </w:r>
      <w:r>
        <w:tab/>
        <w:t>an agreement is taken not to be a concessional farm</w:t>
      </w:r>
      <w:r>
        <w:noBreakHyphen/>
        <w:t>in transaction to an extent.</w:t>
      </w:r>
    </w:p>
    <w:p>
      <w:pPr>
        <w:pStyle w:val="Subsection"/>
      </w:pPr>
      <w:r>
        <w:tab/>
        <w:t>(7)</w:t>
      </w:r>
      <w:r>
        <w:tab/>
        <w:t>If, as the agreement stands at the relevant time, the agreement gives effect to, or evidences, a dutiable transaction that is not a concessional farm</w:t>
      </w:r>
      <w:r>
        <w:noBreakHyphen/>
        <w:t xml:space="preserve">in transaction — </w:t>
      </w:r>
    </w:p>
    <w:p>
      <w:pPr>
        <w:pStyle w:val="Indenta"/>
      </w:pPr>
      <w:r>
        <w:tab/>
        <w:t>(a)</w:t>
      </w:r>
      <w:r>
        <w:tab/>
        <w:t>duty is chargeable on the dutiable transaction as if the dutiable transaction had occurred at the relevant time; and</w:t>
      </w:r>
    </w:p>
    <w:p>
      <w:pPr>
        <w:pStyle w:val="Indenta"/>
        <w:keepNext/>
      </w:pPr>
      <w:r>
        <w:tab/>
        <w:t>(b)</w:t>
      </w:r>
      <w:r>
        <w:tab/>
        <w:t>the other provisions of this Act apply accordingly.</w:t>
      </w:r>
    </w:p>
    <w:p>
      <w:pPr>
        <w:pStyle w:val="Subsection"/>
      </w:pPr>
      <w:r>
        <w:tab/>
        <w:t>(8)</w:t>
      </w:r>
      <w:r>
        <w:tab/>
        <w:t>If subsection (7) applies because of subsection (6)(b), the reference in subsection (7) to the agreement is to the agreement to the extent that it is taken not to be a concessional farm</w:t>
      </w:r>
      <w:r>
        <w:noBreakHyphen/>
        <w:t>in transaction.</w:t>
      </w:r>
    </w:p>
    <w:p>
      <w:pPr>
        <w:pStyle w:val="Subsection"/>
      </w:pPr>
      <w:r>
        <w:tab/>
        <w:t>(9)</w:t>
      </w:r>
      <w:r>
        <w:tab/>
        <w:t>The ceasing of the agreement to be a concessional farm</w:t>
      </w:r>
      <w:r>
        <w:noBreakHyphen/>
        <w:t>in transaction, or the taking of the agreement not to be a concessional farm</w:t>
      </w:r>
      <w:r>
        <w:noBreakHyphen/>
        <w:t>in transaction to an extent, does not affect any liability for duty that arose before the relevant time.</w:t>
      </w:r>
    </w:p>
    <w:p>
      <w:pPr>
        <w:pStyle w:val="Subsection"/>
      </w:pPr>
      <w:r>
        <w:tab/>
        <w:t>(10)</w:t>
      </w:r>
      <w:r>
        <w:tab/>
        <w:t>However, nothing in this section, or in regulations made for the purposes of subsection (5), prevents section 107 from applying to the agreement as a concessional farm</w:t>
      </w:r>
      <w:r>
        <w:noBreakHyphen/>
        <w:t>in transaction if the event giving rise to the application of this section or those regulations would, apart from this section or those regulations, cause the agreement to become a cancelled transaction as defined in that section.</w:t>
      </w:r>
    </w:p>
    <w:p>
      <w:pPr>
        <w:pStyle w:val="Footnotesection"/>
      </w:pPr>
      <w:r>
        <w:tab/>
        <w:t>[Section 91T inserted: No. 37 of 2022 s. 8.]</w:t>
      </w:r>
    </w:p>
    <w:p>
      <w:pPr>
        <w:pStyle w:val="Heading4"/>
        <w:keepNext w:val="0"/>
      </w:pPr>
      <w:bookmarkStart w:id="396" w:name="_Toc161400554"/>
      <w:bookmarkStart w:id="397" w:name="_Toc161401212"/>
      <w:bookmarkStart w:id="398" w:name="_Toc154753709"/>
      <w:r>
        <w:rPr>
          <w:sz w:val="26"/>
          <w:szCs w:val="26"/>
        </w:rPr>
        <w:t>Subdivision 5 — Other provisions</w:t>
      </w:r>
      <w:bookmarkEnd w:id="396"/>
      <w:bookmarkEnd w:id="397"/>
      <w:bookmarkEnd w:id="398"/>
    </w:p>
    <w:p>
      <w:pPr>
        <w:pStyle w:val="Footnoteheading"/>
      </w:pPr>
      <w:r>
        <w:tab/>
        <w:t>[Heading inserted: No. 37 of 2022 s. 8.]</w:t>
      </w:r>
    </w:p>
    <w:p>
      <w:pPr>
        <w:pStyle w:val="Heading5"/>
        <w:keepNext w:val="0"/>
        <w:keepLines w:val="0"/>
      </w:pPr>
      <w:bookmarkStart w:id="399" w:name="_Toc161401213"/>
      <w:bookmarkStart w:id="400" w:name="_Toc154753710"/>
      <w:r>
        <w:rPr>
          <w:rStyle w:val="CharSectno"/>
        </w:rPr>
        <w:t>91U</w:t>
      </w:r>
      <w:r>
        <w:t>.</w:t>
      </w:r>
      <w:r>
        <w:tab/>
        <w:t>Farm</w:t>
      </w:r>
      <w:r>
        <w:noBreakHyphen/>
        <w:t>in transactions relating to prospecting licences</w:t>
      </w:r>
      <w:bookmarkEnd w:id="399"/>
      <w:bookmarkEnd w:id="400"/>
    </w:p>
    <w:p>
      <w:pPr>
        <w:pStyle w:val="Subsection"/>
      </w:pPr>
      <w:r>
        <w:tab/>
        <w:t>(1)</w:t>
      </w:r>
      <w:r>
        <w:tab/>
        <w:t xml:space="preserve">In this section — </w:t>
      </w:r>
    </w:p>
    <w:p>
      <w:pPr>
        <w:pStyle w:val="Defstart"/>
      </w:pPr>
      <w:r>
        <w:tab/>
      </w:r>
      <w:r>
        <w:rPr>
          <w:rStyle w:val="CharDefText"/>
        </w:rPr>
        <w:t>non</w:t>
      </w:r>
      <w:r>
        <w:rPr>
          <w:rStyle w:val="CharDefText"/>
        </w:rPr>
        <w:noBreakHyphen/>
        <w:t>prospecting interest</w:t>
      </w:r>
      <w:r>
        <w:t>, in relation to a farm</w:t>
      </w:r>
      <w:r>
        <w:noBreakHyphen/>
        <w:t xml:space="preserve">in transaction, means — </w:t>
      </w:r>
    </w:p>
    <w:p>
      <w:pPr>
        <w:pStyle w:val="Defpara"/>
      </w:pPr>
      <w:r>
        <w:tab/>
        <w:t>(a)</w:t>
      </w:r>
      <w:r>
        <w:tab/>
        <w:t>an interest in a non</w:t>
      </w:r>
      <w:r>
        <w:noBreakHyphen/>
        <w:t>prospecting mining tenement in a case where the non</w:t>
      </w:r>
      <w:r>
        <w:noBreakHyphen/>
        <w:t>prospecting mining tenement is a replacement mining tenement for a relevant mining tenement; or</w:t>
      </w:r>
    </w:p>
    <w:p>
      <w:pPr>
        <w:pStyle w:val="Defpara"/>
      </w:pPr>
      <w:r>
        <w:tab/>
        <w:t>(b)</w:t>
      </w:r>
      <w:r>
        <w:tab/>
        <w:t>a derivative mining right that relates to a non</w:t>
      </w:r>
      <w:r>
        <w:noBreakHyphen/>
        <w:t>prospecting mining tenement in a case where the non</w:t>
      </w:r>
      <w:r>
        <w:noBreakHyphen/>
        <w:t>prospecting mining tenement is a replacement mining tenement for a relevant mining tenement; or</w:t>
      </w:r>
    </w:p>
    <w:p>
      <w:pPr>
        <w:pStyle w:val="Defpara"/>
      </w:pPr>
      <w:r>
        <w:tab/>
        <w:t>(c)</w:t>
      </w:r>
      <w:r>
        <w:tab/>
        <w:t xml:space="preserve">an interest in a derivative mining right in a case where the derivative mining right — </w:t>
      </w:r>
    </w:p>
    <w:p>
      <w:pPr>
        <w:pStyle w:val="Defsubpara"/>
        <w:keepLines w:val="0"/>
      </w:pPr>
      <w:r>
        <w:tab/>
        <w:t>(i)</w:t>
      </w:r>
      <w:r>
        <w:tab/>
        <w:t>is a replacement derivative mining right for a relevant derivative mining right; and</w:t>
      </w:r>
    </w:p>
    <w:p>
      <w:pPr>
        <w:pStyle w:val="Defsubpara"/>
        <w:keepLines w:val="0"/>
      </w:pPr>
      <w:r>
        <w:tab/>
        <w:t>(ii)</w:t>
      </w:r>
      <w:r>
        <w:tab/>
        <w:t>relates to a non</w:t>
      </w:r>
      <w:r>
        <w:noBreakHyphen/>
        <w:t>prospecting mining tenement;</w:t>
      </w:r>
    </w:p>
    <w:p>
      <w:pPr>
        <w:pStyle w:val="Defstart"/>
      </w:pPr>
      <w:r>
        <w:tab/>
      </w:r>
      <w:r>
        <w:rPr>
          <w:rStyle w:val="CharDefText"/>
        </w:rPr>
        <w:t>non</w:t>
      </w:r>
      <w:r>
        <w:rPr>
          <w:rStyle w:val="CharDefText"/>
        </w:rPr>
        <w:noBreakHyphen/>
        <w:t>prospecting mining tenement</w:t>
      </w:r>
      <w:r>
        <w:t xml:space="preserve"> means a mining tenement that is not a prospecting licence;</w:t>
      </w:r>
    </w:p>
    <w:p>
      <w:pPr>
        <w:pStyle w:val="Defstart"/>
      </w:pPr>
      <w:r>
        <w:tab/>
      </w:r>
      <w:r>
        <w:rPr>
          <w:rStyle w:val="CharDefText"/>
        </w:rPr>
        <w:t>prospecting farm</w:t>
      </w:r>
      <w:r>
        <w:rPr>
          <w:rStyle w:val="CharDefText"/>
        </w:rPr>
        <w:noBreakHyphen/>
        <w:t>in transaction</w:t>
      </w:r>
      <w:r>
        <w:t xml:space="preserve"> means a farm</w:t>
      </w:r>
      <w:r>
        <w:noBreakHyphen/>
        <w:t>in transaction contained in a farm</w:t>
      </w:r>
      <w:r>
        <w:noBreakHyphen/>
        <w:t xml:space="preserve">in agreement in a case where — </w:t>
      </w:r>
    </w:p>
    <w:p>
      <w:pPr>
        <w:pStyle w:val="Defpara"/>
      </w:pPr>
      <w:r>
        <w:tab/>
        <w:t>(a)</w:t>
      </w:r>
      <w:r>
        <w:tab/>
        <w:t xml:space="preserve">if only section 91M(1)(a)(i) applies — </w:t>
      </w:r>
    </w:p>
    <w:p>
      <w:pPr>
        <w:pStyle w:val="Defsubpara"/>
        <w:keepLines w:val="0"/>
      </w:pPr>
      <w:r>
        <w:tab/>
        <w:t>(i)</w:t>
      </w:r>
      <w:r>
        <w:tab/>
        <w:t>each relevant mining tenement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(b)</w:t>
      </w:r>
      <w:r>
        <w:tab/>
        <w:t xml:space="preserve">if only section 91M(1)(a)(ii) applies — </w:t>
      </w:r>
    </w:p>
    <w:p>
      <w:pPr>
        <w:pStyle w:val="Defsubpara"/>
        <w:keepLines w:val="0"/>
      </w:pPr>
      <w:r>
        <w:tab/>
        <w:t>(i)</w:t>
      </w:r>
      <w:r>
        <w:tab/>
        <w:t>each relevant derivative mining right relates to a mining tenement that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(c)</w:t>
      </w:r>
      <w:r>
        <w:tab/>
        <w:t xml:space="preserve">if both section 91M(1)(a)(i) and (ii) apply — </w:t>
      </w:r>
    </w:p>
    <w:p>
      <w:pPr>
        <w:pStyle w:val="Defsubpara"/>
        <w:keepLines w:val="0"/>
      </w:pPr>
      <w:r>
        <w:tab/>
        <w:t>(i)</w:t>
      </w:r>
      <w:r>
        <w:tab/>
        <w:t>each relevant mining tenement is a prospecting licence; and</w:t>
      </w:r>
    </w:p>
    <w:p>
      <w:pPr>
        <w:pStyle w:val="Defsubpara"/>
        <w:keepLines w:val="0"/>
      </w:pPr>
      <w:r>
        <w:tab/>
        <w:t>(ii)</w:t>
      </w:r>
      <w:r>
        <w:tab/>
        <w:t>each relevant derivative mining right relates to a mining tenement that is a prospecting licence; and</w:t>
      </w:r>
    </w:p>
    <w:p>
      <w:pPr>
        <w:pStyle w:val="Defsubpara"/>
        <w:keepLines w:val="0"/>
      </w:pPr>
      <w:r>
        <w:tab/>
        <w:t>(iii)</w:t>
      </w:r>
      <w:r>
        <w:tab/>
        <w:t>apart from this section, section 91L(4) would not prevent the farm</w:t>
      </w:r>
      <w:r>
        <w:noBreakHyphen/>
        <w:t>in transaction from being a concessional farm</w:t>
      </w:r>
      <w:r>
        <w:noBreakHyphen/>
        <w:t>in transaction.</w:t>
      </w:r>
    </w:p>
    <w:p>
      <w:pPr>
        <w:pStyle w:val="Subsection"/>
      </w:pPr>
      <w:r>
        <w:tab/>
        <w:t>(2)</w:t>
      </w:r>
      <w:r>
        <w:tab/>
        <w:t>Section 91DA does not prevent a concessional farm</w:t>
      </w:r>
      <w:r>
        <w:noBreakHyphen/>
        <w:t>in transaction from being a dutiable transaction.</w:t>
      </w:r>
    </w:p>
    <w:p>
      <w:pPr>
        <w:pStyle w:val="Subsection"/>
      </w:pPr>
      <w:r>
        <w:tab/>
        <w:t>(3)</w:t>
      </w:r>
      <w:r>
        <w:tab/>
        <w:t>Subject to subsections (6) and (8), a prospecting farm</w:t>
      </w:r>
      <w:r>
        <w:noBreakHyphen/>
        <w:t>in transaction is neither a concessional farm</w:t>
      </w:r>
      <w:r>
        <w:noBreakHyphen/>
        <w:t>in transaction nor a dutiable transaction.</w:t>
      </w:r>
    </w:p>
    <w:p>
      <w:pPr>
        <w:pStyle w:val="Subsection"/>
      </w:pPr>
      <w:r>
        <w:tab/>
        <w:t>(4)</w:t>
      </w:r>
      <w:r>
        <w:tab/>
        <w:t>Subsection (6) applies to a farm</w:t>
      </w:r>
      <w:r>
        <w:noBreakHyphen/>
        <w:t>in transaction that is a prospecting farm</w:t>
      </w:r>
      <w:r>
        <w:noBreakHyphen/>
        <w:t>in transaction if a dutiable transaction involving a non</w:t>
      </w:r>
      <w:r>
        <w:noBreakHyphen/>
        <w:t xml:space="preserve">prospecting interest (the </w:t>
      </w:r>
      <w:r>
        <w:rPr>
          <w:rStyle w:val="CharDefText"/>
        </w:rPr>
        <w:t>non</w:t>
      </w:r>
      <w:r>
        <w:rPr>
          <w:rStyle w:val="CharDefText"/>
        </w:rPr>
        <w:noBreakHyphen/>
        <w:t>prospecting dutiable transaction</w:t>
      </w:r>
      <w:r>
        <w:t xml:space="preserve">) occurs — </w:t>
      </w:r>
    </w:p>
    <w:p>
      <w:pPr>
        <w:pStyle w:val="Indenta"/>
      </w:pPr>
      <w:r>
        <w:tab/>
        <w:t>(a)</w:t>
      </w:r>
      <w:r>
        <w:tab/>
        <w:t>under the farm</w:t>
      </w:r>
      <w:r>
        <w:noBreakHyphen/>
        <w:t>in transaction as contemplated in section 91M(1)(c) or (d); and</w:t>
      </w:r>
    </w:p>
    <w:p>
      <w:pPr>
        <w:pStyle w:val="Indenta"/>
      </w:pPr>
      <w:r>
        <w:tab/>
        <w:t>(b)</w:t>
      </w:r>
      <w:r>
        <w:tab/>
        <w:t>without limiting paragraph (a), after the farmee has fulfilled the exploration requirement.</w:t>
      </w:r>
    </w:p>
    <w:p>
      <w:pPr>
        <w:pStyle w:val="Subsection"/>
      </w:pPr>
      <w:r>
        <w:tab/>
        <w:t>(5)</w:t>
      </w:r>
      <w:r>
        <w:tab/>
        <w:t>Subsection (6) also applies to a farm</w:t>
      </w:r>
      <w:r>
        <w:noBreakHyphen/>
        <w:t>in transaction that is a prospecting farm</w:t>
      </w:r>
      <w:r>
        <w:noBreakHyphen/>
        <w:t xml:space="preserve">in transaction if — </w:t>
      </w:r>
    </w:p>
    <w:p>
      <w:pPr>
        <w:pStyle w:val="Indenta"/>
      </w:pPr>
      <w:r>
        <w:tab/>
        <w:t>(a)</w:t>
      </w:r>
      <w:r>
        <w:tab/>
        <w:t>a dutiable transaction involving a non</w:t>
      </w:r>
      <w:r>
        <w:noBreakHyphen/>
        <w:t xml:space="preserve">prospecting interest (the </w:t>
      </w:r>
      <w:r>
        <w:rPr>
          <w:rStyle w:val="CharDefText"/>
        </w:rPr>
        <w:t>non</w:t>
      </w:r>
      <w:r>
        <w:rPr>
          <w:rStyle w:val="CharDefText"/>
        </w:rPr>
        <w:noBreakHyphen/>
        <w:t>prospecting dutiable transaction</w:t>
      </w:r>
      <w:r>
        <w:t>) occurs; and</w:t>
      </w:r>
    </w:p>
    <w:p>
      <w:pPr>
        <w:pStyle w:val="Indenta"/>
      </w:pPr>
      <w:r>
        <w:tab/>
        <w:t>(b)</w:t>
      </w:r>
      <w:r>
        <w:tab/>
        <w:t>the non</w:t>
      </w:r>
      <w:r>
        <w:noBreakHyphen/>
        <w:t xml:space="preserve">prospecting dutiable transaction — </w:t>
      </w:r>
    </w:p>
    <w:p>
      <w:pPr>
        <w:pStyle w:val="Indenti"/>
      </w:pPr>
      <w:r>
        <w:tab/>
        <w:t>(i)</w:t>
      </w:r>
      <w:r>
        <w:tab/>
        <w:t>is in lieu of a transaction that, had it occurred, would have been under the farm</w:t>
      </w:r>
      <w:r>
        <w:noBreakHyphen/>
        <w:t>in transaction as contemplated in section 91M(1)(c) or (d); and</w:t>
      </w:r>
    </w:p>
    <w:p>
      <w:pPr>
        <w:pStyle w:val="Indenti"/>
      </w:pPr>
      <w:r>
        <w:tab/>
        <w:t>(ii)</w:t>
      </w:r>
      <w:r>
        <w:tab/>
        <w:t>would be a transaction under the farm</w:t>
      </w:r>
      <w:r>
        <w:noBreakHyphen/>
        <w:t>in transaction as contemplated in section 91M(1)(c) or (d) except only that the non</w:t>
      </w:r>
      <w:r>
        <w:noBreakHyphen/>
        <w:t>prospecting dutiable transaction involves a replacement mining tenement for a relevant mining tenement, or a replacement derivative mining right for a relevant derivative mining right, that was not anticipated in the farm</w:t>
      </w:r>
      <w:r>
        <w:noBreakHyphen/>
        <w:t>in transaction; and</w:t>
      </w:r>
    </w:p>
    <w:p>
      <w:pPr>
        <w:pStyle w:val="Indenti"/>
        <w:keepNext/>
        <w:keepLines/>
      </w:pPr>
      <w:r>
        <w:tab/>
        <w:t>(iii)</w:t>
      </w:r>
      <w:r>
        <w:tab/>
        <w:t>without limiting subparagraphs (i) and (ii), occurs after the farmee has fulfilled the exploration requirement for the farm</w:t>
      </w:r>
      <w:r>
        <w:noBreakHyphen/>
        <w:t>in transaction.</w:t>
      </w:r>
    </w:p>
    <w:p>
      <w:pPr>
        <w:pStyle w:val="Subsection"/>
      </w:pPr>
      <w:r>
        <w:tab/>
        <w:t>(6)</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when the non</w:t>
      </w:r>
      <w:r>
        <w:noBreakHyphen/>
        <w:t>prospecting dutiable transaction occurs;</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when the non</w:t>
      </w:r>
      <w:r>
        <w:noBreakHyphen/>
        <w:t>prospecting dutiable transaction occurs (despite the item for a concessional farm</w:t>
      </w:r>
      <w:r>
        <w:noBreakHyphen/>
        <w:t>in transaction in Schedule 1).</w:t>
      </w:r>
    </w:p>
    <w:p>
      <w:pPr>
        <w:pStyle w:val="Subsection"/>
      </w:pPr>
      <w:r>
        <w:tab/>
        <w:t>(7)</w:t>
      </w:r>
      <w:r>
        <w:tab/>
        <w:t xml:space="preserve">Subsection (8) applies if, at any time (the </w:t>
      </w:r>
      <w:r>
        <w:rPr>
          <w:rStyle w:val="CharDefText"/>
        </w:rPr>
        <w:t>relevant time</w:t>
      </w:r>
      <w:r>
        <w:t>), a farm</w:t>
      </w:r>
      <w:r>
        <w:noBreakHyphen/>
        <w:t>in transaction that is a prospecting farm</w:t>
      </w:r>
      <w:r>
        <w:noBreakHyphen/>
        <w:t xml:space="preserve">in transaction is varied so as to add — </w:t>
      </w:r>
    </w:p>
    <w:p>
      <w:pPr>
        <w:pStyle w:val="Indenta"/>
      </w:pPr>
      <w:r>
        <w:tab/>
        <w:t>(a)</w:t>
      </w:r>
      <w:r>
        <w:tab/>
        <w:t>a relevant mining tenement that is a non</w:t>
      </w:r>
      <w:r>
        <w:noBreakHyphen/>
        <w:t>prospecting mining tenement; or</w:t>
      </w:r>
    </w:p>
    <w:p>
      <w:pPr>
        <w:pStyle w:val="Indenta"/>
      </w:pPr>
      <w:r>
        <w:tab/>
        <w:t>(b)</w:t>
      </w:r>
      <w:r>
        <w:tab/>
        <w:t>a relevant derivative mining right that relates to a non</w:t>
      </w:r>
      <w:r>
        <w:noBreakHyphen/>
        <w:t>prospecting mining tenement.</w:t>
      </w:r>
    </w:p>
    <w:p>
      <w:pPr>
        <w:pStyle w:val="Subsection"/>
      </w:pPr>
      <w:r>
        <w:tab/>
        <w:t>(8)</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at the relevant time;</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at the relevant time (despite the item for a concessional farm</w:t>
      </w:r>
      <w:r>
        <w:noBreakHyphen/>
        <w:t>in transaction in Schedule 1).</w:t>
      </w:r>
    </w:p>
    <w:p>
      <w:pPr>
        <w:pStyle w:val="Subsection"/>
      </w:pPr>
      <w:r>
        <w:tab/>
        <w:t>(9)</w:t>
      </w:r>
      <w:r>
        <w:tab/>
        <w:t xml:space="preserve">The Commissioner may reassess the duty chargeable on any dutiable transaction for the purpose of applying subsection (6) or (8) — </w:t>
      </w:r>
    </w:p>
    <w:p>
      <w:pPr>
        <w:pStyle w:val="Indenta"/>
      </w:pPr>
      <w:r>
        <w:tab/>
        <w:t>(a)</w:t>
      </w:r>
      <w:r>
        <w:tab/>
        <w:t>on the Commissioner’s own initiative; or</w:t>
      </w:r>
    </w:p>
    <w:p>
      <w:pPr>
        <w:pStyle w:val="Indenta"/>
      </w:pPr>
      <w:r>
        <w:tab/>
        <w:t>(b)</w:t>
      </w:r>
      <w:r>
        <w:tab/>
        <w:t>on the application of the taxpayer.</w:t>
      </w:r>
    </w:p>
    <w:p>
      <w:pPr>
        <w:pStyle w:val="Subsection"/>
      </w:pPr>
      <w:r>
        <w:tab/>
        <w:t>(10)</w:t>
      </w:r>
      <w:r>
        <w:tab/>
        <w:t>The limitations as to time in the Taxation Administration Act section 17 do not apply in respect of a reassessment under subsection (9).</w:t>
      </w:r>
    </w:p>
    <w:p>
      <w:pPr>
        <w:pStyle w:val="Footnotesection"/>
      </w:pPr>
      <w:r>
        <w:tab/>
        <w:t>[Section 91U inserted: No. 37 of 2022 s. 8.]</w:t>
      </w:r>
    </w:p>
    <w:p>
      <w:pPr>
        <w:pStyle w:val="Heading5"/>
        <w:keepNext w:val="0"/>
        <w:keepLines w:val="0"/>
      </w:pPr>
      <w:bookmarkStart w:id="401" w:name="_Toc161401214"/>
      <w:bookmarkStart w:id="402" w:name="_Toc154753711"/>
      <w:r>
        <w:rPr>
          <w:rStyle w:val="CharSectno"/>
        </w:rPr>
        <w:t>91V</w:t>
      </w:r>
      <w:r>
        <w:t>.</w:t>
      </w:r>
      <w:r>
        <w:tab/>
        <w:t>Treatment of certain options under farm</w:t>
      </w:r>
      <w:r>
        <w:noBreakHyphen/>
        <w:t>in agreements</w:t>
      </w:r>
      <w:bookmarkEnd w:id="401"/>
      <w:bookmarkEnd w:id="402"/>
    </w:p>
    <w:p>
      <w:pPr>
        <w:pStyle w:val="Subsection"/>
      </w:pPr>
      <w:r>
        <w:tab/>
        <w:t>(1)</w:t>
      </w:r>
      <w:r>
        <w:tab/>
        <w:t xml:space="preserve">Subsection (2) applies if — </w:t>
      </w:r>
    </w:p>
    <w:p>
      <w:pPr>
        <w:pStyle w:val="Indenta"/>
      </w:pPr>
      <w:r>
        <w:tab/>
        <w:t>(a)</w:t>
      </w:r>
      <w:r>
        <w:tab/>
        <w:t>separately from any concessional farm</w:t>
      </w:r>
      <w:r>
        <w:noBreakHyphen/>
        <w:t>in transaction contained in it, a farm</w:t>
      </w:r>
      <w:r>
        <w:noBreakHyphen/>
        <w:t>in agreement provides, whether conditionally or not, for the grant to the farmee, after the making of the farm</w:t>
      </w:r>
      <w:r>
        <w:noBreakHyphen/>
        <w:t xml:space="preserve">in agreement, of an option to acquire an interest in — </w:t>
      </w:r>
    </w:p>
    <w:p>
      <w:pPr>
        <w:pStyle w:val="Indenti"/>
      </w:pPr>
      <w:r>
        <w:tab/>
        <w:t>(i)</w:t>
      </w:r>
      <w:r>
        <w:tab/>
        <w:t>a mining tenement that is a relevant mining tenement for a concessional farm</w:t>
      </w:r>
      <w:r>
        <w:noBreakHyphen/>
        <w:t>in transaction contained in the farm</w:t>
      </w:r>
      <w:r>
        <w:noBreakHyphen/>
        <w:t>in agreement; or</w:t>
      </w:r>
    </w:p>
    <w:p>
      <w:pPr>
        <w:pStyle w:val="Indenti"/>
      </w:pPr>
      <w:r>
        <w:tab/>
        <w:t>(ii)</w:t>
      </w:r>
      <w:r>
        <w:tab/>
        <w:t>a derivative mining right that is a relevant derivative mining right for a concessional farm</w:t>
      </w:r>
      <w:r>
        <w:noBreakHyphen/>
        <w:t>in transaction contained in the farm</w:t>
      </w:r>
      <w:r>
        <w:noBreakHyphen/>
        <w:t>in agreement;</w:t>
      </w:r>
    </w:p>
    <w:p>
      <w:pPr>
        <w:pStyle w:val="Indenta"/>
      </w:pPr>
      <w:r>
        <w:tab/>
      </w:r>
      <w:r>
        <w:tab/>
        <w:t>and</w:t>
      </w:r>
    </w:p>
    <w:p>
      <w:pPr>
        <w:pStyle w:val="Indenta"/>
      </w:pPr>
      <w:r>
        <w:tab/>
        <w:t>(b)</w:t>
      </w:r>
      <w:r>
        <w:tab/>
        <w:t>were the option to be granted, the farmee’s acquisition of the option on the grant would be a dutiable transaction under section 11(1)(f).</w:t>
      </w:r>
    </w:p>
    <w:p>
      <w:pPr>
        <w:pStyle w:val="Subsection"/>
      </w:pPr>
      <w:r>
        <w:tab/>
        <w:t>(2)</w:t>
      </w:r>
      <w:r>
        <w:tab/>
        <w:t>The option is taken to have been granted, and therefore to have been acquired by the farmee, on the making of the farm</w:t>
      </w:r>
      <w:r>
        <w:noBreakHyphen/>
        <w:t>in agreement.</w:t>
      </w:r>
    </w:p>
    <w:p>
      <w:pPr>
        <w:pStyle w:val="Subsection"/>
      </w:pPr>
      <w:r>
        <w:tab/>
        <w:t>(3)</w:t>
      </w:r>
      <w:r>
        <w:tab/>
        <w:t xml:space="preserve">Duty is not chargeable on the acquisition of an option that is taken to have occurred under subsection (2) if, subsequently, the option will not actually be granted because — </w:t>
      </w:r>
    </w:p>
    <w:p>
      <w:pPr>
        <w:pStyle w:val="Indenta"/>
      </w:pPr>
      <w:r>
        <w:tab/>
        <w:t>(a)</w:t>
      </w:r>
      <w:r>
        <w:tab/>
        <w:t>the time for the grant of the option, as specified in, or determined in accordance with, the farm</w:t>
      </w:r>
      <w:r>
        <w:noBreakHyphen/>
        <w:t>in agreement, passes or expires without the option being granted; or</w:t>
      </w:r>
    </w:p>
    <w:p>
      <w:pPr>
        <w:pStyle w:val="Indenta"/>
      </w:pPr>
      <w:r>
        <w:tab/>
        <w:t>(b)</w:t>
      </w:r>
      <w:r>
        <w:tab/>
        <w:t>the farmor and farmee otherwise agree that the option is not to be granted.</w:t>
      </w:r>
    </w:p>
    <w:p>
      <w:pPr>
        <w:pStyle w:val="Subsection"/>
      </w:pPr>
      <w:r>
        <w:tab/>
        <w:t>(4)</w:t>
      </w:r>
      <w:r>
        <w:tab/>
        <w:t>If subsection (3) applies, the Commissioner must, on the application of the taxpayer, reassess the liability to duty on the acquisition of the option.</w:t>
      </w:r>
    </w:p>
    <w:p>
      <w:pPr>
        <w:pStyle w:val="Subsection"/>
      </w:pPr>
      <w:r>
        <w:tab/>
        <w:t>(5)</w:t>
      </w:r>
      <w:r>
        <w:tab/>
        <w:t xml:space="preserve">For the purposes of subsection (4),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original assessment was made;</w:t>
      </w:r>
    </w:p>
    <w:p>
      <w:pPr>
        <w:pStyle w:val="Indenti"/>
      </w:pPr>
      <w:r>
        <w:tab/>
        <w:t>(ii)</w:t>
      </w:r>
      <w:r>
        <w:tab/>
        <w:t>12 months after the day on which the event referred to in subsection (3)(a) or (b) occurred;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91V inserted: No. 37 of 2022 s. 8.]</w:t>
      </w:r>
    </w:p>
    <w:p>
      <w:pPr>
        <w:pStyle w:val="Heading5"/>
        <w:keepNext w:val="0"/>
        <w:keepLines w:val="0"/>
      </w:pPr>
      <w:bookmarkStart w:id="403" w:name="_Toc161401215"/>
      <w:bookmarkStart w:id="404" w:name="_Toc154753712"/>
      <w:r>
        <w:rPr>
          <w:rStyle w:val="CharSectno"/>
        </w:rPr>
        <w:t>91W</w:t>
      </w:r>
      <w:r>
        <w:t>.</w:t>
      </w:r>
      <w:r>
        <w:tab/>
        <w:t>Derivative mining right granted for purposes of exploration requirement for farm</w:t>
      </w:r>
      <w:r>
        <w:noBreakHyphen/>
        <w:t>in transaction</w:t>
      </w:r>
      <w:bookmarkEnd w:id="403"/>
      <w:bookmarkEnd w:id="404"/>
    </w:p>
    <w:p>
      <w:pPr>
        <w:pStyle w:val="Subsection"/>
      </w:pPr>
      <w:r>
        <w:tab/>
      </w:r>
      <w:r>
        <w:tab/>
        <w:t xml:space="preserve">Duty is not chargeable on a dutiable transaction that is the acquisition of a derivative mining right if — </w:t>
      </w:r>
    </w:p>
    <w:p>
      <w:pPr>
        <w:pStyle w:val="Indenta"/>
      </w:pPr>
      <w:r>
        <w:tab/>
        <w:t>(a)</w:t>
      </w:r>
      <w:r>
        <w:tab/>
        <w:t>the person who acquires the derivative mining right is the farmee under a farm</w:t>
      </w:r>
      <w:r>
        <w:noBreakHyphen/>
        <w:t>in agreement; and</w:t>
      </w:r>
    </w:p>
    <w:p>
      <w:pPr>
        <w:pStyle w:val="Indenta"/>
      </w:pPr>
      <w:r>
        <w:tab/>
        <w:t>(b)</w:t>
      </w:r>
      <w:r>
        <w:tab/>
        <w:t>the derivative mining right authorises mining only for the purpose of fulfilling the exploration requirement for a concessional farm</w:t>
      </w:r>
      <w:r>
        <w:noBreakHyphen/>
        <w:t>in transaction contained in the farm</w:t>
      </w:r>
      <w:r>
        <w:noBreakHyphen/>
        <w:t>in agreement; and</w:t>
      </w:r>
    </w:p>
    <w:p>
      <w:pPr>
        <w:pStyle w:val="Indenta"/>
        <w:keepNext/>
      </w:pPr>
      <w:r>
        <w:tab/>
        <w:t>(c)</w:t>
      </w:r>
      <w:r>
        <w:tab/>
        <w:t>there is not, and will not be, any consideration for the dutiable transaction.</w:t>
      </w:r>
    </w:p>
    <w:p>
      <w:pPr>
        <w:pStyle w:val="Footnotesection"/>
      </w:pPr>
      <w:r>
        <w:tab/>
        <w:t>[Section 91W inserted: No. 37 of 2022 s. 8.]</w:t>
      </w:r>
    </w:p>
    <w:p>
      <w:pPr>
        <w:pStyle w:val="Heading3"/>
        <w:keepNext w:val="0"/>
        <w:pageBreakBefore/>
        <w:spacing w:before="0"/>
        <w:rPr>
          <w:sz w:val="28"/>
        </w:rPr>
      </w:pPr>
      <w:bookmarkStart w:id="405" w:name="_Toc161400558"/>
      <w:bookmarkStart w:id="406" w:name="_Toc161401216"/>
      <w:bookmarkStart w:id="407" w:name="_Toc154753713"/>
      <w:r>
        <w:rPr>
          <w:rStyle w:val="CharDivNo"/>
          <w:sz w:val="28"/>
        </w:rPr>
        <w:t>Part 6</w:t>
      </w:r>
      <w:r>
        <w:rPr>
          <w:sz w:val="28"/>
        </w:rPr>
        <w:t> — </w:t>
      </w:r>
      <w:r>
        <w:rPr>
          <w:rStyle w:val="CharDivText"/>
          <w:sz w:val="28"/>
        </w:rPr>
        <w:t>Exemptions, nominal duty and concessions</w:t>
      </w:r>
      <w:bookmarkEnd w:id="405"/>
      <w:bookmarkEnd w:id="406"/>
      <w:bookmarkEnd w:id="407"/>
    </w:p>
    <w:p>
      <w:pPr>
        <w:pStyle w:val="Heading4"/>
        <w:keepNext w:val="0"/>
        <w:spacing w:before="180"/>
        <w:rPr>
          <w:sz w:val="26"/>
        </w:rPr>
      </w:pPr>
      <w:bookmarkStart w:id="408" w:name="_Toc161400559"/>
      <w:bookmarkStart w:id="409" w:name="_Toc161401217"/>
      <w:bookmarkStart w:id="410" w:name="_Toc154753714"/>
      <w:r>
        <w:rPr>
          <w:sz w:val="26"/>
        </w:rPr>
        <w:t>Division 1 — Exemptions</w:t>
      </w:r>
      <w:bookmarkEnd w:id="408"/>
      <w:bookmarkEnd w:id="409"/>
      <w:bookmarkEnd w:id="410"/>
    </w:p>
    <w:p>
      <w:pPr>
        <w:pStyle w:val="Heading4"/>
        <w:rPr>
          <w:sz w:val="26"/>
        </w:rPr>
      </w:pPr>
      <w:bookmarkStart w:id="411" w:name="_Toc161400560"/>
      <w:bookmarkStart w:id="412" w:name="_Toc161401218"/>
      <w:bookmarkStart w:id="413" w:name="_Toc154753715"/>
      <w:r>
        <w:rPr>
          <w:sz w:val="26"/>
        </w:rPr>
        <w:t>Subdivision 1 — Exemptions for public and governmental purposes</w:t>
      </w:r>
      <w:bookmarkEnd w:id="411"/>
      <w:bookmarkEnd w:id="412"/>
      <w:bookmarkEnd w:id="413"/>
    </w:p>
    <w:p>
      <w:pPr>
        <w:pStyle w:val="Heading5"/>
        <w:keepNext w:val="0"/>
        <w:keepLines w:val="0"/>
        <w:spacing w:before="240"/>
      </w:pPr>
      <w:bookmarkStart w:id="414" w:name="_Toc161401219"/>
      <w:bookmarkStart w:id="415" w:name="_Toc154753716"/>
      <w:r>
        <w:rPr>
          <w:rStyle w:val="CharSectno"/>
        </w:rPr>
        <w:t>92</w:t>
      </w:r>
      <w:r>
        <w:t>.</w:t>
      </w:r>
      <w:r>
        <w:tab/>
        <w:t>Public authorities, declaration of as exempt bodies</w:t>
      </w:r>
      <w:bookmarkEnd w:id="414"/>
      <w:bookmarkEnd w:id="415"/>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416" w:name="_Toc161401220"/>
      <w:bookmarkStart w:id="417" w:name="_Toc154753717"/>
      <w:r>
        <w:rPr>
          <w:rStyle w:val="CharSectno"/>
        </w:rPr>
        <w:t>93</w:t>
      </w:r>
      <w:r>
        <w:t>.</w:t>
      </w:r>
      <w:r>
        <w:tab/>
        <w:t>Transactions for which exempt body would be solely liable</w:t>
      </w:r>
      <w:bookmarkEnd w:id="416"/>
      <w:bookmarkEnd w:id="417"/>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418" w:name="_Toc161401221"/>
      <w:bookmarkStart w:id="419" w:name="_Toc154753718"/>
      <w:r>
        <w:rPr>
          <w:rStyle w:val="CharSectno"/>
        </w:rPr>
        <w:t>94</w:t>
      </w:r>
      <w:r>
        <w:t>.</w:t>
      </w:r>
      <w:r>
        <w:tab/>
        <w:t>Transactions for which exempt body and another party would be liable, duty reduction for etc.</w:t>
      </w:r>
      <w:bookmarkEnd w:id="418"/>
      <w:bookmarkEnd w:id="419"/>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rPr>
          <w:del w:id="420" w:author="Master Repository Process" w:date="2025-06-09T09:56:00Z"/>
        </w:rPr>
      </w:pPr>
      <w:del w:id="421" w:author="Master Repository Process" w:date="2025-06-09T09:56:00Z">
        <w:r>
          <w:rPr>
            <w:position w:val="-10"/>
          </w:rPr>
          <w:pict>
            <v:shape id="_x0000_i1035" type="#_x0000_t75" style="width:108.75pt;height:13.5pt">
              <v:imagedata r:id="rId18" o:title=""/>
            </v:shape>
          </w:pict>
        </w:r>
      </w:del>
    </w:p>
    <w:p>
      <w:pPr>
        <w:pStyle w:val="Equation"/>
        <w:spacing w:before="80"/>
        <w:ind w:left="1200"/>
        <w:rPr>
          <w:ins w:id="422" w:author="Master Repository Process" w:date="2025-06-09T09:56:00Z"/>
        </w:rPr>
      </w:pPr>
      <w:ins w:id="423" w:author="Master Repository Process" w:date="2025-06-09T09:56:00Z">
        <w:r>
          <w:rPr>
            <w:position w:val="-10"/>
          </w:rPr>
          <w:pict>
            <v:shape id="_x0000_i1036" type="#_x0000_t75" style="width:108.75pt;height:12.75pt">
              <v:imagedata r:id="rId18" o:title=""/>
            </v:shape>
          </w:pict>
        </w:r>
      </w:ins>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del w:id="424" w:author="Master Repository Process" w:date="2025-06-09T09:56:00Z">
        <w:r>
          <w:rPr>
            <w:position w:val="-22"/>
          </w:rPr>
          <w:pict>
            <v:shape id="_x0000_i1037" type="#_x0000_t75" style="width:171pt;height:30pt">
              <v:imagedata r:id="rId19" o:title=""/>
            </v:shape>
          </w:pict>
        </w:r>
      </w:del>
      <w:ins w:id="425" w:author="Master Repository Process" w:date="2025-06-09T09:56:00Z">
        <w:r>
          <w:rPr>
            <w:position w:val="-22"/>
          </w:rPr>
          <w:pict>
            <v:shape id="_x0000_i1038" type="#_x0000_t75" style="width:171.75pt;height:29.25pt">
              <v:imagedata r:id="rId19" o:title=""/>
            </v:shape>
          </w:pict>
        </w:r>
      </w:ins>
    </w:p>
    <w:p>
      <w:pPr>
        <w:pStyle w:val="PermNoteText"/>
      </w:pPr>
      <w:r>
        <w:tab/>
      </w:r>
      <w:r>
        <w:tab/>
        <w:t>This amount (i.e. $1 800) is the amount of transfer duty payable by the other party.</w:t>
      </w:r>
    </w:p>
    <w:p>
      <w:pPr>
        <w:pStyle w:val="Heading5"/>
        <w:keepLines w:val="0"/>
        <w:spacing w:before="180"/>
      </w:pPr>
      <w:bookmarkStart w:id="426" w:name="_Toc161401222"/>
      <w:bookmarkStart w:id="427" w:name="_Toc154753719"/>
      <w:r>
        <w:rPr>
          <w:rStyle w:val="CharSectno"/>
        </w:rPr>
        <w:t>95</w:t>
      </w:r>
      <w:r>
        <w:t>.</w:t>
      </w:r>
      <w:r>
        <w:tab/>
        <w:t>Transactions for charitable etc. purposes</w:t>
      </w:r>
      <w:bookmarkEnd w:id="426"/>
      <w:bookmarkEnd w:id="427"/>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428" w:name="_Toc161401223"/>
      <w:bookmarkStart w:id="429" w:name="_Toc154753720"/>
      <w:r>
        <w:rPr>
          <w:rStyle w:val="CharSectno"/>
        </w:rPr>
        <w:t>96A</w:t>
      </w:r>
      <w:r>
        <w:t>.</w:t>
      </w:r>
      <w:r>
        <w:tab/>
        <w:t>What is a relevant body</w:t>
      </w:r>
      <w:bookmarkEnd w:id="428"/>
      <w:bookmarkEnd w:id="429"/>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430" w:name="_Toc161401224"/>
      <w:bookmarkStart w:id="431" w:name="_Toc154753721"/>
      <w:r>
        <w:rPr>
          <w:rStyle w:val="CharSectno"/>
        </w:rPr>
        <w:t>96B</w:t>
      </w:r>
      <w:r>
        <w:t>.</w:t>
      </w:r>
      <w:r>
        <w:tab/>
        <w:t>Application for a beneficial body determination</w:t>
      </w:r>
      <w:bookmarkEnd w:id="430"/>
      <w:bookmarkEnd w:id="431"/>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432" w:name="_Toc161401225"/>
      <w:bookmarkStart w:id="433" w:name="_Toc154753722"/>
      <w:r>
        <w:rPr>
          <w:rStyle w:val="CharSectno"/>
        </w:rPr>
        <w:t>96C</w:t>
      </w:r>
      <w:r>
        <w:t>.</w:t>
      </w:r>
      <w:r>
        <w:tab/>
        <w:t>Beneficial body determination</w:t>
      </w:r>
      <w:bookmarkEnd w:id="432"/>
      <w:bookmarkEnd w:id="433"/>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keepNext/>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434" w:name="_Toc161400568"/>
      <w:bookmarkStart w:id="435" w:name="_Toc161401226"/>
      <w:bookmarkStart w:id="436" w:name="_Toc154753723"/>
      <w:r>
        <w:rPr>
          <w:sz w:val="26"/>
        </w:rPr>
        <w:t>Subdivision 2 — Certain transactions between spouses or de facto partners</w:t>
      </w:r>
      <w:bookmarkEnd w:id="434"/>
      <w:bookmarkEnd w:id="435"/>
      <w:bookmarkEnd w:id="436"/>
    </w:p>
    <w:p>
      <w:pPr>
        <w:pStyle w:val="Heading5"/>
        <w:spacing w:before="180"/>
      </w:pPr>
      <w:bookmarkStart w:id="437" w:name="_Toc161401227"/>
      <w:bookmarkStart w:id="438" w:name="_Toc154753724"/>
      <w:r>
        <w:rPr>
          <w:rStyle w:val="CharSectno"/>
        </w:rPr>
        <w:t>96</w:t>
      </w:r>
      <w:r>
        <w:t>.</w:t>
      </w:r>
      <w:r>
        <w:tab/>
        <w:t>Terms used</w:t>
      </w:r>
      <w:bookmarkEnd w:id="437"/>
      <w:bookmarkEnd w:id="438"/>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439" w:name="_Toc161401228"/>
      <w:bookmarkStart w:id="440" w:name="_Toc154753725"/>
      <w:r>
        <w:rPr>
          <w:rStyle w:val="CharSectno"/>
        </w:rPr>
        <w:t>97</w:t>
      </w:r>
      <w:r>
        <w:t>.</w:t>
      </w:r>
      <w:r>
        <w:tab/>
        <w:t>Some transactions between spouses or de facto partners</w:t>
      </w:r>
      <w:bookmarkEnd w:id="439"/>
      <w:bookmarkEnd w:id="440"/>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441" w:name="_Toc161401229"/>
      <w:bookmarkStart w:id="442" w:name="_Toc154753726"/>
      <w:r>
        <w:rPr>
          <w:rStyle w:val="CharSectno"/>
        </w:rPr>
        <w:t>98</w:t>
      </w:r>
      <w:r>
        <w:t>.</w:t>
      </w:r>
      <w:r>
        <w:tab/>
        <w:t>Application for exemption under this Subdivision</w:t>
      </w:r>
      <w:bookmarkEnd w:id="441"/>
      <w:bookmarkEnd w:id="442"/>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443" w:name="_Toc161400572"/>
      <w:bookmarkStart w:id="444" w:name="_Toc161401230"/>
      <w:bookmarkStart w:id="445" w:name="_Toc154753727"/>
      <w:r>
        <w:rPr>
          <w:sz w:val="26"/>
        </w:rPr>
        <w:t>Subdivision 3 — Family farm transactions</w:t>
      </w:r>
      <w:bookmarkEnd w:id="443"/>
      <w:bookmarkEnd w:id="444"/>
      <w:bookmarkEnd w:id="445"/>
    </w:p>
    <w:p>
      <w:pPr>
        <w:pStyle w:val="Heading5"/>
        <w:spacing w:before="240"/>
      </w:pPr>
      <w:bookmarkStart w:id="446" w:name="_Toc161401231"/>
      <w:bookmarkStart w:id="447" w:name="_Toc154753728"/>
      <w:r>
        <w:rPr>
          <w:rStyle w:val="CharSectno"/>
        </w:rPr>
        <w:t>99</w:t>
      </w:r>
      <w:r>
        <w:t>.</w:t>
      </w:r>
      <w:r>
        <w:tab/>
        <w:t>Terms used</w:t>
      </w:r>
      <w:bookmarkEnd w:id="446"/>
      <w:bookmarkEnd w:id="447"/>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448" w:name="_Toc161401232"/>
      <w:bookmarkStart w:id="449" w:name="_Toc154753729"/>
      <w:r>
        <w:rPr>
          <w:rStyle w:val="CharSectno"/>
        </w:rPr>
        <w:t>100</w:t>
      </w:r>
      <w:r>
        <w:t>.</w:t>
      </w:r>
      <w:r>
        <w:tab/>
        <w:t>References to family member</w:t>
      </w:r>
      <w:bookmarkEnd w:id="448"/>
      <w:bookmarkEnd w:id="449"/>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450" w:name="_Toc161401233"/>
      <w:bookmarkStart w:id="451" w:name="_Toc154753730"/>
      <w:r>
        <w:rPr>
          <w:rStyle w:val="CharSectno"/>
        </w:rPr>
        <w:t>101A</w:t>
      </w:r>
      <w:r>
        <w:t>.</w:t>
      </w:r>
      <w:r>
        <w:tab/>
        <w:t>References to primary production</w:t>
      </w:r>
      <w:bookmarkEnd w:id="450"/>
      <w:bookmarkEnd w:id="451"/>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452" w:name="_Toc161401234"/>
      <w:bookmarkStart w:id="453" w:name="_Toc154753731"/>
      <w:r>
        <w:rPr>
          <w:rStyle w:val="CharSectno"/>
        </w:rPr>
        <w:t>101</w:t>
      </w:r>
      <w:r>
        <w:t>.</w:t>
      </w:r>
      <w:r>
        <w:tab/>
        <w:t>References to transferee</w:t>
      </w:r>
      <w:bookmarkEnd w:id="452"/>
      <w:bookmarkEnd w:id="453"/>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454" w:name="_Toc161401235"/>
      <w:bookmarkStart w:id="455" w:name="_Toc154753732"/>
      <w:r>
        <w:rPr>
          <w:rStyle w:val="CharSectno"/>
        </w:rPr>
        <w:t>102</w:t>
      </w:r>
      <w:r>
        <w:t>.</w:t>
      </w:r>
      <w:r>
        <w:tab/>
        <w:t>References to exempt family farm transaction</w:t>
      </w:r>
      <w:bookmarkEnd w:id="454"/>
      <w:bookmarkEnd w:id="455"/>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keepNext/>
        <w:keepLines/>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456" w:name="_Toc161401236"/>
      <w:bookmarkStart w:id="457" w:name="_Toc154753733"/>
      <w:r>
        <w:rPr>
          <w:rStyle w:val="CharSectno"/>
        </w:rPr>
        <w:t>102A</w:t>
      </w:r>
      <w:r>
        <w:t>.</w:t>
      </w:r>
      <w:r>
        <w:tab/>
        <w:t>Related entities for s. 102</w:t>
      </w:r>
      <w:bookmarkEnd w:id="456"/>
      <w:bookmarkEnd w:id="457"/>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a trust (other than a unit trust scheme or a discretionary trust) if the transferee is a beneficiary of the trust and every other beneficiary is the transferor or a family member of the transferor; or</w:t>
      </w:r>
    </w:p>
    <w:p>
      <w:pPr>
        <w:pStyle w:val="Indenta"/>
      </w:pPr>
      <w:r>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Next/>
        <w:keepLines/>
      </w:pPr>
      <w:r>
        <w:tab/>
        <w:t>(c)</w:t>
      </w:r>
      <w:r>
        <w:tab/>
        <w:t>a unit trust scheme if the transferee holds a unit in the unit trust scheme and every other person who holds a unit in the unit trust scheme is the transferor or a family member of the transferor; or</w:t>
      </w:r>
    </w:p>
    <w:p>
      <w:pPr>
        <w:pStyle w:val="Indenta"/>
      </w:pPr>
      <w:r>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458" w:name="_Toc161401237"/>
      <w:bookmarkStart w:id="459" w:name="_Toc154753734"/>
      <w:r>
        <w:rPr>
          <w:rStyle w:val="CharSectno"/>
        </w:rPr>
        <w:t>103</w:t>
      </w:r>
      <w:r>
        <w:t>.</w:t>
      </w:r>
      <w:r>
        <w:tab/>
        <w:t>Exempt family farm transactions, exemption for</w:t>
      </w:r>
      <w:bookmarkEnd w:id="458"/>
      <w:bookmarkEnd w:id="459"/>
    </w:p>
    <w:p>
      <w:pPr>
        <w:pStyle w:val="Subsection"/>
      </w:pPr>
      <w:r>
        <w:tab/>
      </w:r>
      <w:r>
        <w:tab/>
        <w:t>Duty is not chargeable on an exempt family farm transaction.</w:t>
      </w:r>
    </w:p>
    <w:p>
      <w:pPr>
        <w:pStyle w:val="Heading5"/>
        <w:spacing w:before="240"/>
      </w:pPr>
      <w:bookmarkStart w:id="460" w:name="_Toc161401238"/>
      <w:bookmarkStart w:id="461" w:name="_Toc154753735"/>
      <w:r>
        <w:rPr>
          <w:rStyle w:val="CharSectno"/>
        </w:rPr>
        <w:t>104</w:t>
      </w:r>
      <w:r>
        <w:t>.</w:t>
      </w:r>
      <w:r>
        <w:tab/>
        <w:t>No exemption for subsequent transactions for same farming property within 5 years</w:t>
      </w:r>
      <w:bookmarkEnd w:id="460"/>
      <w:bookmarkEnd w:id="461"/>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462" w:name="_Toc161401239"/>
      <w:bookmarkStart w:id="463" w:name="_Toc154753736"/>
      <w:r>
        <w:rPr>
          <w:rStyle w:val="CharSectno"/>
        </w:rPr>
        <w:t>105</w:t>
      </w:r>
      <w:r>
        <w:t>.</w:t>
      </w:r>
      <w:r>
        <w:tab/>
        <w:t>Subsequent liability to duty in certain circumstances</w:t>
      </w:r>
      <w:bookmarkEnd w:id="462"/>
      <w:bookmarkEnd w:id="463"/>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464" w:name="_Toc161401240"/>
      <w:bookmarkStart w:id="465" w:name="_Toc154753737"/>
      <w:r>
        <w:rPr>
          <w:rStyle w:val="CharSectno"/>
        </w:rPr>
        <w:t>106</w:t>
      </w:r>
      <w:r>
        <w:t>.</w:t>
      </w:r>
      <w:r>
        <w:tab/>
        <w:t>Application for exemption under this Subdivision</w:t>
      </w:r>
      <w:bookmarkEnd w:id="464"/>
      <w:bookmarkEnd w:id="465"/>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466" w:name="_Toc161400583"/>
      <w:bookmarkStart w:id="467" w:name="_Toc161401241"/>
      <w:bookmarkStart w:id="468" w:name="_Toc154753738"/>
      <w:r>
        <w:rPr>
          <w:sz w:val="26"/>
        </w:rPr>
        <w:t>Subdivision 4 — Other exempt transactions</w:t>
      </w:r>
      <w:bookmarkEnd w:id="466"/>
      <w:bookmarkEnd w:id="467"/>
      <w:bookmarkEnd w:id="468"/>
    </w:p>
    <w:p>
      <w:pPr>
        <w:pStyle w:val="Heading5"/>
      </w:pPr>
      <w:bookmarkStart w:id="469" w:name="_Toc161401242"/>
      <w:bookmarkStart w:id="470" w:name="_Toc154753739"/>
      <w:r>
        <w:rPr>
          <w:rStyle w:val="CharSectno"/>
        </w:rPr>
        <w:t>107</w:t>
      </w:r>
      <w:r>
        <w:t>.</w:t>
      </w:r>
      <w:r>
        <w:tab/>
        <w:t>Cancelled transactions</w:t>
      </w:r>
      <w:bookmarkEnd w:id="469"/>
      <w:bookmarkEnd w:id="470"/>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Indenta"/>
        <w:keepNext/>
      </w:pPr>
      <w:r>
        <w:tab/>
        <w:t>(d)</w:t>
      </w:r>
      <w:r>
        <w:tab/>
        <w:t>a concessional farm</w:t>
      </w:r>
      <w:r>
        <w:noBreakHyphen/>
        <w:t>in transaction if the farmee has fulfilled the exploration requirement for the concessional farm</w:t>
      </w:r>
      <w:r>
        <w:noBreakHyphen/>
        <w:t>in transaction.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For the purposes of this section, in relation to an agreement for the transfer of dutiable property or to a concessional farm</w:t>
      </w:r>
      <w:r>
        <w:noBreakHyphen/>
        <w:t xml:space="preserve">in transaction, the Taxation Administration Act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for the transfer of dutiable property, or the concessional farm</w:t>
      </w:r>
      <w:r>
        <w:noBreakHyphen/>
        <w:t>in transaction,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 No. 37 of 2022 s. 9.]</w:t>
      </w:r>
    </w:p>
    <w:p>
      <w:pPr>
        <w:pStyle w:val="Heading5"/>
        <w:spacing w:before="180"/>
      </w:pPr>
      <w:bookmarkStart w:id="471" w:name="_Toc161401243"/>
      <w:bookmarkStart w:id="472" w:name="_Toc154753740"/>
      <w:r>
        <w:rPr>
          <w:rStyle w:val="CharSectno"/>
        </w:rPr>
        <w:t>108</w:t>
      </w:r>
      <w:r>
        <w:t>.</w:t>
      </w:r>
      <w:r>
        <w:tab/>
        <w:t>Bankruptcy transactions</w:t>
      </w:r>
      <w:bookmarkEnd w:id="471"/>
      <w:bookmarkEnd w:id="472"/>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473" w:name="_Toc161401244"/>
      <w:bookmarkStart w:id="474" w:name="_Toc154753741"/>
      <w:r>
        <w:rPr>
          <w:rStyle w:val="CharSectno"/>
        </w:rPr>
        <w:t>109</w:t>
      </w:r>
      <w:r>
        <w:t>.</w:t>
      </w:r>
      <w:r>
        <w:tab/>
        <w:t>Transfer etc. to foreign country’s representative etc.</w:t>
      </w:r>
      <w:bookmarkEnd w:id="473"/>
      <w:bookmarkEnd w:id="474"/>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475" w:name="_Toc161401245"/>
      <w:bookmarkStart w:id="476" w:name="_Toc154753742"/>
      <w:r>
        <w:rPr>
          <w:rStyle w:val="CharSectno"/>
        </w:rPr>
        <w:t>110</w:t>
      </w:r>
      <w:r>
        <w:t>.</w:t>
      </w:r>
      <w:r>
        <w:tab/>
      </w:r>
      <w:r>
        <w:rPr>
          <w:i/>
          <w:iCs/>
        </w:rPr>
        <w:t xml:space="preserve">Financial Sector (Business Transfer and Group Restructure) Act 1999 </w:t>
      </w:r>
      <w:r>
        <w:rPr>
          <w:iCs/>
        </w:rPr>
        <w:t xml:space="preserve">(Cwlth) </w:t>
      </w:r>
      <w:r>
        <w:t>Part 4 transactions</w:t>
      </w:r>
      <w:bookmarkEnd w:id="475"/>
      <w:bookmarkEnd w:id="476"/>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477" w:name="_Toc161401246"/>
      <w:bookmarkStart w:id="478" w:name="_Toc154753743"/>
      <w:r>
        <w:rPr>
          <w:rStyle w:val="CharSectno"/>
        </w:rPr>
        <w:t>111</w:t>
      </w:r>
      <w:r>
        <w:t>.</w:t>
      </w:r>
      <w:r>
        <w:tab/>
        <w:t>Special disability trust transactions</w:t>
      </w:r>
      <w:bookmarkEnd w:id="477"/>
      <w:bookmarkEnd w:id="478"/>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479" w:name="_Toc161401247"/>
      <w:bookmarkStart w:id="480" w:name="_Toc154753744"/>
      <w:r>
        <w:rPr>
          <w:rStyle w:val="CharSectno"/>
        </w:rPr>
        <w:t>112</w:t>
      </w:r>
      <w:r>
        <w:t>.</w:t>
      </w:r>
      <w:r>
        <w:tab/>
        <w:t>Some transactions under other Acts</w:t>
      </w:r>
      <w:bookmarkEnd w:id="479"/>
      <w:bookmarkEnd w:id="480"/>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Schedule 2A clause 21I; or</w:t>
      </w:r>
    </w:p>
    <w:p>
      <w:pPr>
        <w:pStyle w:val="Ednotepara"/>
      </w:pPr>
      <w:r>
        <w:tab/>
        <w:t>[(b), (c)</w:t>
      </w:r>
      <w:r>
        <w:tab/>
        <w:t>deleted]</w:t>
      </w:r>
    </w:p>
    <w:p>
      <w:pPr>
        <w:pStyle w:val="Indenta"/>
        <w:keepNext/>
      </w:pPr>
      <w:r>
        <w:tab/>
        <w:t>(d)</w:t>
      </w:r>
      <w:r>
        <w:tab/>
        <w:t xml:space="preserve">under, or to give effect to, the </w:t>
      </w:r>
      <w:r>
        <w:rPr>
          <w:i/>
          <w:iCs/>
        </w:rPr>
        <w:t xml:space="preserve">Strata Titles Act 1985 </w:t>
      </w:r>
      <w:r>
        <w:t>Schedule 2A Part 4 Division 1 or 2,</w:t>
      </w:r>
    </w:p>
    <w:p>
      <w:pPr>
        <w:pStyle w:val="Subsection"/>
      </w:pPr>
      <w:r>
        <w:tab/>
      </w:r>
      <w:r>
        <w:tab/>
        <w:t>to the extent that the consideration for the transaction is an interest in common property, within the meaning of that term in that Act.</w:t>
      </w:r>
    </w:p>
    <w:p>
      <w:pPr>
        <w:pStyle w:val="Footnotesection"/>
      </w:pPr>
      <w:r>
        <w:tab/>
        <w:t>[Section 112 amended: No. 30 of 2018 s. 136.]</w:t>
      </w:r>
    </w:p>
    <w:p>
      <w:pPr>
        <w:pStyle w:val="Heading5"/>
      </w:pPr>
      <w:bookmarkStart w:id="481" w:name="_Toc161401248"/>
      <w:bookmarkStart w:id="482" w:name="_Toc154753745"/>
      <w:r>
        <w:rPr>
          <w:rStyle w:val="CharSectno"/>
        </w:rPr>
        <w:t>113</w:t>
      </w:r>
      <w:r>
        <w:t>.</w:t>
      </w:r>
      <w:r>
        <w:tab/>
        <w:t>Transactions effected by matrimonial instrument or de facto relationship instrument</w:t>
      </w:r>
      <w:bookmarkEnd w:id="481"/>
      <w:bookmarkEnd w:id="482"/>
    </w:p>
    <w:p>
      <w:pPr>
        <w:pStyle w:val="Subsection"/>
      </w:pPr>
      <w:r>
        <w:tab/>
        <w:t>(1)</w:t>
      </w:r>
      <w:r>
        <w:tab/>
        <w:t>Duty is not chargeable on a dutiable transaction to the extent that it is effected by a matrimonial instrument mentioned in section 129 or a de facto relationship instrument mentioned in section 130.</w:t>
      </w:r>
    </w:p>
    <w:p>
      <w:pPr>
        <w:pStyle w:val="Subsection"/>
      </w:pPr>
      <w:r>
        <w:tab/>
        <w:t>(2)</w:t>
      </w:r>
      <w:r>
        <w:tab/>
        <w:t>A dutiable transaction that is duty endorsed to indicate that duty is not chargeable because of subsection (1) is taken not to be duty endorsed for the purposes of section 42.</w:t>
      </w:r>
    </w:p>
    <w:p>
      <w:pPr>
        <w:pStyle w:val="Footnotesection"/>
      </w:pPr>
      <w:r>
        <w:tab/>
        <w:t>[Section 113 amended: No. 16 of 2022 s. 4.]</w:t>
      </w:r>
    </w:p>
    <w:p>
      <w:pPr>
        <w:pStyle w:val="Heading5"/>
      </w:pPr>
      <w:bookmarkStart w:id="483" w:name="_Toc161401249"/>
      <w:bookmarkStart w:id="484" w:name="_Toc154753746"/>
      <w:r>
        <w:rPr>
          <w:rStyle w:val="CharSectno"/>
        </w:rPr>
        <w:t>113A</w:t>
      </w:r>
      <w:r>
        <w:t>.</w:t>
      </w:r>
      <w:r>
        <w:tab/>
        <w:t>Certain incorporated association transactions</w:t>
      </w:r>
      <w:bookmarkEnd w:id="483"/>
      <w:bookmarkEnd w:id="484"/>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pPr>
        <w:pStyle w:val="Indenta"/>
        <w:keepNext/>
      </w:pPr>
      <w:r>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485" w:name="_Toc161400592"/>
      <w:bookmarkStart w:id="486" w:name="_Toc161401250"/>
      <w:bookmarkStart w:id="487" w:name="_Toc154753747"/>
      <w:r>
        <w:rPr>
          <w:sz w:val="26"/>
        </w:rPr>
        <w:t>Division 2 — Nominal duty</w:t>
      </w:r>
      <w:bookmarkEnd w:id="485"/>
      <w:bookmarkEnd w:id="486"/>
      <w:bookmarkEnd w:id="487"/>
      <w:r>
        <w:rPr>
          <w:sz w:val="26"/>
        </w:rPr>
        <w:t xml:space="preserve"> </w:t>
      </w:r>
    </w:p>
    <w:p>
      <w:pPr>
        <w:pStyle w:val="Heading4"/>
        <w:rPr>
          <w:sz w:val="26"/>
        </w:rPr>
      </w:pPr>
      <w:bookmarkStart w:id="488" w:name="_Toc161400593"/>
      <w:bookmarkStart w:id="489" w:name="_Toc161401251"/>
      <w:bookmarkStart w:id="490" w:name="_Toc154753748"/>
      <w:r>
        <w:rPr>
          <w:sz w:val="26"/>
        </w:rPr>
        <w:t>Subdivision 1 — Certain trust transactions</w:t>
      </w:r>
      <w:bookmarkEnd w:id="488"/>
      <w:bookmarkEnd w:id="489"/>
      <w:bookmarkEnd w:id="490"/>
    </w:p>
    <w:p>
      <w:pPr>
        <w:pStyle w:val="Heading5"/>
      </w:pPr>
      <w:bookmarkStart w:id="491" w:name="_Toc161401252"/>
      <w:bookmarkStart w:id="492" w:name="_Toc154753749"/>
      <w:r>
        <w:rPr>
          <w:rStyle w:val="CharSectno"/>
        </w:rPr>
        <w:t>114</w:t>
      </w:r>
      <w:r>
        <w:t>.</w:t>
      </w:r>
      <w:r>
        <w:tab/>
        <w:t>Some transfers etc. on vesting or termination of discretionary trust</w:t>
      </w:r>
      <w:bookmarkEnd w:id="491"/>
      <w:bookmarkEnd w:id="492"/>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493" w:name="_Toc161401253"/>
      <w:bookmarkStart w:id="494" w:name="_Toc154753750"/>
      <w:r>
        <w:rPr>
          <w:rStyle w:val="CharSectno"/>
        </w:rPr>
        <w:t>115</w:t>
      </w:r>
      <w:r>
        <w:t>.</w:t>
      </w:r>
      <w:r>
        <w:tab/>
        <w:t>Some transfers etc. on exercise of power of appointment by trustee of discretionary trust</w:t>
      </w:r>
      <w:bookmarkEnd w:id="493"/>
      <w:bookmarkEnd w:id="494"/>
    </w:p>
    <w:p>
      <w:pPr>
        <w:pStyle w:val="Subsection"/>
        <w:keepNext/>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495" w:name="_Toc161401254"/>
      <w:bookmarkStart w:id="496" w:name="_Toc154753751"/>
      <w:r>
        <w:rPr>
          <w:rStyle w:val="CharSectno"/>
        </w:rPr>
        <w:t>116</w:t>
      </w:r>
      <w:r>
        <w:t>.</w:t>
      </w:r>
      <w:r>
        <w:tab/>
        <w:t>Some transfers etc. of dutiable property to beneficiary</w:t>
      </w:r>
      <w:bookmarkEnd w:id="495"/>
      <w:bookmarkEnd w:id="496"/>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keepNext/>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497" w:name="_Toc161401255"/>
      <w:bookmarkStart w:id="498" w:name="_Toc154753752"/>
      <w:r>
        <w:rPr>
          <w:rStyle w:val="CharSectno"/>
        </w:rPr>
        <w:t>117</w:t>
      </w:r>
      <w:r>
        <w:t>.</w:t>
      </w:r>
      <w:r>
        <w:tab/>
        <w:t>Transactions involving apparent purchaser</w:t>
      </w:r>
      <w:bookmarkEnd w:id="497"/>
      <w:bookmarkEnd w:id="498"/>
    </w:p>
    <w:p>
      <w:pPr>
        <w:pStyle w:val="Subsection"/>
        <w:keepNext/>
      </w:pPr>
      <w:r>
        <w:tab/>
        <w:t>(1)</w:t>
      </w:r>
      <w:r>
        <w:tab/>
        <w:t xml:space="preserve">Nominal duty is chargeable on — </w:t>
      </w:r>
    </w:p>
    <w:p>
      <w:pPr>
        <w:pStyle w:val="Indenta"/>
        <w:keepNext/>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keepNext/>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keepNext/>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Lines/>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keepNext/>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499" w:name="_Toc161401256"/>
      <w:bookmarkStart w:id="500" w:name="_Toc154753753"/>
      <w:r>
        <w:rPr>
          <w:rStyle w:val="CharSectno"/>
        </w:rPr>
        <w:t>118</w:t>
      </w:r>
      <w:r>
        <w:t>.</w:t>
      </w:r>
      <w:r>
        <w:tab/>
        <w:t>Transfers to and from bare trustee</w:t>
      </w:r>
      <w:bookmarkEnd w:id="499"/>
      <w:bookmarkEnd w:id="500"/>
    </w:p>
    <w:p>
      <w:pPr>
        <w:pStyle w:val="Subsection"/>
        <w:keepNext/>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keepNext/>
      </w:pPr>
      <w:r>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keepNext/>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keepNext/>
      </w:pPr>
      <w:r>
        <w:tab/>
        <w:t>(2)</w:t>
      </w:r>
      <w:r>
        <w:tab/>
        <w:t xml:space="preserve">In subsection (1) — </w:t>
      </w:r>
    </w:p>
    <w:p>
      <w:pPr>
        <w:pStyle w:val="Defstart"/>
        <w:keepNex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keepNext/>
      </w:pPr>
      <w:r>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501" w:name="_Toc161401257"/>
      <w:bookmarkStart w:id="502" w:name="_Toc154753754"/>
      <w:r>
        <w:rPr>
          <w:rStyle w:val="CharSectno"/>
        </w:rPr>
        <w:t>118A</w:t>
      </w:r>
      <w:r>
        <w:t>.</w:t>
      </w:r>
      <w:r>
        <w:tab/>
        <w:t>Transfers to and from bare trustee: failure to lodge subsequent transfer</w:t>
      </w:r>
      <w:bookmarkEnd w:id="501"/>
      <w:bookmarkEnd w:id="502"/>
    </w:p>
    <w:p>
      <w:pPr>
        <w:pStyle w:val="Subsection"/>
        <w:keepNext/>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keepNext/>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keepNext/>
        <w:keepLines/>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503" w:name="_Toc161401258"/>
      <w:bookmarkStart w:id="504" w:name="_Toc154753755"/>
      <w:r>
        <w:rPr>
          <w:rStyle w:val="CharSectno"/>
        </w:rPr>
        <w:t>119</w:t>
      </w:r>
      <w:r>
        <w:t>.</w:t>
      </w:r>
      <w:r>
        <w:tab/>
        <w:t>Transactions related to changes in trustees and managed investment schemes</w:t>
      </w:r>
      <w:bookmarkEnd w:id="503"/>
      <w:bookmarkEnd w:id="504"/>
    </w:p>
    <w:p>
      <w:pPr>
        <w:pStyle w:val="Subsection"/>
        <w:keepNext/>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keepNext/>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keepNext/>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505" w:name="_Toc161401259"/>
      <w:bookmarkStart w:id="506" w:name="_Toc154753756"/>
      <w:r>
        <w:rPr>
          <w:rStyle w:val="CharSectno"/>
        </w:rPr>
        <w:t>120</w:t>
      </w:r>
      <w:r>
        <w:t>.</w:t>
      </w:r>
      <w:r>
        <w:tab/>
        <w:t>Transfer by way of security</w:t>
      </w:r>
      <w:bookmarkEnd w:id="505"/>
      <w:bookmarkEnd w:id="506"/>
    </w:p>
    <w:p>
      <w:pPr>
        <w:pStyle w:val="Subsection"/>
        <w:keepNext/>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rPr>
          <w:sz w:val="26"/>
          <w:szCs w:val="26"/>
        </w:rPr>
      </w:pPr>
      <w:bookmarkStart w:id="507" w:name="_Toc161400602"/>
      <w:bookmarkStart w:id="508" w:name="_Toc161401260"/>
      <w:bookmarkStart w:id="509" w:name="_Toc154753757"/>
      <w:r>
        <w:rPr>
          <w:sz w:val="26"/>
          <w:szCs w:val="26"/>
        </w:rPr>
        <w:t>Subdivision 1A — Transfers to facilitate subdivision of land</w:t>
      </w:r>
      <w:bookmarkEnd w:id="507"/>
      <w:bookmarkEnd w:id="508"/>
      <w:bookmarkEnd w:id="509"/>
    </w:p>
    <w:p>
      <w:pPr>
        <w:pStyle w:val="Footnoteheading"/>
        <w:keepNext/>
      </w:pPr>
      <w:r>
        <w:tab/>
        <w:t>[Heading inserted: No. 12 of 2019 s. 46.]</w:t>
      </w:r>
    </w:p>
    <w:p>
      <w:pPr>
        <w:pStyle w:val="Heading5"/>
      </w:pPr>
      <w:bookmarkStart w:id="510" w:name="_Toc161401261"/>
      <w:bookmarkStart w:id="511" w:name="_Toc154753758"/>
      <w:r>
        <w:rPr>
          <w:rStyle w:val="CharSectno"/>
        </w:rPr>
        <w:t>120A</w:t>
      </w:r>
      <w:r>
        <w:t>.</w:t>
      </w:r>
      <w:r>
        <w:tab/>
        <w:t>Transfers to facilitate subdivision of land</w:t>
      </w:r>
      <w:bookmarkEnd w:id="510"/>
      <w:bookmarkEnd w:id="511"/>
    </w:p>
    <w:p>
      <w:pPr>
        <w:pStyle w:val="Subsection"/>
        <w:keepNext/>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keepNext/>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512" w:name="_Toc161401262"/>
      <w:bookmarkStart w:id="513" w:name="_Toc154753759"/>
      <w:r>
        <w:rPr>
          <w:rStyle w:val="CharSectno"/>
        </w:rPr>
        <w:t>120B</w:t>
      </w:r>
      <w:r>
        <w:t>.</w:t>
      </w:r>
      <w:r>
        <w:tab/>
        <w:t>Land retained by transferee following transfer to facilitate subdivision</w:t>
      </w:r>
      <w:bookmarkEnd w:id="512"/>
      <w:bookmarkEnd w:id="513"/>
    </w:p>
    <w:p>
      <w:pPr>
        <w:pStyle w:val="Subsection"/>
        <w:keepNext/>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keepNext/>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after the subsequent transfer, the land the subject of the subsequent transfer, or part of that land, is held jointly by the original transferor with the original transferee.</w:t>
      </w:r>
    </w:p>
    <w:p>
      <w:pPr>
        <w:pStyle w:val="Subsection"/>
        <w:keepNext/>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pPr>
        <w:pStyle w:val="Subsection"/>
        <w:keepNext/>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514" w:name="_Toc161401263"/>
      <w:bookmarkStart w:id="515" w:name="_Toc154753760"/>
      <w:r>
        <w:rPr>
          <w:rStyle w:val="CharSectno"/>
        </w:rPr>
        <w:t>120C</w:t>
      </w:r>
      <w:r>
        <w:t>.</w:t>
      </w:r>
      <w:r>
        <w:tab/>
        <w:t>Transfers to facilitate subdivision: failure to lodge subsequent transfer within 5 years</w:t>
      </w:r>
      <w:bookmarkEnd w:id="514"/>
      <w:bookmarkEnd w:id="515"/>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516" w:name="_Toc161401264"/>
      <w:bookmarkStart w:id="517" w:name="_Toc154753761"/>
      <w:r>
        <w:rPr>
          <w:rStyle w:val="CharSectno"/>
        </w:rPr>
        <w:t>120D</w:t>
      </w:r>
      <w:r>
        <w:t>.</w:t>
      </w:r>
      <w:r>
        <w:tab/>
        <w:t>Subdivisions of land excluded from s. 120A and 120B</w:t>
      </w:r>
      <w:bookmarkEnd w:id="516"/>
      <w:bookmarkEnd w:id="517"/>
    </w:p>
    <w:p>
      <w:pPr>
        <w:pStyle w:val="Subsection"/>
        <w:keepNext/>
      </w:pPr>
      <w:r>
        <w:tab/>
      </w:r>
      <w:r>
        <w:tab/>
        <w:t xml:space="preserve">Sections 120A and 120B do not apply in relation to — </w:t>
      </w:r>
    </w:p>
    <w:p>
      <w:pPr>
        <w:pStyle w:val="Indenta"/>
        <w:keepNext/>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p>
    <w:p>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pPr>
        <w:pStyle w:val="Indenta"/>
      </w:pPr>
      <w:r>
        <w:tab/>
      </w:r>
      <w:r>
        <w:tab/>
        <w:t>or</w:t>
      </w:r>
    </w:p>
    <w:p>
      <w:pPr>
        <w:pStyle w:val="Indenta"/>
        <w:keepNext/>
      </w:pPr>
      <w:r>
        <w:tab/>
        <w:t>(b)</w:t>
      </w:r>
      <w:r>
        <w:tab/>
        <w:t>a subdivision of land in circumstances prescribed by the regulations.</w:t>
      </w:r>
    </w:p>
    <w:p>
      <w:pPr>
        <w:pStyle w:val="Footnotesection"/>
      </w:pPr>
      <w:r>
        <w:tab/>
        <w:t>[Section 120D inserted: No. 12 of 2019 s. 46.]</w:t>
      </w:r>
    </w:p>
    <w:p>
      <w:pPr>
        <w:pStyle w:val="Heading5"/>
      </w:pPr>
      <w:bookmarkStart w:id="518" w:name="_Toc161401265"/>
      <w:bookmarkStart w:id="519" w:name="_Toc154753762"/>
      <w:r>
        <w:rPr>
          <w:rStyle w:val="CharSectno"/>
        </w:rPr>
        <w:t>120E</w:t>
      </w:r>
      <w:r>
        <w:t>.</w:t>
      </w:r>
      <w:r>
        <w:tab/>
        <w:t>References to transfer of land back to person</w:t>
      </w:r>
      <w:bookmarkEnd w:id="518"/>
      <w:bookmarkEnd w:id="519"/>
    </w:p>
    <w:p>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keepNext/>
      </w:pPr>
      <w:r>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520" w:name="_Toc161400608"/>
      <w:bookmarkStart w:id="521" w:name="_Toc161401266"/>
      <w:bookmarkStart w:id="522" w:name="_Toc154753763"/>
      <w:r>
        <w:rPr>
          <w:sz w:val="26"/>
        </w:rPr>
        <w:t>Subdivision 2 — Certain superannuation transactions</w:t>
      </w:r>
      <w:bookmarkEnd w:id="520"/>
      <w:bookmarkEnd w:id="521"/>
      <w:bookmarkEnd w:id="522"/>
    </w:p>
    <w:p>
      <w:pPr>
        <w:pStyle w:val="Heading5"/>
      </w:pPr>
      <w:bookmarkStart w:id="523" w:name="_Toc161401267"/>
      <w:bookmarkStart w:id="524" w:name="_Toc154753764"/>
      <w:r>
        <w:rPr>
          <w:rStyle w:val="CharSectno"/>
        </w:rPr>
        <w:t>121</w:t>
      </w:r>
      <w:r>
        <w:t>.</w:t>
      </w:r>
      <w:r>
        <w:tab/>
        <w:t>Terms used</w:t>
      </w:r>
      <w:bookmarkEnd w:id="523"/>
      <w:bookmarkEnd w:id="524"/>
    </w:p>
    <w:p>
      <w:pPr>
        <w:pStyle w:val="Subsection"/>
        <w:keepNext/>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525" w:name="_Toc161401268"/>
      <w:bookmarkStart w:id="526" w:name="_Toc154753765"/>
      <w:r>
        <w:rPr>
          <w:rStyle w:val="CharSectno"/>
        </w:rPr>
        <w:t>122</w:t>
      </w:r>
      <w:r>
        <w:t>.</w:t>
      </w:r>
      <w:r>
        <w:tab/>
        <w:t>Relevant superannuation transactions for consideration</w:t>
      </w:r>
      <w:bookmarkEnd w:id="525"/>
      <w:bookmarkEnd w:id="526"/>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keepLines/>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pPr>
      <w:r>
        <w:tab/>
        <w:t>(b)</w:t>
      </w:r>
      <w:r>
        <w:tab/>
        <w:t>property can only be held in the superannuation fund to be provided to the transferor as a retirement benefit.</w:t>
      </w:r>
    </w:p>
    <w:p>
      <w:pPr>
        <w:pStyle w:val="Subsection"/>
        <w:keepNext/>
        <w:spacing w:before="120"/>
      </w:pPr>
      <w:r>
        <w:tab/>
        <w:t>(3)</w:t>
      </w:r>
      <w:r>
        <w:tab/>
        <w:t xml:space="preserve">In subsection (2)(a)(ii) and (b) — </w:t>
      </w:r>
    </w:p>
    <w:p>
      <w:pPr>
        <w:pStyle w:val="Defstart"/>
        <w:keepNex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527" w:name="_Toc161401269"/>
      <w:bookmarkStart w:id="528" w:name="_Toc154753766"/>
      <w:r>
        <w:rPr>
          <w:rStyle w:val="CharSectno"/>
        </w:rPr>
        <w:t>123</w:t>
      </w:r>
      <w:r>
        <w:t>.</w:t>
      </w:r>
      <w:r>
        <w:tab/>
        <w:t>Subsequent liability in certain circumstances</w:t>
      </w:r>
      <w:bookmarkEnd w:id="527"/>
      <w:bookmarkEnd w:id="528"/>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keepNext/>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529" w:name="_Toc161401270"/>
      <w:bookmarkStart w:id="530" w:name="_Toc154753767"/>
      <w:r>
        <w:rPr>
          <w:rStyle w:val="CharSectno"/>
        </w:rPr>
        <w:t>124</w:t>
      </w:r>
      <w:r>
        <w:t>.</w:t>
      </w:r>
      <w:r>
        <w:tab/>
        <w:t>Some transfers etc. of dutiable property to superannuation fund without consideration</w:t>
      </w:r>
      <w:bookmarkEnd w:id="529"/>
      <w:bookmarkEnd w:id="530"/>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531" w:name="_Toc161401271"/>
      <w:bookmarkStart w:id="532" w:name="_Toc154753768"/>
      <w:r>
        <w:rPr>
          <w:rStyle w:val="CharSectno"/>
        </w:rPr>
        <w:t>125</w:t>
      </w:r>
      <w:r>
        <w:t>.</w:t>
      </w:r>
      <w:r>
        <w:tab/>
        <w:t>Transfer from one superannuation fund to another</w:t>
      </w:r>
      <w:bookmarkEnd w:id="531"/>
      <w:bookmarkEnd w:id="532"/>
    </w:p>
    <w:p>
      <w:pPr>
        <w:pStyle w:val="Subsection"/>
        <w:keepNext/>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533" w:name="_Toc161401272"/>
      <w:bookmarkStart w:id="534" w:name="_Toc154753769"/>
      <w:r>
        <w:rPr>
          <w:rStyle w:val="CharSectno"/>
        </w:rPr>
        <w:t>126</w:t>
      </w:r>
      <w:r>
        <w:t>.</w:t>
      </w:r>
      <w:r>
        <w:tab/>
        <w:t>Some transfers etc. of dutiable property between trustees and custodians of superannuation funds</w:t>
      </w:r>
      <w:bookmarkEnd w:id="533"/>
      <w:bookmarkEnd w:id="534"/>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535" w:name="_Toc161401273"/>
      <w:bookmarkStart w:id="536" w:name="_Toc154753770"/>
      <w:r>
        <w:rPr>
          <w:rStyle w:val="CharSectno"/>
        </w:rPr>
        <w:t>127</w:t>
      </w:r>
      <w:r>
        <w:t>.</w:t>
      </w:r>
      <w:r>
        <w:tab/>
        <w:t>Some transfers etc. of dutiable property from superannuation fund to member, dependant or representative</w:t>
      </w:r>
      <w:bookmarkEnd w:id="535"/>
      <w:bookmarkEnd w:id="536"/>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537" w:name="_Toc161400616"/>
      <w:bookmarkStart w:id="538" w:name="_Toc161401274"/>
      <w:bookmarkStart w:id="539" w:name="_Toc154753771"/>
      <w:r>
        <w:rPr>
          <w:sz w:val="26"/>
        </w:rPr>
        <w:t>Subdivision 3 — Transactions related to the break</w:t>
      </w:r>
      <w:r>
        <w:rPr>
          <w:sz w:val="26"/>
        </w:rPr>
        <w:noBreakHyphen/>
        <w:t>up of a marriage or de facto relationship</w:t>
      </w:r>
      <w:bookmarkEnd w:id="537"/>
      <w:bookmarkEnd w:id="538"/>
      <w:bookmarkEnd w:id="539"/>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540" w:name="_Toc161401275"/>
      <w:bookmarkStart w:id="541" w:name="_Toc154753772"/>
      <w:r>
        <w:rPr>
          <w:rStyle w:val="CharSectno"/>
        </w:rPr>
        <w:t>128</w:t>
      </w:r>
      <w:r>
        <w:t>.</w:t>
      </w:r>
      <w:r>
        <w:tab/>
        <w:t>Terms used</w:t>
      </w:r>
      <w:bookmarkEnd w:id="540"/>
      <w:bookmarkEnd w:id="541"/>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tab/>
      </w:r>
      <w:r>
        <w:rPr>
          <w:rStyle w:val="CharDefText"/>
        </w:rPr>
        <w:t>de facto flag lifting agreement</w:t>
      </w:r>
      <w:r>
        <w:t xml:space="preserve"> means a flag lifting agreement as defined in the Family Law Act section 90YS;</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 and includes a superannuation interest as defined in the Family Law Act section 90YD;</w:t>
      </w:r>
    </w:p>
    <w:p>
      <w:pPr>
        <w:pStyle w:val="Defstart"/>
      </w:pPr>
      <w:r>
        <w:tab/>
      </w:r>
      <w:r>
        <w:rPr>
          <w:rStyle w:val="CharDefText"/>
        </w:rPr>
        <w:t>de facto splitting agreement</w:t>
      </w:r>
      <w:r>
        <w:t xml:space="preserve"> means —</w:t>
      </w:r>
      <w:r>
        <w:rPr>
          <w:highlight w:val="red"/>
        </w:rPr>
        <w:t xml:space="preserve"> </w:t>
      </w:r>
    </w:p>
    <w:p>
      <w:pPr>
        <w:pStyle w:val="Defpara"/>
      </w:pPr>
      <w:r>
        <w:tab/>
        <w:t>(a)</w:t>
      </w:r>
      <w:r>
        <w:tab/>
        <w:t>a de facto superannuation agreement that has effect under the Family Law Act Part VIIIC; or</w:t>
      </w:r>
    </w:p>
    <w:p>
      <w:pPr>
        <w:pStyle w:val="Defpara"/>
      </w:pPr>
      <w:r>
        <w:tab/>
        <w:t>(b)</w:t>
      </w:r>
      <w:r>
        <w:tab/>
        <w:t>a de facto flag lifting agreement that has effect under the Family Law Act Part VIIIC;</w:t>
      </w:r>
    </w:p>
    <w:p>
      <w:pPr>
        <w:pStyle w:val="Defstart"/>
      </w:pPr>
      <w:r>
        <w:tab/>
      </w:r>
      <w:r>
        <w:rPr>
          <w:rStyle w:val="CharDefText"/>
        </w:rPr>
        <w:t>de facto superannuation agreement</w:t>
      </w:r>
      <w:r>
        <w:t xml:space="preserve"> means a superannuation agreement as defined in the Family Law Act section 90YK;</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90XN;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 as defined in the Family Law Act section 90XD;</w:t>
      </w:r>
    </w:p>
    <w:p>
      <w:pPr>
        <w:pStyle w:val="Defstart"/>
        <w:keepNex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90XH;</w:t>
      </w:r>
    </w:p>
    <w:p>
      <w:pPr>
        <w:pStyle w:val="Defstart"/>
      </w:pPr>
      <w:r>
        <w:rPr>
          <w:b/>
        </w:rPr>
        <w:tab/>
      </w:r>
      <w:r>
        <w:rPr>
          <w:rStyle w:val="CharDefText"/>
        </w:rPr>
        <w:t>superannuation fund</w:t>
      </w:r>
      <w:r>
        <w:t xml:space="preserve"> has the meaning given in section 121.</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128 amended: No. 28 of 2022 s. 36; No. 28 of 2022 s. 37]</w:t>
      </w:r>
    </w:p>
    <w:p>
      <w:pPr>
        <w:pStyle w:val="Heading5"/>
        <w:keepNext w:val="0"/>
        <w:keepLines w:val="0"/>
        <w:spacing w:before="180"/>
      </w:pPr>
      <w:bookmarkStart w:id="542" w:name="_Toc161401276"/>
      <w:bookmarkStart w:id="543" w:name="_Toc154753773"/>
      <w:r>
        <w:rPr>
          <w:rStyle w:val="CharSectno"/>
        </w:rPr>
        <w:t>129</w:t>
      </w:r>
      <w:r>
        <w:t>.</w:t>
      </w:r>
      <w:r>
        <w:tab/>
        <w:t>References to matrimonial instrument</w:t>
      </w:r>
      <w:bookmarkEnd w:id="542"/>
      <w:bookmarkEnd w:id="543"/>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544" w:name="_Toc161401277"/>
      <w:bookmarkStart w:id="545" w:name="_Toc154753774"/>
      <w:r>
        <w:rPr>
          <w:rStyle w:val="CharSectno"/>
        </w:rPr>
        <w:t>130</w:t>
      </w:r>
      <w:r>
        <w:t>.</w:t>
      </w:r>
      <w:r>
        <w:tab/>
        <w:t>References to de facto relationship instrument</w:t>
      </w:r>
      <w:bookmarkEnd w:id="544"/>
      <w:bookmarkEnd w:id="545"/>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 xml:space="preserve">a financial agreement or a former financial agreement, within the meaning of those terms in the Family Court Act section 205T, or a de facto splitting agreement; </w:t>
      </w:r>
    </w:p>
    <w:p>
      <w:pPr>
        <w:pStyle w:val="Indenta"/>
      </w:pPr>
      <w:r>
        <w:tab/>
        <w:t>(b)</w:t>
      </w:r>
      <w:r>
        <w:tab/>
        <w:t xml:space="preserve">an order of a court under — </w:t>
      </w:r>
    </w:p>
    <w:p>
      <w:pPr>
        <w:pStyle w:val="Indenti"/>
      </w:pPr>
      <w:r>
        <w:tab/>
        <w:t>(i)</w:t>
      </w:r>
      <w:r>
        <w:tab/>
        <w:t>the Family Court Act Part 5A; or</w:t>
      </w:r>
    </w:p>
    <w:p>
      <w:pPr>
        <w:pStyle w:val="Indenti"/>
      </w:pPr>
      <w:r>
        <w:tab/>
        <w:t>(ia)</w:t>
      </w:r>
      <w:r>
        <w:tab/>
        <w:t>the Family Law Act Part VIIIC; or</w:t>
      </w:r>
    </w:p>
    <w:p>
      <w:pPr>
        <w:pStyle w:val="Indenti"/>
      </w:pPr>
      <w:r>
        <w:tab/>
        <w:t>(ii)</w:t>
      </w:r>
      <w:r>
        <w:tab/>
        <w:t>a law of the Commonwealth or another State or Territory that substantially corresponds to a provision referred to in subparagraph (i) or (ia).</w:t>
      </w:r>
    </w:p>
    <w:p>
      <w:pPr>
        <w:pStyle w:val="Footnotesection"/>
      </w:pPr>
      <w:r>
        <w:tab/>
        <w:t>[Section 130 amended: No. 28 of 2022 s. 38.]</w:t>
      </w:r>
    </w:p>
    <w:p>
      <w:pPr>
        <w:pStyle w:val="Heading5"/>
        <w:keepLines w:val="0"/>
      </w:pPr>
      <w:bookmarkStart w:id="546" w:name="_Toc161401278"/>
      <w:bookmarkStart w:id="547" w:name="_Toc154753775"/>
      <w:r>
        <w:rPr>
          <w:rStyle w:val="CharSectno"/>
        </w:rPr>
        <w:t>131</w:t>
      </w:r>
      <w:r>
        <w:t>.</w:t>
      </w:r>
      <w:r>
        <w:tab/>
        <w:t>Transactions in accordance with matrimonial instrument or de facto relationship instrument</w:t>
      </w:r>
      <w:bookmarkEnd w:id="546"/>
      <w:bookmarkEnd w:id="547"/>
    </w:p>
    <w:p>
      <w:pPr>
        <w:pStyle w:val="Subsection"/>
        <w:keepNext/>
      </w:pPr>
      <w:r>
        <w:tab/>
        <w:t>(1)</w:t>
      </w:r>
      <w:r>
        <w:tab/>
        <w:t xml:space="preserve">Nominal duty is chargeable on a dutiable transaction to the extent that it is in accordance with a matrimonial instrument if — </w:t>
      </w:r>
    </w:p>
    <w:p>
      <w:pPr>
        <w:pStyle w:val="Indenta"/>
      </w:pPr>
      <w:r>
        <w:tab/>
        <w:t>(c)</w:t>
      </w:r>
      <w:r>
        <w:tab/>
        <w:t>the parties to the marriage are separated or divorced from each other or the marriage has irretrievably broken down; and</w:t>
      </w:r>
    </w:p>
    <w:p>
      <w:pPr>
        <w:pStyle w:val="Indenta"/>
        <w:keepNext/>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keepNext/>
      </w:pPr>
      <w:r>
        <w:tab/>
        <w:t>(2)</w:t>
      </w:r>
      <w:r>
        <w:tab/>
        <w:t xml:space="preserve">Nominal duty is chargeable on a dutiable transaction to the extent that it is in accordance with a de facto relationship instrument 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 or</w:t>
      </w:r>
    </w:p>
    <w:p>
      <w:pPr>
        <w:pStyle w:val="Indenti"/>
        <w:keepNext/>
      </w:pPr>
      <w:r>
        <w:tab/>
        <w:t>(iii)</w:t>
      </w:r>
      <w:r>
        <w:tab/>
        <w:t>a trustee of a superannuation fund.</w:t>
      </w:r>
    </w:p>
    <w:p>
      <w:pPr>
        <w:pStyle w:val="Footnotesection"/>
      </w:pPr>
      <w:r>
        <w:tab/>
        <w:t>[Section 131 amended: No. 16 of 2022 s. 5; No. 28 of 2022 s. 39.]</w:t>
      </w:r>
    </w:p>
    <w:p>
      <w:pPr>
        <w:pStyle w:val="Heading5"/>
      </w:pPr>
      <w:bookmarkStart w:id="548" w:name="_Toc161401279"/>
      <w:bookmarkStart w:id="549" w:name="_Toc154753776"/>
      <w:r>
        <w:rPr>
          <w:rStyle w:val="CharSectno"/>
        </w:rPr>
        <w:t>132</w:t>
      </w:r>
      <w:r>
        <w:t>.</w:t>
      </w:r>
      <w:r>
        <w:tab/>
        <w:t>Reassessment of transaction if s. 131 becomes applicable</w:t>
      </w:r>
      <w:bookmarkEnd w:id="548"/>
      <w:bookmarkEnd w:id="549"/>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keepNext/>
      </w:pPr>
      <w:r>
        <w:tab/>
        <w:t>(b)</w:t>
      </w:r>
      <w:r>
        <w:tab/>
        <w:t xml:space="preserve">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keepNext/>
      </w:pPr>
      <w:r>
        <w:tab/>
        <w:t>(2)</w:t>
      </w:r>
      <w:r>
        <w:tab/>
        <w:t>For the purposes of this section, the Taxation Administration Act section 17 applies as if the original assessment had been made when the instrument became a matrimonial instrument or a de facto relationship instrument.</w:t>
      </w:r>
    </w:p>
    <w:p>
      <w:pPr>
        <w:pStyle w:val="Footnotesection"/>
      </w:pPr>
      <w:r>
        <w:tab/>
        <w:t>[Section 132 amended: No. 16 of 2022 s. 6.]</w:t>
      </w:r>
    </w:p>
    <w:p>
      <w:pPr>
        <w:pStyle w:val="Heading5"/>
      </w:pPr>
      <w:bookmarkStart w:id="550" w:name="_Toc161401280"/>
      <w:bookmarkStart w:id="551" w:name="_Toc154753777"/>
      <w:r>
        <w:rPr>
          <w:rStyle w:val="CharSectno"/>
        </w:rPr>
        <w:t>133</w:t>
      </w:r>
      <w:r>
        <w:t>.</w:t>
      </w:r>
      <w:r>
        <w:tab/>
        <w:t>Evidence as to marriage or de facto relationship</w:t>
      </w:r>
      <w:bookmarkEnd w:id="550"/>
      <w:bookmarkEnd w:id="551"/>
    </w:p>
    <w:p>
      <w:pPr>
        <w:pStyle w:val="Subsection"/>
        <w:keepNext/>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552" w:name="_Toc161400623"/>
      <w:bookmarkStart w:id="553" w:name="_Toc161401281"/>
      <w:bookmarkStart w:id="554" w:name="_Toc154753778"/>
      <w:r>
        <w:rPr>
          <w:sz w:val="26"/>
        </w:rPr>
        <w:t>Subdivision 4 — Other transactions</w:t>
      </w:r>
      <w:bookmarkEnd w:id="552"/>
      <w:bookmarkEnd w:id="553"/>
      <w:bookmarkEnd w:id="554"/>
    </w:p>
    <w:p>
      <w:pPr>
        <w:pStyle w:val="Heading5"/>
      </w:pPr>
      <w:bookmarkStart w:id="555" w:name="_Toc161401282"/>
      <w:bookmarkStart w:id="556" w:name="_Toc154753779"/>
      <w:r>
        <w:rPr>
          <w:rStyle w:val="CharSectno"/>
        </w:rPr>
        <w:t>134</w:t>
      </w:r>
      <w:r>
        <w:t>.</w:t>
      </w:r>
      <w:r>
        <w:tab/>
        <w:t>Some transfers etc. of certain lots under planning scheme</w:t>
      </w:r>
      <w:bookmarkEnd w:id="555"/>
      <w:bookmarkEnd w:id="556"/>
    </w:p>
    <w:p>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keepNext/>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Ednotesection"/>
      </w:pPr>
      <w:r>
        <w:t>[</w:t>
      </w:r>
      <w:r>
        <w:rPr>
          <w:b/>
        </w:rPr>
        <w:t>135.</w:t>
      </w:r>
      <w:r>
        <w:tab/>
        <w:t>Deleted: No. 37 of 2022 s. 10.]</w:t>
      </w:r>
    </w:p>
    <w:p>
      <w:pPr>
        <w:pStyle w:val="Heading5"/>
        <w:rPr>
          <w:i/>
          <w:iCs/>
        </w:rPr>
      </w:pPr>
      <w:bookmarkStart w:id="557" w:name="_Toc161401283"/>
      <w:bookmarkStart w:id="558" w:name="_Toc154753780"/>
      <w:r>
        <w:rPr>
          <w:rStyle w:val="CharSectno"/>
        </w:rPr>
        <w:t>136</w:t>
      </w:r>
      <w:r>
        <w:t>.</w:t>
      </w:r>
      <w:r>
        <w:tab/>
        <w:t xml:space="preserve">Business licences held under </w:t>
      </w:r>
      <w:r>
        <w:rPr>
          <w:i/>
          <w:iCs/>
        </w:rPr>
        <w:t>Fish Resources Management Act 1994</w:t>
      </w:r>
      <w:bookmarkEnd w:id="557"/>
      <w:bookmarkEnd w:id="558"/>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559" w:name="_Toc161401284"/>
      <w:bookmarkStart w:id="560" w:name="_Toc154753781"/>
      <w:r>
        <w:rPr>
          <w:rStyle w:val="CharSectno"/>
        </w:rPr>
        <w:t>137</w:t>
      </w:r>
      <w:r>
        <w:t>.</w:t>
      </w:r>
      <w:r>
        <w:tab/>
        <w:t>Transfers etc. to change joint tenancy to tenancy in common etc.</w:t>
      </w:r>
      <w:bookmarkEnd w:id="559"/>
      <w:bookmarkEnd w:id="560"/>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561" w:name="_Toc161401285"/>
      <w:bookmarkStart w:id="562" w:name="_Toc154753782"/>
      <w:r>
        <w:rPr>
          <w:rStyle w:val="CharSectno"/>
        </w:rPr>
        <w:t>138</w:t>
      </w:r>
      <w:r>
        <w:t>.</w:t>
      </w:r>
      <w:r>
        <w:tab/>
        <w:t>Transactions to correct clerical errors in previous dutiable transactions</w:t>
      </w:r>
      <w:bookmarkEnd w:id="561"/>
      <w:bookmarkEnd w:id="562"/>
    </w:p>
    <w:p>
      <w:pPr>
        <w:pStyle w:val="Subsection"/>
        <w:keepNext/>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563" w:name="_Toc161401286"/>
      <w:bookmarkStart w:id="564" w:name="_Toc154753783"/>
      <w:r>
        <w:rPr>
          <w:rStyle w:val="CharSectno"/>
        </w:rPr>
        <w:t>139</w:t>
      </w:r>
      <w:r>
        <w:t>.</w:t>
      </w:r>
      <w:r>
        <w:tab/>
        <w:t>Some transactions involving deceased estates</w:t>
      </w:r>
      <w:bookmarkEnd w:id="563"/>
      <w:bookmarkEnd w:id="564"/>
    </w:p>
    <w:p>
      <w:pPr>
        <w:pStyle w:val="Subsection"/>
        <w:keepNext/>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keepNext/>
      </w:pPr>
      <w:r>
        <w:tab/>
        <w:t>(2)</w:t>
      </w:r>
      <w:r>
        <w:tab/>
        <w:t xml:space="preserve">Nominal duty is chargeable on the following dutiable transactions — </w:t>
      </w:r>
    </w:p>
    <w:p>
      <w:pPr>
        <w:pStyle w:val="Indenta"/>
        <w:keepNext/>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keepNext/>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keepNext/>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keepNext/>
      </w:pPr>
      <w:r>
        <w:tab/>
        <w:t>(ii)</w:t>
      </w:r>
      <w:r>
        <w:tab/>
        <w:t>there is no consideration for the partnership acquisition.</w:t>
      </w:r>
    </w:p>
    <w:p>
      <w:pPr>
        <w:pStyle w:val="Footnotesection"/>
      </w:pPr>
      <w:r>
        <w:tab/>
        <w:t>[Section 139 amended: No. 48 of 2011 s. 15; No. 12 of 2019 s. 47.]</w:t>
      </w:r>
    </w:p>
    <w:p>
      <w:pPr>
        <w:pStyle w:val="Heading5"/>
      </w:pPr>
      <w:bookmarkStart w:id="565" w:name="_Toc161401287"/>
      <w:bookmarkStart w:id="566" w:name="_Toc154753784"/>
      <w:r>
        <w:rPr>
          <w:rStyle w:val="CharSectno"/>
        </w:rPr>
        <w:t>139A</w:t>
      </w:r>
      <w:r>
        <w:t>.</w:t>
      </w:r>
      <w:r>
        <w:tab/>
        <w:t xml:space="preserve">Some transfers and vestings under orders made under </w:t>
      </w:r>
      <w:r>
        <w:rPr>
          <w:i/>
        </w:rPr>
        <w:t>Guardianship and Administration Act 1990</w:t>
      </w:r>
      <w:bookmarkEnd w:id="565"/>
      <w:bookmarkEnd w:id="566"/>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b/>
          <w:i/>
        </w:rPr>
        <w:t>administrator</w:t>
      </w:r>
      <w:r>
        <w:t xml:space="preserve"> in this subsection;</w:t>
      </w:r>
    </w:p>
    <w:p>
      <w:pPr>
        <w:pStyle w:val="Defstart"/>
        <w:keepNext/>
      </w:pPr>
      <w:r>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tab/>
        <w:t>(c)</w:t>
      </w:r>
      <w:r>
        <w:tab/>
        <w:t xml:space="preserve">the Public Trustee acting under the authority of an instrument referred to in the </w:t>
      </w:r>
      <w:r>
        <w:rPr>
          <w:i/>
        </w:rPr>
        <w:t>Guardianship and Administration Act 1990</w:t>
      </w:r>
      <w:r>
        <w:t xml:space="preserve"> section 83B.</w:t>
      </w:r>
    </w:p>
    <w:p>
      <w:pPr>
        <w:pStyle w:val="Subsection"/>
        <w:keepNext/>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keepNext/>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keepNext/>
      </w:pPr>
      <w:r>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567" w:name="_Toc161401288"/>
      <w:bookmarkStart w:id="568" w:name="_Toc154753785"/>
      <w:r>
        <w:rPr>
          <w:rStyle w:val="CharSectno"/>
        </w:rPr>
        <w:t>140</w:t>
      </w:r>
      <w:r>
        <w:t>.</w:t>
      </w:r>
      <w:r>
        <w:tab/>
        <w:t>Prescribed dutiable transactions</w:t>
      </w:r>
      <w:bookmarkEnd w:id="567"/>
      <w:bookmarkEnd w:id="568"/>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569" w:name="_Toc161400631"/>
      <w:bookmarkStart w:id="570" w:name="_Toc161401289"/>
      <w:bookmarkStart w:id="571" w:name="_Toc154753786"/>
      <w:r>
        <w:rPr>
          <w:sz w:val="26"/>
        </w:rPr>
        <w:t>Division 3 — First home owner concessions</w:t>
      </w:r>
      <w:bookmarkEnd w:id="569"/>
      <w:bookmarkEnd w:id="570"/>
      <w:bookmarkEnd w:id="571"/>
    </w:p>
    <w:p>
      <w:pPr>
        <w:pStyle w:val="Heading5"/>
      </w:pPr>
      <w:bookmarkStart w:id="572" w:name="_Toc161401290"/>
      <w:bookmarkStart w:id="573" w:name="_Toc154753787"/>
      <w:r>
        <w:rPr>
          <w:rStyle w:val="CharSectno"/>
        </w:rPr>
        <w:t>141</w:t>
      </w:r>
      <w:r>
        <w:t>.</w:t>
      </w:r>
      <w:r>
        <w:tab/>
        <w:t>Terms used</w:t>
      </w:r>
      <w:bookmarkEnd w:id="572"/>
      <w:bookmarkEnd w:id="573"/>
    </w:p>
    <w:p>
      <w:pPr>
        <w:pStyle w:val="Subsection"/>
        <w:keepNext/>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keepNex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keepNext/>
      </w:pPr>
      <w:r>
        <w:tab/>
        <w:t>(b)</w:t>
      </w:r>
      <w:r>
        <w:tab/>
        <w:t>is agreed to be transferred,</w:t>
      </w:r>
    </w:p>
    <w:p>
      <w:pPr>
        <w:pStyle w:val="Defstart"/>
        <w:keepNex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keepNext/>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w:t>
      </w:r>
    </w:p>
    <w:p>
      <w:pPr>
        <w:pStyle w:val="Heading5"/>
        <w:spacing w:before="240"/>
        <w:rPr>
          <w:b w:val="0"/>
        </w:rPr>
      </w:pPr>
      <w:bookmarkStart w:id="574" w:name="_Toc161401291"/>
      <w:bookmarkStart w:id="575" w:name="_Toc154753788"/>
      <w:r>
        <w:rPr>
          <w:rStyle w:val="CharSectno"/>
        </w:rPr>
        <w:t>142A</w:t>
      </w:r>
      <w:r>
        <w:t>.</w:t>
      </w:r>
      <w:r>
        <w:tab/>
        <w:t>Concessional first home owners</w:t>
      </w:r>
      <w:bookmarkEnd w:id="574"/>
      <w:bookmarkEnd w:id="575"/>
    </w:p>
    <w:p>
      <w:pPr>
        <w:pStyle w:val="Subsection"/>
        <w:keepNext/>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keepNext/>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keepNext/>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keepNext/>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576" w:name="_Toc161401292"/>
      <w:bookmarkStart w:id="577" w:name="_Toc154753789"/>
      <w:r>
        <w:rPr>
          <w:rStyle w:val="CharSectno"/>
        </w:rPr>
        <w:t>142</w:t>
      </w:r>
      <w:r>
        <w:t>.</w:t>
      </w:r>
      <w:r>
        <w:tab/>
        <w:t>First home owner concessional transactions</w:t>
      </w:r>
      <w:bookmarkEnd w:id="576"/>
      <w:bookmarkEnd w:id="577"/>
    </w:p>
    <w:p>
      <w:pPr>
        <w:pStyle w:val="Subsection"/>
        <w:keepNext/>
      </w:pPr>
      <w:r>
        <w:tab/>
        <w:t>(1)</w:t>
      </w:r>
      <w:r>
        <w:tab/>
        <w:t xml:space="preserve">A reference in this Division to a first home owner concessional transaction is to a transfer of, or an agreement for the transfer of, dutiable property where — </w:t>
      </w:r>
    </w:p>
    <w:p>
      <w:pPr>
        <w:pStyle w:val="Indenta"/>
        <w:keepNext/>
      </w:pPr>
      <w:r>
        <w:tab/>
        <w:t>(a)</w:t>
      </w:r>
      <w:r>
        <w:tab/>
        <w:t xml:space="preserve">either — </w:t>
      </w:r>
    </w:p>
    <w:p>
      <w:pPr>
        <w:pStyle w:val="Indenti"/>
      </w:pPr>
      <w:r>
        <w:tab/>
        <w:t>(i)</w:t>
      </w:r>
      <w:r>
        <w:tab/>
        <w:t>each transferee is a concessional first home owner; or</w:t>
      </w:r>
    </w:p>
    <w:p>
      <w:pPr>
        <w:pStyle w:val="Indenti"/>
        <w:keepNext/>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keepNext/>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keepNext/>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keepNext/>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w:t>
      </w:r>
    </w:p>
    <w:p>
      <w:pPr>
        <w:pStyle w:val="Heading5"/>
        <w:spacing w:before="240"/>
        <w:rPr>
          <w:b w:val="0"/>
        </w:rPr>
      </w:pPr>
      <w:bookmarkStart w:id="578" w:name="_Toc161401293"/>
      <w:bookmarkStart w:id="579" w:name="_Toc154753790"/>
      <w:r>
        <w:rPr>
          <w:rStyle w:val="CharSectno"/>
        </w:rPr>
        <w:t>143</w:t>
      </w:r>
      <w:r>
        <w:t>.</w:t>
      </w:r>
      <w:r>
        <w:tab/>
        <w:t>First home owner concessional rate of duty</w:t>
      </w:r>
      <w:bookmarkEnd w:id="578"/>
      <w:bookmarkEnd w:id="579"/>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keepLines/>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keepLines/>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keepNext/>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580" w:name="_Toc161401294"/>
      <w:bookmarkStart w:id="581" w:name="_Toc154753791"/>
      <w:r>
        <w:rPr>
          <w:rStyle w:val="CharSectno"/>
        </w:rPr>
        <w:t>144</w:t>
      </w:r>
      <w:r>
        <w:t>.</w:t>
      </w:r>
      <w:r>
        <w:tab/>
        <w:t>Application for first home owner concessional rate of duty</w:t>
      </w:r>
      <w:bookmarkEnd w:id="580"/>
      <w:bookmarkEnd w:id="581"/>
    </w:p>
    <w:p>
      <w:pPr>
        <w:pStyle w:val="Subsection"/>
        <w:keepNext/>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tab/>
        <w:t>(2)</w:t>
      </w:r>
      <w:r>
        <w:tab/>
        <w:t xml:space="preserve">For the purposes of this Division, the Taxation Administration Act section 17 applies as if — </w:t>
      </w:r>
    </w:p>
    <w:p>
      <w:pPr>
        <w:pStyle w:val="Indenta"/>
        <w:keepNext/>
      </w:pPr>
      <w:r>
        <w:tab/>
        <w:t>(a)</w:t>
      </w:r>
      <w:r>
        <w:tab/>
        <w:t xml:space="preserve">in respect of a first home owner concessional transaction — </w:t>
      </w:r>
    </w:p>
    <w:p>
      <w:pPr>
        <w:pStyle w:val="Indenti"/>
        <w:keepNext/>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keepNext/>
      </w:pPr>
      <w:r>
        <w:tab/>
        <w:t>(II)</w:t>
      </w:r>
      <w:r>
        <w:tab/>
        <w:t>if an application for a first home owner grant has been made, 3 months after the day on which the grant is paid;</w:t>
      </w:r>
    </w:p>
    <w:p>
      <w:pPr>
        <w:pStyle w:val="Indenti"/>
      </w:pPr>
      <w:r>
        <w:tab/>
      </w:r>
      <w:r>
        <w:tab/>
        <w:t>and</w:t>
      </w:r>
    </w:p>
    <w:p>
      <w:pPr>
        <w:pStyle w:val="Indenti"/>
        <w:keepNext/>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keepNext/>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keepNext/>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582" w:name="_Toc161401295"/>
      <w:bookmarkStart w:id="583" w:name="_Toc154753792"/>
      <w:r>
        <w:rPr>
          <w:rStyle w:val="CharSectno"/>
        </w:rPr>
        <w:t>145</w:t>
      </w:r>
      <w:r>
        <w:t>.</w:t>
      </w:r>
      <w:r>
        <w:tab/>
        <w:t>Subsequent liability in certain circumstances</w:t>
      </w:r>
      <w:bookmarkEnd w:id="582"/>
      <w:bookmarkEnd w:id="583"/>
    </w:p>
    <w:p>
      <w:pPr>
        <w:pStyle w:val="Subsection"/>
        <w:keepNext/>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keepNext/>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keepNext/>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keepNext/>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keepNext/>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584" w:name="_Toc161401296"/>
      <w:bookmarkStart w:id="585" w:name="_Toc154753793"/>
      <w:r>
        <w:rPr>
          <w:rStyle w:val="CharSectno"/>
        </w:rPr>
        <w:t>146</w:t>
      </w:r>
      <w:r>
        <w:t>.</w:t>
      </w:r>
      <w:r>
        <w:tab/>
        <w:t>Other provisions about first home owner concessions</w:t>
      </w:r>
      <w:bookmarkEnd w:id="584"/>
      <w:bookmarkEnd w:id="585"/>
    </w:p>
    <w:p>
      <w:pPr>
        <w:pStyle w:val="Subsection"/>
        <w:keepNext/>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keepNext/>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keepNext/>
      </w:pPr>
      <w:r>
        <w:tab/>
        <w:t>(ii)</w:t>
      </w:r>
      <w:r>
        <w:tab/>
        <w:t>the reference in the FHOG Act section 37(1)(a) to functions of the Commissioner were a reference to functions of the Commissioner related to an application under this Division;</w:t>
      </w:r>
    </w:p>
    <w:p>
      <w:pPr>
        <w:pStyle w:val="Indenta"/>
      </w:pPr>
      <w:r>
        <w:tab/>
      </w:r>
      <w:r>
        <w:tab/>
        <w:t>and</w:t>
      </w:r>
    </w:p>
    <w:p>
      <w:pPr>
        <w:pStyle w:val="Indenta"/>
        <w:keepNext/>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Ednotedivision"/>
      </w:pPr>
      <w:r>
        <w:t>[Division 4A (s. 147A-147G) deleted: No. 16 of 2022 s. 21.]</w:t>
      </w:r>
    </w:p>
    <w:p>
      <w:pPr>
        <w:pStyle w:val="Heading4"/>
        <w:rPr>
          <w:sz w:val="26"/>
        </w:rPr>
      </w:pPr>
      <w:bookmarkStart w:id="586" w:name="_Toc161400639"/>
      <w:bookmarkStart w:id="587" w:name="_Toc161401297"/>
      <w:bookmarkStart w:id="588" w:name="_Toc154753794"/>
      <w:r>
        <w:rPr>
          <w:sz w:val="26"/>
        </w:rPr>
        <w:t>Division 4 — Residential or business concessions</w:t>
      </w:r>
      <w:bookmarkEnd w:id="586"/>
      <w:bookmarkEnd w:id="587"/>
      <w:bookmarkEnd w:id="588"/>
    </w:p>
    <w:p>
      <w:pPr>
        <w:pStyle w:val="Heading5"/>
      </w:pPr>
      <w:bookmarkStart w:id="589" w:name="_Toc161401298"/>
      <w:bookmarkStart w:id="590" w:name="_Toc154753795"/>
      <w:r>
        <w:rPr>
          <w:rStyle w:val="CharSectno"/>
        </w:rPr>
        <w:t>147</w:t>
      </w:r>
      <w:r>
        <w:t>.</w:t>
      </w:r>
      <w:r>
        <w:tab/>
        <w:t xml:space="preserve">Concessional rates for transactions referred to in </w:t>
      </w:r>
      <w:r>
        <w:rPr>
          <w:i/>
          <w:iCs/>
        </w:rPr>
        <w:t>Stamp Act 1921</w:t>
      </w:r>
      <w:r>
        <w:t xml:space="preserve"> s. 75AE</w:t>
      </w:r>
      <w:bookmarkEnd w:id="589"/>
      <w:bookmarkEnd w:id="590"/>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keepNext/>
      </w:pPr>
      <w:r>
        <w:tab/>
        <w:t>(2)</w:t>
      </w:r>
      <w:r>
        <w:tab/>
        <w:t>Duty is chargeable on a concessional transaction at the applicable concessional rate of duty.</w:t>
      </w:r>
    </w:p>
    <w:p>
      <w:pPr>
        <w:pStyle w:val="Ednotesubsection"/>
        <w:keepNext/>
      </w:pPr>
      <w:r>
        <w:tab/>
        <w:t>[(3)</w:t>
      </w:r>
      <w:r>
        <w:tab/>
        <w:t>deleted]</w:t>
      </w:r>
    </w:p>
    <w:p>
      <w:pPr>
        <w:pStyle w:val="Footnotesection"/>
      </w:pPr>
      <w:r>
        <w:tab/>
        <w:t>[Section 147 amended: No. 30 of 2008 s. 27; No. 16 of 2022 s. 22.]</w:t>
      </w:r>
    </w:p>
    <w:p>
      <w:pPr>
        <w:pStyle w:val="Heading2"/>
        <w:rPr>
          <w:sz w:val="32"/>
        </w:rPr>
      </w:pPr>
      <w:bookmarkStart w:id="591" w:name="_Toc161400641"/>
      <w:bookmarkStart w:id="592" w:name="_Toc161401299"/>
      <w:bookmarkStart w:id="593" w:name="_Toc154753796"/>
      <w:r>
        <w:rPr>
          <w:rStyle w:val="CharPartNo"/>
          <w:sz w:val="32"/>
        </w:rPr>
        <w:t>Chapter 3</w:t>
      </w:r>
      <w:r>
        <w:rPr>
          <w:sz w:val="32"/>
        </w:rPr>
        <w:t> — </w:t>
      </w:r>
      <w:r>
        <w:rPr>
          <w:rStyle w:val="CharPartText"/>
          <w:sz w:val="32"/>
        </w:rPr>
        <w:t>Landholder duty</w:t>
      </w:r>
      <w:bookmarkEnd w:id="591"/>
      <w:bookmarkEnd w:id="592"/>
      <w:bookmarkEnd w:id="593"/>
    </w:p>
    <w:p>
      <w:pPr>
        <w:pStyle w:val="Heading3"/>
        <w:rPr>
          <w:sz w:val="28"/>
        </w:rPr>
      </w:pPr>
      <w:bookmarkStart w:id="594" w:name="_Toc161400642"/>
      <w:bookmarkStart w:id="595" w:name="_Toc161401300"/>
      <w:bookmarkStart w:id="596" w:name="_Toc154753797"/>
      <w:r>
        <w:rPr>
          <w:rStyle w:val="CharDivNo"/>
          <w:sz w:val="28"/>
        </w:rPr>
        <w:t>Part 1</w:t>
      </w:r>
      <w:r>
        <w:rPr>
          <w:sz w:val="28"/>
        </w:rPr>
        <w:t> — </w:t>
      </w:r>
      <w:r>
        <w:rPr>
          <w:rStyle w:val="CharDivText"/>
          <w:sz w:val="28"/>
        </w:rPr>
        <w:t>Preliminary</w:t>
      </w:r>
      <w:bookmarkEnd w:id="594"/>
      <w:bookmarkEnd w:id="595"/>
      <w:bookmarkEnd w:id="596"/>
    </w:p>
    <w:p>
      <w:pPr>
        <w:pStyle w:val="Heading5"/>
      </w:pPr>
      <w:bookmarkStart w:id="597" w:name="_Toc161401301"/>
      <w:bookmarkStart w:id="598" w:name="_Toc154753798"/>
      <w:r>
        <w:rPr>
          <w:rStyle w:val="CharSectno"/>
        </w:rPr>
        <w:t>148</w:t>
      </w:r>
      <w:r>
        <w:t>.</w:t>
      </w:r>
      <w:r>
        <w:tab/>
        <w:t>Terms used</w:t>
      </w:r>
      <w:bookmarkEnd w:id="597"/>
      <w:bookmarkEnd w:id="598"/>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599" w:name="_Toc161401302"/>
      <w:bookmarkStart w:id="600" w:name="_Toc154753799"/>
      <w:r>
        <w:rPr>
          <w:rStyle w:val="CharSectno"/>
        </w:rPr>
        <w:t>149</w:t>
      </w:r>
      <w:r>
        <w:t>.</w:t>
      </w:r>
      <w:r>
        <w:tab/>
        <w:t>Determining entitlement to land assets and chattels</w:t>
      </w:r>
      <w:bookmarkEnd w:id="599"/>
      <w:bookmarkEnd w:id="600"/>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601" w:name="_Toc161401303"/>
      <w:bookmarkStart w:id="602" w:name="_Toc154753800"/>
      <w:r>
        <w:rPr>
          <w:rStyle w:val="CharSectno"/>
        </w:rPr>
        <w:t>149A</w:t>
      </w:r>
      <w:r>
        <w:t>.</w:t>
      </w:r>
      <w:r>
        <w:tab/>
        <w:t>Determining entitlement to land assets: fixtures and mining tenement fixtures</w:t>
      </w:r>
      <w:bookmarkEnd w:id="601"/>
      <w:bookmarkEnd w:id="602"/>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anything that is a mining tenement fixture in relation to the mining tenement is to be 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603" w:name="_Toc161401304"/>
      <w:bookmarkStart w:id="604" w:name="_Toc154753801"/>
      <w:r>
        <w:rPr>
          <w:rStyle w:val="CharSectno"/>
        </w:rPr>
        <w:t>150</w:t>
      </w:r>
      <w:r>
        <w:t>.</w:t>
      </w:r>
      <w:r>
        <w:tab/>
        <w:t>Unencumbered value of land assets or chattels</w:t>
      </w:r>
      <w:bookmarkEnd w:id="603"/>
      <w:bookmarkEnd w:id="604"/>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605" w:name="_Toc161400647"/>
      <w:bookmarkStart w:id="606" w:name="_Toc161401305"/>
      <w:bookmarkStart w:id="607" w:name="_Toc154753802"/>
      <w:r>
        <w:rPr>
          <w:rStyle w:val="CharDivNo"/>
          <w:sz w:val="28"/>
        </w:rPr>
        <w:t>Part 2</w:t>
      </w:r>
      <w:r>
        <w:rPr>
          <w:sz w:val="28"/>
        </w:rPr>
        <w:t> — </w:t>
      </w:r>
      <w:r>
        <w:rPr>
          <w:rStyle w:val="CharDivText"/>
          <w:sz w:val="28"/>
        </w:rPr>
        <w:t>Imposition of landholder duty</w:t>
      </w:r>
      <w:bookmarkEnd w:id="605"/>
      <w:bookmarkEnd w:id="606"/>
      <w:bookmarkEnd w:id="607"/>
    </w:p>
    <w:p>
      <w:pPr>
        <w:pStyle w:val="Heading5"/>
        <w:spacing w:before="240"/>
      </w:pPr>
      <w:bookmarkStart w:id="608" w:name="_Toc161401306"/>
      <w:bookmarkStart w:id="609" w:name="_Toc154753803"/>
      <w:r>
        <w:rPr>
          <w:rStyle w:val="CharSectno"/>
        </w:rPr>
        <w:t>151</w:t>
      </w:r>
      <w:r>
        <w:t>.</w:t>
      </w:r>
      <w:r>
        <w:tab/>
        <w:t>Landholder duty imposed</w:t>
      </w:r>
      <w:bookmarkEnd w:id="608"/>
      <w:bookmarkEnd w:id="609"/>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610" w:name="_Toc161400649"/>
      <w:bookmarkStart w:id="611" w:name="_Toc161401307"/>
      <w:bookmarkStart w:id="612" w:name="_Toc154753804"/>
      <w:r>
        <w:rPr>
          <w:rStyle w:val="CharDivNo"/>
          <w:sz w:val="28"/>
        </w:rPr>
        <w:t>Part 3</w:t>
      </w:r>
      <w:r>
        <w:rPr>
          <w:sz w:val="28"/>
        </w:rPr>
        <w:t> — </w:t>
      </w:r>
      <w:r>
        <w:rPr>
          <w:rStyle w:val="CharDivText"/>
          <w:sz w:val="28"/>
        </w:rPr>
        <w:t>Certain key concepts defined and related provisions</w:t>
      </w:r>
      <w:bookmarkEnd w:id="610"/>
      <w:bookmarkEnd w:id="611"/>
      <w:bookmarkEnd w:id="612"/>
    </w:p>
    <w:p>
      <w:pPr>
        <w:pStyle w:val="Heading5"/>
      </w:pPr>
      <w:bookmarkStart w:id="613" w:name="_Toc161401308"/>
      <w:bookmarkStart w:id="614" w:name="_Toc154753805"/>
      <w:r>
        <w:rPr>
          <w:rStyle w:val="CharSectno"/>
        </w:rPr>
        <w:t>152</w:t>
      </w:r>
      <w:r>
        <w:t>.</w:t>
      </w:r>
      <w:r>
        <w:tab/>
        <w:t>References to entity</w:t>
      </w:r>
      <w:bookmarkEnd w:id="613"/>
      <w:bookmarkEnd w:id="614"/>
    </w:p>
    <w:p>
      <w:pPr>
        <w:pStyle w:val="Subsection"/>
        <w:keepNext/>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615" w:name="_Toc161401309"/>
      <w:bookmarkStart w:id="616" w:name="_Toc154753806"/>
      <w:r>
        <w:rPr>
          <w:rStyle w:val="CharSectno"/>
        </w:rPr>
        <w:t>153</w:t>
      </w:r>
      <w:r>
        <w:t>.</w:t>
      </w:r>
      <w:r>
        <w:tab/>
        <w:t>References to interest in landholder or other entity</w:t>
      </w:r>
      <w:bookmarkEnd w:id="615"/>
      <w:bookmarkEnd w:id="616"/>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617" w:name="_Toc161401310"/>
      <w:bookmarkStart w:id="618" w:name="_Toc154753807"/>
      <w:r>
        <w:rPr>
          <w:rStyle w:val="CharSectno"/>
        </w:rPr>
        <w:t>153A</w:t>
      </w:r>
      <w:r>
        <w:t>.</w:t>
      </w:r>
      <w:r>
        <w:tab/>
        <w:t>References to interest in, or held by, trustee of discretionary trust</w:t>
      </w:r>
      <w:bookmarkEnd w:id="617"/>
      <w:bookmarkEnd w:id="618"/>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619" w:name="_Toc161401311"/>
      <w:bookmarkStart w:id="620" w:name="_Toc154753808"/>
      <w:r>
        <w:rPr>
          <w:rStyle w:val="CharSectno"/>
        </w:rPr>
        <w:t>153B</w:t>
      </w:r>
      <w:r>
        <w:t>.</w:t>
      </w:r>
      <w:r>
        <w:tab/>
        <w:t>References to interest in, or held by, partnership</w:t>
      </w:r>
      <w:bookmarkEnd w:id="619"/>
      <w:bookmarkEnd w:id="620"/>
    </w:p>
    <w:p>
      <w:pPr>
        <w:pStyle w:val="Subsection"/>
      </w:pPr>
      <w:r>
        <w:tab/>
      </w:r>
      <w:r>
        <w:tab/>
        <w:t xml:space="preserve">For the purposes of section 154A, if a partnership is an entity in an ownership chain referred to in that section — </w:t>
      </w:r>
    </w:p>
    <w:p>
      <w:pPr>
        <w:pStyle w:val="Indenta"/>
      </w:pPr>
      <w:r>
        <w:tab/>
        <w:t>(a)</w:t>
      </w:r>
      <w:r>
        <w:tab/>
        <w:t>an entity has an interest in the partnership if the entity is a partner in the partnership or, in the case of a unit trust 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621" w:name="_Toc161401312"/>
      <w:bookmarkStart w:id="622" w:name="_Toc154753809"/>
      <w:r>
        <w:rPr>
          <w:rStyle w:val="CharSectno"/>
        </w:rPr>
        <w:t>154</w:t>
      </w:r>
      <w:r>
        <w:t>.</w:t>
      </w:r>
      <w:r>
        <w:tab/>
        <w:t>Calculating interest in entity</w:t>
      </w:r>
      <w:bookmarkEnd w:id="621"/>
      <w:bookmarkEnd w:id="622"/>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623" w:name="_Toc161401313"/>
      <w:bookmarkStart w:id="624" w:name="_Toc154753810"/>
      <w:r>
        <w:rPr>
          <w:rStyle w:val="CharSectno"/>
        </w:rPr>
        <w:t>154A</w:t>
      </w:r>
      <w:r>
        <w:t>.</w:t>
      </w:r>
      <w:r>
        <w:tab/>
        <w:t>Calculating total direct or indirect interest in entity</w:t>
      </w:r>
      <w:bookmarkEnd w:id="623"/>
      <w:bookmarkEnd w:id="624"/>
    </w:p>
    <w:p>
      <w:pPr>
        <w:pStyle w:val="Subsection"/>
      </w:pPr>
      <w:r>
        <w:tab/>
        <w:t>(1)</w:t>
      </w:r>
      <w:r>
        <w:tab/>
        <w:t xml:space="preserve">This section applies where it is necessary in relation to an acquisition of an interest in an entity (the </w:t>
      </w:r>
      <w:r>
        <w:rPr>
          <w:rStyle w:val="CharDefText"/>
        </w:rPr>
        <w:t>main entity</w:t>
      </w:r>
      <w:r>
        <w:t xml:space="preserve">) to 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625" w:name="_Toc161401314"/>
      <w:bookmarkStart w:id="626" w:name="_Toc154753811"/>
      <w:r>
        <w:rPr>
          <w:rStyle w:val="CharSectno"/>
        </w:rPr>
        <w:t>154B</w:t>
      </w:r>
      <w:r>
        <w:t>.</w:t>
      </w:r>
      <w:r>
        <w:tab/>
        <w:t>Determining interest in entity: uncompleted agreements</w:t>
      </w:r>
      <w:bookmarkEnd w:id="625"/>
      <w:bookmarkEnd w:id="626"/>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627" w:name="_Toc161400657"/>
      <w:bookmarkStart w:id="628" w:name="_Toc161401315"/>
      <w:bookmarkStart w:id="629" w:name="_Toc154753812"/>
      <w:r>
        <w:rPr>
          <w:rStyle w:val="CharDivNo"/>
          <w:sz w:val="28"/>
        </w:rPr>
        <w:t>Part 4</w:t>
      </w:r>
      <w:r>
        <w:rPr>
          <w:sz w:val="28"/>
        </w:rPr>
        <w:t> — </w:t>
      </w:r>
      <w:r>
        <w:rPr>
          <w:rStyle w:val="CharDivText"/>
          <w:sz w:val="28"/>
        </w:rPr>
        <w:t>Landholders to which this Chapter applies</w:t>
      </w:r>
      <w:bookmarkEnd w:id="627"/>
      <w:bookmarkEnd w:id="628"/>
      <w:bookmarkEnd w:id="629"/>
    </w:p>
    <w:p>
      <w:pPr>
        <w:pStyle w:val="Heading5"/>
        <w:keepNext w:val="0"/>
        <w:keepLines w:val="0"/>
        <w:spacing w:before="180"/>
      </w:pPr>
      <w:bookmarkStart w:id="630" w:name="_Toc161401316"/>
      <w:bookmarkStart w:id="631" w:name="_Toc154753813"/>
      <w:r>
        <w:rPr>
          <w:rStyle w:val="CharSectno"/>
        </w:rPr>
        <w:t>155</w:t>
      </w:r>
      <w:r>
        <w:t>.</w:t>
      </w:r>
      <w:r>
        <w:tab/>
        <w:t>Which entities are landholders</w:t>
      </w:r>
      <w:bookmarkEnd w:id="630"/>
      <w:bookmarkEnd w:id="631"/>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immediately before the acquisition, it is entitled to land assets, chattels, or land assets and chattels, in Western Australia or an entity linked to the entity is so entitled; and</w:t>
      </w:r>
    </w:p>
    <w:p>
      <w:pPr>
        <w:pStyle w:val="Indenta"/>
      </w:pPr>
      <w:r>
        <w:tab/>
        <w:t>(b)</w:t>
      </w:r>
      <w:r>
        <w:tab/>
        <w:t>the acquisition is part of a relevant arrangement under subsection (4).</w:t>
      </w:r>
    </w:p>
    <w:p>
      <w:pPr>
        <w:pStyle w:val="Subsection"/>
      </w:pPr>
      <w:r>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keepNext/>
      </w:pPr>
      <w:r>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632" w:name="_Toc161401317"/>
      <w:bookmarkStart w:id="633" w:name="_Toc154753814"/>
      <w:r>
        <w:rPr>
          <w:rStyle w:val="CharSectno"/>
        </w:rPr>
        <w:t>156</w:t>
      </w:r>
      <w:r>
        <w:t>.</w:t>
      </w:r>
      <w:r>
        <w:tab/>
        <w:t>Which entities are linked to an entity</w:t>
      </w:r>
      <w:bookmarkEnd w:id="632"/>
      <w:bookmarkEnd w:id="633"/>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634" w:name="_Toc161401318"/>
      <w:bookmarkStart w:id="635" w:name="_Toc154753815"/>
      <w:r>
        <w:rPr>
          <w:rStyle w:val="CharSectno"/>
        </w:rPr>
        <w:t>156A</w:t>
      </w:r>
      <w:r>
        <w:t>.</w:t>
      </w:r>
      <w:r>
        <w:tab/>
        <w:t>Linked entities: acquisitions forming one arrangement</w:t>
      </w:r>
      <w:bookmarkEnd w:id="634"/>
      <w:bookmarkEnd w:id="635"/>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keepNext/>
      </w:pPr>
      <w:r>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636" w:name="_Toc161401319"/>
      <w:bookmarkStart w:id="637" w:name="_Toc154753816"/>
      <w:r>
        <w:rPr>
          <w:rStyle w:val="CharSectno"/>
        </w:rPr>
        <w:t>157</w:t>
      </w:r>
      <w:r>
        <w:t>.</w:t>
      </w:r>
      <w:r>
        <w:tab/>
        <w:t>Value of land assets of linked entity for s. 155</w:t>
      </w:r>
      <w:bookmarkEnd w:id="636"/>
      <w:bookmarkEnd w:id="637"/>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638" w:name="_Toc161400662"/>
      <w:bookmarkStart w:id="639" w:name="_Toc161401320"/>
      <w:bookmarkStart w:id="640" w:name="_Toc154753817"/>
      <w:r>
        <w:rPr>
          <w:rStyle w:val="CharDivNo"/>
          <w:sz w:val="28"/>
        </w:rPr>
        <w:t>Part 5</w:t>
      </w:r>
      <w:r>
        <w:rPr>
          <w:sz w:val="28"/>
        </w:rPr>
        <w:t> — </w:t>
      </w:r>
      <w:r>
        <w:rPr>
          <w:rStyle w:val="CharDivText"/>
          <w:sz w:val="28"/>
        </w:rPr>
        <w:t>Acquisitions to which this Chapter applies</w:t>
      </w:r>
      <w:bookmarkEnd w:id="638"/>
      <w:bookmarkEnd w:id="639"/>
      <w:bookmarkEnd w:id="640"/>
    </w:p>
    <w:p>
      <w:pPr>
        <w:pStyle w:val="Heading4"/>
        <w:rPr>
          <w:sz w:val="26"/>
        </w:rPr>
      </w:pPr>
      <w:bookmarkStart w:id="641" w:name="_Toc161400663"/>
      <w:bookmarkStart w:id="642" w:name="_Toc161401321"/>
      <w:bookmarkStart w:id="643" w:name="_Toc154753818"/>
      <w:r>
        <w:rPr>
          <w:sz w:val="26"/>
        </w:rPr>
        <w:t>Division 1 — Means by which interest acquired</w:t>
      </w:r>
      <w:bookmarkEnd w:id="641"/>
      <w:bookmarkEnd w:id="642"/>
      <w:bookmarkEnd w:id="643"/>
    </w:p>
    <w:p>
      <w:pPr>
        <w:pStyle w:val="Heading5"/>
      </w:pPr>
      <w:bookmarkStart w:id="644" w:name="_Toc161401322"/>
      <w:bookmarkStart w:id="645" w:name="_Toc154753819"/>
      <w:r>
        <w:rPr>
          <w:rStyle w:val="CharSectno"/>
        </w:rPr>
        <w:t>160</w:t>
      </w:r>
      <w:r>
        <w:t>.</w:t>
      </w:r>
      <w:r>
        <w:tab/>
        <w:t>How person acquires interest in entity</w:t>
      </w:r>
      <w:bookmarkEnd w:id="644"/>
      <w:bookmarkEnd w:id="645"/>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keepNext/>
      </w:pPr>
      <w:r>
        <w:tab/>
        <w:t>(4)</w:t>
      </w:r>
      <w:r>
        <w:tab/>
        <w:t>This section is subject to section 160A.</w:t>
      </w:r>
    </w:p>
    <w:p>
      <w:pPr>
        <w:pStyle w:val="Footnotesection"/>
      </w:pPr>
      <w:r>
        <w:tab/>
        <w:t>[Section 160 amended: No. 12 of 2019 s. 70.]</w:t>
      </w:r>
    </w:p>
    <w:p>
      <w:pPr>
        <w:pStyle w:val="Heading5"/>
      </w:pPr>
      <w:bookmarkStart w:id="646" w:name="_Toc161401323"/>
      <w:bookmarkStart w:id="647" w:name="_Toc154753820"/>
      <w:r>
        <w:rPr>
          <w:rStyle w:val="CharSectno"/>
        </w:rPr>
        <w:t>160A</w:t>
      </w:r>
      <w:r>
        <w:t>.</w:t>
      </w:r>
      <w:r>
        <w:tab/>
        <w:t>Acquisition of interest by merger of corporations</w:t>
      </w:r>
      <w:bookmarkEnd w:id="646"/>
      <w:bookmarkEnd w:id="647"/>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648" w:name="_Toc161400666"/>
      <w:bookmarkStart w:id="649" w:name="_Toc161401324"/>
      <w:bookmarkStart w:id="650" w:name="_Toc154753821"/>
      <w:r>
        <w:rPr>
          <w:sz w:val="26"/>
        </w:rPr>
        <w:t>Division 2 — Relevant acquisitions of interests in landholders</w:t>
      </w:r>
      <w:bookmarkEnd w:id="648"/>
      <w:bookmarkEnd w:id="649"/>
      <w:bookmarkEnd w:id="650"/>
    </w:p>
    <w:p>
      <w:pPr>
        <w:pStyle w:val="Heading4"/>
        <w:rPr>
          <w:sz w:val="26"/>
        </w:rPr>
      </w:pPr>
      <w:bookmarkStart w:id="651" w:name="_Toc161400667"/>
      <w:bookmarkStart w:id="652" w:name="_Toc161401325"/>
      <w:bookmarkStart w:id="653" w:name="_Toc154753822"/>
      <w:r>
        <w:rPr>
          <w:sz w:val="26"/>
        </w:rPr>
        <w:t>Subdivision 1 — Definitions</w:t>
      </w:r>
      <w:bookmarkEnd w:id="651"/>
      <w:bookmarkEnd w:id="652"/>
      <w:bookmarkEnd w:id="653"/>
      <w:r>
        <w:rPr>
          <w:sz w:val="26"/>
        </w:rPr>
        <w:t xml:space="preserve"> </w:t>
      </w:r>
    </w:p>
    <w:p>
      <w:pPr>
        <w:pStyle w:val="Heading5"/>
        <w:spacing w:before="240"/>
      </w:pPr>
      <w:bookmarkStart w:id="654" w:name="_Toc161401326"/>
      <w:bookmarkStart w:id="655" w:name="_Toc154753823"/>
      <w:r>
        <w:rPr>
          <w:rStyle w:val="CharSectno"/>
        </w:rPr>
        <w:t>161</w:t>
      </w:r>
      <w:r>
        <w:t>.</w:t>
      </w:r>
      <w:r>
        <w:tab/>
        <w:t>Term used: significant interest</w:t>
      </w:r>
      <w:bookmarkEnd w:id="654"/>
      <w:bookmarkEnd w:id="655"/>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keepNext/>
      </w:pPr>
      <w:r>
        <w:tab/>
        <w:t>(b)</w:t>
      </w:r>
      <w:r>
        <w:tab/>
        <w:t>otherwise — an interest of at least 50%.</w:t>
      </w:r>
    </w:p>
    <w:p>
      <w:pPr>
        <w:pStyle w:val="Footnotesection"/>
        <w:keepLines w:val="0"/>
        <w:ind w:left="890" w:hanging="890"/>
      </w:pPr>
      <w:r>
        <w:tab/>
        <w:t>[Section 161 amended: No. 32 of 2012 s. 11; No. 12 of 2019 s. 72.]</w:t>
      </w:r>
    </w:p>
    <w:p>
      <w:pPr>
        <w:pStyle w:val="Heading5"/>
        <w:spacing w:before="240"/>
      </w:pPr>
      <w:bookmarkStart w:id="656" w:name="_Toc161401327"/>
      <w:bookmarkStart w:id="657" w:name="_Toc154753824"/>
      <w:r>
        <w:rPr>
          <w:rStyle w:val="CharSectno"/>
        </w:rPr>
        <w:t>162</w:t>
      </w:r>
      <w:r>
        <w:t>.</w:t>
      </w:r>
      <w:r>
        <w:tab/>
        <w:t>Related persons for s. 163</w:t>
      </w:r>
      <w:bookmarkEnd w:id="656"/>
      <w:bookmarkEnd w:id="657"/>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658" w:name="_Toc161400670"/>
      <w:bookmarkStart w:id="659" w:name="_Toc161401328"/>
      <w:bookmarkStart w:id="660" w:name="_Toc154753825"/>
      <w:r>
        <w:rPr>
          <w:sz w:val="26"/>
        </w:rPr>
        <w:t>Subdivision 2 — Relevant acquisitions</w:t>
      </w:r>
      <w:bookmarkEnd w:id="658"/>
      <w:bookmarkEnd w:id="659"/>
      <w:bookmarkEnd w:id="660"/>
    </w:p>
    <w:p>
      <w:pPr>
        <w:pStyle w:val="Heading5"/>
      </w:pPr>
      <w:bookmarkStart w:id="661" w:name="_Toc161401329"/>
      <w:bookmarkStart w:id="662" w:name="_Toc154753826"/>
      <w:r>
        <w:rPr>
          <w:rStyle w:val="CharSectno"/>
        </w:rPr>
        <w:t>163</w:t>
      </w:r>
      <w:r>
        <w:t>.</w:t>
      </w:r>
      <w:r>
        <w:tab/>
        <w:t>Relevant acquisitions</w:t>
      </w:r>
      <w:bookmarkEnd w:id="661"/>
      <w:bookmarkEnd w:id="662"/>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keepNext/>
      </w:pPr>
      <w:r>
        <w:tab/>
        <w:t>(2)</w:t>
      </w:r>
      <w:r>
        <w:tab/>
        <w:t xml:space="preserve">In subsection (1)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663" w:name="_Toc161400672"/>
      <w:bookmarkStart w:id="664" w:name="_Toc161401330"/>
      <w:bookmarkStart w:id="665" w:name="_Toc154753827"/>
      <w:r>
        <w:rPr>
          <w:sz w:val="26"/>
        </w:rPr>
        <w:t>Subdivision 3 — Exempt acquisitions</w:t>
      </w:r>
      <w:bookmarkEnd w:id="663"/>
      <w:bookmarkEnd w:id="664"/>
      <w:bookmarkEnd w:id="665"/>
    </w:p>
    <w:p>
      <w:pPr>
        <w:pStyle w:val="Heading5"/>
      </w:pPr>
      <w:bookmarkStart w:id="666" w:name="_Toc161401331"/>
      <w:bookmarkStart w:id="667" w:name="_Toc154753828"/>
      <w:r>
        <w:rPr>
          <w:rStyle w:val="CharSectno"/>
        </w:rPr>
        <w:t>165</w:t>
      </w:r>
      <w:r>
        <w:t>.</w:t>
      </w:r>
      <w:r>
        <w:tab/>
        <w:t>Term used: acquisition</w:t>
      </w:r>
      <w:bookmarkEnd w:id="666"/>
      <w:bookmarkEnd w:id="667"/>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668" w:name="_Toc161401332"/>
      <w:bookmarkStart w:id="669" w:name="_Toc154753829"/>
      <w:r>
        <w:rPr>
          <w:rStyle w:val="CharSectno"/>
        </w:rPr>
        <w:t>166</w:t>
      </w:r>
      <w:r>
        <w:t>.</w:t>
      </w:r>
      <w:r>
        <w:tab/>
        <w:t>Effect of acquisition being exempt</w:t>
      </w:r>
      <w:bookmarkEnd w:id="668"/>
      <w:bookmarkEnd w:id="669"/>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670" w:name="_Toc161401333"/>
      <w:bookmarkStart w:id="671" w:name="_Toc154753830"/>
      <w:r>
        <w:rPr>
          <w:rStyle w:val="CharSectno"/>
        </w:rPr>
        <w:t>167</w:t>
      </w:r>
      <w:r>
        <w:t>.</w:t>
      </w:r>
      <w:r>
        <w:tab/>
        <w:t>Exemption or reduction of duty if nominal duty would be chargeable on transfer</w:t>
      </w:r>
      <w:bookmarkEnd w:id="670"/>
      <w:bookmarkEnd w:id="671"/>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No. 12 of 2019 s. 75.]</w:t>
      </w:r>
    </w:p>
    <w:p>
      <w:pPr>
        <w:pStyle w:val="Heading5"/>
      </w:pPr>
      <w:bookmarkStart w:id="672" w:name="_Toc161401334"/>
      <w:bookmarkStart w:id="673" w:name="_Toc154753831"/>
      <w:r>
        <w:rPr>
          <w:rStyle w:val="CharSectno"/>
        </w:rPr>
        <w:t>168</w:t>
      </w:r>
      <w:r>
        <w:t>.</w:t>
      </w:r>
      <w:r>
        <w:tab/>
        <w:t>Exemption or reduction of duty if transfer duty would not be chargeable</w:t>
      </w:r>
      <w:bookmarkEnd w:id="672"/>
      <w:bookmarkEnd w:id="673"/>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674" w:name="_Toc161401335"/>
      <w:bookmarkStart w:id="675" w:name="_Toc154753832"/>
      <w:r>
        <w:rPr>
          <w:rStyle w:val="CharSectno"/>
        </w:rPr>
        <w:t>169</w:t>
      </w:r>
      <w:r>
        <w:t>.</w:t>
      </w:r>
      <w:r>
        <w:tab/>
        <w:t>Exemption if acquisition is dutiable under s. 67</w:t>
      </w:r>
      <w:bookmarkEnd w:id="674"/>
      <w:bookmarkEnd w:id="675"/>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676" w:name="_Toc161401336"/>
      <w:bookmarkStart w:id="677" w:name="_Toc154753833"/>
      <w:r>
        <w:rPr>
          <w:rStyle w:val="CharSectno"/>
        </w:rPr>
        <w:t>170</w:t>
      </w:r>
      <w:r>
        <w:t>.</w:t>
      </w:r>
      <w:r>
        <w:tab/>
        <w:t xml:space="preserve">Exemption relating to approved arrangements with creditors under </w:t>
      </w:r>
      <w:r>
        <w:rPr>
          <w:iCs/>
          <w:spacing w:val="-4"/>
          <w:kern w:val="2"/>
        </w:rPr>
        <w:t>Corporations Act</w:t>
      </w:r>
      <w:bookmarkEnd w:id="676"/>
      <w:bookmarkEnd w:id="677"/>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678" w:name="_Toc161401337"/>
      <w:bookmarkStart w:id="679" w:name="_Toc154753834"/>
      <w:r>
        <w:rPr>
          <w:rStyle w:val="CharSectno"/>
        </w:rPr>
        <w:t>171</w:t>
      </w:r>
      <w:r>
        <w:t>.</w:t>
      </w:r>
      <w:r>
        <w:tab/>
        <w:t>Exemption of acquisition by family member of interest in landholder engaged in primary production</w:t>
      </w:r>
      <w:bookmarkEnd w:id="678"/>
      <w:bookmarkEnd w:id="679"/>
    </w:p>
    <w:p>
      <w:pPr>
        <w:pStyle w:val="Ednotesubsection"/>
      </w:pPr>
      <w:r>
        <w:tab/>
        <w:t>[(1)</w:t>
      </w:r>
      <w:r>
        <w:tab/>
        <w:t>deleted]</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680" w:name="_Toc161400680"/>
      <w:bookmarkStart w:id="681" w:name="_Toc161401338"/>
      <w:bookmarkStart w:id="682" w:name="_Toc154753835"/>
      <w:r>
        <w:rPr>
          <w:sz w:val="26"/>
        </w:rPr>
        <w:t>Subdivision 4 — Further provisions in respect of exemptions under section 171</w:t>
      </w:r>
      <w:bookmarkEnd w:id="680"/>
      <w:bookmarkEnd w:id="681"/>
      <w:bookmarkEnd w:id="682"/>
    </w:p>
    <w:p>
      <w:pPr>
        <w:pStyle w:val="Heading5"/>
      </w:pPr>
      <w:bookmarkStart w:id="683" w:name="_Toc161401339"/>
      <w:bookmarkStart w:id="684" w:name="_Toc154753836"/>
      <w:r>
        <w:rPr>
          <w:rStyle w:val="CharSectno"/>
        </w:rPr>
        <w:t>172</w:t>
      </w:r>
      <w:r>
        <w:t>.</w:t>
      </w:r>
      <w:r>
        <w:tab/>
        <w:t>Calculation of duty where some land assets of landholder not used for primary production</w:t>
      </w:r>
      <w:bookmarkEnd w:id="683"/>
      <w:bookmarkEnd w:id="684"/>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685" w:name="_Toc161401340"/>
      <w:bookmarkStart w:id="686" w:name="_Toc154753837"/>
      <w:r>
        <w:rPr>
          <w:rStyle w:val="CharSectno"/>
        </w:rPr>
        <w:t>173</w:t>
      </w:r>
      <w:r>
        <w:t>.</w:t>
      </w:r>
      <w:r>
        <w:tab/>
        <w:t>Reversal of exemption where certain changes made to discretionary trust</w:t>
      </w:r>
      <w:bookmarkEnd w:id="685"/>
      <w:bookmarkEnd w:id="686"/>
    </w:p>
    <w:p>
      <w:pPr>
        <w:pStyle w:val="Subsection"/>
        <w:keepNext/>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687" w:name="_Toc161401341"/>
      <w:bookmarkStart w:id="688" w:name="_Toc154753838"/>
      <w:r>
        <w:rPr>
          <w:rStyle w:val="CharSectno"/>
        </w:rPr>
        <w:t>174</w:t>
      </w:r>
      <w:r>
        <w:t>.</w:t>
      </w:r>
      <w:r>
        <w:tab/>
        <w:t>No exemption where interest transferred within 5 years</w:t>
      </w:r>
      <w:bookmarkEnd w:id="687"/>
      <w:bookmarkEnd w:id="688"/>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689" w:name="_Toc161400684"/>
      <w:bookmarkStart w:id="690" w:name="_Toc161401342"/>
      <w:bookmarkStart w:id="691" w:name="_Toc154753839"/>
      <w:r>
        <w:rPr>
          <w:rStyle w:val="CharDivNo"/>
          <w:sz w:val="28"/>
        </w:rPr>
        <w:t>Part 6</w:t>
      </w:r>
      <w:r>
        <w:rPr>
          <w:sz w:val="28"/>
        </w:rPr>
        <w:t> — </w:t>
      </w:r>
      <w:r>
        <w:rPr>
          <w:rStyle w:val="CharDivText"/>
          <w:sz w:val="28"/>
        </w:rPr>
        <w:t>Collection of landholder duty</w:t>
      </w:r>
      <w:bookmarkEnd w:id="689"/>
      <w:bookmarkEnd w:id="690"/>
      <w:bookmarkEnd w:id="691"/>
    </w:p>
    <w:p>
      <w:pPr>
        <w:pStyle w:val="Heading4"/>
        <w:keepLines/>
        <w:rPr>
          <w:sz w:val="26"/>
        </w:rPr>
      </w:pPr>
      <w:bookmarkStart w:id="692" w:name="_Toc161400685"/>
      <w:bookmarkStart w:id="693" w:name="_Toc161401343"/>
      <w:bookmarkStart w:id="694" w:name="_Toc154753840"/>
      <w:r>
        <w:rPr>
          <w:sz w:val="26"/>
        </w:rPr>
        <w:t>Division 1 — Preliminary</w:t>
      </w:r>
      <w:bookmarkEnd w:id="692"/>
      <w:bookmarkEnd w:id="693"/>
      <w:bookmarkEnd w:id="694"/>
    </w:p>
    <w:p>
      <w:pPr>
        <w:pStyle w:val="Heading5"/>
        <w:spacing w:before="240"/>
      </w:pPr>
      <w:bookmarkStart w:id="695" w:name="_Toc161401344"/>
      <w:bookmarkStart w:id="696" w:name="_Toc154753841"/>
      <w:r>
        <w:rPr>
          <w:rStyle w:val="CharSectno"/>
        </w:rPr>
        <w:t>175</w:t>
      </w:r>
      <w:r>
        <w:t>.</w:t>
      </w:r>
      <w:r>
        <w:tab/>
        <w:t>Term used: acquirer</w:t>
      </w:r>
      <w:bookmarkEnd w:id="695"/>
      <w:bookmarkEnd w:id="696"/>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697" w:name="_Toc161401345"/>
      <w:bookmarkStart w:id="698" w:name="_Toc154753842"/>
      <w:r>
        <w:rPr>
          <w:rStyle w:val="CharSectno"/>
        </w:rPr>
        <w:t>176</w:t>
      </w:r>
      <w:r>
        <w:t>.</w:t>
      </w:r>
      <w:r>
        <w:tab/>
        <w:t>When acquisition occurs</w:t>
      </w:r>
      <w:bookmarkEnd w:id="697"/>
      <w:bookmarkEnd w:id="698"/>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699" w:name="_Toc161401346"/>
      <w:bookmarkStart w:id="700" w:name="_Toc154753843"/>
      <w:r>
        <w:rPr>
          <w:rStyle w:val="CharSectno"/>
        </w:rPr>
        <w:t>177</w:t>
      </w:r>
      <w:r>
        <w:t>.</w:t>
      </w:r>
      <w:r>
        <w:tab/>
        <w:t>Certain transactions to be treated as agreements</w:t>
      </w:r>
      <w:bookmarkEnd w:id="699"/>
      <w:bookmarkEnd w:id="700"/>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701" w:name="_Toc161401347"/>
      <w:bookmarkStart w:id="702" w:name="_Toc154753844"/>
      <w:r>
        <w:rPr>
          <w:rStyle w:val="CharSectno"/>
        </w:rPr>
        <w:t>178</w:t>
      </w:r>
      <w:r>
        <w:t>.</w:t>
      </w:r>
      <w:r>
        <w:tab/>
        <w:t>Exceptions to s. 177</w:t>
      </w:r>
      <w:bookmarkEnd w:id="701"/>
      <w:bookmarkEnd w:id="702"/>
    </w:p>
    <w:p>
      <w:pPr>
        <w:pStyle w:val="Subsection"/>
        <w:keepNext/>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703" w:name="_Toc161400690"/>
      <w:bookmarkStart w:id="704" w:name="_Toc161401348"/>
      <w:bookmarkStart w:id="705" w:name="_Toc154753845"/>
      <w:r>
        <w:rPr>
          <w:sz w:val="26"/>
        </w:rPr>
        <w:t>Division 2 — Liability</w:t>
      </w:r>
      <w:bookmarkEnd w:id="703"/>
      <w:bookmarkEnd w:id="704"/>
      <w:bookmarkEnd w:id="705"/>
    </w:p>
    <w:p>
      <w:pPr>
        <w:pStyle w:val="Heading5"/>
        <w:keepNext w:val="0"/>
        <w:keepLines w:val="0"/>
      </w:pPr>
      <w:bookmarkStart w:id="706" w:name="_Toc161401349"/>
      <w:bookmarkStart w:id="707" w:name="_Toc154753846"/>
      <w:r>
        <w:rPr>
          <w:rStyle w:val="CharSectno"/>
        </w:rPr>
        <w:t>179</w:t>
      </w:r>
      <w:r>
        <w:t>.</w:t>
      </w:r>
      <w:r>
        <w:tab/>
        <w:t>Who is liable to pay duty</w:t>
      </w:r>
      <w:bookmarkEnd w:id="706"/>
      <w:bookmarkEnd w:id="707"/>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708" w:name="_Toc161401350"/>
      <w:bookmarkStart w:id="709" w:name="_Toc154753847"/>
      <w:r>
        <w:rPr>
          <w:rStyle w:val="CharSectno"/>
        </w:rPr>
        <w:t>180</w:t>
      </w:r>
      <w:r>
        <w:t>.</w:t>
      </w:r>
      <w:r>
        <w:tab/>
        <w:t>Application to Commissioner for determination of liability</w:t>
      </w:r>
      <w:bookmarkEnd w:id="708"/>
      <w:bookmarkEnd w:id="709"/>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keepNext/>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710" w:name="_Toc161401351"/>
      <w:bookmarkStart w:id="711" w:name="_Toc154753848"/>
      <w:r>
        <w:rPr>
          <w:rStyle w:val="CharSectno"/>
        </w:rPr>
        <w:t>181</w:t>
      </w:r>
      <w:r>
        <w:t>.</w:t>
      </w:r>
      <w:r>
        <w:tab/>
        <w:t>Determination of s. 180 application</w:t>
      </w:r>
      <w:bookmarkEnd w:id="710"/>
      <w:bookmarkEnd w:id="711"/>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712" w:name="_Toc161401352"/>
      <w:bookmarkStart w:id="713" w:name="_Toc154753849"/>
      <w:r>
        <w:rPr>
          <w:rStyle w:val="CharSectno"/>
        </w:rPr>
        <w:t>182</w:t>
      </w:r>
      <w:r>
        <w:t>.</w:t>
      </w:r>
      <w:r>
        <w:tab/>
        <w:t>Powers of Commissioner where further information required for determination of s. 180 application</w:t>
      </w:r>
      <w:bookmarkEnd w:id="712"/>
      <w:bookmarkEnd w:id="713"/>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714" w:name="_Toc161400695"/>
      <w:bookmarkStart w:id="715" w:name="_Toc161401353"/>
      <w:bookmarkStart w:id="716" w:name="_Toc154753850"/>
      <w:r>
        <w:rPr>
          <w:sz w:val="26"/>
        </w:rPr>
        <w:t>Division 3 — Payment of landholder duty</w:t>
      </w:r>
      <w:bookmarkEnd w:id="714"/>
      <w:bookmarkEnd w:id="715"/>
      <w:bookmarkEnd w:id="716"/>
    </w:p>
    <w:p>
      <w:pPr>
        <w:pStyle w:val="Heading5"/>
      </w:pPr>
      <w:bookmarkStart w:id="717" w:name="_Toc161401354"/>
      <w:bookmarkStart w:id="718" w:name="_Toc154753851"/>
      <w:r>
        <w:rPr>
          <w:rStyle w:val="CharSectno"/>
        </w:rPr>
        <w:t>183</w:t>
      </w:r>
      <w:r>
        <w:t>.</w:t>
      </w:r>
      <w:r>
        <w:tab/>
        <w:t>When landholder duty must be paid</w:t>
      </w:r>
      <w:bookmarkEnd w:id="717"/>
      <w:bookmarkEnd w:id="718"/>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719" w:name="_Toc161400697"/>
      <w:bookmarkStart w:id="720" w:name="_Toc161401355"/>
      <w:bookmarkStart w:id="721" w:name="_Toc154753852"/>
      <w:r>
        <w:rPr>
          <w:sz w:val="26"/>
        </w:rPr>
        <w:t>Division 4 — Rates of landholder duty</w:t>
      </w:r>
      <w:bookmarkEnd w:id="719"/>
      <w:bookmarkEnd w:id="720"/>
      <w:bookmarkEnd w:id="721"/>
    </w:p>
    <w:p>
      <w:pPr>
        <w:pStyle w:val="Heading5"/>
      </w:pPr>
      <w:bookmarkStart w:id="722" w:name="_Toc161401356"/>
      <w:bookmarkStart w:id="723" w:name="_Toc154753853"/>
      <w:r>
        <w:rPr>
          <w:rStyle w:val="CharSectno"/>
        </w:rPr>
        <w:t>184</w:t>
      </w:r>
      <w:r>
        <w:t>.</w:t>
      </w:r>
      <w:r>
        <w:tab/>
        <w:t>Rates of landholder duty</w:t>
      </w:r>
      <w:bookmarkEnd w:id="722"/>
      <w:bookmarkEnd w:id="723"/>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724" w:name="_Toc161400699"/>
      <w:bookmarkStart w:id="725" w:name="_Toc161401357"/>
      <w:bookmarkStart w:id="726" w:name="_Toc154753854"/>
      <w:r>
        <w:rPr>
          <w:sz w:val="26"/>
        </w:rPr>
        <w:t>Division 5 — Calculation of landholder duty</w:t>
      </w:r>
      <w:bookmarkEnd w:id="724"/>
      <w:bookmarkEnd w:id="725"/>
      <w:bookmarkEnd w:id="726"/>
    </w:p>
    <w:p>
      <w:pPr>
        <w:pStyle w:val="Heading5"/>
      </w:pPr>
      <w:bookmarkStart w:id="727" w:name="_Toc161401358"/>
      <w:bookmarkStart w:id="728" w:name="_Toc154753855"/>
      <w:r>
        <w:rPr>
          <w:rStyle w:val="CharSectno"/>
        </w:rPr>
        <w:t>185</w:t>
      </w:r>
      <w:r>
        <w:t>.</w:t>
      </w:r>
      <w:r>
        <w:tab/>
        <w:t>References to interest of acquirer in landholder</w:t>
      </w:r>
      <w:bookmarkEnd w:id="727"/>
      <w:bookmarkEnd w:id="728"/>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729" w:name="_Toc161401359"/>
      <w:bookmarkStart w:id="730" w:name="_Toc154753856"/>
      <w:r>
        <w:rPr>
          <w:rStyle w:val="CharSectno"/>
        </w:rPr>
        <w:t>186</w:t>
      </w:r>
      <w:r>
        <w:t>.</w:t>
      </w:r>
      <w:r>
        <w:tab/>
        <w:t>Value of landholder</w:t>
      </w:r>
      <w:bookmarkEnd w:id="729"/>
      <w:bookmarkEnd w:id="730"/>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731" w:name="_Toc161401360"/>
      <w:bookmarkStart w:id="732" w:name="_Toc154753857"/>
      <w:r>
        <w:rPr>
          <w:rStyle w:val="CharSectno"/>
        </w:rPr>
        <w:t>187</w:t>
      </w:r>
      <w:r>
        <w:t>.</w:t>
      </w:r>
      <w:r>
        <w:tab/>
        <w:t>Determining value of further interest for duty calculation</w:t>
      </w:r>
      <w:bookmarkEnd w:id="731"/>
      <w:bookmarkEnd w:id="732"/>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733" w:name="_Toc161401361"/>
      <w:bookmarkStart w:id="734" w:name="_Toc154753858"/>
      <w:r>
        <w:rPr>
          <w:rStyle w:val="CharSectno"/>
        </w:rPr>
        <w:t>188</w:t>
      </w:r>
      <w:r>
        <w:t>.</w:t>
      </w:r>
      <w:r>
        <w:tab/>
        <w:t>Calculating duty payable</w:t>
      </w:r>
      <w:bookmarkEnd w:id="733"/>
      <w:bookmarkEnd w:id="734"/>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735" w:name="_Toc161401362"/>
      <w:bookmarkStart w:id="736" w:name="_Toc154753859"/>
      <w:r>
        <w:rPr>
          <w:rStyle w:val="CharSectno"/>
        </w:rPr>
        <w:t>189</w:t>
      </w:r>
      <w:r>
        <w:t>.</w:t>
      </w:r>
      <w:r>
        <w:tab/>
        <w:t>Reduction for s. 188</w:t>
      </w:r>
      <w:bookmarkEnd w:id="735"/>
      <w:bookmarkEnd w:id="736"/>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an interest in the landholder concerned acquired by an acquisition if immediately before the acquisition neither the landholder nor a linked entity in respect of the 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737" w:name="_Toc161401363"/>
      <w:bookmarkStart w:id="738" w:name="_Toc154753860"/>
      <w:r>
        <w:rPr>
          <w:rStyle w:val="CharSectno"/>
        </w:rPr>
        <w:t>193</w:t>
      </w:r>
      <w:r>
        <w:t>.</w:t>
      </w:r>
      <w:r>
        <w:tab/>
        <w:t>Calculation of duty where statement lodged under s. 201</w:t>
      </w:r>
      <w:bookmarkEnd w:id="737"/>
      <w:bookmarkEnd w:id="738"/>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739" w:name="_Toc161401364"/>
      <w:bookmarkStart w:id="740" w:name="_Toc154753861"/>
      <w:r>
        <w:rPr>
          <w:rStyle w:val="CharSectno"/>
        </w:rPr>
        <w:t>194</w:t>
      </w:r>
      <w:r>
        <w:t>.</w:t>
      </w:r>
      <w:r>
        <w:tab/>
        <w:t>Calculation of duty on certain acquisitions on winding up of corporation or unit trust scheme</w:t>
      </w:r>
      <w:bookmarkEnd w:id="739"/>
      <w:bookmarkEnd w:id="740"/>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keepNext/>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rPr>
          <w:sz w:val="26"/>
          <w:szCs w:val="26"/>
        </w:rPr>
      </w:pPr>
      <w:bookmarkStart w:id="741" w:name="_Toc161400707"/>
      <w:bookmarkStart w:id="742" w:name="_Toc161401365"/>
      <w:bookmarkStart w:id="743" w:name="_Toc154753862"/>
      <w:r>
        <w:rPr>
          <w:sz w:val="26"/>
          <w:szCs w:val="26"/>
        </w:rPr>
        <w:t>Division 6A — Interim assessment of landholder duty</w:t>
      </w:r>
      <w:bookmarkEnd w:id="741"/>
      <w:bookmarkEnd w:id="742"/>
      <w:bookmarkEnd w:id="743"/>
    </w:p>
    <w:p>
      <w:pPr>
        <w:pStyle w:val="Footnoteheading"/>
      </w:pPr>
      <w:r>
        <w:tab/>
        <w:t>[Heading inserted: No. 10 of 2013 s. 6.]</w:t>
      </w:r>
    </w:p>
    <w:p>
      <w:pPr>
        <w:pStyle w:val="Heading5"/>
        <w:spacing w:before="240"/>
      </w:pPr>
      <w:bookmarkStart w:id="744" w:name="_Toc161401366"/>
      <w:bookmarkStart w:id="745" w:name="_Toc154753863"/>
      <w:r>
        <w:rPr>
          <w:rStyle w:val="CharSectno"/>
        </w:rPr>
        <w:t>195A</w:t>
      </w:r>
      <w:r>
        <w:t>.</w:t>
      </w:r>
      <w:r>
        <w:tab/>
        <w:t>Interim assessment of landholder duty</w:t>
      </w:r>
      <w:bookmarkEnd w:id="744"/>
      <w:bookmarkEnd w:id="745"/>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or agreement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746" w:name="_Toc161400709"/>
      <w:bookmarkStart w:id="747" w:name="_Toc161401367"/>
      <w:bookmarkStart w:id="748" w:name="_Toc154753864"/>
      <w:r>
        <w:rPr>
          <w:sz w:val="26"/>
        </w:rPr>
        <w:t>Division 6 — Assessment or reassessment of liability for landholder duty if uncompleted agreements terminated or completed</w:t>
      </w:r>
      <w:bookmarkEnd w:id="746"/>
      <w:bookmarkEnd w:id="747"/>
      <w:bookmarkEnd w:id="748"/>
    </w:p>
    <w:p>
      <w:pPr>
        <w:pStyle w:val="Footnoteheading"/>
      </w:pPr>
      <w:r>
        <w:tab/>
        <w:t>[Heading inserted: No. 12 of 2019 s. 90.]</w:t>
      </w:r>
    </w:p>
    <w:p>
      <w:pPr>
        <w:pStyle w:val="Heading5"/>
      </w:pPr>
      <w:bookmarkStart w:id="749" w:name="_Toc161401368"/>
      <w:bookmarkStart w:id="750" w:name="_Toc154753865"/>
      <w:r>
        <w:rPr>
          <w:rStyle w:val="CharSectno"/>
        </w:rPr>
        <w:t>195B</w:t>
      </w:r>
      <w:r>
        <w:t>.</w:t>
      </w:r>
      <w:r>
        <w:tab/>
        <w:t>Assessment of duty where s. 149(1) or 154B applied at acquisition time</w:t>
      </w:r>
      <w:bookmarkEnd w:id="749"/>
      <w:bookmarkEnd w:id="750"/>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751" w:name="_Toc161401369"/>
      <w:bookmarkStart w:id="752" w:name="_Toc154753866"/>
      <w:r>
        <w:rPr>
          <w:rStyle w:val="CharSectno"/>
        </w:rPr>
        <w:t>195C</w:t>
      </w:r>
      <w:r>
        <w:t>.</w:t>
      </w:r>
      <w:r>
        <w:tab/>
        <w:t>Assessment of duty where s. 176(2) applied at acquisition time</w:t>
      </w:r>
      <w:bookmarkEnd w:id="751"/>
      <w:bookmarkEnd w:id="752"/>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753" w:name="_Toc161401370"/>
      <w:bookmarkStart w:id="754" w:name="_Toc154753867"/>
      <w:r>
        <w:rPr>
          <w:rStyle w:val="CharSectno"/>
        </w:rPr>
        <w:t>195</w:t>
      </w:r>
      <w:r>
        <w:t>.</w:t>
      </w:r>
      <w:r>
        <w:tab/>
        <w:t>Reassessment of duty where s. 149(1) or 154B applied</w:t>
      </w:r>
      <w:bookmarkEnd w:id="753"/>
      <w:bookmarkEnd w:id="754"/>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755" w:name="_Toc161401371"/>
      <w:bookmarkStart w:id="756" w:name="_Toc154753868"/>
      <w:r>
        <w:rPr>
          <w:rStyle w:val="CharSectno"/>
        </w:rPr>
        <w:t>196</w:t>
      </w:r>
      <w:r>
        <w:t>.</w:t>
      </w:r>
      <w:r>
        <w:tab/>
        <w:t>Reassessment of duty where s. 176(2) applied</w:t>
      </w:r>
      <w:bookmarkEnd w:id="755"/>
      <w:bookmarkEnd w:id="756"/>
    </w:p>
    <w:p>
      <w:pPr>
        <w:pStyle w:val="Subsection"/>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757" w:name="_Toc161401372"/>
      <w:bookmarkStart w:id="758" w:name="_Toc154753869"/>
      <w:r>
        <w:rPr>
          <w:rStyle w:val="CharSectno"/>
        </w:rPr>
        <w:t>197</w:t>
      </w:r>
      <w:r>
        <w:t>.</w:t>
      </w:r>
      <w:r>
        <w:tab/>
        <w:t>Condition precedent to reassessment under s. 195 or 196</w:t>
      </w:r>
      <w:bookmarkEnd w:id="757"/>
      <w:bookmarkEnd w:id="758"/>
    </w:p>
    <w:p>
      <w:pPr>
        <w:pStyle w:val="Subsection"/>
      </w:pPr>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Footnotesection"/>
      </w:pPr>
      <w:r>
        <w:tab/>
        <w:t>[Section 197 amended: No. 12 of 2019 s. 94.]</w:t>
      </w:r>
    </w:p>
    <w:p>
      <w:pPr>
        <w:pStyle w:val="Heading5"/>
      </w:pPr>
      <w:bookmarkStart w:id="759" w:name="_Toc161401373"/>
      <w:bookmarkStart w:id="760" w:name="_Toc154753870"/>
      <w:r>
        <w:rPr>
          <w:rStyle w:val="CharSectno"/>
        </w:rPr>
        <w:t>197A</w:t>
      </w:r>
      <w:r>
        <w:t>.</w:t>
      </w:r>
      <w:r>
        <w:tab/>
        <w:t>Expired put and call options taken to be terminated</w:t>
      </w:r>
      <w:bookmarkEnd w:id="759"/>
      <w:bookmarkEnd w:id="760"/>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761" w:name="_Toc161401374"/>
      <w:bookmarkStart w:id="762" w:name="_Toc154753871"/>
      <w:r>
        <w:rPr>
          <w:rStyle w:val="CharSectno"/>
        </w:rPr>
        <w:t>198</w:t>
      </w:r>
      <w:r>
        <w:t>.</w:t>
      </w:r>
      <w:r>
        <w:tab/>
      </w:r>
      <w:r>
        <w:rPr>
          <w:iCs/>
        </w:rPr>
        <w:t>Taxation Administration Act</w:t>
      </w:r>
      <w:r>
        <w:t xml:space="preserve"> not affected</w:t>
      </w:r>
      <w:bookmarkEnd w:id="761"/>
      <w:bookmarkEnd w:id="762"/>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763" w:name="_Toc161400717"/>
      <w:bookmarkStart w:id="764" w:name="_Toc161401375"/>
      <w:bookmarkStart w:id="765" w:name="_Toc154753872"/>
      <w:r>
        <w:rPr>
          <w:sz w:val="26"/>
        </w:rPr>
        <w:t>Division 7 — Lodgment of statements</w:t>
      </w:r>
      <w:bookmarkEnd w:id="763"/>
      <w:bookmarkEnd w:id="764"/>
      <w:bookmarkEnd w:id="765"/>
    </w:p>
    <w:p>
      <w:pPr>
        <w:pStyle w:val="Heading5"/>
        <w:spacing w:before="180"/>
      </w:pPr>
      <w:bookmarkStart w:id="766" w:name="_Toc161401376"/>
      <w:bookmarkStart w:id="767" w:name="_Toc154753873"/>
      <w:r>
        <w:rPr>
          <w:rStyle w:val="CharSectno"/>
        </w:rPr>
        <w:t>199</w:t>
      </w:r>
      <w:r>
        <w:t>.</w:t>
      </w:r>
      <w:r>
        <w:tab/>
        <w:t>Term used: acquisition statement</w:t>
      </w:r>
      <w:bookmarkEnd w:id="766"/>
      <w:bookmarkEnd w:id="767"/>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768" w:name="_Toc161401377"/>
      <w:bookmarkStart w:id="769" w:name="_Toc154753874"/>
      <w:r>
        <w:rPr>
          <w:rStyle w:val="CharSectno"/>
        </w:rPr>
        <w:t>200</w:t>
      </w:r>
      <w:r>
        <w:t>.</w:t>
      </w:r>
      <w:r>
        <w:tab/>
        <w:t>Acquisition statement or agreement to be lodged</w:t>
      </w:r>
      <w:bookmarkEnd w:id="768"/>
      <w:bookmarkEnd w:id="769"/>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770" w:name="_Toc161401378"/>
      <w:bookmarkStart w:id="771" w:name="_Toc154753875"/>
      <w:r>
        <w:rPr>
          <w:rStyle w:val="CharSectno"/>
        </w:rPr>
        <w:t>201</w:t>
      </w:r>
      <w:r>
        <w:t>.</w:t>
      </w:r>
      <w:r>
        <w:tab/>
        <w:t>Acquisition of further interests, lodgment of periodical statements may be approved</w:t>
      </w:r>
      <w:bookmarkEnd w:id="770"/>
      <w:bookmarkEnd w:id="771"/>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772" w:name="_Toc161401379"/>
      <w:bookmarkStart w:id="773" w:name="_Toc154753876"/>
      <w:r>
        <w:rPr>
          <w:rStyle w:val="CharSectno"/>
        </w:rPr>
        <w:t>202</w:t>
      </w:r>
      <w:r>
        <w:t>.</w:t>
      </w:r>
      <w:r>
        <w:tab/>
        <w:t>Lodgment obligations if s. 201 application refused</w:t>
      </w:r>
      <w:bookmarkEnd w:id="772"/>
      <w:bookmarkEnd w:id="773"/>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774" w:name="_Toc161401380"/>
      <w:bookmarkStart w:id="775" w:name="_Toc154753877"/>
      <w:r>
        <w:rPr>
          <w:rStyle w:val="CharSectno"/>
        </w:rPr>
        <w:t>203</w:t>
      </w:r>
      <w:r>
        <w:t>.</w:t>
      </w:r>
      <w:r>
        <w:tab/>
        <w:t>Form of acquisition statements</w:t>
      </w:r>
      <w:bookmarkEnd w:id="774"/>
      <w:bookmarkEnd w:id="775"/>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776" w:name="_Toc161401381"/>
      <w:bookmarkStart w:id="777" w:name="_Toc154753878"/>
      <w:r>
        <w:rPr>
          <w:rStyle w:val="CharSectno"/>
        </w:rPr>
        <w:t>204</w:t>
      </w:r>
      <w:r>
        <w:t>.</w:t>
      </w:r>
      <w:r>
        <w:tab/>
        <w:t>Failure to lodge acquisition statement</w:t>
      </w:r>
      <w:bookmarkEnd w:id="776"/>
      <w:bookmarkEnd w:id="777"/>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keepNext/>
      </w:pPr>
      <w:r>
        <w:tab/>
        <w:t>(d)</w:t>
      </w:r>
      <w:r>
        <w:tab/>
        <w:t>any person that is a related person in respect of the acquirer and has an interest in the landholder concerned immediately after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ageBreakBefore/>
      </w:pPr>
      <w:bookmarkStart w:id="778" w:name="_Toc161400724"/>
      <w:bookmarkStart w:id="779" w:name="_Toc161401382"/>
      <w:bookmarkStart w:id="780" w:name="_Toc154753879"/>
      <w:r>
        <w:rPr>
          <w:rStyle w:val="CharDivNo"/>
        </w:rPr>
        <w:t>Part 7</w:t>
      </w:r>
      <w:r>
        <w:rPr>
          <w:sz w:val="28"/>
          <w:szCs w:val="28"/>
        </w:rPr>
        <w:t> — </w:t>
      </w:r>
      <w:r>
        <w:rPr>
          <w:rStyle w:val="CharDivText"/>
        </w:rPr>
        <w:t>Application of this Chapter to certain acquisition</w:t>
      </w:r>
      <w:r>
        <w:rPr>
          <w:rStyle w:val="CharDivText"/>
          <w:sz w:val="28"/>
        </w:rPr>
        <w:t>s</w:t>
      </w:r>
      <w:bookmarkEnd w:id="778"/>
      <w:bookmarkEnd w:id="779"/>
      <w:bookmarkEnd w:id="780"/>
    </w:p>
    <w:p>
      <w:pPr>
        <w:pStyle w:val="Footnoteheading"/>
      </w:pPr>
      <w:r>
        <w:tab/>
        <w:t>[Heading inserted: No. 12 of 2019 s. 100.]</w:t>
      </w:r>
    </w:p>
    <w:p>
      <w:pPr>
        <w:pStyle w:val="Heading4"/>
        <w:rPr>
          <w:sz w:val="26"/>
          <w:szCs w:val="26"/>
        </w:rPr>
      </w:pPr>
      <w:bookmarkStart w:id="781" w:name="_Toc161400725"/>
      <w:bookmarkStart w:id="782" w:name="_Toc161401383"/>
      <w:bookmarkStart w:id="783" w:name="_Toc154753880"/>
      <w:r>
        <w:rPr>
          <w:sz w:val="26"/>
          <w:szCs w:val="26"/>
        </w:rPr>
        <w:t>Division 1 — Rights relating to fixed infrastructure</w:t>
      </w:r>
      <w:bookmarkEnd w:id="781"/>
      <w:bookmarkEnd w:id="782"/>
      <w:bookmarkEnd w:id="783"/>
    </w:p>
    <w:p>
      <w:pPr>
        <w:pStyle w:val="Footnoteheading"/>
      </w:pPr>
      <w:r>
        <w:tab/>
        <w:t>[Heading inserted: No. 12 of 2019 s. 100.]</w:t>
      </w:r>
    </w:p>
    <w:p>
      <w:pPr>
        <w:pStyle w:val="Heading5"/>
      </w:pPr>
      <w:bookmarkStart w:id="784" w:name="_Toc161401384"/>
      <w:bookmarkStart w:id="785" w:name="_Toc154753881"/>
      <w:r>
        <w:rPr>
          <w:rStyle w:val="CharSectno"/>
        </w:rPr>
        <w:t>204A</w:t>
      </w:r>
      <w:r>
        <w:t>.</w:t>
      </w:r>
      <w:r>
        <w:tab/>
        <w:t>When fixed infrastructure access rights are taken into account in determining entitlement to land assets</w:t>
      </w:r>
      <w:bookmarkEnd w:id="784"/>
      <w:bookmarkEnd w:id="785"/>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The value of a fixed infrastructure access right that is to be taken into account for the purposes of an acquisition because 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786" w:name="_Toc161401385"/>
      <w:bookmarkStart w:id="787" w:name="_Toc154753882"/>
      <w:r>
        <w:rPr>
          <w:rStyle w:val="CharSectno"/>
        </w:rPr>
        <w:t>204B</w:t>
      </w:r>
      <w:r>
        <w:t>.</w:t>
      </w:r>
      <w:r>
        <w:tab/>
        <w:t>When fixed infrastructure statutory licences are treated as land assets in calculating duty</w:t>
      </w:r>
      <w:bookmarkEnd w:id="786"/>
      <w:bookmarkEnd w:id="787"/>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tab/>
        <w:t>(b)</w:t>
      </w:r>
      <w:r>
        <w:tab/>
        <w:t>as a result of the relevant acquisition, the fixed infrastructure statutory licence is cancelled or surrendered by operation of law; and</w:t>
      </w:r>
    </w:p>
    <w:p>
      <w:pPr>
        <w:pStyle w:val="Indenta"/>
      </w:pPr>
      <w:r>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788" w:name="_Toc161401386"/>
      <w:bookmarkStart w:id="789" w:name="_Toc154753883"/>
      <w:r>
        <w:rPr>
          <w:rStyle w:val="CharSectno"/>
        </w:rPr>
        <w:t>204C</w:t>
      </w:r>
      <w:r>
        <w:t>.</w:t>
      </w:r>
      <w:r>
        <w:tab/>
        <w:t>Unencumbered value of fixed infrastructure statutory licences treated as land assets</w:t>
      </w:r>
      <w:bookmarkEnd w:id="788"/>
      <w:bookmarkEnd w:id="789"/>
    </w:p>
    <w:p>
      <w:pPr>
        <w:pStyle w:val="Subsection"/>
      </w:pPr>
      <w:r>
        <w:tab/>
        <w:t>(1)</w:t>
      </w:r>
      <w:r>
        <w:tab/>
        <w:t>Section 36 applies, with any appropriate modifications, where it is necessary to determine the unencumbered value of a fixed infrastructure statutory licence that under section 204B(1) is to be treated as if it were a land asset for the purposes of 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790" w:name="_Toc161401387"/>
      <w:bookmarkStart w:id="791" w:name="_Toc154753884"/>
      <w:r>
        <w:rPr>
          <w:rStyle w:val="CharSectno"/>
        </w:rPr>
        <w:t>204D</w:t>
      </w:r>
      <w:r>
        <w:t>.</w:t>
      </w:r>
      <w:r>
        <w:tab/>
        <w:t>Associated entities for s. 204A and 204B</w:t>
      </w:r>
      <w:bookmarkEnd w:id="790"/>
      <w:bookmarkEnd w:id="791"/>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tab/>
        <w:t>(ii)</w:t>
      </w:r>
      <w:r>
        <w:tab/>
        <w:t>the acquisition referred to in subsection (1) and the acquisition referred to in subparagraph (i) together form, evidence, give effect to, or arise from what is, substantially one arrangement;</w:t>
      </w:r>
    </w:p>
    <w:p>
      <w:pPr>
        <w:pStyle w:val="Indenta"/>
      </w:pPr>
      <w:r>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rPr>
          <w:sz w:val="26"/>
          <w:szCs w:val="26"/>
        </w:rPr>
      </w:pPr>
      <w:bookmarkStart w:id="792" w:name="_Toc161400730"/>
      <w:bookmarkStart w:id="793" w:name="_Toc161401388"/>
      <w:bookmarkStart w:id="794" w:name="_Toc154753885"/>
      <w:r>
        <w:rPr>
          <w:sz w:val="26"/>
          <w:szCs w:val="26"/>
        </w:rPr>
        <w:t>Division 2 — Derivative mining rights</w:t>
      </w:r>
      <w:bookmarkEnd w:id="792"/>
      <w:bookmarkEnd w:id="793"/>
      <w:bookmarkEnd w:id="794"/>
    </w:p>
    <w:p>
      <w:pPr>
        <w:pStyle w:val="Footnoteheading"/>
      </w:pPr>
      <w:r>
        <w:tab/>
        <w:t>[Heading inserted: No. 12 of 2019 s. 100.]</w:t>
      </w:r>
    </w:p>
    <w:p>
      <w:pPr>
        <w:pStyle w:val="Heading5"/>
      </w:pPr>
      <w:bookmarkStart w:id="795" w:name="_Toc161401389"/>
      <w:bookmarkStart w:id="796" w:name="_Toc154753886"/>
      <w:r>
        <w:rPr>
          <w:rStyle w:val="CharSectno"/>
        </w:rPr>
        <w:t>204E</w:t>
      </w:r>
      <w:r>
        <w:t>.</w:t>
      </w:r>
      <w:r>
        <w:tab/>
        <w:t>Unencumbered value of mining tenement subject to derivative mining right</w:t>
      </w:r>
      <w:bookmarkEnd w:id="795"/>
      <w:bookmarkEnd w:id="796"/>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 or is not a dutiable transaction,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 amended: No. 16 of 2022 s. 23.]</w:t>
      </w:r>
    </w:p>
    <w:p>
      <w:pPr>
        <w:pStyle w:val="Heading4"/>
        <w:rPr>
          <w:sz w:val="26"/>
          <w:szCs w:val="26"/>
        </w:rPr>
      </w:pPr>
      <w:bookmarkStart w:id="797" w:name="_Toc161400732"/>
      <w:bookmarkStart w:id="798" w:name="_Toc161401390"/>
      <w:bookmarkStart w:id="799" w:name="_Toc154753887"/>
      <w:r>
        <w:rPr>
          <w:sz w:val="26"/>
          <w:szCs w:val="26"/>
        </w:rPr>
        <w:t>Division 3 — Acquisitions forming one arrangement</w:t>
      </w:r>
      <w:bookmarkEnd w:id="797"/>
      <w:bookmarkEnd w:id="798"/>
      <w:bookmarkEnd w:id="799"/>
    </w:p>
    <w:p>
      <w:pPr>
        <w:pStyle w:val="Footnoteheading"/>
      </w:pPr>
      <w:r>
        <w:tab/>
        <w:t>[Heading inserted: No. 12 of 2019 s. 100.]</w:t>
      </w:r>
    </w:p>
    <w:p>
      <w:pPr>
        <w:pStyle w:val="Heading5"/>
      </w:pPr>
      <w:bookmarkStart w:id="800" w:name="_Toc161401391"/>
      <w:bookmarkStart w:id="801" w:name="_Toc154753888"/>
      <w:r>
        <w:rPr>
          <w:rStyle w:val="CharSectno"/>
        </w:rPr>
        <w:t>204F</w:t>
      </w:r>
      <w:r>
        <w:t>.</w:t>
      </w:r>
      <w:r>
        <w:tab/>
        <w:t>Acquisitions in 2 or more entities forming one arrangement</w:t>
      </w:r>
      <w:bookmarkEnd w:id="800"/>
      <w:bookmarkEnd w:id="801"/>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802" w:name="_Toc161401392"/>
      <w:bookmarkStart w:id="803" w:name="_Toc154753889"/>
      <w:r>
        <w:rPr>
          <w:rStyle w:val="CharSectno"/>
        </w:rPr>
        <w:t>204G</w:t>
      </w:r>
      <w:r>
        <w:t>.</w:t>
      </w:r>
      <w:r>
        <w:tab/>
        <w:t>Modified application of s. 176 if entity becomes landholder because of acquisitions forming one arrangement</w:t>
      </w:r>
      <w:bookmarkEnd w:id="802"/>
      <w:bookmarkEnd w:id="803"/>
    </w:p>
    <w:p>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804" w:name="_Toc161401393"/>
      <w:bookmarkStart w:id="805" w:name="_Toc154753890"/>
      <w:r>
        <w:rPr>
          <w:rStyle w:val="CharSectno"/>
        </w:rPr>
        <w:t>204H</w:t>
      </w:r>
      <w:r>
        <w:t>.</w:t>
      </w:r>
      <w:r>
        <w:tab/>
        <w:t>Reassessment of landholder duty if amount of duty chargeable changes because of acquisitions forming one arrangement</w:t>
      </w:r>
      <w:bookmarkEnd w:id="804"/>
      <w:bookmarkEnd w:id="805"/>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section 204B(1) becomes applicable, in relation to the main acquisition, to a fixed infrastructure statutory licence to which the landholder or a linked entity in respect of the landholder is entitled.</w:t>
      </w:r>
    </w:p>
    <w:p>
      <w:pPr>
        <w:pStyle w:val="Subsection"/>
        <w:keepNext/>
      </w:pPr>
      <w:r>
        <w:tab/>
        <w:t>(2)</w:t>
      </w:r>
      <w:r>
        <w:tab/>
        <w:t>Subject to the Taxation Administration Act section 17, the Commissioner must make any reassessment necessary as a result of the change in amount of duty chargeable referred to in subsection (1)(c).</w:t>
      </w:r>
    </w:p>
    <w:p>
      <w:pPr>
        <w:pStyle w:val="Footnotesection"/>
      </w:pPr>
      <w:r>
        <w:tab/>
        <w:t>[Section 204H inserted: No. 12 of 2019 s. 100.]</w:t>
      </w:r>
    </w:p>
    <w:p>
      <w:pPr>
        <w:pStyle w:val="Heading2"/>
        <w:rPr>
          <w:sz w:val="32"/>
          <w:szCs w:val="32"/>
        </w:rPr>
      </w:pPr>
      <w:bookmarkStart w:id="806" w:name="_Toc161400736"/>
      <w:bookmarkStart w:id="807" w:name="_Toc161401394"/>
      <w:bookmarkStart w:id="808" w:name="_Toc154753891"/>
      <w:r>
        <w:rPr>
          <w:rStyle w:val="CharPartNo"/>
          <w:sz w:val="32"/>
          <w:szCs w:val="32"/>
        </w:rPr>
        <w:t>Chapter 3A</w:t>
      </w:r>
      <w:r>
        <w:rPr>
          <w:sz w:val="32"/>
          <w:szCs w:val="32"/>
        </w:rPr>
        <w:t xml:space="preserve"> — </w:t>
      </w:r>
      <w:r>
        <w:rPr>
          <w:rStyle w:val="CharPartText"/>
          <w:sz w:val="32"/>
          <w:szCs w:val="32"/>
        </w:rPr>
        <w:t>Additional duty for foreign persons</w:t>
      </w:r>
      <w:bookmarkEnd w:id="806"/>
      <w:bookmarkEnd w:id="807"/>
      <w:bookmarkEnd w:id="808"/>
    </w:p>
    <w:p>
      <w:pPr>
        <w:pStyle w:val="Footnoteheading"/>
      </w:pPr>
      <w:r>
        <w:tab/>
        <w:t>[Heading inserted: No. 24 of 2018 s. 8.]</w:t>
      </w:r>
    </w:p>
    <w:p>
      <w:pPr>
        <w:pStyle w:val="Heading3"/>
        <w:rPr>
          <w:sz w:val="28"/>
          <w:szCs w:val="28"/>
        </w:rPr>
      </w:pPr>
      <w:bookmarkStart w:id="809" w:name="_Toc161400737"/>
      <w:bookmarkStart w:id="810" w:name="_Toc161401395"/>
      <w:bookmarkStart w:id="811" w:name="_Toc154753892"/>
      <w:r>
        <w:rPr>
          <w:rStyle w:val="CharDivNo"/>
          <w:sz w:val="28"/>
          <w:szCs w:val="28"/>
        </w:rPr>
        <w:t>Part 1</w:t>
      </w:r>
      <w:r>
        <w:rPr>
          <w:sz w:val="28"/>
          <w:szCs w:val="28"/>
        </w:rPr>
        <w:t> — </w:t>
      </w:r>
      <w:r>
        <w:rPr>
          <w:rStyle w:val="CharDivText"/>
          <w:sz w:val="28"/>
          <w:szCs w:val="28"/>
        </w:rPr>
        <w:t>Preliminary</w:t>
      </w:r>
      <w:bookmarkEnd w:id="809"/>
      <w:bookmarkEnd w:id="810"/>
      <w:bookmarkEnd w:id="811"/>
    </w:p>
    <w:p>
      <w:pPr>
        <w:pStyle w:val="Footnoteheading"/>
      </w:pPr>
      <w:r>
        <w:tab/>
        <w:t xml:space="preserve">[Heading inserted: No. 24 of 2018 s. 8.] </w:t>
      </w:r>
    </w:p>
    <w:p>
      <w:pPr>
        <w:pStyle w:val="Heading5"/>
      </w:pPr>
      <w:bookmarkStart w:id="812" w:name="_Toc161401396"/>
      <w:bookmarkStart w:id="813" w:name="_Toc154753893"/>
      <w:r>
        <w:rPr>
          <w:rStyle w:val="CharSectno"/>
        </w:rPr>
        <w:t>205A</w:t>
      </w:r>
      <w:r>
        <w:t>.</w:t>
      </w:r>
      <w:r>
        <w:tab/>
        <w:t>Terms used</w:t>
      </w:r>
      <w:bookmarkEnd w:id="812"/>
      <w:bookmarkEnd w:id="813"/>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814" w:name="_Toc161401397"/>
      <w:bookmarkStart w:id="815" w:name="_Toc154753894"/>
      <w:r>
        <w:rPr>
          <w:rStyle w:val="CharSectno"/>
        </w:rPr>
        <w:t>205B</w:t>
      </w:r>
      <w:r>
        <w:t>.</w:t>
      </w:r>
      <w:r>
        <w:tab/>
        <w:t>Associate</w:t>
      </w:r>
      <w:bookmarkEnd w:id="814"/>
      <w:bookmarkEnd w:id="815"/>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816" w:name="_Toc161401398"/>
      <w:bookmarkStart w:id="817" w:name="_Toc154753895"/>
      <w:r>
        <w:rPr>
          <w:rStyle w:val="CharSectno"/>
        </w:rPr>
        <w:t>205C</w:t>
      </w:r>
      <w:r>
        <w:t>.</w:t>
      </w:r>
      <w:r>
        <w:tab/>
        <w:t>Foreign corporation</w:t>
      </w:r>
      <w:bookmarkEnd w:id="816"/>
      <w:bookmarkEnd w:id="817"/>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818" w:name="_Toc161401399"/>
      <w:bookmarkStart w:id="819" w:name="_Toc154753896"/>
      <w:r>
        <w:rPr>
          <w:rStyle w:val="CharSectno"/>
        </w:rPr>
        <w:t>205D</w:t>
      </w:r>
      <w:r>
        <w:t>.</w:t>
      </w:r>
      <w:r>
        <w:tab/>
        <w:t>Foreign trust</w:t>
      </w:r>
      <w:bookmarkEnd w:id="818"/>
      <w:bookmarkEnd w:id="819"/>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For the purposes of subsection (1)(a), a discretionary trust is controlled by a foreign person if the person is in a position to influence, either directly or indirectly, the vesting of the whole or any part of the capital of the trust property, or of the whole or any part of the income from the trust property.</w:t>
      </w:r>
    </w:p>
    <w:p>
      <w:pPr>
        <w:pStyle w:val="Footnotesection"/>
      </w:pPr>
      <w:r>
        <w:tab/>
        <w:t>[Section 205D inserted: No. 24 of 2018 s. 8.]</w:t>
      </w:r>
    </w:p>
    <w:p>
      <w:pPr>
        <w:pStyle w:val="Heading5"/>
      </w:pPr>
      <w:bookmarkStart w:id="820" w:name="_Toc161401400"/>
      <w:bookmarkStart w:id="821" w:name="_Toc154753897"/>
      <w:r>
        <w:rPr>
          <w:rStyle w:val="CharSectno"/>
        </w:rPr>
        <w:t>205E</w:t>
      </w:r>
      <w:r>
        <w:t>.</w:t>
      </w:r>
      <w:r>
        <w:tab/>
        <w:t>Residential property</w:t>
      </w:r>
      <w:bookmarkEnd w:id="820"/>
      <w:bookmarkEnd w:id="821"/>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rPr>
          <w:sz w:val="28"/>
          <w:szCs w:val="28"/>
        </w:rPr>
      </w:pPr>
      <w:bookmarkStart w:id="822" w:name="_Toc161400743"/>
      <w:bookmarkStart w:id="823" w:name="_Toc161401401"/>
      <w:bookmarkStart w:id="824" w:name="_Toc154753898"/>
      <w:r>
        <w:rPr>
          <w:rStyle w:val="CharDivNo"/>
          <w:sz w:val="28"/>
          <w:szCs w:val="28"/>
        </w:rPr>
        <w:t>Part 2</w:t>
      </w:r>
      <w:r>
        <w:rPr>
          <w:sz w:val="28"/>
          <w:szCs w:val="28"/>
        </w:rPr>
        <w:t> — </w:t>
      </w:r>
      <w:r>
        <w:rPr>
          <w:rStyle w:val="CharDivText"/>
          <w:sz w:val="28"/>
          <w:szCs w:val="28"/>
        </w:rPr>
        <w:t>Foreign transfer duty</w:t>
      </w:r>
      <w:bookmarkEnd w:id="822"/>
      <w:bookmarkEnd w:id="823"/>
      <w:bookmarkEnd w:id="824"/>
    </w:p>
    <w:p>
      <w:pPr>
        <w:pStyle w:val="Footnoteheading"/>
        <w:keepNext/>
        <w:keepLines/>
      </w:pPr>
      <w:r>
        <w:tab/>
        <w:t>[Heading inserted: No. 24 of 2018 s. 8.]</w:t>
      </w:r>
    </w:p>
    <w:p>
      <w:pPr>
        <w:pStyle w:val="Heading4"/>
        <w:keepLines/>
        <w:rPr>
          <w:sz w:val="26"/>
          <w:szCs w:val="26"/>
        </w:rPr>
      </w:pPr>
      <w:bookmarkStart w:id="825" w:name="_Toc161400744"/>
      <w:bookmarkStart w:id="826" w:name="_Toc161401402"/>
      <w:bookmarkStart w:id="827" w:name="_Toc154753899"/>
      <w:r>
        <w:rPr>
          <w:sz w:val="26"/>
          <w:szCs w:val="26"/>
        </w:rPr>
        <w:t>Division 1 — Preliminary</w:t>
      </w:r>
      <w:bookmarkEnd w:id="825"/>
      <w:bookmarkEnd w:id="826"/>
      <w:bookmarkEnd w:id="827"/>
    </w:p>
    <w:p>
      <w:pPr>
        <w:pStyle w:val="Footnoteheading"/>
        <w:keepNext/>
        <w:keepLines/>
      </w:pPr>
      <w:r>
        <w:tab/>
        <w:t>[Heading inserted: No. 24 of 2018 s. 8.]</w:t>
      </w:r>
    </w:p>
    <w:p>
      <w:pPr>
        <w:pStyle w:val="Heading5"/>
      </w:pPr>
      <w:bookmarkStart w:id="828" w:name="_Toc161401403"/>
      <w:bookmarkStart w:id="829" w:name="_Toc154753900"/>
      <w:r>
        <w:rPr>
          <w:rStyle w:val="CharSectno"/>
        </w:rPr>
        <w:t>205F</w:t>
      </w:r>
      <w:r>
        <w:t>.</w:t>
      </w:r>
      <w:r>
        <w:tab/>
        <w:t>Terms used</w:t>
      </w:r>
      <w:bookmarkEnd w:id="828"/>
      <w:bookmarkEnd w:id="829"/>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830" w:name="_Toc161400746"/>
      <w:bookmarkStart w:id="831" w:name="_Toc161401404"/>
      <w:bookmarkStart w:id="832" w:name="_Toc154753901"/>
      <w:r>
        <w:rPr>
          <w:sz w:val="26"/>
          <w:szCs w:val="26"/>
        </w:rPr>
        <w:t>Division 2 — Imposition of foreign transfer duty</w:t>
      </w:r>
      <w:bookmarkEnd w:id="830"/>
      <w:bookmarkEnd w:id="831"/>
      <w:bookmarkEnd w:id="832"/>
    </w:p>
    <w:p>
      <w:pPr>
        <w:pStyle w:val="Footnoteheading"/>
      </w:pPr>
      <w:r>
        <w:tab/>
        <w:t>[Heading inserted: No. 24 of 2018 s. 8.]</w:t>
      </w:r>
    </w:p>
    <w:p>
      <w:pPr>
        <w:pStyle w:val="Heading5"/>
      </w:pPr>
      <w:bookmarkStart w:id="833" w:name="_Toc161401405"/>
      <w:bookmarkStart w:id="834" w:name="_Toc154753902"/>
      <w:r>
        <w:rPr>
          <w:rStyle w:val="CharSectno"/>
        </w:rPr>
        <w:t>205G</w:t>
      </w:r>
      <w:r>
        <w:t>.</w:t>
      </w:r>
      <w:r>
        <w:tab/>
        <w:t>Foreign transfer duty imposed</w:t>
      </w:r>
      <w:bookmarkEnd w:id="833"/>
      <w:bookmarkEnd w:id="834"/>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835" w:name="_Toc161400748"/>
      <w:bookmarkStart w:id="836" w:name="_Toc161401406"/>
      <w:bookmarkStart w:id="837" w:name="_Toc154753903"/>
      <w:r>
        <w:rPr>
          <w:sz w:val="26"/>
          <w:szCs w:val="26"/>
        </w:rPr>
        <w:t>Division 3 — Foreign dutiable transactions</w:t>
      </w:r>
      <w:bookmarkEnd w:id="835"/>
      <w:bookmarkEnd w:id="836"/>
      <w:bookmarkEnd w:id="837"/>
    </w:p>
    <w:p>
      <w:pPr>
        <w:pStyle w:val="Footnoteheading"/>
        <w:keepNext/>
      </w:pPr>
      <w:r>
        <w:tab/>
        <w:t>[Heading inserted: No. 24 of 2018 s. 8.]</w:t>
      </w:r>
    </w:p>
    <w:p>
      <w:pPr>
        <w:pStyle w:val="Heading5"/>
      </w:pPr>
      <w:bookmarkStart w:id="838" w:name="_Toc161401407"/>
      <w:bookmarkStart w:id="839" w:name="_Toc154753904"/>
      <w:r>
        <w:rPr>
          <w:rStyle w:val="CharSectno"/>
        </w:rPr>
        <w:t>205H</w:t>
      </w:r>
      <w:r>
        <w:t>.</w:t>
      </w:r>
      <w:r>
        <w:tab/>
        <w:t>Foreign dutiable transaction</w:t>
      </w:r>
      <w:bookmarkEnd w:id="838"/>
      <w:bookmarkEnd w:id="839"/>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840" w:name="_Toc161401408"/>
      <w:bookmarkStart w:id="841" w:name="_Toc154753905"/>
      <w:r>
        <w:rPr>
          <w:rStyle w:val="CharSectno"/>
        </w:rPr>
        <w:t>205I</w:t>
      </w:r>
      <w:r>
        <w:t>.</w:t>
      </w:r>
      <w:r>
        <w:tab/>
        <w:t>New residential property</w:t>
      </w:r>
      <w:bookmarkEnd w:id="840"/>
      <w:bookmarkEnd w:id="841"/>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keepNext/>
      </w:pPr>
      <w:r>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842" w:name="_Toc161400751"/>
      <w:bookmarkStart w:id="843" w:name="_Toc161401409"/>
      <w:bookmarkStart w:id="844" w:name="_Toc154753906"/>
      <w:r>
        <w:rPr>
          <w:sz w:val="26"/>
          <w:szCs w:val="26"/>
        </w:rPr>
        <w:t>Division 4 — Collection of foreign transfer duty</w:t>
      </w:r>
      <w:bookmarkEnd w:id="842"/>
      <w:bookmarkEnd w:id="843"/>
      <w:bookmarkEnd w:id="844"/>
    </w:p>
    <w:p>
      <w:pPr>
        <w:pStyle w:val="Footnoteheading"/>
        <w:keepNext/>
      </w:pPr>
      <w:r>
        <w:tab/>
        <w:t>[Heading inserted: No. 24 of 2018 s. 8.]</w:t>
      </w:r>
    </w:p>
    <w:p>
      <w:pPr>
        <w:pStyle w:val="Heading5"/>
      </w:pPr>
      <w:bookmarkStart w:id="845" w:name="_Toc161401410"/>
      <w:bookmarkStart w:id="846" w:name="_Toc154753907"/>
      <w:r>
        <w:rPr>
          <w:rStyle w:val="CharSectno"/>
        </w:rPr>
        <w:t>205J</w:t>
      </w:r>
      <w:r>
        <w:t>.</w:t>
      </w:r>
      <w:r>
        <w:tab/>
        <w:t>When liability for duty arises</w:t>
      </w:r>
      <w:bookmarkEnd w:id="845"/>
      <w:bookmarkEnd w:id="846"/>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847" w:name="_Toc161401411"/>
      <w:bookmarkStart w:id="848" w:name="_Toc154753908"/>
      <w:r>
        <w:rPr>
          <w:rStyle w:val="CharSectno"/>
        </w:rPr>
        <w:t>205K</w:t>
      </w:r>
      <w:r>
        <w:t>.</w:t>
      </w:r>
      <w:r>
        <w:tab/>
        <w:t>Who is liable to pay duty</w:t>
      </w:r>
      <w:bookmarkEnd w:id="847"/>
      <w:bookmarkEnd w:id="848"/>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tab/>
        <w:t>(b)</w:t>
      </w:r>
      <w:r>
        <w:tab/>
        <w:t>the person is, under section 69 as applied by section 205S(1), the person liable to pay foreign transfer duty.</w:t>
      </w:r>
    </w:p>
    <w:p>
      <w:pPr>
        <w:pStyle w:val="Subsection"/>
      </w:pPr>
      <w:r>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849" w:name="_Toc161401412"/>
      <w:bookmarkStart w:id="850" w:name="_Toc154753909"/>
      <w:r>
        <w:rPr>
          <w:rStyle w:val="CharSectno"/>
        </w:rPr>
        <w:t>205L</w:t>
      </w:r>
      <w:r>
        <w:t>.</w:t>
      </w:r>
      <w:r>
        <w:tab/>
        <w:t>Joint tenants to be treated as tenants in common in equal shares</w:t>
      </w:r>
      <w:bookmarkEnd w:id="849"/>
      <w:bookmarkEnd w:id="850"/>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851" w:name="_Toc161401413"/>
      <w:bookmarkStart w:id="852" w:name="_Toc154753910"/>
      <w:r>
        <w:rPr>
          <w:rStyle w:val="CharSectno"/>
        </w:rPr>
        <w:t>205M</w:t>
      </w:r>
      <w:r>
        <w:t>.</w:t>
      </w:r>
      <w:r>
        <w:tab/>
        <w:t>Foreign transfer duty declaration to be lodged</w:t>
      </w:r>
      <w:bookmarkEnd w:id="851"/>
      <w:bookmarkEnd w:id="852"/>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853" w:name="_Toc161401414"/>
      <w:bookmarkStart w:id="854" w:name="_Toc154753911"/>
      <w:r>
        <w:rPr>
          <w:rStyle w:val="CharSectno"/>
        </w:rPr>
        <w:t>205N</w:t>
      </w:r>
      <w:r>
        <w:t>.</w:t>
      </w:r>
      <w:r>
        <w:tab/>
        <w:t>When duty must be paid</w:t>
      </w:r>
      <w:bookmarkEnd w:id="853"/>
      <w:bookmarkEnd w:id="854"/>
    </w:p>
    <w:p>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855" w:name="_Toc161401415"/>
      <w:bookmarkStart w:id="856" w:name="_Toc154753912"/>
      <w:r>
        <w:rPr>
          <w:rStyle w:val="CharSectno"/>
        </w:rPr>
        <w:t>205O</w:t>
      </w:r>
      <w:r>
        <w:t>.</w:t>
      </w:r>
      <w:r>
        <w:tab/>
        <w:t>Rate of foreign transfer duty</w:t>
      </w:r>
      <w:bookmarkEnd w:id="855"/>
      <w:bookmarkEnd w:id="856"/>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857" w:name="_Toc161401416"/>
      <w:bookmarkStart w:id="858" w:name="_Toc154753913"/>
      <w:r>
        <w:rPr>
          <w:rStyle w:val="CharSectno"/>
        </w:rPr>
        <w:t>205P</w:t>
      </w:r>
      <w:r>
        <w:t>.</w:t>
      </w:r>
      <w:r>
        <w:tab/>
        <w:t>Dutiable value</w:t>
      </w:r>
      <w:bookmarkEnd w:id="857"/>
      <w:bookmarkEnd w:id="858"/>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859" w:name="_Toc161401417"/>
      <w:bookmarkStart w:id="860" w:name="_Toc154753914"/>
      <w:r>
        <w:rPr>
          <w:rStyle w:val="CharSectno"/>
        </w:rPr>
        <w:t>205Q</w:t>
      </w:r>
      <w:r>
        <w:t>.</w:t>
      </w:r>
      <w:r>
        <w:tab/>
        <w:t>No double foreign transfer duty</w:t>
      </w:r>
      <w:bookmarkEnd w:id="859"/>
      <w:bookmarkEnd w:id="860"/>
    </w:p>
    <w:p>
      <w:pPr>
        <w:pStyle w:val="Subsection"/>
      </w:pPr>
      <w:r>
        <w:tab/>
        <w:t>(1)</w:t>
      </w:r>
      <w:r>
        <w:tab/>
        <w:t>The provisions of Chapter 2 Part 4 Division 6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ind w:left="890" w:hanging="890"/>
      </w:pPr>
      <w:r>
        <w:tab/>
        <w:t>[Section 205Q inserted: No. 24 of 2018 s. 8; amended: No. 37 of 2022 s. 11.]</w:t>
      </w:r>
    </w:p>
    <w:p>
      <w:pPr>
        <w:pStyle w:val="Heading5"/>
      </w:pPr>
      <w:bookmarkStart w:id="861" w:name="_Toc161401418"/>
      <w:bookmarkStart w:id="862" w:name="_Toc154753915"/>
      <w:r>
        <w:rPr>
          <w:rStyle w:val="CharSectno"/>
        </w:rPr>
        <w:t>205R</w:t>
      </w:r>
      <w:r>
        <w:t>.</w:t>
      </w:r>
      <w:r>
        <w:tab/>
        <w:t>Interim assessment of foreign transfer duty</w:t>
      </w:r>
      <w:bookmarkEnd w:id="861"/>
      <w:bookmarkEnd w:id="862"/>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863" w:name="_Toc161401419"/>
      <w:bookmarkStart w:id="864" w:name="_Toc154753916"/>
      <w:r>
        <w:rPr>
          <w:rStyle w:val="CharSectno"/>
        </w:rPr>
        <w:t>205RA</w:t>
      </w:r>
      <w:r>
        <w:t>.</w:t>
      </w:r>
      <w:r>
        <w:tab/>
        <w:t>Foreign transfer duty on deemed transaction under s. 120B(2)</w:t>
      </w:r>
      <w:bookmarkEnd w:id="863"/>
      <w:bookmarkEnd w:id="864"/>
    </w:p>
    <w:p>
      <w:pPr>
        <w:pStyle w:val="Subsection"/>
        <w:keepNext/>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865" w:name="_Toc161400762"/>
      <w:bookmarkStart w:id="866" w:name="_Toc161401420"/>
      <w:bookmarkStart w:id="867" w:name="_Toc154753917"/>
      <w:r>
        <w:rPr>
          <w:sz w:val="26"/>
          <w:szCs w:val="26"/>
        </w:rPr>
        <w:t>Division 5 — Application of Chapter 2 Part 5 to certain transactions</w:t>
      </w:r>
      <w:bookmarkEnd w:id="865"/>
      <w:bookmarkEnd w:id="866"/>
      <w:bookmarkEnd w:id="867"/>
    </w:p>
    <w:p>
      <w:pPr>
        <w:pStyle w:val="Footnoteheading"/>
      </w:pPr>
      <w:r>
        <w:tab/>
        <w:t>[Heading inserted: No. 24 of 2018 s. 8.]</w:t>
      </w:r>
    </w:p>
    <w:p>
      <w:pPr>
        <w:pStyle w:val="Heading5"/>
      </w:pPr>
      <w:bookmarkStart w:id="868" w:name="_Toc161401421"/>
      <w:bookmarkStart w:id="869" w:name="_Toc154753918"/>
      <w:r>
        <w:rPr>
          <w:rStyle w:val="CharSectno"/>
        </w:rPr>
        <w:t>205S</w:t>
      </w:r>
      <w:r>
        <w:t>.</w:t>
      </w:r>
      <w:r>
        <w:tab/>
        <w:t>Application of Chapter 2 Part 5 to foreign dutiable transactions</w:t>
      </w:r>
      <w:bookmarkEnd w:id="868"/>
      <w:bookmarkEnd w:id="869"/>
    </w:p>
    <w:p>
      <w:pPr>
        <w:pStyle w:val="Subsection"/>
      </w:pPr>
      <w:r>
        <w:tab/>
        <w:t>(1)</w:t>
      </w:r>
      <w:r>
        <w:tab/>
        <w:t>The provisions of Chapter 2 Part 5 other than section 70 and Divisions 5 to 9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r>
        <w:tab/>
        <w:t>[Section 205S inserted: No. 24 of 2018 s. 8; amended: No. 12 of 2019 s. 105; No. 37 of 2022 s. 12.]</w:t>
      </w:r>
    </w:p>
    <w:p>
      <w:pPr>
        <w:pStyle w:val="Heading5"/>
      </w:pPr>
      <w:bookmarkStart w:id="870" w:name="_Toc161401422"/>
      <w:bookmarkStart w:id="871" w:name="_Toc154753919"/>
      <w:r>
        <w:rPr>
          <w:rStyle w:val="CharSectno"/>
        </w:rPr>
        <w:t>205T</w:t>
      </w:r>
      <w:r>
        <w:t>.</w:t>
      </w:r>
      <w:r>
        <w:tab/>
        <w:t>References to residential trust acquisition</w:t>
      </w:r>
      <w:bookmarkEnd w:id="870"/>
      <w:bookmarkEnd w:id="871"/>
    </w:p>
    <w:p>
      <w:pPr>
        <w:pStyle w:val="Subsection"/>
        <w:keepNext/>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205T inserted: No. 24 of 2018 s. 8.]</w:t>
      </w:r>
    </w:p>
    <w:p>
      <w:pPr>
        <w:pStyle w:val="Heading5"/>
      </w:pPr>
      <w:bookmarkStart w:id="872" w:name="_Toc161401423"/>
      <w:bookmarkStart w:id="873" w:name="_Toc154753920"/>
      <w:r>
        <w:rPr>
          <w:rStyle w:val="CharSectno"/>
        </w:rPr>
        <w:t>205U</w:t>
      </w:r>
      <w:r>
        <w:t>.</w:t>
      </w:r>
      <w:r>
        <w:tab/>
        <w:t>References to residential trust surrender</w:t>
      </w:r>
      <w:bookmarkEnd w:id="872"/>
      <w:bookmarkEnd w:id="873"/>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874" w:name="_Toc161401424"/>
      <w:bookmarkStart w:id="875" w:name="_Toc154753921"/>
      <w:r>
        <w:rPr>
          <w:rStyle w:val="CharSectno"/>
        </w:rPr>
        <w:t>205V</w:t>
      </w:r>
      <w:r>
        <w:t>.</w:t>
      </w:r>
      <w:r>
        <w:tab/>
        <w:t>Dutiable value of residential trust acquisition or residential trust surrender</w:t>
      </w:r>
      <w:bookmarkEnd w:id="874"/>
      <w:bookmarkEnd w:id="875"/>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876" w:name="_Toc161401425"/>
      <w:bookmarkStart w:id="877" w:name="_Toc154753922"/>
      <w:r>
        <w:rPr>
          <w:rStyle w:val="CharSectno"/>
        </w:rPr>
        <w:t>205W</w:t>
      </w:r>
      <w:r>
        <w:t>.</w:t>
      </w:r>
      <w:r>
        <w:tab/>
        <w:t>Share disposition taken to be agreement for transfer of trust property</w:t>
      </w:r>
      <w:bookmarkEnd w:id="876"/>
      <w:bookmarkEnd w:id="877"/>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878" w:name="_Toc161401426"/>
      <w:bookmarkStart w:id="879" w:name="_Toc154753923"/>
      <w:r>
        <w:rPr>
          <w:rStyle w:val="CharSectno"/>
        </w:rPr>
        <w:t>205X</w:t>
      </w:r>
      <w:r>
        <w:t>.</w:t>
      </w:r>
      <w:r>
        <w:tab/>
        <w:t>References to residential partnership acquisition</w:t>
      </w:r>
      <w:bookmarkEnd w:id="878"/>
      <w:bookmarkEnd w:id="879"/>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880" w:name="_Toc161400769"/>
      <w:bookmarkStart w:id="881" w:name="_Toc161401427"/>
      <w:bookmarkStart w:id="882" w:name="_Toc154753924"/>
      <w:r>
        <w:rPr>
          <w:sz w:val="26"/>
          <w:szCs w:val="26"/>
        </w:rPr>
        <w:t>Division 6 — Exemptions and reassessment</w:t>
      </w:r>
      <w:bookmarkEnd w:id="880"/>
      <w:bookmarkEnd w:id="881"/>
      <w:bookmarkEnd w:id="882"/>
    </w:p>
    <w:p>
      <w:pPr>
        <w:pStyle w:val="Footnoteheading"/>
        <w:keepNext/>
      </w:pPr>
      <w:r>
        <w:tab/>
        <w:t>[Heading inserted: No. 24 of 2018 s. 8.]</w:t>
      </w:r>
    </w:p>
    <w:p>
      <w:pPr>
        <w:pStyle w:val="Heading4"/>
        <w:rPr>
          <w:sz w:val="26"/>
          <w:szCs w:val="26"/>
        </w:rPr>
      </w:pPr>
      <w:bookmarkStart w:id="883" w:name="_Toc161400770"/>
      <w:bookmarkStart w:id="884" w:name="_Toc161401428"/>
      <w:bookmarkStart w:id="885" w:name="_Toc154753925"/>
      <w:r>
        <w:rPr>
          <w:sz w:val="26"/>
          <w:szCs w:val="26"/>
        </w:rPr>
        <w:t>Subdivision 1 — Exempt transactions</w:t>
      </w:r>
      <w:bookmarkEnd w:id="883"/>
      <w:bookmarkEnd w:id="884"/>
      <w:bookmarkEnd w:id="885"/>
    </w:p>
    <w:p>
      <w:pPr>
        <w:pStyle w:val="Footnoteheading"/>
        <w:keepNext/>
      </w:pPr>
      <w:r>
        <w:tab/>
        <w:t>[Heading inserted: No. 24 of 2018 s. 8.]</w:t>
      </w:r>
    </w:p>
    <w:p>
      <w:pPr>
        <w:pStyle w:val="Heading5"/>
      </w:pPr>
      <w:bookmarkStart w:id="886" w:name="_Toc161401429"/>
      <w:bookmarkStart w:id="887" w:name="_Toc154753926"/>
      <w:r>
        <w:rPr>
          <w:rStyle w:val="CharSectno"/>
        </w:rPr>
        <w:t>205Y</w:t>
      </w:r>
      <w:r>
        <w:t>.</w:t>
      </w:r>
      <w:r>
        <w:tab/>
        <w:t>Transactions on which minimum, nominal or no transfer duty payable</w:t>
      </w:r>
      <w:bookmarkEnd w:id="886"/>
      <w:bookmarkEnd w:id="887"/>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keepNext/>
      </w:pPr>
      <w:r>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888" w:name="_Toc161401430"/>
      <w:bookmarkStart w:id="889" w:name="_Toc154753927"/>
      <w:r>
        <w:rPr>
          <w:rStyle w:val="CharSectno"/>
        </w:rPr>
        <w:t>205Z</w:t>
      </w:r>
      <w:r>
        <w:t>.</w:t>
      </w:r>
      <w:r>
        <w:tab/>
        <w:t>Transactions relating to agreements for transfer of residential property</w:t>
      </w:r>
      <w:bookmarkEnd w:id="888"/>
      <w:bookmarkEnd w:id="889"/>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rPr>
          <w:sz w:val="26"/>
          <w:szCs w:val="26"/>
        </w:rPr>
      </w:pPr>
      <w:bookmarkStart w:id="890" w:name="_Toc161400773"/>
      <w:bookmarkStart w:id="891" w:name="_Toc161401431"/>
      <w:bookmarkStart w:id="892" w:name="_Toc154753928"/>
      <w:r>
        <w:rPr>
          <w:sz w:val="26"/>
          <w:szCs w:val="26"/>
        </w:rPr>
        <w:t>Subdivision 2 — Exemptions relating to construction, refurbishment and subdivision</w:t>
      </w:r>
      <w:bookmarkEnd w:id="890"/>
      <w:bookmarkEnd w:id="891"/>
      <w:bookmarkEnd w:id="892"/>
    </w:p>
    <w:p>
      <w:pPr>
        <w:pStyle w:val="Footnoteheading"/>
      </w:pPr>
      <w:r>
        <w:tab/>
        <w:t>[Heading inserted: No. 24 of 2018 s. 8.]</w:t>
      </w:r>
    </w:p>
    <w:p>
      <w:pPr>
        <w:pStyle w:val="Heading5"/>
      </w:pPr>
      <w:bookmarkStart w:id="893" w:name="_Toc161401432"/>
      <w:bookmarkStart w:id="894" w:name="_Toc154753929"/>
      <w:r>
        <w:rPr>
          <w:rStyle w:val="CharSectno"/>
        </w:rPr>
        <w:t>205ZA</w:t>
      </w:r>
      <w:r>
        <w:t>.</w:t>
      </w:r>
      <w:r>
        <w:tab/>
        <w:t>Exemption relating to construction or refurbishment of 10 or more dwellings</w:t>
      </w:r>
      <w:bookmarkEnd w:id="893"/>
      <w:bookmarkEnd w:id="894"/>
    </w:p>
    <w:p>
      <w:pPr>
        <w:pStyle w:val="Subsection"/>
        <w:rPr>
          <w:ins w:id="895" w:author="Master Repository Process" w:date="2025-06-09T09:56:00Z"/>
        </w:rPr>
      </w:pPr>
      <w:ins w:id="896" w:author="Master Repository Process" w:date="2025-06-09T09:56:00Z">
        <w:r>
          <w:tab/>
          <w:t>(1A)</w:t>
        </w:r>
        <w:r>
          <w:tab/>
          <w:t xml:space="preserve">In this section — </w:t>
        </w:r>
      </w:ins>
    </w:p>
    <w:p>
      <w:pPr>
        <w:pStyle w:val="Defstart"/>
        <w:rPr>
          <w:ins w:id="897" w:author="Master Repository Process" w:date="2025-06-09T09:56:00Z"/>
        </w:rPr>
      </w:pPr>
      <w:ins w:id="898" w:author="Master Repository Process" w:date="2025-06-09T09:56:00Z">
        <w:r>
          <w:tab/>
        </w:r>
        <w:r>
          <w:rPr>
            <w:rStyle w:val="CharDefText"/>
          </w:rPr>
          <w:t>substantial refurbishment</w:t>
        </w:r>
        <w:r>
          <w:t xml:space="preserve"> does not include minor works to a building or part of a building.</w:t>
        </w:r>
      </w:ins>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rPr>
          <w:del w:id="899" w:author="Master Repository Process" w:date="2025-06-09T09:56:00Z"/>
        </w:rPr>
      </w:pPr>
      <w:del w:id="900" w:author="Master Repository Process" w:date="2025-06-09T09:56:00Z">
        <w:r>
          <w:tab/>
          <w:delText>(a)</w:delText>
        </w:r>
        <w:r>
          <w:tab/>
          <w:delText>at the time when liability for foreign transfer duty on the transaction arises, there is no building, or part of a building, on the parcel of land capable of being used solely or dominantly as a place of residence; and</w:delText>
        </w:r>
      </w:del>
    </w:p>
    <w:p>
      <w:pPr>
        <w:pStyle w:val="Indenta"/>
      </w:pPr>
      <w:del w:id="901" w:author="Master Repository Process" w:date="2025-06-09T09:56:00Z">
        <w:r>
          <w:tab/>
          <w:delText>(b</w:delText>
        </w:r>
      </w:del>
      <w:ins w:id="902" w:author="Master Repository Process" w:date="2025-06-09T09:56:00Z">
        <w:r>
          <w:tab/>
          <w:t>(a</w:t>
        </w:r>
      </w:ins>
      <w:r>
        <w:t>)</w:t>
      </w:r>
      <w:r>
        <w:tab/>
        <w:t>the person liable to pay foreign transfer duty on the transaction or an associate of the person intends to</w:t>
      </w:r>
      <w:del w:id="903" w:author="Master Repository Process" w:date="2025-06-09T09:56:00Z">
        <w:r>
          <w:delText xml:space="preserve"> construct, refurbish or complete the construction or refurbishment of 10 or more dwellings on the parcel of land; and</w:delText>
        </w:r>
      </w:del>
      <w:ins w:id="904" w:author="Master Repository Process" w:date="2025-06-09T09:56:00Z">
        <w:r>
          <w:t xml:space="preserve"> — </w:t>
        </w:r>
      </w:ins>
    </w:p>
    <w:p>
      <w:pPr>
        <w:pStyle w:val="Indenti"/>
        <w:rPr>
          <w:ins w:id="905" w:author="Master Repository Process" w:date="2025-06-09T09:56:00Z"/>
        </w:rPr>
      </w:pPr>
      <w:ins w:id="906" w:author="Master Repository Process" w:date="2025-06-09T09:56:00Z">
        <w:r>
          <w:tab/>
          <w:t>(i)</w:t>
        </w:r>
        <w:r>
          <w:tab/>
          <w:t>construct or complete the construction of 10 or more dwellings on the parcel of land; or</w:t>
        </w:r>
      </w:ins>
    </w:p>
    <w:p>
      <w:pPr>
        <w:pStyle w:val="Indenti"/>
        <w:rPr>
          <w:ins w:id="907" w:author="Master Repository Process" w:date="2025-06-09T09:56:00Z"/>
        </w:rPr>
      </w:pPr>
      <w:ins w:id="908" w:author="Master Repository Process" w:date="2025-06-09T09:56:00Z">
        <w:r>
          <w:tab/>
          <w:t>(ii)</w:t>
        </w:r>
        <w:r>
          <w:tab/>
          <w:t>provide 10 or more dwellings on the parcel of land by carrying out, or completing the carrying out of, substantial refurbishment of a building, or part of a building, that is not capable of being used solely or dominantly as a place of residence;</w:t>
        </w:r>
      </w:ins>
    </w:p>
    <w:p>
      <w:pPr>
        <w:pStyle w:val="Indenta"/>
        <w:rPr>
          <w:ins w:id="909" w:author="Master Repository Process" w:date="2025-06-09T09:56:00Z"/>
        </w:rPr>
      </w:pPr>
      <w:ins w:id="910" w:author="Master Repository Process" w:date="2025-06-09T09:56:00Z">
        <w:r>
          <w:tab/>
        </w:r>
        <w:r>
          <w:tab/>
          <w:t>and</w:t>
        </w:r>
      </w:ins>
    </w:p>
    <w:p>
      <w:pPr>
        <w:pStyle w:val="Ednotepara"/>
        <w:rPr>
          <w:ins w:id="911" w:author="Master Repository Process" w:date="2025-06-09T09:56:00Z"/>
        </w:rPr>
      </w:pPr>
      <w:ins w:id="912" w:author="Master Repository Process" w:date="2025-06-09T09:56:00Z">
        <w:r>
          <w:tab/>
          <w:t>[(b)</w:t>
        </w:r>
        <w:r>
          <w:tab/>
          <w:t>deleted]</w:t>
        </w:r>
      </w:ins>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w:t>
      </w:r>
      <w:del w:id="913" w:author="Master Repository Process" w:date="2025-06-09T09:56:00Z">
        <w:r>
          <w:delText>,</w:delText>
        </w:r>
      </w:del>
      <w:ins w:id="914" w:author="Master Repository Process" w:date="2025-06-09T09:56:00Z">
        <w:r>
          <w:t> —</w:t>
        </w:r>
      </w:ins>
      <w:r>
        <w:t xml:space="preserve"> if the person or associate begins construction of that dwelling or another dwelling on the parcel of land; or</w:t>
      </w:r>
    </w:p>
    <w:p>
      <w:pPr>
        <w:pStyle w:val="Indenta"/>
      </w:pPr>
      <w:r>
        <w:tab/>
        <w:t>(b)</w:t>
      </w:r>
      <w:r>
        <w:tab/>
        <w:t xml:space="preserve">a dwelling the person or associate intends to </w:t>
      </w:r>
      <w:del w:id="915" w:author="Master Repository Process" w:date="2025-06-09T09:56:00Z">
        <w:r>
          <w:delText>refurbish,</w:delText>
        </w:r>
      </w:del>
      <w:ins w:id="916" w:author="Master Repository Process" w:date="2025-06-09T09:56:00Z">
        <w:r>
          <w:t>provide by carrying out substantial refurbishment of a building, or part of a building —</w:t>
        </w:r>
      </w:ins>
      <w:r>
        <w:t xml:space="preserve"> if all licences, approvals, registrations, exemptions and other kinds of authorisation necessary to </w:t>
      </w:r>
      <w:del w:id="917" w:author="Master Repository Process" w:date="2025-06-09T09:56:00Z">
        <w:r>
          <w:delText>refurbish</w:delText>
        </w:r>
      </w:del>
      <w:ins w:id="918" w:author="Master Repository Process" w:date="2025-06-09T09:56:00Z">
        <w:r>
          <w:t>carry out the refurbishment for</w:t>
        </w:r>
      </w:ins>
      <w:r>
        <w:t xml:space="preserve"> that dwelling or another dwelling on the parcel of land are issued, granted or obtained; or</w:t>
      </w:r>
    </w:p>
    <w:p>
      <w:pPr>
        <w:pStyle w:val="Indenta"/>
      </w:pPr>
      <w:r>
        <w:tab/>
        <w:t>(c)</w:t>
      </w:r>
      <w:r>
        <w:tab/>
        <w:t xml:space="preserve">a dwelling the person or associate intends to complete the construction </w:t>
      </w:r>
      <w:del w:id="919" w:author="Master Repository Process" w:date="2025-06-09T09:56:00Z">
        <w:r>
          <w:delText xml:space="preserve">or refurbishment </w:delText>
        </w:r>
      </w:del>
      <w:r>
        <w:t>of</w:t>
      </w:r>
      <w:del w:id="920" w:author="Master Repository Process" w:date="2025-06-09T09:56:00Z">
        <w:r>
          <w:delText>,</w:delText>
        </w:r>
      </w:del>
      <w:ins w:id="921" w:author="Master Repository Process" w:date="2025-06-09T09:56:00Z">
        <w:r>
          <w:t> —</w:t>
        </w:r>
      </w:ins>
      <w:r>
        <w:t xml:space="preserve"> if that dwelling or another dwelling on the parcel of land, construction </w:t>
      </w:r>
      <w:del w:id="922" w:author="Master Repository Process" w:date="2025-06-09T09:56:00Z">
        <w:r>
          <w:delText xml:space="preserve">or refurbishment </w:delText>
        </w:r>
      </w:del>
      <w:r>
        <w:t>of which is completed by the person or associate, is ready for occupation as a place of residence</w:t>
      </w:r>
      <w:del w:id="923" w:author="Master Repository Process" w:date="2025-06-09T09:56:00Z">
        <w:r>
          <w:delText>.</w:delText>
        </w:r>
      </w:del>
      <w:ins w:id="924" w:author="Master Repository Process" w:date="2025-06-09T09:56:00Z">
        <w:r>
          <w:t>; or</w:t>
        </w:r>
      </w:ins>
    </w:p>
    <w:p>
      <w:pPr>
        <w:pStyle w:val="Indenta"/>
        <w:rPr>
          <w:ins w:id="925" w:author="Master Repository Process" w:date="2025-06-09T09:56:00Z"/>
        </w:rPr>
      </w:pPr>
      <w:ins w:id="926" w:author="Master Repository Process" w:date="2025-06-09T09:56:00Z">
        <w:r>
          <w:tab/>
          <w:t>(d)</w:t>
        </w:r>
        <w:r>
          <w:tab/>
          <w:t>a dwelling the person or associate intends to provide by completing the carrying out of substantial refurbishment of a building, or part of a building — if that dwelling, or another dwelling on the parcel of land for which substantial refurbishment is completed by the person or associate, is ready for occupation as a place of residence.</w:t>
        </w:r>
      </w:ins>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w:t>
      </w:r>
      <w:del w:id="927" w:author="Master Repository Process" w:date="2025-06-09T09:56:00Z">
        <w:r>
          <w:delText>8</w:delText>
        </w:r>
      </w:del>
      <w:ins w:id="928" w:author="Master Repository Process" w:date="2025-06-09T09:56:00Z">
        <w:r>
          <w:t>8; amended: No. 29 of 2023 s. 4</w:t>
        </w:r>
      </w:ins>
      <w:r>
        <w:t>.]</w:t>
      </w:r>
    </w:p>
    <w:p>
      <w:pPr>
        <w:pStyle w:val="Heading5"/>
      </w:pPr>
      <w:bookmarkStart w:id="929" w:name="_Toc161401433"/>
      <w:bookmarkStart w:id="930" w:name="_Toc154753930"/>
      <w:r>
        <w:rPr>
          <w:rStyle w:val="CharSectno"/>
        </w:rPr>
        <w:t>205ZB</w:t>
      </w:r>
      <w:r>
        <w:t>.</w:t>
      </w:r>
      <w:r>
        <w:tab/>
        <w:t>Exemption relating to subdivision for purpose of constructing 10 or more dwellings</w:t>
      </w:r>
      <w:bookmarkEnd w:id="929"/>
      <w:bookmarkEnd w:id="930"/>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rPr>
          <w:del w:id="931" w:author="Master Repository Process" w:date="2025-06-09T09:56:00Z"/>
        </w:rPr>
      </w:pPr>
      <w:del w:id="932" w:author="Master Repository Process" w:date="2025-06-09T09:56:00Z">
        <w:r>
          <w:tab/>
          <w:delText>(a)</w:delText>
        </w:r>
        <w:r>
          <w:tab/>
          <w:delText xml:space="preserve">at the time when liability for foreign transfer duty on the transaction arises, the parcel of land is vacant or substantially vacant; and </w:delText>
        </w:r>
      </w:del>
    </w:p>
    <w:p>
      <w:pPr>
        <w:pStyle w:val="Ednotepara"/>
        <w:rPr>
          <w:ins w:id="933" w:author="Master Repository Process" w:date="2025-06-09T09:56:00Z"/>
        </w:rPr>
      </w:pPr>
      <w:ins w:id="934" w:author="Master Repository Process" w:date="2025-06-09T09:56:00Z">
        <w:r>
          <w:tab/>
          <w:t>[(a)</w:t>
        </w:r>
        <w:r>
          <w:tab/>
          <w:t>deleted]</w:t>
        </w:r>
      </w:ins>
    </w:p>
    <w:p>
      <w:pPr>
        <w:pStyle w:val="Indenta"/>
      </w:pPr>
      <w:r>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w:t>
      </w:r>
      <w:ins w:id="935" w:author="Master Repository Process" w:date="2025-06-09T09:56:00Z">
        <w:r>
          <w:t>; No. 29 of 2023 s. 5</w:t>
        </w:r>
      </w:ins>
      <w:r>
        <w:t>.]</w:t>
      </w:r>
    </w:p>
    <w:p>
      <w:pPr>
        <w:pStyle w:val="Heading4"/>
        <w:rPr>
          <w:sz w:val="26"/>
          <w:szCs w:val="26"/>
        </w:rPr>
      </w:pPr>
      <w:bookmarkStart w:id="936" w:name="_Toc161400776"/>
      <w:bookmarkStart w:id="937" w:name="_Toc161401434"/>
      <w:bookmarkStart w:id="938" w:name="_Toc154753931"/>
      <w:r>
        <w:rPr>
          <w:sz w:val="26"/>
          <w:szCs w:val="26"/>
        </w:rPr>
        <w:t>Subdivision 3 — Reassessment</w:t>
      </w:r>
      <w:bookmarkEnd w:id="936"/>
      <w:bookmarkEnd w:id="937"/>
      <w:bookmarkEnd w:id="938"/>
    </w:p>
    <w:p>
      <w:pPr>
        <w:pStyle w:val="Footnoteheading"/>
      </w:pPr>
      <w:r>
        <w:tab/>
        <w:t>[Heading inserted: No. 24 of 2018 s. 8.]</w:t>
      </w:r>
    </w:p>
    <w:p>
      <w:pPr>
        <w:pStyle w:val="Heading5"/>
      </w:pPr>
      <w:bookmarkStart w:id="939" w:name="_Toc161401435"/>
      <w:bookmarkStart w:id="940" w:name="_Toc154753932"/>
      <w:r>
        <w:rPr>
          <w:rStyle w:val="CharSectno"/>
        </w:rPr>
        <w:t>205ZC</w:t>
      </w:r>
      <w:r>
        <w:t>.</w:t>
      </w:r>
      <w:r>
        <w:tab/>
        <w:t>Reassessment</w:t>
      </w:r>
      <w:bookmarkEnd w:id="939"/>
      <w:bookmarkEnd w:id="940"/>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rPr>
          <w:sz w:val="28"/>
          <w:szCs w:val="28"/>
        </w:rPr>
      </w:pPr>
      <w:bookmarkStart w:id="941" w:name="_Toc161400778"/>
      <w:bookmarkStart w:id="942" w:name="_Toc161401436"/>
      <w:bookmarkStart w:id="943" w:name="_Toc154753933"/>
      <w:r>
        <w:rPr>
          <w:rStyle w:val="CharDivNo"/>
          <w:sz w:val="28"/>
          <w:szCs w:val="28"/>
        </w:rPr>
        <w:t>Part 3</w:t>
      </w:r>
      <w:r>
        <w:rPr>
          <w:sz w:val="28"/>
          <w:szCs w:val="28"/>
        </w:rPr>
        <w:t> — </w:t>
      </w:r>
      <w:r>
        <w:rPr>
          <w:rStyle w:val="CharDivText"/>
          <w:sz w:val="28"/>
          <w:szCs w:val="28"/>
        </w:rPr>
        <w:t>Foreign landholder duty</w:t>
      </w:r>
      <w:bookmarkEnd w:id="941"/>
      <w:bookmarkEnd w:id="942"/>
      <w:bookmarkEnd w:id="943"/>
    </w:p>
    <w:p>
      <w:pPr>
        <w:pStyle w:val="Footnoteheading"/>
      </w:pPr>
      <w:r>
        <w:tab/>
        <w:t>[Heading inserted: No. 24 of 2018 s. 8.]</w:t>
      </w:r>
    </w:p>
    <w:p>
      <w:pPr>
        <w:pStyle w:val="Heading4"/>
        <w:rPr>
          <w:sz w:val="26"/>
          <w:szCs w:val="26"/>
        </w:rPr>
      </w:pPr>
      <w:bookmarkStart w:id="944" w:name="_Toc161400779"/>
      <w:bookmarkStart w:id="945" w:name="_Toc161401437"/>
      <w:bookmarkStart w:id="946" w:name="_Toc154753934"/>
      <w:r>
        <w:rPr>
          <w:sz w:val="26"/>
          <w:szCs w:val="26"/>
        </w:rPr>
        <w:t>Division 1 — Preliminary</w:t>
      </w:r>
      <w:bookmarkEnd w:id="944"/>
      <w:bookmarkEnd w:id="945"/>
      <w:bookmarkEnd w:id="946"/>
    </w:p>
    <w:p>
      <w:pPr>
        <w:pStyle w:val="Footnoteheading"/>
      </w:pPr>
      <w:r>
        <w:tab/>
        <w:t>[Heading inserted: No. 24 of 2018 s. 8.]</w:t>
      </w:r>
    </w:p>
    <w:p>
      <w:pPr>
        <w:pStyle w:val="Heading5"/>
      </w:pPr>
      <w:bookmarkStart w:id="947" w:name="_Toc161401438"/>
      <w:bookmarkStart w:id="948" w:name="_Toc154753935"/>
      <w:r>
        <w:rPr>
          <w:rStyle w:val="CharSectno"/>
        </w:rPr>
        <w:t>205ZD</w:t>
      </w:r>
      <w:r>
        <w:t>.</w:t>
      </w:r>
      <w:r>
        <w:tab/>
        <w:t>Terms used</w:t>
      </w:r>
      <w:bookmarkEnd w:id="947"/>
      <w:bookmarkEnd w:id="948"/>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keepNext/>
      </w:pPr>
      <w:r>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949" w:name="_Toc161400781"/>
      <w:bookmarkStart w:id="950" w:name="_Toc161401439"/>
      <w:bookmarkStart w:id="951" w:name="_Toc154753936"/>
      <w:r>
        <w:rPr>
          <w:sz w:val="26"/>
          <w:szCs w:val="26"/>
        </w:rPr>
        <w:t>Division 2 — Application of Chapter 3</w:t>
      </w:r>
      <w:bookmarkEnd w:id="949"/>
      <w:bookmarkEnd w:id="950"/>
      <w:bookmarkEnd w:id="951"/>
    </w:p>
    <w:p>
      <w:pPr>
        <w:pStyle w:val="Footnoteheading"/>
      </w:pPr>
      <w:r>
        <w:tab/>
        <w:t>[Heading inserted: No. 24 of 2018 s. 8.]</w:t>
      </w:r>
    </w:p>
    <w:p>
      <w:pPr>
        <w:pStyle w:val="Heading5"/>
      </w:pPr>
      <w:bookmarkStart w:id="952" w:name="_Toc161401440"/>
      <w:bookmarkStart w:id="953" w:name="_Toc154753937"/>
      <w:r>
        <w:rPr>
          <w:rStyle w:val="CharSectno"/>
        </w:rPr>
        <w:t>205ZE</w:t>
      </w:r>
      <w:r>
        <w:t>.</w:t>
      </w:r>
      <w:r>
        <w:tab/>
        <w:t>Application of Chapter 3</w:t>
      </w:r>
      <w:bookmarkEnd w:id="952"/>
      <w:bookmarkEnd w:id="953"/>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954" w:name="_Toc161400783"/>
      <w:bookmarkStart w:id="955" w:name="_Toc161401441"/>
      <w:bookmarkStart w:id="956" w:name="_Toc154753938"/>
      <w:r>
        <w:rPr>
          <w:sz w:val="26"/>
          <w:szCs w:val="26"/>
        </w:rPr>
        <w:t>Division 3 — Imposition of foreign landholder duty</w:t>
      </w:r>
      <w:bookmarkEnd w:id="954"/>
      <w:bookmarkEnd w:id="955"/>
      <w:bookmarkEnd w:id="956"/>
    </w:p>
    <w:p>
      <w:pPr>
        <w:pStyle w:val="Footnoteheading"/>
      </w:pPr>
      <w:r>
        <w:tab/>
        <w:t>[Heading inserted: No. 24 of 2018 s. 8.]</w:t>
      </w:r>
    </w:p>
    <w:p>
      <w:pPr>
        <w:pStyle w:val="Heading5"/>
      </w:pPr>
      <w:bookmarkStart w:id="957" w:name="_Toc161401442"/>
      <w:bookmarkStart w:id="958" w:name="_Toc154753939"/>
      <w:r>
        <w:rPr>
          <w:rStyle w:val="CharSectno"/>
        </w:rPr>
        <w:t>205ZF</w:t>
      </w:r>
      <w:r>
        <w:t>.</w:t>
      </w:r>
      <w:r>
        <w:tab/>
        <w:t>Foreign landholder duty imposed</w:t>
      </w:r>
      <w:bookmarkEnd w:id="957"/>
      <w:bookmarkEnd w:id="958"/>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959" w:name="_Toc161400785"/>
      <w:bookmarkStart w:id="960" w:name="_Toc161401443"/>
      <w:bookmarkStart w:id="961" w:name="_Toc154753940"/>
      <w:r>
        <w:rPr>
          <w:sz w:val="26"/>
          <w:szCs w:val="26"/>
        </w:rPr>
        <w:t>Division 4 — Residential landholders to which this Part applies</w:t>
      </w:r>
      <w:bookmarkEnd w:id="959"/>
      <w:bookmarkEnd w:id="960"/>
      <w:bookmarkEnd w:id="961"/>
    </w:p>
    <w:p>
      <w:pPr>
        <w:pStyle w:val="Footnoteheading"/>
        <w:keepNext/>
        <w:keepLines/>
      </w:pPr>
      <w:r>
        <w:tab/>
        <w:t>[Heading inserted: No. 24 of 2018 s. 8.]</w:t>
      </w:r>
    </w:p>
    <w:p>
      <w:pPr>
        <w:pStyle w:val="Heading5"/>
      </w:pPr>
      <w:bookmarkStart w:id="962" w:name="_Toc161401444"/>
      <w:bookmarkStart w:id="963" w:name="_Toc154753941"/>
      <w:r>
        <w:rPr>
          <w:rStyle w:val="CharSectno"/>
        </w:rPr>
        <w:t>205ZG</w:t>
      </w:r>
      <w:r>
        <w:t>.</w:t>
      </w:r>
      <w:r>
        <w:tab/>
        <w:t>Which entities are residential landholders</w:t>
      </w:r>
      <w:bookmarkEnd w:id="962"/>
      <w:bookmarkEnd w:id="963"/>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964" w:name="_Toc161400787"/>
      <w:bookmarkStart w:id="965" w:name="_Toc161401445"/>
      <w:bookmarkStart w:id="966" w:name="_Toc154753942"/>
      <w:r>
        <w:rPr>
          <w:sz w:val="26"/>
          <w:szCs w:val="26"/>
        </w:rPr>
        <w:t>Division 5 — Acquisitions to which this Part applies</w:t>
      </w:r>
      <w:bookmarkEnd w:id="964"/>
      <w:bookmarkEnd w:id="965"/>
      <w:bookmarkEnd w:id="966"/>
    </w:p>
    <w:p>
      <w:pPr>
        <w:pStyle w:val="Footnoteheading"/>
        <w:keepNext/>
      </w:pPr>
      <w:r>
        <w:tab/>
        <w:t>[Heading inserted: No. 24 of 2018 s. 8.]</w:t>
      </w:r>
    </w:p>
    <w:p>
      <w:pPr>
        <w:pStyle w:val="Heading5"/>
      </w:pPr>
      <w:bookmarkStart w:id="967" w:name="_Toc161401446"/>
      <w:bookmarkStart w:id="968" w:name="_Toc154753943"/>
      <w:r>
        <w:rPr>
          <w:rStyle w:val="CharSectno"/>
        </w:rPr>
        <w:t>205ZH</w:t>
      </w:r>
      <w:r>
        <w:t>.</w:t>
      </w:r>
      <w:r>
        <w:tab/>
        <w:t>Foreign landholder acquisitions</w:t>
      </w:r>
      <w:bookmarkEnd w:id="967"/>
      <w:bookmarkEnd w:id="968"/>
    </w:p>
    <w:p>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pPr>
      <w:r>
        <w:tab/>
        <w:t>(i)</w:t>
      </w:r>
      <w:r>
        <w:tab/>
        <w:t>immediately before the acquisition, the aggregated group interest in the residential landholder does not amount to a significant interest; and</w:t>
      </w:r>
    </w:p>
    <w:p>
      <w:pPr>
        <w:pStyle w:val="Indenti"/>
      </w:pPr>
      <w:r>
        <w:tab/>
        <w:t>(ii)</w:t>
      </w:r>
      <w:r>
        <w:tab/>
        <w:t>immediately after the acquisition, the aggregated group interest in the residential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969" w:name="_Toc161400789"/>
      <w:bookmarkStart w:id="970" w:name="_Toc161401447"/>
      <w:bookmarkStart w:id="971" w:name="_Toc154753944"/>
      <w:r>
        <w:rPr>
          <w:sz w:val="26"/>
          <w:szCs w:val="26"/>
        </w:rPr>
        <w:t>Division 6 — Collection of foreign landholder duty</w:t>
      </w:r>
      <w:bookmarkEnd w:id="969"/>
      <w:bookmarkEnd w:id="970"/>
      <w:bookmarkEnd w:id="971"/>
    </w:p>
    <w:p>
      <w:pPr>
        <w:pStyle w:val="Footnoteheading"/>
      </w:pPr>
      <w:r>
        <w:tab/>
        <w:t>[Heading inserted: No. 24 of 2018 s. 8.]</w:t>
      </w:r>
    </w:p>
    <w:p>
      <w:pPr>
        <w:pStyle w:val="Heading5"/>
      </w:pPr>
      <w:bookmarkStart w:id="972" w:name="_Toc161401448"/>
      <w:bookmarkStart w:id="973" w:name="_Toc154753945"/>
      <w:r>
        <w:rPr>
          <w:rStyle w:val="CharSectno"/>
        </w:rPr>
        <w:t>205ZJ</w:t>
      </w:r>
      <w:r>
        <w:t>.</w:t>
      </w:r>
      <w:r>
        <w:tab/>
        <w:t>Rate of foreign landholder duty</w:t>
      </w:r>
      <w:bookmarkEnd w:id="972"/>
      <w:bookmarkEnd w:id="973"/>
    </w:p>
    <w:p>
      <w:pPr>
        <w:pStyle w:val="Subsection"/>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974" w:name="_Toc161401449"/>
      <w:bookmarkStart w:id="975" w:name="_Toc154753946"/>
      <w:r>
        <w:rPr>
          <w:rStyle w:val="CharSectno"/>
        </w:rPr>
        <w:t>205ZK</w:t>
      </w:r>
      <w:r>
        <w:t>.</w:t>
      </w:r>
      <w:r>
        <w:tab/>
        <w:t>Calculation of foreign landholder duty where landholder duty calculated under s. 193</w:t>
      </w:r>
      <w:bookmarkEnd w:id="974"/>
      <w:bookmarkEnd w:id="975"/>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tab/>
        <w:t>[Section 205ZK inserted: No. 24 of 2018 s. 8.]</w:t>
      </w:r>
    </w:p>
    <w:p>
      <w:pPr>
        <w:pStyle w:val="Heading5"/>
      </w:pPr>
      <w:bookmarkStart w:id="976" w:name="_Toc161401450"/>
      <w:bookmarkStart w:id="977" w:name="_Toc154753947"/>
      <w:r>
        <w:rPr>
          <w:rStyle w:val="CharSectno"/>
        </w:rPr>
        <w:t>205ZKA</w:t>
      </w:r>
      <w:r>
        <w:t>.</w:t>
      </w:r>
      <w:r>
        <w:tab/>
        <w:t>Modified application of s. 176 if entity becomes residential landholder because of acquisitions forming one arrangement</w:t>
      </w:r>
      <w:bookmarkEnd w:id="976"/>
      <w:bookmarkEnd w:id="977"/>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978" w:name="_Toc161400793"/>
      <w:bookmarkStart w:id="979" w:name="_Toc161401451"/>
      <w:bookmarkStart w:id="980" w:name="_Toc154753948"/>
      <w:r>
        <w:rPr>
          <w:sz w:val="26"/>
          <w:szCs w:val="26"/>
        </w:rPr>
        <w:t>Division 7 — Interim assessment of foreign landholder duty</w:t>
      </w:r>
      <w:bookmarkEnd w:id="978"/>
      <w:bookmarkEnd w:id="979"/>
      <w:bookmarkEnd w:id="980"/>
    </w:p>
    <w:p>
      <w:pPr>
        <w:pStyle w:val="Footnoteheading"/>
      </w:pPr>
      <w:r>
        <w:tab/>
        <w:t>[Heading inserted: No. 24 of 2018 s. 8.]</w:t>
      </w:r>
    </w:p>
    <w:p>
      <w:pPr>
        <w:pStyle w:val="Heading5"/>
      </w:pPr>
      <w:bookmarkStart w:id="981" w:name="_Toc161401452"/>
      <w:bookmarkStart w:id="982" w:name="_Toc154753949"/>
      <w:r>
        <w:rPr>
          <w:rStyle w:val="CharSectno"/>
        </w:rPr>
        <w:t>205ZL</w:t>
      </w:r>
      <w:r>
        <w:t>.</w:t>
      </w:r>
      <w:r>
        <w:tab/>
        <w:t>Interim assessment of foreign landholder duty</w:t>
      </w:r>
      <w:bookmarkEnd w:id="981"/>
      <w:bookmarkEnd w:id="982"/>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983" w:name="_Toc161400795"/>
      <w:bookmarkStart w:id="984" w:name="_Toc161401453"/>
      <w:bookmarkStart w:id="985" w:name="_Toc154753950"/>
      <w:r>
        <w:rPr>
          <w:sz w:val="26"/>
          <w:szCs w:val="26"/>
        </w:rPr>
        <w:t>Division 8 — Exemptions and reassessment</w:t>
      </w:r>
      <w:bookmarkEnd w:id="983"/>
      <w:bookmarkEnd w:id="984"/>
      <w:bookmarkEnd w:id="985"/>
    </w:p>
    <w:p>
      <w:pPr>
        <w:pStyle w:val="Footnoteheading"/>
        <w:keepNext/>
      </w:pPr>
      <w:r>
        <w:tab/>
        <w:t>[Heading inserted: No. 24 of 2018 s. 8.]</w:t>
      </w:r>
    </w:p>
    <w:p>
      <w:pPr>
        <w:pStyle w:val="Heading4"/>
        <w:rPr>
          <w:sz w:val="26"/>
          <w:szCs w:val="26"/>
        </w:rPr>
      </w:pPr>
      <w:bookmarkStart w:id="986" w:name="_Toc161400796"/>
      <w:bookmarkStart w:id="987" w:name="_Toc161401454"/>
      <w:bookmarkStart w:id="988" w:name="_Toc154753951"/>
      <w:r>
        <w:rPr>
          <w:sz w:val="26"/>
          <w:szCs w:val="26"/>
        </w:rPr>
        <w:t>Subdivision 1 — Exempt acquisitions</w:t>
      </w:r>
      <w:bookmarkEnd w:id="986"/>
      <w:bookmarkEnd w:id="987"/>
      <w:bookmarkEnd w:id="988"/>
    </w:p>
    <w:p>
      <w:pPr>
        <w:pStyle w:val="Footnoteheading"/>
        <w:keepNext/>
      </w:pPr>
      <w:r>
        <w:tab/>
        <w:t>[Heading inserted: No. 24 of 2018 s. 8.]</w:t>
      </w:r>
    </w:p>
    <w:p>
      <w:pPr>
        <w:pStyle w:val="Heading5"/>
      </w:pPr>
      <w:bookmarkStart w:id="989" w:name="_Toc161401455"/>
      <w:bookmarkStart w:id="990" w:name="_Toc154753952"/>
      <w:r>
        <w:rPr>
          <w:rStyle w:val="CharSectno"/>
        </w:rPr>
        <w:t>205ZM</w:t>
      </w:r>
      <w:r>
        <w:t>.</w:t>
      </w:r>
      <w:r>
        <w:tab/>
        <w:t>Exemption or reduction of foreign landholder duty if foreign transfer duty would not be chargeable</w:t>
      </w:r>
      <w:bookmarkEnd w:id="989"/>
      <w:bookmarkEnd w:id="990"/>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tab/>
        <w:t>(2A)</w:t>
      </w:r>
      <w:r>
        <w:tab/>
        <w:t>If no foreign transfer duty would be chargeable on the notional transfer, the acquisition is exempt.</w:t>
      </w:r>
    </w:p>
    <w:p>
      <w:pPr>
        <w:pStyle w:val="Subsection"/>
        <w:keepNext/>
        <w:keepLines/>
      </w:pPr>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991" w:name="_Toc161401456"/>
      <w:bookmarkStart w:id="992" w:name="_Toc154753953"/>
      <w:r>
        <w:rPr>
          <w:rStyle w:val="CharSectno"/>
        </w:rPr>
        <w:t>205ZN</w:t>
      </w:r>
      <w:r>
        <w:t>.</w:t>
      </w:r>
      <w:r>
        <w:tab/>
        <w:t>Exemption for certain acquisitions treated as made under agreement referred to in s. 176(2)</w:t>
      </w:r>
      <w:bookmarkEnd w:id="991"/>
      <w:bookmarkEnd w:id="992"/>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rPr>
          <w:sz w:val="26"/>
          <w:szCs w:val="26"/>
        </w:rPr>
      </w:pPr>
      <w:bookmarkStart w:id="993" w:name="_Toc161400799"/>
      <w:bookmarkStart w:id="994" w:name="_Toc161401457"/>
      <w:bookmarkStart w:id="995" w:name="_Toc154753954"/>
      <w:r>
        <w:rPr>
          <w:sz w:val="26"/>
          <w:szCs w:val="26"/>
        </w:rPr>
        <w:t>Subdivision 2 — Exemptions relating to construction, refurbishment and subdivision</w:t>
      </w:r>
      <w:bookmarkEnd w:id="993"/>
      <w:bookmarkEnd w:id="994"/>
      <w:bookmarkEnd w:id="995"/>
    </w:p>
    <w:p>
      <w:pPr>
        <w:pStyle w:val="Footnoteheading"/>
      </w:pPr>
      <w:r>
        <w:tab/>
        <w:t>[Heading inserted: No. 24 of 2018 s. 8.]</w:t>
      </w:r>
    </w:p>
    <w:p>
      <w:pPr>
        <w:pStyle w:val="Heading5"/>
      </w:pPr>
      <w:bookmarkStart w:id="996" w:name="_Toc161401458"/>
      <w:bookmarkStart w:id="997" w:name="_Toc154753955"/>
      <w:r>
        <w:rPr>
          <w:rStyle w:val="CharSectno"/>
        </w:rPr>
        <w:t>205ZO</w:t>
      </w:r>
      <w:r>
        <w:t>.</w:t>
      </w:r>
      <w:r>
        <w:tab/>
        <w:t>Exemption relating to construction or refurbishment of 10 or more dwellings</w:t>
      </w:r>
      <w:bookmarkEnd w:id="996"/>
      <w:bookmarkEnd w:id="997"/>
    </w:p>
    <w:p>
      <w:pPr>
        <w:pStyle w:val="Subsection"/>
        <w:rPr>
          <w:ins w:id="998" w:author="Master Repository Process" w:date="2025-06-09T09:56:00Z"/>
        </w:rPr>
      </w:pPr>
      <w:ins w:id="999" w:author="Master Repository Process" w:date="2025-06-09T09:56:00Z">
        <w:r>
          <w:tab/>
          <w:t>(1A)</w:t>
        </w:r>
        <w:r>
          <w:tab/>
          <w:t xml:space="preserve">In this section — </w:t>
        </w:r>
      </w:ins>
    </w:p>
    <w:p>
      <w:pPr>
        <w:pStyle w:val="Defstart"/>
        <w:rPr>
          <w:ins w:id="1000" w:author="Master Repository Process" w:date="2025-06-09T09:56:00Z"/>
        </w:rPr>
      </w:pPr>
      <w:ins w:id="1001" w:author="Master Repository Process" w:date="2025-06-09T09:56:00Z">
        <w:r>
          <w:tab/>
        </w:r>
        <w:r>
          <w:rPr>
            <w:rStyle w:val="CharDefText"/>
          </w:rPr>
          <w:t>substantial refurbishment</w:t>
        </w:r>
        <w:r>
          <w:t xml:space="preserve"> does not include minor works to a building or part of a building.</w:t>
        </w:r>
      </w:ins>
    </w:p>
    <w:p>
      <w:pPr>
        <w:pStyle w:val="Subsection"/>
      </w:pPr>
      <w:r>
        <w:tab/>
        <w:t>(1)</w:t>
      </w:r>
      <w:r>
        <w:tab/>
        <w:t xml:space="preserve">An acquisition is exempt if — </w:t>
      </w:r>
    </w:p>
    <w:p>
      <w:pPr>
        <w:pStyle w:val="Indenta"/>
      </w:pPr>
      <w:r>
        <w:tab/>
        <w:t>(a)</w:t>
      </w:r>
      <w:r>
        <w:tab/>
      </w:r>
      <w:del w:id="1002" w:author="Master Repository Process" w:date="2025-06-09T09:56:00Z">
        <w:r>
          <w:delText xml:space="preserve">at the time </w:delText>
        </w:r>
      </w:del>
      <w:r>
        <w:t>when the acquisition occurs</w:t>
      </w:r>
      <w:del w:id="1003" w:author="Master Repository Process" w:date="2025-06-09T09:56:00Z">
        <w:r>
          <w:delText>,</w:delText>
        </w:r>
      </w:del>
      <w:r>
        <w:t xml:space="preserve"> the residential landholder or a linked entity in respect of the landholder is entitled to a parcel of land </w:t>
      </w:r>
      <w:del w:id="1004" w:author="Master Repository Process" w:date="2025-06-09T09:56:00Z">
        <w:r>
          <w:delText>on which there is no building, or part of a building, capable of being used solely or dominantly as a place of residence; and</w:delText>
        </w:r>
      </w:del>
      <w:ins w:id="1005" w:author="Master Repository Process" w:date="2025-06-09T09:56:00Z">
        <w:r>
          <w:t>and the landholder, linked entity or an associate of the landholder intends to —</w:t>
        </w:r>
      </w:ins>
    </w:p>
    <w:p>
      <w:pPr>
        <w:pStyle w:val="Indenti"/>
        <w:rPr>
          <w:ins w:id="1006" w:author="Master Repository Process" w:date="2025-06-09T09:56:00Z"/>
        </w:rPr>
      </w:pPr>
      <w:r>
        <w:tab/>
        <w:t>(</w:t>
      </w:r>
      <w:del w:id="1007" w:author="Master Repository Process" w:date="2025-06-09T09:56:00Z">
        <w:r>
          <w:delText>b)</w:delText>
        </w:r>
        <w:r>
          <w:tab/>
          <w:delText xml:space="preserve">the landholder, linked entity or an associate of the landholder intends to </w:delText>
        </w:r>
      </w:del>
      <w:ins w:id="1008" w:author="Master Repository Process" w:date="2025-06-09T09:56:00Z">
        <w:r>
          <w:t>i)</w:t>
        </w:r>
        <w:r>
          <w:tab/>
        </w:r>
      </w:ins>
      <w:r>
        <w:t>construct</w:t>
      </w:r>
      <w:del w:id="1009" w:author="Master Repository Process" w:date="2025-06-09T09:56:00Z">
        <w:r>
          <w:delText>, refurbish</w:delText>
        </w:r>
      </w:del>
      <w:r>
        <w:t xml:space="preserve"> or complete the construction </w:t>
      </w:r>
      <w:del w:id="1010" w:author="Master Repository Process" w:date="2025-06-09T09:56:00Z">
        <w:r>
          <w:delText xml:space="preserve">or refurbishment </w:delText>
        </w:r>
      </w:del>
      <w:r>
        <w:t xml:space="preserve">of 10 or more dwellings on the parcel of land; </w:t>
      </w:r>
      <w:ins w:id="1011" w:author="Master Repository Process" w:date="2025-06-09T09:56:00Z">
        <w:r>
          <w:t>or</w:t>
        </w:r>
      </w:ins>
    </w:p>
    <w:p>
      <w:pPr>
        <w:pStyle w:val="Indenti"/>
        <w:rPr>
          <w:ins w:id="1012" w:author="Master Repository Process" w:date="2025-06-09T09:56:00Z"/>
        </w:rPr>
      </w:pPr>
      <w:ins w:id="1013" w:author="Master Repository Process" w:date="2025-06-09T09:56:00Z">
        <w:r>
          <w:tab/>
          <w:t>(ii)</w:t>
        </w:r>
        <w:r>
          <w:tab/>
          <w:t>provide 10 or more dwellings on the parcel of land by carrying out, or completing the carrying out of, substantial refurbishment of a building, or part of a building, that is not capable of being used solely or dominantly as a place of residence;</w:t>
        </w:r>
      </w:ins>
    </w:p>
    <w:p>
      <w:pPr>
        <w:pStyle w:val="Indenta"/>
      </w:pPr>
      <w:ins w:id="1014" w:author="Master Repository Process" w:date="2025-06-09T09:56:00Z">
        <w:r>
          <w:tab/>
        </w:r>
        <w:r>
          <w:tab/>
        </w:r>
      </w:ins>
      <w:r>
        <w:t>and</w:t>
      </w:r>
    </w:p>
    <w:p>
      <w:pPr>
        <w:pStyle w:val="Ednotepara"/>
        <w:rPr>
          <w:ins w:id="1015" w:author="Master Repository Process" w:date="2025-06-09T09:56:00Z"/>
        </w:rPr>
      </w:pPr>
      <w:ins w:id="1016" w:author="Master Repository Process" w:date="2025-06-09T09:56:00Z">
        <w:r>
          <w:tab/>
          <w:t>[(b)</w:t>
        </w:r>
        <w:r>
          <w:tab/>
          <w:t>deleted]</w:t>
        </w:r>
      </w:ins>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w:t>
      </w:r>
      <w:del w:id="1017" w:author="Master Repository Process" w:date="2025-06-09T09:56:00Z">
        <w:r>
          <w:delText>,</w:delText>
        </w:r>
      </w:del>
      <w:ins w:id="1018" w:author="Master Repository Process" w:date="2025-06-09T09:56:00Z">
        <w:r>
          <w:t> —</w:t>
        </w:r>
      </w:ins>
      <w:r>
        <w:t xml:space="preserve"> if the landholder, linked entity or associate begins construction of that dwelling or another dwelling on the parcel of land; or</w:t>
      </w:r>
    </w:p>
    <w:p>
      <w:pPr>
        <w:pStyle w:val="Indenta"/>
      </w:pPr>
      <w:r>
        <w:tab/>
        <w:t>(b)</w:t>
      </w:r>
      <w:r>
        <w:tab/>
        <w:t xml:space="preserve">a dwelling the landholder, linked entity or associate intends to </w:t>
      </w:r>
      <w:del w:id="1019" w:author="Master Repository Process" w:date="2025-06-09T09:56:00Z">
        <w:r>
          <w:delText>refurbish,</w:delText>
        </w:r>
      </w:del>
      <w:ins w:id="1020" w:author="Master Repository Process" w:date="2025-06-09T09:56:00Z">
        <w:r>
          <w:t>provide by carrying out substantial refurbishment of a building, or part of a building —</w:t>
        </w:r>
      </w:ins>
      <w:r>
        <w:t xml:space="preserve"> if all licences, approvals, registrations, exemptions and other kinds of authorisation necessary to </w:t>
      </w:r>
      <w:del w:id="1021" w:author="Master Repository Process" w:date="2025-06-09T09:56:00Z">
        <w:r>
          <w:delText>refurbish</w:delText>
        </w:r>
      </w:del>
      <w:ins w:id="1022" w:author="Master Repository Process" w:date="2025-06-09T09:56:00Z">
        <w:r>
          <w:t>carry out the refurbishment for</w:t>
        </w:r>
      </w:ins>
      <w:r>
        <w:t xml:space="preserve"> that dwelling or another dwelling on the parcel of land are issued, granted or obtained; or</w:t>
      </w:r>
    </w:p>
    <w:p>
      <w:pPr>
        <w:pStyle w:val="Indenta"/>
      </w:pPr>
      <w:r>
        <w:tab/>
        <w:t>(c)</w:t>
      </w:r>
      <w:r>
        <w:tab/>
        <w:t xml:space="preserve">a dwelling the landholder, linked entity or associate intends to complete </w:t>
      </w:r>
      <w:ins w:id="1023" w:author="Master Repository Process" w:date="2025-06-09T09:56:00Z">
        <w:r>
          <w:t xml:space="preserve">the </w:t>
        </w:r>
      </w:ins>
      <w:r>
        <w:t xml:space="preserve">construction </w:t>
      </w:r>
      <w:del w:id="1024" w:author="Master Repository Process" w:date="2025-06-09T09:56:00Z">
        <w:r>
          <w:delText xml:space="preserve">or refurbishment </w:delText>
        </w:r>
      </w:del>
      <w:r>
        <w:t>of</w:t>
      </w:r>
      <w:del w:id="1025" w:author="Master Repository Process" w:date="2025-06-09T09:56:00Z">
        <w:r>
          <w:delText>,</w:delText>
        </w:r>
      </w:del>
      <w:ins w:id="1026" w:author="Master Repository Process" w:date="2025-06-09T09:56:00Z">
        <w:r>
          <w:t> —</w:t>
        </w:r>
      </w:ins>
      <w:r>
        <w:t xml:space="preserve"> if that dwelling or another dwelling on the parcel of land, construction</w:t>
      </w:r>
      <w:del w:id="1027" w:author="Master Repository Process" w:date="2025-06-09T09:56:00Z">
        <w:r>
          <w:delText xml:space="preserve"> or refurbishment</w:delText>
        </w:r>
      </w:del>
      <w:r>
        <w:t xml:space="preserve"> of which is completed by the landholder, linked entity or associate, is ready for occupation as a place of residence</w:t>
      </w:r>
      <w:del w:id="1028" w:author="Master Repository Process" w:date="2025-06-09T09:56:00Z">
        <w:r>
          <w:delText>.</w:delText>
        </w:r>
      </w:del>
      <w:ins w:id="1029" w:author="Master Repository Process" w:date="2025-06-09T09:56:00Z">
        <w:r>
          <w:t>; or</w:t>
        </w:r>
      </w:ins>
    </w:p>
    <w:p>
      <w:pPr>
        <w:pStyle w:val="Indenta"/>
        <w:rPr>
          <w:ins w:id="1030" w:author="Master Repository Process" w:date="2025-06-09T09:56:00Z"/>
        </w:rPr>
      </w:pPr>
      <w:ins w:id="1031" w:author="Master Repository Process" w:date="2025-06-09T09:56:00Z">
        <w:r>
          <w:tab/>
          <w:t>(d)</w:t>
        </w:r>
        <w:r>
          <w:tab/>
          <w:t>a dwelling the landholder, linked entity or associate intends to provide by completing the carrying out of substantial refurbishment of a building, or part of a building — if that dwelling, or another dwelling on the parcel of land for which substantial refurbishment is completed by the landholder, linked entity or associate, is ready for occupation as a place of residence.</w:t>
        </w:r>
      </w:ins>
    </w:p>
    <w:p>
      <w:pPr>
        <w:pStyle w:val="Subsection"/>
      </w:pPr>
      <w:r>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w:t>
      </w:r>
      <w:del w:id="1032" w:author="Master Repository Process" w:date="2025-06-09T09:56:00Z">
        <w:r>
          <w:delText>8</w:delText>
        </w:r>
      </w:del>
      <w:ins w:id="1033" w:author="Master Repository Process" w:date="2025-06-09T09:56:00Z">
        <w:r>
          <w:t>8; amended: No. 29 of 2023 s. 6</w:t>
        </w:r>
      </w:ins>
      <w:r>
        <w:t>.]</w:t>
      </w:r>
    </w:p>
    <w:p>
      <w:pPr>
        <w:pStyle w:val="Heading5"/>
      </w:pPr>
      <w:bookmarkStart w:id="1034" w:name="_Toc161401459"/>
      <w:bookmarkStart w:id="1035" w:name="_Toc154753956"/>
      <w:r>
        <w:rPr>
          <w:rStyle w:val="CharSectno"/>
        </w:rPr>
        <w:t>205ZP</w:t>
      </w:r>
      <w:r>
        <w:t>.</w:t>
      </w:r>
      <w:r>
        <w:tab/>
        <w:t>Exemption relating to subdivision for purpose of constructing 10 or more dwellings</w:t>
      </w:r>
      <w:bookmarkEnd w:id="1034"/>
      <w:bookmarkEnd w:id="1035"/>
    </w:p>
    <w:p>
      <w:pPr>
        <w:pStyle w:val="Subsection"/>
      </w:pPr>
      <w:r>
        <w:tab/>
        <w:t>(1)</w:t>
      </w:r>
      <w:r>
        <w:tab/>
        <w:t xml:space="preserve">An acquisition is exempt if — </w:t>
      </w:r>
    </w:p>
    <w:p>
      <w:pPr>
        <w:pStyle w:val="Indenta"/>
        <w:rPr>
          <w:del w:id="1036" w:author="Master Repository Process" w:date="2025-06-09T09:56:00Z"/>
        </w:rPr>
      </w:pPr>
      <w:r>
        <w:tab/>
        <w:t>(a)</w:t>
      </w:r>
      <w:r>
        <w:tab/>
      </w:r>
      <w:del w:id="1037" w:author="Master Repository Process" w:date="2025-06-09T09:56:00Z">
        <w:r>
          <w:delText xml:space="preserve">at the time </w:delText>
        </w:r>
      </w:del>
      <w:r>
        <w:t xml:space="preserve">when the acquisition occurs, the residential landholder or a linked entity in respect of the landholder is entitled to a parcel of land </w:t>
      </w:r>
      <w:del w:id="1038" w:author="Master Repository Process" w:date="2025-06-09T09:56:00Z">
        <w:r>
          <w:delText>that is vacant or substantially vacant; and</w:delText>
        </w:r>
      </w:del>
    </w:p>
    <w:p>
      <w:pPr>
        <w:pStyle w:val="Indenta"/>
      </w:pPr>
      <w:del w:id="1039" w:author="Master Repository Process" w:date="2025-06-09T09:56:00Z">
        <w:r>
          <w:tab/>
          <w:delText>(b)</w:delText>
        </w:r>
        <w:r>
          <w:tab/>
        </w:r>
      </w:del>
      <w:ins w:id="1040" w:author="Master Repository Process" w:date="2025-06-09T09:56:00Z">
        <w:r>
          <w:t xml:space="preserve">and </w:t>
        </w:r>
      </w:ins>
      <w:r>
        <w:t>the landholder, linked entity or an associate of the landholder intends to subdivide or complete subdividing the parcel of land for the purpose of a person constructing 10 or more dwellings on the land; and</w:t>
      </w:r>
    </w:p>
    <w:p>
      <w:pPr>
        <w:pStyle w:val="Ednotepara"/>
        <w:rPr>
          <w:ins w:id="1041" w:author="Master Repository Process" w:date="2025-06-09T09:56:00Z"/>
        </w:rPr>
      </w:pPr>
      <w:ins w:id="1042" w:author="Master Repository Process" w:date="2025-06-09T09:56:00Z">
        <w:r>
          <w:tab/>
          <w:t>[(b)</w:t>
        </w:r>
        <w:r>
          <w:tab/>
          <w:t>deleted]</w:t>
        </w:r>
      </w:ins>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keepNext/>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w:t>
      </w:r>
      <w:ins w:id="1043" w:author="Master Repository Process" w:date="2025-06-09T09:56:00Z">
        <w:r>
          <w:t>; No. 29 of 2023 s. 7</w:t>
        </w:r>
      </w:ins>
      <w:r>
        <w:t>.]</w:t>
      </w:r>
    </w:p>
    <w:p>
      <w:pPr>
        <w:pStyle w:val="Heading5"/>
      </w:pPr>
      <w:bookmarkStart w:id="1044" w:name="_Toc161401460"/>
      <w:bookmarkStart w:id="1045" w:name="_Toc154753957"/>
      <w:r>
        <w:rPr>
          <w:rStyle w:val="CharSectno"/>
        </w:rPr>
        <w:t>205ZQ</w:t>
      </w:r>
      <w:r>
        <w:t>.</w:t>
      </w:r>
      <w:r>
        <w:tab/>
        <w:t>Calculation of duty where some land of landholder not part of parcel of land</w:t>
      </w:r>
      <w:bookmarkEnd w:id="1044"/>
      <w:bookmarkEnd w:id="1045"/>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rPr>
          <w:sz w:val="26"/>
          <w:szCs w:val="26"/>
        </w:rPr>
      </w:pPr>
      <w:bookmarkStart w:id="1046" w:name="_Toc161400803"/>
      <w:bookmarkStart w:id="1047" w:name="_Toc161401461"/>
      <w:bookmarkStart w:id="1048" w:name="_Toc154753958"/>
      <w:r>
        <w:rPr>
          <w:sz w:val="26"/>
          <w:szCs w:val="26"/>
        </w:rPr>
        <w:t>Subdivision 3 — Reassessment</w:t>
      </w:r>
      <w:bookmarkEnd w:id="1046"/>
      <w:bookmarkEnd w:id="1047"/>
      <w:bookmarkEnd w:id="1048"/>
    </w:p>
    <w:p>
      <w:pPr>
        <w:pStyle w:val="Footnoteheading"/>
        <w:keepNext/>
      </w:pPr>
      <w:r>
        <w:tab/>
        <w:t>[Heading inserted: No. 24 of 2018 s. 8.]</w:t>
      </w:r>
    </w:p>
    <w:p>
      <w:pPr>
        <w:pStyle w:val="Heading5"/>
      </w:pPr>
      <w:bookmarkStart w:id="1049" w:name="_Toc161401462"/>
      <w:bookmarkStart w:id="1050" w:name="_Toc154753959"/>
      <w:r>
        <w:rPr>
          <w:rStyle w:val="CharSectno"/>
        </w:rPr>
        <w:t>205ZR</w:t>
      </w:r>
      <w:r>
        <w:t>.</w:t>
      </w:r>
      <w:r>
        <w:tab/>
        <w:t>Reassessment</w:t>
      </w:r>
      <w:bookmarkEnd w:id="1049"/>
      <w:bookmarkEnd w:id="1050"/>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rPr>
          <w:sz w:val="26"/>
          <w:szCs w:val="26"/>
        </w:rPr>
      </w:pPr>
      <w:bookmarkStart w:id="1051" w:name="_Toc161400805"/>
      <w:bookmarkStart w:id="1052" w:name="_Toc161401463"/>
      <w:bookmarkStart w:id="1053" w:name="_Toc154753960"/>
      <w:r>
        <w:rPr>
          <w:sz w:val="26"/>
          <w:szCs w:val="26"/>
        </w:rPr>
        <w:t>Division 9 — Lodgment of declaration</w:t>
      </w:r>
      <w:bookmarkEnd w:id="1051"/>
      <w:bookmarkEnd w:id="1052"/>
      <w:bookmarkEnd w:id="1053"/>
    </w:p>
    <w:p>
      <w:pPr>
        <w:pStyle w:val="Footnoteheading"/>
      </w:pPr>
      <w:r>
        <w:tab/>
        <w:t>[Heading inserted: No. 24 of 2018 s. 8.]</w:t>
      </w:r>
    </w:p>
    <w:p>
      <w:pPr>
        <w:pStyle w:val="Heading5"/>
      </w:pPr>
      <w:bookmarkStart w:id="1054" w:name="_Toc161401464"/>
      <w:bookmarkStart w:id="1055" w:name="_Toc154753961"/>
      <w:r>
        <w:rPr>
          <w:rStyle w:val="CharSectno"/>
        </w:rPr>
        <w:t>205ZS</w:t>
      </w:r>
      <w:r>
        <w:t>.</w:t>
      </w:r>
      <w:r>
        <w:tab/>
        <w:t>Foreign landholder duty declaration to be lodged</w:t>
      </w:r>
      <w:bookmarkEnd w:id="1054"/>
      <w:bookmarkEnd w:id="1055"/>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1056" w:name="_Toc161401465"/>
      <w:bookmarkStart w:id="1057" w:name="_Toc154753962"/>
      <w:r>
        <w:rPr>
          <w:rStyle w:val="CharSectno"/>
        </w:rPr>
        <w:t>205ZT</w:t>
      </w:r>
      <w:r>
        <w:t>.</w:t>
      </w:r>
      <w:r>
        <w:tab/>
        <w:t>Failure to lodge foreign landholder duty declaration</w:t>
      </w:r>
      <w:bookmarkEnd w:id="1056"/>
      <w:bookmarkEnd w:id="1057"/>
    </w:p>
    <w:p>
      <w:pPr>
        <w:pStyle w:val="Subsection"/>
      </w:pPr>
      <w:r>
        <w:tab/>
      </w:r>
      <w:r>
        <w:tab/>
        <w:t xml:space="preserve">If a foreign landholder duty declaration is not lodged in accordance with section 205ZS(2), the following persons commit an offence — </w:t>
      </w:r>
    </w:p>
    <w:p>
      <w:pPr>
        <w:pStyle w:val="Indenta"/>
      </w:pPr>
      <w:r>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keepNext/>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1058" w:name="_Toc161400808"/>
      <w:bookmarkStart w:id="1059" w:name="_Toc161401466"/>
      <w:bookmarkStart w:id="1060" w:name="_Toc154753963"/>
      <w:r>
        <w:rPr>
          <w:rStyle w:val="CharPartNo"/>
          <w:sz w:val="32"/>
        </w:rPr>
        <w:t>Chapter 4</w:t>
      </w:r>
      <w:r>
        <w:rPr>
          <w:sz w:val="32"/>
        </w:rPr>
        <w:t> — </w:t>
      </w:r>
      <w:r>
        <w:rPr>
          <w:rStyle w:val="CharPartText"/>
          <w:sz w:val="32"/>
        </w:rPr>
        <w:t>Insurance duty</w:t>
      </w:r>
      <w:bookmarkEnd w:id="1058"/>
      <w:bookmarkEnd w:id="1059"/>
      <w:bookmarkEnd w:id="1060"/>
    </w:p>
    <w:p>
      <w:pPr>
        <w:pStyle w:val="Heading3"/>
        <w:rPr>
          <w:sz w:val="28"/>
        </w:rPr>
      </w:pPr>
      <w:bookmarkStart w:id="1061" w:name="_Toc161400809"/>
      <w:bookmarkStart w:id="1062" w:name="_Toc161401467"/>
      <w:bookmarkStart w:id="1063" w:name="_Toc154753964"/>
      <w:r>
        <w:rPr>
          <w:rStyle w:val="CharDivNo"/>
          <w:sz w:val="28"/>
        </w:rPr>
        <w:t>Part 1</w:t>
      </w:r>
      <w:r>
        <w:rPr>
          <w:sz w:val="28"/>
        </w:rPr>
        <w:t> — </w:t>
      </w:r>
      <w:r>
        <w:rPr>
          <w:rStyle w:val="CharDivText"/>
          <w:sz w:val="28"/>
        </w:rPr>
        <w:t>Preliminary</w:t>
      </w:r>
      <w:bookmarkEnd w:id="1061"/>
      <w:bookmarkEnd w:id="1062"/>
      <w:bookmarkEnd w:id="1063"/>
    </w:p>
    <w:p>
      <w:pPr>
        <w:pStyle w:val="Heading5"/>
      </w:pPr>
      <w:bookmarkStart w:id="1064" w:name="_Toc161401468"/>
      <w:bookmarkStart w:id="1065" w:name="_Toc154753965"/>
      <w:r>
        <w:rPr>
          <w:rStyle w:val="CharSectno"/>
        </w:rPr>
        <w:t>206</w:t>
      </w:r>
      <w:r>
        <w:t>.</w:t>
      </w:r>
      <w:r>
        <w:tab/>
        <w:t>Terms used</w:t>
      </w:r>
      <w:bookmarkEnd w:id="1064"/>
      <w:bookmarkEnd w:id="1065"/>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1066" w:name="_Toc161400811"/>
      <w:bookmarkStart w:id="1067" w:name="_Toc161401469"/>
      <w:bookmarkStart w:id="1068" w:name="_Toc154753966"/>
      <w:r>
        <w:rPr>
          <w:rStyle w:val="CharDivNo"/>
          <w:sz w:val="28"/>
        </w:rPr>
        <w:t>Part 2</w:t>
      </w:r>
      <w:r>
        <w:rPr>
          <w:sz w:val="28"/>
        </w:rPr>
        <w:t> — </w:t>
      </w:r>
      <w:r>
        <w:rPr>
          <w:rStyle w:val="CharDivText"/>
          <w:sz w:val="28"/>
        </w:rPr>
        <w:t>Imposition of insurance duty</w:t>
      </w:r>
      <w:bookmarkEnd w:id="1066"/>
      <w:bookmarkEnd w:id="1067"/>
      <w:bookmarkEnd w:id="1068"/>
    </w:p>
    <w:p>
      <w:pPr>
        <w:pStyle w:val="Heading5"/>
        <w:spacing w:before="240"/>
      </w:pPr>
      <w:bookmarkStart w:id="1069" w:name="_Toc161401470"/>
      <w:bookmarkStart w:id="1070" w:name="_Toc154753967"/>
      <w:r>
        <w:rPr>
          <w:rStyle w:val="CharSectno"/>
        </w:rPr>
        <w:t>207</w:t>
      </w:r>
      <w:r>
        <w:t>.</w:t>
      </w:r>
      <w:r>
        <w:tab/>
        <w:t>Insurance duty imposed</w:t>
      </w:r>
      <w:bookmarkEnd w:id="1069"/>
      <w:bookmarkEnd w:id="1070"/>
    </w:p>
    <w:p>
      <w:pPr>
        <w:pStyle w:val="Subsection"/>
      </w:pPr>
      <w:r>
        <w:tab/>
      </w:r>
      <w:r>
        <w:tab/>
        <w:t>Duty is imposed on the premium paid in relation to a contract of insurance.</w:t>
      </w:r>
    </w:p>
    <w:p>
      <w:pPr>
        <w:pStyle w:val="Heading5"/>
        <w:spacing w:before="240"/>
      </w:pPr>
      <w:bookmarkStart w:id="1071" w:name="_Toc161401471"/>
      <w:bookmarkStart w:id="1072" w:name="_Toc154753968"/>
      <w:r>
        <w:rPr>
          <w:rStyle w:val="CharSectno"/>
        </w:rPr>
        <w:t>208</w:t>
      </w:r>
      <w:r>
        <w:t>.</w:t>
      </w:r>
      <w:r>
        <w:tab/>
        <w:t>Contract of insurance</w:t>
      </w:r>
      <w:bookmarkEnd w:id="1071"/>
      <w:bookmarkEnd w:id="1072"/>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1073" w:name="_Toc161401472"/>
      <w:bookmarkStart w:id="1074" w:name="_Toc154753969"/>
      <w:r>
        <w:rPr>
          <w:rStyle w:val="CharSectno"/>
        </w:rPr>
        <w:t>209</w:t>
      </w:r>
      <w:r>
        <w:t>.</w:t>
      </w:r>
      <w:r>
        <w:tab/>
        <w:t>General insurance</w:t>
      </w:r>
      <w:bookmarkEnd w:id="1073"/>
      <w:bookmarkEnd w:id="1074"/>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keepNext/>
        <w:tabs>
          <w:tab w:val="left" w:pos="4536"/>
        </w:tabs>
        <w:spacing w:before="120"/>
      </w:pPr>
      <w:r>
        <w:tab/>
        <w:t>(2)</w:t>
      </w:r>
      <w:r>
        <w:tab/>
      </w:r>
      <w:r>
        <w:rPr>
          <w:rStyle w:val="CharDefText"/>
        </w:rPr>
        <w:t>General insurance</w:t>
      </w:r>
      <w:r>
        <w:rPr>
          <w:b/>
        </w:rPr>
        <w:t xml:space="preserve"> </w:t>
      </w:r>
      <w:r>
        <w:t>does not include any of the following —</w:t>
      </w:r>
    </w:p>
    <w:p>
      <w:pPr>
        <w:pStyle w:val="Indenta"/>
        <w:keepNext/>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075" w:name="_Toc161401473"/>
      <w:bookmarkStart w:id="1076" w:name="_Toc154753970"/>
      <w:r>
        <w:rPr>
          <w:rStyle w:val="CharSectno"/>
        </w:rPr>
        <w:t>210</w:t>
      </w:r>
      <w:r>
        <w:t>.</w:t>
      </w:r>
      <w:r>
        <w:tab/>
        <w:t>Additional insurance in life insurance policy is general insurance</w:t>
      </w:r>
      <w:bookmarkEnd w:id="1075"/>
      <w:bookmarkEnd w:id="1076"/>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1077" w:name="_Toc161401474"/>
      <w:bookmarkStart w:id="1078" w:name="_Toc154753971"/>
      <w:r>
        <w:rPr>
          <w:rStyle w:val="CharSectno"/>
        </w:rPr>
        <w:t>211</w:t>
      </w:r>
      <w:r>
        <w:t>.</w:t>
      </w:r>
      <w:r>
        <w:tab/>
        <w:t>Premium</w:t>
      </w:r>
      <w:bookmarkEnd w:id="1077"/>
      <w:bookmarkEnd w:id="1078"/>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1079" w:name="_Toc161401475"/>
      <w:bookmarkStart w:id="1080" w:name="_Toc154753972"/>
      <w:r>
        <w:rPr>
          <w:rStyle w:val="CharSectno"/>
        </w:rPr>
        <w:t>212</w:t>
      </w:r>
      <w:r>
        <w:t>.</w:t>
      </w:r>
      <w:r>
        <w:tab/>
        <w:t>When premium paid</w:t>
      </w:r>
      <w:bookmarkEnd w:id="1079"/>
      <w:bookmarkEnd w:id="1080"/>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1081" w:name="_Toc161400818"/>
      <w:bookmarkStart w:id="1082" w:name="_Toc161401476"/>
      <w:bookmarkStart w:id="1083" w:name="_Toc154753973"/>
      <w:r>
        <w:rPr>
          <w:rStyle w:val="CharDivNo"/>
          <w:sz w:val="28"/>
        </w:rPr>
        <w:t>Part 3</w:t>
      </w:r>
      <w:r>
        <w:rPr>
          <w:sz w:val="28"/>
        </w:rPr>
        <w:t> — </w:t>
      </w:r>
      <w:r>
        <w:rPr>
          <w:rStyle w:val="CharDivText"/>
          <w:sz w:val="28"/>
        </w:rPr>
        <w:t>Collection of insurance duty</w:t>
      </w:r>
      <w:bookmarkEnd w:id="1081"/>
      <w:bookmarkEnd w:id="1082"/>
      <w:bookmarkEnd w:id="1083"/>
    </w:p>
    <w:p>
      <w:pPr>
        <w:pStyle w:val="Heading4"/>
        <w:rPr>
          <w:sz w:val="26"/>
        </w:rPr>
      </w:pPr>
      <w:bookmarkStart w:id="1084" w:name="_Toc161400819"/>
      <w:bookmarkStart w:id="1085" w:name="_Toc161401477"/>
      <w:bookmarkStart w:id="1086" w:name="_Toc154753974"/>
      <w:r>
        <w:rPr>
          <w:sz w:val="26"/>
        </w:rPr>
        <w:t>Division 1 — Liability</w:t>
      </w:r>
      <w:bookmarkEnd w:id="1084"/>
      <w:bookmarkEnd w:id="1085"/>
      <w:bookmarkEnd w:id="1086"/>
    </w:p>
    <w:p>
      <w:pPr>
        <w:pStyle w:val="Heading5"/>
      </w:pPr>
      <w:bookmarkStart w:id="1087" w:name="_Toc161401478"/>
      <w:bookmarkStart w:id="1088" w:name="_Toc154753975"/>
      <w:r>
        <w:rPr>
          <w:rStyle w:val="CharSectno"/>
        </w:rPr>
        <w:t>213</w:t>
      </w:r>
      <w:r>
        <w:t>.</w:t>
      </w:r>
      <w:r>
        <w:tab/>
        <w:t>Who is liable to pay duty</w:t>
      </w:r>
      <w:bookmarkEnd w:id="1087"/>
      <w:bookmarkEnd w:id="1088"/>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1089" w:name="_Toc161401479"/>
      <w:bookmarkStart w:id="1090" w:name="_Toc154753976"/>
      <w:r>
        <w:rPr>
          <w:rStyle w:val="CharSectno"/>
        </w:rPr>
        <w:t>214</w:t>
      </w:r>
      <w:r>
        <w:t>.</w:t>
      </w:r>
      <w:r>
        <w:tab/>
        <w:t>General insurer</w:t>
      </w:r>
      <w:bookmarkEnd w:id="1089"/>
      <w:bookmarkEnd w:id="1090"/>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1091" w:name="_Toc161400822"/>
      <w:bookmarkStart w:id="1092" w:name="_Toc161401480"/>
      <w:bookmarkStart w:id="1093" w:name="_Toc154753977"/>
      <w:r>
        <w:rPr>
          <w:sz w:val="26"/>
        </w:rPr>
        <w:t>Division 2 — Amount of insurance duty</w:t>
      </w:r>
      <w:bookmarkEnd w:id="1091"/>
      <w:bookmarkEnd w:id="1092"/>
      <w:bookmarkEnd w:id="1093"/>
    </w:p>
    <w:p>
      <w:pPr>
        <w:pStyle w:val="Heading5"/>
        <w:spacing w:before="180"/>
      </w:pPr>
      <w:bookmarkStart w:id="1094" w:name="_Toc161401481"/>
      <w:bookmarkStart w:id="1095" w:name="_Toc154753978"/>
      <w:r>
        <w:rPr>
          <w:rStyle w:val="CharSectno"/>
        </w:rPr>
        <w:t>215</w:t>
      </w:r>
      <w:r>
        <w:t>.</w:t>
      </w:r>
      <w:r>
        <w:tab/>
        <w:t>Amount of duty payable</w:t>
      </w:r>
      <w:bookmarkEnd w:id="1094"/>
      <w:bookmarkEnd w:id="1095"/>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1096" w:name="_Toc161401482"/>
      <w:bookmarkStart w:id="1097" w:name="_Toc154753979"/>
      <w:r>
        <w:rPr>
          <w:rStyle w:val="CharSectno"/>
        </w:rPr>
        <w:t>216</w:t>
      </w:r>
      <w:r>
        <w:t>.</w:t>
      </w:r>
      <w:r>
        <w:tab/>
        <w:t>Policies effecting general insurance and other insurance, duty on</w:t>
      </w:r>
      <w:bookmarkEnd w:id="1096"/>
      <w:bookmarkEnd w:id="1097"/>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1098" w:name="_Toc161400825"/>
      <w:bookmarkStart w:id="1099" w:name="_Toc161401483"/>
      <w:bookmarkStart w:id="1100" w:name="_Toc154753980"/>
      <w:r>
        <w:rPr>
          <w:sz w:val="26"/>
        </w:rPr>
        <w:t>Division 3 — Insurers</w:t>
      </w:r>
      <w:bookmarkEnd w:id="1098"/>
      <w:bookmarkEnd w:id="1099"/>
      <w:bookmarkEnd w:id="1100"/>
    </w:p>
    <w:p>
      <w:pPr>
        <w:pStyle w:val="Heading5"/>
      </w:pPr>
      <w:bookmarkStart w:id="1101" w:name="_Toc161401484"/>
      <w:bookmarkStart w:id="1102" w:name="_Toc154753981"/>
      <w:r>
        <w:rPr>
          <w:rStyle w:val="CharSectno"/>
        </w:rPr>
        <w:t>217</w:t>
      </w:r>
      <w:r>
        <w:t>.</w:t>
      </w:r>
      <w:r>
        <w:tab/>
        <w:t>General insurers to apply to be registered</w:t>
      </w:r>
      <w:bookmarkEnd w:id="1101"/>
      <w:bookmarkEnd w:id="1102"/>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1103" w:name="_Toc161401485"/>
      <w:bookmarkStart w:id="1104" w:name="_Toc154753982"/>
      <w:r>
        <w:rPr>
          <w:rStyle w:val="CharSectno"/>
        </w:rPr>
        <w:t>218</w:t>
      </w:r>
      <w:r>
        <w:t>.</w:t>
      </w:r>
      <w:r>
        <w:tab/>
        <w:t>Registration of general insurers</w:t>
      </w:r>
      <w:bookmarkEnd w:id="1103"/>
      <w:bookmarkEnd w:id="1104"/>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1105" w:name="_Toc161401486"/>
      <w:bookmarkStart w:id="1106" w:name="_Toc154753983"/>
      <w:r>
        <w:rPr>
          <w:rStyle w:val="CharSectno"/>
        </w:rPr>
        <w:t>219</w:t>
      </w:r>
      <w:r>
        <w:t>.</w:t>
      </w:r>
      <w:r>
        <w:tab/>
        <w:t>Return period of registered insurer</w:t>
      </w:r>
      <w:bookmarkEnd w:id="1105"/>
      <w:bookmarkEnd w:id="1106"/>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1107" w:name="_Toc161401487"/>
      <w:bookmarkStart w:id="1108" w:name="_Toc154753984"/>
      <w:r>
        <w:rPr>
          <w:rStyle w:val="CharSectno"/>
        </w:rPr>
        <w:t>220</w:t>
      </w:r>
      <w:r>
        <w:t>.</w:t>
      </w:r>
      <w:r>
        <w:tab/>
        <w:t>Registered insurers to lodge returns</w:t>
      </w:r>
      <w:bookmarkEnd w:id="1107"/>
      <w:bookmarkEnd w:id="1108"/>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109" w:name="_Toc161401488"/>
      <w:bookmarkStart w:id="1110" w:name="_Toc154753985"/>
      <w:r>
        <w:rPr>
          <w:rStyle w:val="CharSectno"/>
        </w:rPr>
        <w:t>221</w:t>
      </w:r>
      <w:r>
        <w:t>.</w:t>
      </w:r>
      <w:r>
        <w:tab/>
        <w:t>Time for payment of duty by insurers</w:t>
      </w:r>
      <w:bookmarkEnd w:id="1109"/>
      <w:bookmarkEnd w:id="1110"/>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111" w:name="_Toc161401489"/>
      <w:bookmarkStart w:id="1112" w:name="_Toc154753986"/>
      <w:r>
        <w:rPr>
          <w:rStyle w:val="CharSectno"/>
        </w:rPr>
        <w:t>222</w:t>
      </w:r>
      <w:r>
        <w:t>.</w:t>
      </w:r>
      <w:r>
        <w:tab/>
        <w:t>Cancelling registration of general insurers</w:t>
      </w:r>
      <w:bookmarkEnd w:id="1111"/>
      <w:bookmarkEnd w:id="1112"/>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1113" w:name="_Toc161400832"/>
      <w:bookmarkStart w:id="1114" w:name="_Toc161401490"/>
      <w:bookmarkStart w:id="1115" w:name="_Toc154753987"/>
      <w:r>
        <w:rPr>
          <w:sz w:val="26"/>
        </w:rPr>
        <w:t>Division 4 — Insured persons</w:t>
      </w:r>
      <w:bookmarkEnd w:id="1113"/>
      <w:bookmarkEnd w:id="1114"/>
      <w:bookmarkEnd w:id="1115"/>
    </w:p>
    <w:p>
      <w:pPr>
        <w:pStyle w:val="Heading5"/>
        <w:spacing w:before="240"/>
      </w:pPr>
      <w:bookmarkStart w:id="1116" w:name="_Toc161401491"/>
      <w:bookmarkStart w:id="1117" w:name="_Toc154753988"/>
      <w:r>
        <w:rPr>
          <w:rStyle w:val="CharSectno"/>
        </w:rPr>
        <w:t>223</w:t>
      </w:r>
      <w:r>
        <w:t>.</w:t>
      </w:r>
      <w:r>
        <w:tab/>
        <w:t>Some insured persons to lodge statements</w:t>
      </w:r>
      <w:bookmarkEnd w:id="1116"/>
      <w:bookmarkEnd w:id="1117"/>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1118" w:name="_Toc161401492"/>
      <w:bookmarkStart w:id="1119" w:name="_Toc154753989"/>
      <w:r>
        <w:rPr>
          <w:rStyle w:val="CharSectno"/>
        </w:rPr>
        <w:t>224</w:t>
      </w:r>
      <w:r>
        <w:t>.</w:t>
      </w:r>
      <w:r>
        <w:tab/>
        <w:t>Time for payment of duty by insured persons</w:t>
      </w:r>
      <w:bookmarkEnd w:id="1118"/>
      <w:bookmarkEnd w:id="1119"/>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1120" w:name="_Toc161400835"/>
      <w:bookmarkStart w:id="1121" w:name="_Toc161401493"/>
      <w:bookmarkStart w:id="1122" w:name="_Toc154753990"/>
      <w:r>
        <w:rPr>
          <w:rStyle w:val="CharDivNo"/>
          <w:sz w:val="28"/>
        </w:rPr>
        <w:t>Part 4</w:t>
      </w:r>
      <w:r>
        <w:rPr>
          <w:sz w:val="28"/>
        </w:rPr>
        <w:t> — </w:t>
      </w:r>
      <w:r>
        <w:rPr>
          <w:rStyle w:val="CharDivText"/>
          <w:sz w:val="28"/>
        </w:rPr>
        <w:t>General provisions as to insurance duty</w:t>
      </w:r>
      <w:bookmarkEnd w:id="1120"/>
      <w:bookmarkEnd w:id="1121"/>
      <w:bookmarkEnd w:id="1122"/>
    </w:p>
    <w:p>
      <w:pPr>
        <w:pStyle w:val="Heading5"/>
        <w:spacing w:before="180"/>
      </w:pPr>
      <w:bookmarkStart w:id="1123" w:name="_Toc161401494"/>
      <w:bookmarkStart w:id="1124" w:name="_Toc154753991"/>
      <w:r>
        <w:rPr>
          <w:rStyle w:val="CharSectno"/>
        </w:rPr>
        <w:t>225</w:t>
      </w:r>
      <w:r>
        <w:t>.</w:t>
      </w:r>
      <w:r>
        <w:tab/>
        <w:t>Insurer and intermediary to notify Commissioner of contracts of insurance</w:t>
      </w:r>
      <w:bookmarkEnd w:id="1123"/>
      <w:bookmarkEnd w:id="1124"/>
    </w:p>
    <w:p>
      <w:pPr>
        <w:pStyle w:val="Subsection"/>
        <w:keepNext/>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1125" w:name="_Toc161401495"/>
      <w:bookmarkStart w:id="1126" w:name="_Toc154753992"/>
      <w:r>
        <w:rPr>
          <w:rStyle w:val="CharSectno"/>
        </w:rPr>
        <w:t>226</w:t>
      </w:r>
      <w:r>
        <w:t>.</w:t>
      </w:r>
      <w:r>
        <w:tab/>
        <w:t>Refunds of duty if premium refunded</w:t>
      </w:r>
      <w:bookmarkEnd w:id="1125"/>
      <w:bookmarkEnd w:id="1126"/>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1127" w:name="_Toc161401496"/>
      <w:bookmarkStart w:id="1128" w:name="_Toc154753993"/>
      <w:r>
        <w:rPr>
          <w:rStyle w:val="CharSectno"/>
        </w:rPr>
        <w:t>227</w:t>
      </w:r>
      <w:r>
        <w:t>.</w:t>
      </w:r>
      <w:r>
        <w:tab/>
        <w:t>Records to be kept</w:t>
      </w:r>
      <w:bookmarkEnd w:id="1127"/>
      <w:bookmarkEnd w:id="1128"/>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keepNext/>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1129" w:name="_Toc161400839"/>
      <w:bookmarkStart w:id="1130" w:name="_Toc161401497"/>
      <w:bookmarkStart w:id="1131" w:name="_Toc154753994"/>
      <w:r>
        <w:rPr>
          <w:rStyle w:val="CharPartNo"/>
          <w:sz w:val="32"/>
        </w:rPr>
        <w:t>Chapter 5</w:t>
      </w:r>
      <w:r>
        <w:rPr>
          <w:sz w:val="32"/>
        </w:rPr>
        <w:t> — </w:t>
      </w:r>
      <w:r>
        <w:rPr>
          <w:rStyle w:val="CharPartText"/>
          <w:sz w:val="32"/>
        </w:rPr>
        <w:t>Vehicle licence duty</w:t>
      </w:r>
      <w:bookmarkEnd w:id="1129"/>
      <w:bookmarkEnd w:id="1130"/>
      <w:bookmarkEnd w:id="1131"/>
    </w:p>
    <w:p>
      <w:pPr>
        <w:pStyle w:val="Heading3"/>
        <w:rPr>
          <w:sz w:val="28"/>
        </w:rPr>
      </w:pPr>
      <w:bookmarkStart w:id="1132" w:name="_Toc161400840"/>
      <w:bookmarkStart w:id="1133" w:name="_Toc161401498"/>
      <w:bookmarkStart w:id="1134" w:name="_Toc154753995"/>
      <w:r>
        <w:rPr>
          <w:rStyle w:val="CharDivNo"/>
          <w:sz w:val="28"/>
        </w:rPr>
        <w:t>Part 1</w:t>
      </w:r>
      <w:r>
        <w:rPr>
          <w:sz w:val="28"/>
        </w:rPr>
        <w:t> — </w:t>
      </w:r>
      <w:r>
        <w:rPr>
          <w:rStyle w:val="CharDivText"/>
          <w:sz w:val="28"/>
        </w:rPr>
        <w:t>Preliminary</w:t>
      </w:r>
      <w:bookmarkEnd w:id="1132"/>
      <w:bookmarkEnd w:id="1133"/>
      <w:bookmarkEnd w:id="1134"/>
    </w:p>
    <w:p>
      <w:pPr>
        <w:pStyle w:val="Heading5"/>
        <w:rPr>
          <w:sz w:val="32"/>
        </w:rPr>
      </w:pPr>
      <w:bookmarkStart w:id="1135" w:name="_Toc161401499"/>
      <w:bookmarkStart w:id="1136" w:name="_Toc154753996"/>
      <w:r>
        <w:rPr>
          <w:rStyle w:val="CharSectno"/>
        </w:rPr>
        <w:t>228</w:t>
      </w:r>
      <w:r>
        <w:t>.</w:t>
      </w:r>
      <w:r>
        <w:tab/>
        <w:t>Terms used</w:t>
      </w:r>
      <w:bookmarkEnd w:id="1135"/>
      <w:bookmarkEnd w:id="1136"/>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keepNex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246(1)(a) or (3)(a) or 247(1)(a), other than a vehicle that has been used for a purpose referred to in section 246(1)(a)(ii) or (3)(a) or 247(1)(a)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keepNex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 No. 16 of 2022 s. 7.]</w:t>
      </w:r>
    </w:p>
    <w:p>
      <w:pPr>
        <w:pStyle w:val="Heading3"/>
        <w:rPr>
          <w:sz w:val="28"/>
        </w:rPr>
      </w:pPr>
      <w:bookmarkStart w:id="1137" w:name="_Toc161400842"/>
      <w:bookmarkStart w:id="1138" w:name="_Toc161401500"/>
      <w:bookmarkStart w:id="1139" w:name="_Toc154753997"/>
      <w:r>
        <w:rPr>
          <w:rStyle w:val="CharDivNo"/>
          <w:sz w:val="28"/>
        </w:rPr>
        <w:t>Part 2</w:t>
      </w:r>
      <w:r>
        <w:rPr>
          <w:sz w:val="28"/>
        </w:rPr>
        <w:t> — </w:t>
      </w:r>
      <w:r>
        <w:rPr>
          <w:rStyle w:val="CharDivText"/>
          <w:sz w:val="28"/>
        </w:rPr>
        <w:t>Imposition of vehicle licence duty</w:t>
      </w:r>
      <w:bookmarkEnd w:id="1137"/>
      <w:bookmarkEnd w:id="1138"/>
      <w:bookmarkEnd w:id="1139"/>
    </w:p>
    <w:p>
      <w:pPr>
        <w:pStyle w:val="Heading5"/>
      </w:pPr>
      <w:bookmarkStart w:id="1140" w:name="_Toc161401501"/>
      <w:bookmarkStart w:id="1141" w:name="_Toc154753998"/>
      <w:r>
        <w:rPr>
          <w:rStyle w:val="CharSectno"/>
        </w:rPr>
        <w:t>229</w:t>
      </w:r>
      <w:r>
        <w:t>.</w:t>
      </w:r>
      <w:r>
        <w:tab/>
        <w:t>Vehicle licence duty imposed</w:t>
      </w:r>
      <w:bookmarkEnd w:id="1140"/>
      <w:bookmarkEnd w:id="1141"/>
    </w:p>
    <w:p>
      <w:pPr>
        <w:pStyle w:val="Subsection"/>
      </w:pPr>
      <w:r>
        <w:tab/>
      </w:r>
      <w:r>
        <w:tab/>
        <w:t>Duty is imposed on the grant or transfer of a licence for a vehicle.</w:t>
      </w:r>
    </w:p>
    <w:p>
      <w:pPr>
        <w:pStyle w:val="Heading5"/>
      </w:pPr>
      <w:bookmarkStart w:id="1142" w:name="_Toc161401502"/>
      <w:bookmarkStart w:id="1143" w:name="_Toc154753999"/>
      <w:r>
        <w:rPr>
          <w:rStyle w:val="CharSectno"/>
        </w:rPr>
        <w:t>230</w:t>
      </w:r>
      <w:r>
        <w:t>.</w:t>
      </w:r>
      <w:r>
        <w:tab/>
        <w:t>Vehicle and licence</w:t>
      </w:r>
      <w:bookmarkEnd w:id="1142"/>
      <w:bookmarkEnd w:id="1143"/>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keepNext/>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1144" w:name="_Toc161400845"/>
      <w:bookmarkStart w:id="1145" w:name="_Toc161401503"/>
      <w:bookmarkStart w:id="1146" w:name="_Toc154754000"/>
      <w:r>
        <w:rPr>
          <w:rStyle w:val="CharDivNo"/>
          <w:sz w:val="28"/>
        </w:rPr>
        <w:t>Part 3</w:t>
      </w:r>
      <w:r>
        <w:rPr>
          <w:sz w:val="28"/>
        </w:rPr>
        <w:t> — </w:t>
      </w:r>
      <w:r>
        <w:rPr>
          <w:rStyle w:val="CharDivText"/>
          <w:sz w:val="28"/>
        </w:rPr>
        <w:t>Collection of vehicle licence duty</w:t>
      </w:r>
      <w:bookmarkEnd w:id="1144"/>
      <w:bookmarkEnd w:id="1145"/>
      <w:bookmarkEnd w:id="1146"/>
    </w:p>
    <w:p>
      <w:pPr>
        <w:pStyle w:val="Heading4"/>
        <w:rPr>
          <w:sz w:val="26"/>
        </w:rPr>
      </w:pPr>
      <w:bookmarkStart w:id="1147" w:name="_Toc161400846"/>
      <w:bookmarkStart w:id="1148" w:name="_Toc161401504"/>
      <w:bookmarkStart w:id="1149" w:name="_Toc154754001"/>
      <w:r>
        <w:rPr>
          <w:sz w:val="26"/>
        </w:rPr>
        <w:t>Division 1 — Preliminary</w:t>
      </w:r>
      <w:bookmarkEnd w:id="1147"/>
      <w:bookmarkEnd w:id="1148"/>
      <w:bookmarkEnd w:id="1149"/>
    </w:p>
    <w:p>
      <w:pPr>
        <w:pStyle w:val="Heading5"/>
      </w:pPr>
      <w:bookmarkStart w:id="1150" w:name="_Toc161401505"/>
      <w:bookmarkStart w:id="1151" w:name="_Toc154754002"/>
      <w:r>
        <w:rPr>
          <w:rStyle w:val="CharSectno"/>
        </w:rPr>
        <w:t>231</w:t>
      </w:r>
      <w:r>
        <w:t>.</w:t>
      </w:r>
      <w:r>
        <w:tab/>
        <w:t>Terms used</w:t>
      </w:r>
      <w:bookmarkEnd w:id="1150"/>
      <w:bookmarkEnd w:id="1151"/>
    </w:p>
    <w:p>
      <w:pPr>
        <w:pStyle w:val="Subsection"/>
        <w:keepNext/>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keepNex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keepNex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keepNex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152" w:name="_Toc161400848"/>
      <w:bookmarkStart w:id="1153" w:name="_Toc161401506"/>
      <w:bookmarkStart w:id="1154" w:name="_Toc154754003"/>
      <w:r>
        <w:rPr>
          <w:sz w:val="26"/>
        </w:rPr>
        <w:t>Division 2 — Liability</w:t>
      </w:r>
      <w:bookmarkEnd w:id="1152"/>
      <w:bookmarkEnd w:id="1153"/>
      <w:bookmarkEnd w:id="1154"/>
    </w:p>
    <w:p>
      <w:pPr>
        <w:pStyle w:val="Heading5"/>
        <w:ind w:left="0" w:firstLine="0"/>
      </w:pPr>
      <w:bookmarkStart w:id="1155" w:name="_Toc161401507"/>
      <w:bookmarkStart w:id="1156" w:name="_Toc154754004"/>
      <w:r>
        <w:rPr>
          <w:rStyle w:val="CharSectno"/>
        </w:rPr>
        <w:t>232</w:t>
      </w:r>
      <w:r>
        <w:t>.</w:t>
      </w:r>
      <w:r>
        <w:tab/>
        <w:t>Who is liable to pay duty</w:t>
      </w:r>
      <w:bookmarkEnd w:id="1155"/>
      <w:bookmarkEnd w:id="1156"/>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157" w:name="_Toc161400850"/>
      <w:bookmarkStart w:id="1158" w:name="_Toc161401508"/>
      <w:bookmarkStart w:id="1159" w:name="_Toc154754005"/>
      <w:r>
        <w:rPr>
          <w:sz w:val="26"/>
        </w:rPr>
        <w:t>Division 3 — Assessment and payment of vehicle licence duty</w:t>
      </w:r>
      <w:bookmarkEnd w:id="1157"/>
      <w:bookmarkEnd w:id="1158"/>
      <w:bookmarkEnd w:id="1159"/>
    </w:p>
    <w:p>
      <w:pPr>
        <w:pStyle w:val="Heading5"/>
      </w:pPr>
      <w:bookmarkStart w:id="1160" w:name="_Toc161401509"/>
      <w:bookmarkStart w:id="1161" w:name="_Toc154754006"/>
      <w:r>
        <w:rPr>
          <w:rStyle w:val="CharSectno"/>
        </w:rPr>
        <w:t>233</w:t>
      </w:r>
      <w:r>
        <w:t>.</w:t>
      </w:r>
      <w:r>
        <w:tab/>
        <w:t>Assessment of duty</w:t>
      </w:r>
      <w:bookmarkEnd w:id="1160"/>
      <w:bookmarkEnd w:id="1161"/>
    </w:p>
    <w:p>
      <w:pPr>
        <w:pStyle w:val="Subsection"/>
      </w:pPr>
      <w:r>
        <w:tab/>
        <w:t>(1)</w:t>
      </w:r>
      <w:r>
        <w:tab/>
        <w:t>When an application is made for the grant or transfer of a licence for a vehicle the CEO must assess the liability to duty of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keepNext/>
      </w:pPr>
      <w:r>
        <w:tab/>
        <w:t>(3)</w:t>
      </w:r>
      <w:r>
        <w:tab/>
        <w:t>An assessment made under subsection (1), or a reassessment made under section 244B(2) by the CEO, is taken to be an official assessment for the purposes of the Taxation Administration Act.</w:t>
      </w:r>
    </w:p>
    <w:p>
      <w:pPr>
        <w:pStyle w:val="Footnotesection"/>
      </w:pPr>
      <w:r>
        <w:tab/>
        <w:t>[Section 233 amended: No. 8 of 2012 s. 96; No. 16 of 2022 s. 8.]</w:t>
      </w:r>
    </w:p>
    <w:p>
      <w:pPr>
        <w:pStyle w:val="Heading5"/>
      </w:pPr>
      <w:bookmarkStart w:id="1162" w:name="_Toc161401510"/>
      <w:bookmarkStart w:id="1163" w:name="_Toc154754007"/>
      <w:r>
        <w:rPr>
          <w:rStyle w:val="CharSectno"/>
        </w:rPr>
        <w:t>234</w:t>
      </w:r>
      <w:r>
        <w:t>.</w:t>
      </w:r>
      <w:r>
        <w:tab/>
        <w:t>Applicant for licence to state dutiable value of vehicle etc.</w:t>
      </w:r>
      <w:bookmarkEnd w:id="1162"/>
      <w:bookmarkEnd w:id="1163"/>
    </w:p>
    <w:p>
      <w:pPr>
        <w:pStyle w:val="Subsection"/>
        <w:keepNext/>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keepNext/>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keepNext/>
      </w:pPr>
      <w:r>
        <w:tab/>
        <w:t>(3)</w:t>
      </w:r>
      <w:r>
        <w:tab/>
        <w:t>The applicant must comply with the requirement in subsection (2) within the period stated in the notice.</w:t>
      </w:r>
    </w:p>
    <w:p>
      <w:pPr>
        <w:pStyle w:val="Penstart"/>
      </w:pPr>
      <w:r>
        <w:tab/>
        <w:t>Penalty: a fine of $20 000.</w:t>
      </w:r>
    </w:p>
    <w:p>
      <w:pPr>
        <w:pStyle w:val="Subsection"/>
        <w:keepNext/>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keepNext/>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1164" w:name="_Toc161401511"/>
      <w:bookmarkStart w:id="1165" w:name="_Toc154754008"/>
      <w:r>
        <w:rPr>
          <w:rStyle w:val="CharSectno"/>
        </w:rPr>
        <w:t>235</w:t>
      </w:r>
      <w:r>
        <w:t>.</w:t>
      </w:r>
      <w:r>
        <w:tab/>
        <w:t>Payment of duty</w:t>
      </w:r>
      <w:bookmarkEnd w:id="1164"/>
      <w:bookmarkEnd w:id="1165"/>
    </w:p>
    <w:p>
      <w:pPr>
        <w:pStyle w:val="Subsection"/>
        <w:keepNext/>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keepNext/>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1166" w:name="_Toc161400854"/>
      <w:bookmarkStart w:id="1167" w:name="_Toc161401512"/>
      <w:bookmarkStart w:id="1168" w:name="_Toc154754009"/>
      <w:r>
        <w:rPr>
          <w:sz w:val="26"/>
        </w:rPr>
        <w:t>Division 4 — Amount of vehicle licence duty</w:t>
      </w:r>
      <w:bookmarkEnd w:id="1166"/>
      <w:bookmarkEnd w:id="1167"/>
      <w:bookmarkEnd w:id="1168"/>
    </w:p>
    <w:p>
      <w:pPr>
        <w:pStyle w:val="Heading5"/>
      </w:pPr>
      <w:bookmarkStart w:id="1169" w:name="_Toc161401513"/>
      <w:bookmarkStart w:id="1170" w:name="_Toc154754010"/>
      <w:r>
        <w:rPr>
          <w:rStyle w:val="CharSectno"/>
        </w:rPr>
        <w:t>236</w:t>
      </w:r>
      <w:r>
        <w:t>.</w:t>
      </w:r>
      <w:r>
        <w:tab/>
        <w:t>Amount of duty payable</w:t>
      </w:r>
      <w:bookmarkEnd w:id="1169"/>
      <w:bookmarkEnd w:id="1170"/>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keepNext/>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keepNext/>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keepNext/>
      </w:pPr>
      <w:r>
        <w:tab/>
      </w:r>
      <w:r>
        <w:tab/>
        <w:t xml:space="preserve">where — </w:t>
      </w:r>
    </w:p>
    <w:p>
      <w:pPr>
        <w:pStyle w:val="Indenta"/>
        <w:keepNext/>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keepNext/>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keepNext/>
      </w:pPr>
      <w:r>
        <w:tab/>
        <w:t>(b)</w:t>
      </w:r>
      <w:r>
        <w:tab/>
        <w:t>$12 000.</w:t>
      </w:r>
    </w:p>
    <w:p>
      <w:pPr>
        <w:pStyle w:val="Footnotesection"/>
      </w:pPr>
      <w:r>
        <w:tab/>
        <w:t>[Section 236 amended: No. 12 of 2008 s. 24.]</w:t>
      </w:r>
    </w:p>
    <w:p>
      <w:pPr>
        <w:pStyle w:val="Heading4"/>
        <w:rPr>
          <w:sz w:val="26"/>
        </w:rPr>
      </w:pPr>
      <w:bookmarkStart w:id="1171" w:name="_Toc161400856"/>
      <w:bookmarkStart w:id="1172" w:name="_Toc161401514"/>
      <w:bookmarkStart w:id="1173" w:name="_Toc154754011"/>
      <w:r>
        <w:rPr>
          <w:sz w:val="26"/>
        </w:rPr>
        <w:t>Division 5 — Dutiable value of a vehicle</w:t>
      </w:r>
      <w:bookmarkEnd w:id="1171"/>
      <w:bookmarkEnd w:id="1172"/>
      <w:bookmarkEnd w:id="1173"/>
    </w:p>
    <w:p>
      <w:pPr>
        <w:pStyle w:val="Heading5"/>
        <w:spacing w:before="180"/>
      </w:pPr>
      <w:bookmarkStart w:id="1174" w:name="_Toc161401515"/>
      <w:bookmarkStart w:id="1175" w:name="_Toc154754012"/>
      <w:r>
        <w:rPr>
          <w:rStyle w:val="CharSectno"/>
        </w:rPr>
        <w:t>237</w:t>
      </w:r>
      <w:r>
        <w:t>.</w:t>
      </w:r>
      <w:r>
        <w:tab/>
        <w:t>Certain new vehicles, dutiable value of</w:t>
      </w:r>
      <w:bookmarkEnd w:id="1174"/>
      <w:bookmarkEnd w:id="1175"/>
    </w:p>
    <w:p>
      <w:pPr>
        <w:pStyle w:val="Subsection"/>
        <w:keepNext/>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keepNext/>
      </w:pPr>
      <w:r>
        <w:tab/>
        <w:t>(c)</w:t>
      </w:r>
      <w:r>
        <w:tab/>
        <w:t>for which a price has been fixed by the manufacturer, importer or principal distributor as the retail selling price in Western Australia of a vehicle of that make and model,</w:t>
      </w:r>
    </w:p>
    <w:p>
      <w:pPr>
        <w:pStyle w:val="Subsection"/>
        <w:keepNext/>
      </w:pPr>
      <w:r>
        <w:tab/>
      </w:r>
      <w:r>
        <w:tab/>
        <w:t xml:space="preserve">is the sum of — </w:t>
      </w:r>
    </w:p>
    <w:p>
      <w:pPr>
        <w:pStyle w:val="Indenta"/>
      </w:pPr>
      <w:r>
        <w:tab/>
        <w:t>(d)</w:t>
      </w:r>
      <w:r>
        <w:tab/>
        <w:t>the price fixed as described in paragraph (c); and</w:t>
      </w:r>
    </w:p>
    <w:p>
      <w:pPr>
        <w:pStyle w:val="Indenta"/>
        <w:keepLines/>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1176" w:name="_Toc161401516"/>
      <w:bookmarkStart w:id="1177" w:name="_Toc154754013"/>
      <w:r>
        <w:rPr>
          <w:rStyle w:val="CharSectno"/>
        </w:rPr>
        <w:t>238</w:t>
      </w:r>
      <w:r>
        <w:t>.</w:t>
      </w:r>
      <w:r>
        <w:tab/>
        <w:t>Certain other vehicles, dutiable value of</w:t>
      </w:r>
      <w:bookmarkEnd w:id="1176"/>
      <w:bookmarkEnd w:id="1177"/>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1178" w:name="_Toc161401517"/>
      <w:bookmarkStart w:id="1179" w:name="_Toc154754014"/>
      <w:r>
        <w:rPr>
          <w:rStyle w:val="CharSectno"/>
        </w:rPr>
        <w:t>239</w:t>
      </w:r>
      <w:r>
        <w:t>.</w:t>
      </w:r>
      <w:r>
        <w:tab/>
        <w:t>Specialised vehicles, dutiable value of</w:t>
      </w:r>
      <w:bookmarkEnd w:id="1178"/>
      <w:bookmarkEnd w:id="1179"/>
    </w:p>
    <w:p>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keepNext/>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keepNext/>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keepNext/>
      </w:pPr>
      <w:r>
        <w:tab/>
      </w:r>
      <w:r>
        <w:tab/>
        <w:t>the person must not attach the original equipment to any other vehicle for which the licensee intends to become the licence holder.</w:t>
      </w:r>
    </w:p>
    <w:p>
      <w:pPr>
        <w:pStyle w:val="Penstart"/>
      </w:pPr>
      <w:r>
        <w:tab/>
        <w:t>Penalty: a fine of $20 000.</w:t>
      </w:r>
    </w:p>
    <w:p>
      <w:pPr>
        <w:pStyle w:val="Subsection"/>
        <w:keepNext/>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keepNext/>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keepNext/>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180" w:name="_Toc161400860"/>
      <w:bookmarkStart w:id="1181" w:name="_Toc161401518"/>
      <w:bookmarkStart w:id="1182" w:name="_Toc154754015"/>
      <w:r>
        <w:rPr>
          <w:rStyle w:val="CharDivNo"/>
          <w:sz w:val="28"/>
        </w:rPr>
        <w:t>Part 4</w:t>
      </w:r>
      <w:r>
        <w:rPr>
          <w:sz w:val="28"/>
        </w:rPr>
        <w:t> — </w:t>
      </w:r>
      <w:r>
        <w:rPr>
          <w:rStyle w:val="CharDivText"/>
          <w:sz w:val="28"/>
        </w:rPr>
        <w:t>Exemptions and nominal duty</w:t>
      </w:r>
      <w:bookmarkEnd w:id="1180"/>
      <w:bookmarkEnd w:id="1181"/>
      <w:bookmarkEnd w:id="1182"/>
    </w:p>
    <w:p>
      <w:pPr>
        <w:pStyle w:val="Heading4"/>
        <w:rPr>
          <w:sz w:val="26"/>
        </w:rPr>
      </w:pPr>
      <w:bookmarkStart w:id="1183" w:name="_Toc161400861"/>
      <w:bookmarkStart w:id="1184" w:name="_Toc161401519"/>
      <w:bookmarkStart w:id="1185" w:name="_Toc154754016"/>
      <w:r>
        <w:rPr>
          <w:sz w:val="26"/>
        </w:rPr>
        <w:t>Division 1 — Exemptions — general</w:t>
      </w:r>
      <w:bookmarkEnd w:id="1183"/>
      <w:bookmarkEnd w:id="1184"/>
      <w:bookmarkEnd w:id="1185"/>
    </w:p>
    <w:p>
      <w:pPr>
        <w:pStyle w:val="Heading5"/>
        <w:spacing w:before="180"/>
      </w:pPr>
      <w:bookmarkStart w:id="1186" w:name="_Toc161401520"/>
      <w:bookmarkStart w:id="1187" w:name="_Toc154754017"/>
      <w:r>
        <w:rPr>
          <w:rStyle w:val="CharSectno"/>
        </w:rPr>
        <w:t>240</w:t>
      </w:r>
      <w:r>
        <w:t>.</w:t>
      </w:r>
      <w:r>
        <w:tab/>
        <w:t>If no vehicle licence fee payable under Vehicles Act</w:t>
      </w:r>
      <w:bookmarkEnd w:id="1186"/>
      <w:bookmarkEnd w:id="1187"/>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1188" w:name="_Toc161401521"/>
      <w:bookmarkStart w:id="1189" w:name="_Toc154754018"/>
      <w:r>
        <w:rPr>
          <w:rStyle w:val="CharSectno"/>
        </w:rPr>
        <w:t>241</w:t>
      </w:r>
      <w:r>
        <w:t>.</w:t>
      </w:r>
      <w:r>
        <w:tab/>
        <w:t>If transfer is a reconstruction transaction</w:t>
      </w:r>
      <w:bookmarkEnd w:id="1188"/>
      <w:bookmarkEnd w:id="1189"/>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1190" w:name="_Toc161401522"/>
      <w:bookmarkStart w:id="1191" w:name="_Toc154754019"/>
      <w:r>
        <w:rPr>
          <w:rStyle w:val="CharSectno"/>
        </w:rPr>
        <w:t>242</w:t>
      </w:r>
      <w:r>
        <w:t>.</w:t>
      </w:r>
      <w:r>
        <w:tab/>
        <w:t>If vehicle previously licensed to licence holder</w:t>
      </w:r>
      <w:bookmarkEnd w:id="1190"/>
      <w:bookmarkEnd w:id="1191"/>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1192" w:name="_Toc161401523"/>
      <w:bookmarkStart w:id="1193" w:name="_Toc154754020"/>
      <w:r>
        <w:rPr>
          <w:rStyle w:val="CharSectno"/>
        </w:rPr>
        <w:t>243</w:t>
      </w:r>
      <w:r>
        <w:t>.</w:t>
      </w:r>
      <w:r>
        <w:tab/>
        <w:t>If licence is for certain heavy vehicle</w:t>
      </w:r>
      <w:bookmarkEnd w:id="1192"/>
      <w:bookmarkEnd w:id="1193"/>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1194" w:name="_Toc161401524"/>
      <w:bookmarkStart w:id="1195" w:name="_Toc154754021"/>
      <w:r>
        <w:rPr>
          <w:rStyle w:val="CharSectno"/>
        </w:rPr>
        <w:t>244A</w:t>
      </w:r>
      <w:r>
        <w:t>.</w:t>
      </w:r>
      <w:r>
        <w:tab/>
        <w:t>If transfer is between spouses or de facto partners</w:t>
      </w:r>
      <w:bookmarkEnd w:id="1194"/>
      <w:bookmarkEnd w:id="1195"/>
    </w:p>
    <w:p>
      <w:pPr>
        <w:pStyle w:val="Subsection"/>
        <w:keepNext/>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keepNext/>
      </w:pPr>
      <w:r>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1196" w:name="_Toc161401525"/>
      <w:bookmarkStart w:id="1197" w:name="_Toc154754022"/>
      <w:r>
        <w:rPr>
          <w:rStyle w:val="CharSectno"/>
        </w:rPr>
        <w:t>244B</w:t>
      </w:r>
      <w:r>
        <w:t>.</w:t>
      </w:r>
      <w:r>
        <w:tab/>
        <w:t>If agreement for purchase of vehicle is terminated or vehicle is returned</w:t>
      </w:r>
      <w:bookmarkEnd w:id="1196"/>
      <w:bookmarkEnd w:id="1197"/>
    </w:p>
    <w:p>
      <w:pPr>
        <w:pStyle w:val="Subsection"/>
        <w:keepNext/>
      </w:pPr>
      <w:r>
        <w:tab/>
        <w:t>(1)</w:t>
      </w:r>
      <w:r>
        <w:tab/>
        <w:t xml:space="preserve">Duty is not chargeable on the grant or transfer of a licence for a vehicle if — </w:t>
      </w:r>
    </w:p>
    <w:p>
      <w:pPr>
        <w:pStyle w:val="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pPr>
        <w:pStyle w:val="Indenta"/>
        <w:keepNext/>
      </w:pPr>
      <w:r>
        <w:tab/>
        <w:t>(b)</w:t>
      </w:r>
      <w:r>
        <w:tab/>
        <w:t xml:space="preserve">either — </w:t>
      </w:r>
    </w:p>
    <w:p>
      <w:pPr>
        <w:pStyle w:val="Indenti"/>
      </w:pPr>
      <w:r>
        <w:tab/>
        <w:t>(i)</w:t>
      </w:r>
      <w:r>
        <w:tab/>
        <w:t>the agreement is rescinded, annulled or otherwise terminated before the purchaser takes possession of the vehicle; or</w:t>
      </w:r>
    </w:p>
    <w:p>
      <w:pPr>
        <w:pStyle w:val="Indenti"/>
        <w:keepNext/>
      </w:pPr>
      <w:r>
        <w:tab/>
        <w:t>(ii)</w:t>
      </w:r>
      <w:r>
        <w:tab/>
        <w:t>after the purchaser takes possession of the vehicle, the purchaser returns the vehicle for a refund or a replacement vehicle and the return is accepted;</w:t>
      </w:r>
    </w:p>
    <w:p>
      <w:pPr>
        <w:pStyle w:val="Indenta"/>
      </w:pPr>
      <w:r>
        <w:tab/>
      </w:r>
      <w:r>
        <w:tab/>
        <w:t>and</w:t>
      </w:r>
    </w:p>
    <w:p>
      <w:pPr>
        <w:pStyle w:val="Indenta"/>
      </w:pPr>
      <w:r>
        <w:tab/>
        <w:t>(c)</w:t>
      </w:r>
      <w:r>
        <w:tab/>
        <w:t>any money that is refundable on the occurrence of the relevant event referred to in paragraph (b) is refunded to the purchaser.</w:t>
      </w:r>
    </w:p>
    <w:p>
      <w:pPr>
        <w:pStyle w:val="Subsection"/>
      </w:pPr>
      <w:r>
        <w:tab/>
        <w:t>(2)</w:t>
      </w:r>
      <w:r>
        <w:tab/>
        <w:t>The appropriate reassessment officer must, on application in the approved form, make any reassessment necessary as a result of the operation of subsection (1).</w:t>
      </w:r>
    </w:p>
    <w:p>
      <w:pPr>
        <w:pStyle w:val="Subsection"/>
        <w:keepNext/>
      </w:pPr>
      <w:r>
        <w:tab/>
        <w:t>(3)</w:t>
      </w:r>
      <w:r>
        <w:tab/>
        <w:t xml:space="preserve">In subsection (2) — </w:t>
      </w:r>
    </w:p>
    <w:p>
      <w:pPr>
        <w:pStyle w:val="Defstart"/>
        <w:keepNext/>
      </w:pPr>
      <w:r>
        <w:tab/>
      </w:r>
      <w:r>
        <w:rPr>
          <w:rStyle w:val="CharDefText"/>
        </w:rPr>
        <w:t>appropriate reassessment officer</w:t>
      </w:r>
      <w:r>
        <w:t xml:space="preserve"> means — </w:t>
      </w:r>
    </w:p>
    <w:p>
      <w:pPr>
        <w:pStyle w:val="Defpara"/>
        <w:keepNext/>
      </w:pPr>
      <w:r>
        <w:tab/>
        <w:t>(a)</w:t>
      </w:r>
      <w:r>
        <w:tab/>
        <w:t xml:space="preserve">the CEO if — </w:t>
      </w:r>
    </w:p>
    <w:p>
      <w:pPr>
        <w:pStyle w:val="Defsubpara"/>
      </w:pPr>
      <w:r>
        <w:tab/>
        <w:t>(i)</w:t>
      </w:r>
      <w:r>
        <w:tab/>
        <w:t>the seller is a dealer; and</w:t>
      </w:r>
    </w:p>
    <w:p>
      <w:pPr>
        <w:pStyle w:val="Defsubpara"/>
      </w:pPr>
      <w:r>
        <w:tab/>
        <w:t>(ii)</w:t>
      </w:r>
      <w:r>
        <w:tab/>
        <w:t>the application for the grant or transfer of the licence to the purchaser is made by the seller; and</w:t>
      </w:r>
    </w:p>
    <w:p>
      <w:pPr>
        <w:pStyle w:val="Defsubpara"/>
        <w:keepNext/>
      </w:pPr>
      <w:r>
        <w:tab/>
        <w:t>(iii)</w:t>
      </w:r>
      <w:r>
        <w:tab/>
        <w:t>the agreement is rescinded, annulled or otherwise terminated before the purchaser takes possession of the vehicle as referred to in subsection (1)(b)(i);</w:t>
      </w:r>
    </w:p>
    <w:p>
      <w:pPr>
        <w:pStyle w:val="Defpara"/>
      </w:pPr>
      <w:r>
        <w:tab/>
      </w:r>
      <w:r>
        <w:tab/>
        <w:t>or</w:t>
      </w:r>
    </w:p>
    <w:p>
      <w:pPr>
        <w:pStyle w:val="Defpara"/>
      </w:pPr>
      <w:r>
        <w:tab/>
        <w:t>(b)</w:t>
      </w:r>
      <w:r>
        <w:tab/>
        <w:t>otherwise — the Commissioner.</w:t>
      </w:r>
    </w:p>
    <w:p>
      <w:pPr>
        <w:pStyle w:val="Subsection"/>
      </w:pPr>
      <w:r>
        <w:tab/>
        <w:t>(4)</w:t>
      </w:r>
      <w:r>
        <w:tab/>
        <w:t>The time limits in the Taxation Administration Act section 17 apply to a reassessment under subsection (2), whether made by the CEO or the Commissioner.</w:t>
      </w:r>
    </w:p>
    <w:p>
      <w:pPr>
        <w:pStyle w:val="Subsection"/>
      </w:pPr>
      <w:r>
        <w:tab/>
        <w:t>(5)</w:t>
      </w:r>
      <w:r>
        <w:tab/>
        <w:t>If, as the result of a reassessment made by the CEO under subsection (2), it appears that an overpayment of tax has been made, the CEO must refund the tax.</w:t>
      </w:r>
    </w:p>
    <w:p>
      <w:pPr>
        <w:pStyle w:val="Subsection"/>
      </w:pPr>
      <w:r>
        <w:tab/>
        <w:t>(6)</w:t>
      </w:r>
      <w:r>
        <w:tab/>
        <w:t>Despite the Taxation Administration Act section 16(1)(c), the Commissioner is not required to make a reassessment under that section if tax is refundable by the CEO under subsection (5).</w:t>
      </w:r>
    </w:p>
    <w:p>
      <w:pPr>
        <w:pStyle w:val="Subsection"/>
        <w:keepNext/>
      </w:pPr>
      <w:r>
        <w:tab/>
        <w:t>(7)</w:t>
      </w:r>
      <w:r>
        <w:tab/>
        <w:t>If duty is not chargeable on the grant or transfer of a licence for a vehicle under subsection (1), duty is also not chargeable on a subsequent transfer of the licence for the vehicle from the purchaser to the seller if the application for the subsequent transfer is made as a result of the occurrence of the relevant event referred to in subsection (1)(b).</w:t>
      </w:r>
    </w:p>
    <w:p>
      <w:pPr>
        <w:pStyle w:val="Footnotesection"/>
      </w:pPr>
      <w:r>
        <w:tab/>
        <w:t>[Section 244B inserted: No. 16 of 2022 s. 9.]</w:t>
      </w:r>
    </w:p>
    <w:p>
      <w:pPr>
        <w:pStyle w:val="Heading5"/>
      </w:pPr>
      <w:bookmarkStart w:id="1198" w:name="_Toc161401526"/>
      <w:bookmarkStart w:id="1199" w:name="_Toc154754023"/>
      <w:r>
        <w:rPr>
          <w:rStyle w:val="CharSectno"/>
        </w:rPr>
        <w:t>244</w:t>
      </w:r>
      <w:r>
        <w:t>.</w:t>
      </w:r>
      <w:r>
        <w:tab/>
        <w:t>If licence is for prescribed class of person or vehicle etc.</w:t>
      </w:r>
      <w:bookmarkEnd w:id="1198"/>
      <w:bookmarkEnd w:id="1199"/>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200" w:name="_Toc161400869"/>
      <w:bookmarkStart w:id="1201" w:name="_Toc161401527"/>
      <w:bookmarkStart w:id="1202" w:name="_Toc154754024"/>
      <w:r>
        <w:rPr>
          <w:sz w:val="26"/>
        </w:rPr>
        <w:t>Division 2 — Exemptions — motor vehicle dealers</w:t>
      </w:r>
      <w:bookmarkEnd w:id="1200"/>
      <w:bookmarkEnd w:id="1201"/>
      <w:bookmarkEnd w:id="1202"/>
    </w:p>
    <w:p>
      <w:pPr>
        <w:pStyle w:val="Heading5"/>
      </w:pPr>
      <w:bookmarkStart w:id="1203" w:name="_Toc161401528"/>
      <w:bookmarkStart w:id="1204" w:name="_Toc154754025"/>
      <w:r>
        <w:rPr>
          <w:rStyle w:val="CharSectno"/>
        </w:rPr>
        <w:t>245</w:t>
      </w:r>
      <w:r>
        <w:t>.</w:t>
      </w:r>
      <w:r>
        <w:tab/>
        <w:t>Use of vehicle includes for minor incidental purposes</w:t>
      </w:r>
      <w:bookmarkEnd w:id="1203"/>
      <w:bookmarkEnd w:id="1204"/>
    </w:p>
    <w:p>
      <w:pPr>
        <w:pStyle w:val="Subsection"/>
        <w:keepNext/>
      </w:pPr>
      <w:r>
        <w:tab/>
      </w:r>
      <w:r>
        <w:tab/>
        <w:t>A reference in this Division to the use of a vehicle for a purpose referred to in section 246(1)(a), (2)(a) or (3)(a) or 247(1)(a) includes a reference to its use for that purpose and for minor incidental purposes.</w:t>
      </w:r>
    </w:p>
    <w:p>
      <w:pPr>
        <w:pStyle w:val="Footnotesection"/>
      </w:pPr>
      <w:r>
        <w:tab/>
        <w:t>[Section 245 amended: No. 16 of 2022 s. 10.]</w:t>
      </w:r>
    </w:p>
    <w:p>
      <w:pPr>
        <w:pStyle w:val="Heading5"/>
      </w:pPr>
      <w:bookmarkStart w:id="1205" w:name="_Toc161401529"/>
      <w:bookmarkStart w:id="1206" w:name="_Toc154754026"/>
      <w:r>
        <w:rPr>
          <w:rStyle w:val="CharSectno"/>
        </w:rPr>
        <w:t>246</w:t>
      </w:r>
      <w:r>
        <w:t>.</w:t>
      </w:r>
      <w:r>
        <w:tab/>
        <w:t>If licence is for vehicle in dealer’s trading stock, demonstrator vehicle or service demonstrator vehicle</w:t>
      </w:r>
      <w:bookmarkEnd w:id="1205"/>
      <w:bookmarkEnd w:id="1206"/>
    </w:p>
    <w:p>
      <w:pPr>
        <w:pStyle w:val="Subsection"/>
        <w:keepNext/>
      </w:pPr>
      <w:r>
        <w:tab/>
        <w:t>(1)</w:t>
      </w:r>
      <w:r>
        <w:tab/>
        <w:t xml:space="preserve">Duty is not chargeable on the grant of a licence for a vehicle to a dealer if — </w:t>
      </w:r>
    </w:p>
    <w:p>
      <w:pPr>
        <w:pStyle w:val="Indenta"/>
        <w:keepNext/>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(3)(a)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keepNext/>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(3)</w:t>
      </w:r>
      <w:r>
        <w:tab/>
        <w:t xml:space="preserve">Duty is not chargeable on the grant of a licence for a vehicle to a dealer if — </w:t>
      </w:r>
    </w:p>
    <w:p>
      <w:pPr>
        <w:pStyle w:val="Indenta"/>
      </w:pPr>
      <w:r>
        <w:tab/>
        <w:t>(a)</w:t>
      </w:r>
      <w:r>
        <w:tab/>
        <w:t>the dealer acquired the vehicle solely for the purpose of using it as a service demonstrator vehicle; and</w:t>
      </w:r>
    </w:p>
    <w:p>
      <w:pPr>
        <w:pStyle w:val="Indenta"/>
      </w:pPr>
      <w:r>
        <w:tab/>
        <w:t>(b)</w:t>
      </w:r>
      <w:r>
        <w:tab/>
        <w:t>at the time of acquisition, the vehicle has not been used; and</w:t>
      </w:r>
    </w:p>
    <w:p>
      <w:pPr>
        <w:pStyle w:val="Indenta"/>
        <w:keepNext/>
      </w:pPr>
      <w:r>
        <w:tab/>
        <w:t>(c)</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(1)(a) or section 247(1)(a); and</w:t>
      </w:r>
    </w:p>
    <w:p>
      <w:pPr>
        <w:pStyle w:val="Indenti"/>
      </w:pPr>
      <w:r>
        <w:tab/>
        <w:t>(ii)</w:t>
      </w:r>
      <w:r>
        <w:tab/>
        <w:t>the dealer understands the effect of sections 248 and 249.</w:t>
      </w:r>
    </w:p>
    <w:p>
      <w:pPr>
        <w:pStyle w:val="Subsection"/>
        <w:keepNext/>
      </w:pPr>
      <w:r>
        <w:tab/>
        <w:t>(4)</w:t>
      </w:r>
      <w:r>
        <w:tab/>
        <w:t xml:space="preserve">For the purposes of subsection (3)(a), a vehicle is used as a service demonstrator vehicle if — </w:t>
      </w:r>
    </w:p>
    <w:p>
      <w:pPr>
        <w:pStyle w:val="Indenta"/>
      </w:pPr>
      <w:r>
        <w:tab/>
        <w:t>(a)</w:t>
      </w:r>
      <w:r>
        <w:tab/>
        <w:t>a dealer uses the vehicle to loan to customers while their vehicles are being serviced or repaired, or otherwise undergoing mechanical work undertaken, by or on behalf of the dealer; and</w:t>
      </w:r>
    </w:p>
    <w:p>
      <w:pPr>
        <w:pStyle w:val="Indenta"/>
        <w:keepNext/>
      </w:pPr>
      <w:r>
        <w:tab/>
        <w:t>(b)</w:t>
      </w:r>
      <w:r>
        <w:tab/>
        <w:t xml:space="preserve">each loan to a customer referred to in paragraph (a) is made — </w:t>
      </w:r>
    </w:p>
    <w:p>
      <w:pPr>
        <w:pStyle w:val="Indenti"/>
      </w:pPr>
      <w:r>
        <w:tab/>
        <w:t>(i)</w:t>
      </w:r>
      <w:r>
        <w:tab/>
        <w:t>without charge or for a nominal charge only; and</w:t>
      </w:r>
    </w:p>
    <w:p>
      <w:pPr>
        <w:pStyle w:val="Indenti"/>
        <w:keepNext/>
      </w:pPr>
      <w:r>
        <w:tab/>
        <w:t>(ii)</w:t>
      </w:r>
      <w:r>
        <w:tab/>
        <w:t>for the purpose of demonstrating the vehicle to encourage the customer to purchase a new vehicle of the same make, model and model year from the dealer;</w:t>
      </w:r>
    </w:p>
    <w:p>
      <w:pPr>
        <w:pStyle w:val="Indenta"/>
      </w:pPr>
      <w:r>
        <w:tab/>
      </w:r>
      <w:r>
        <w:tab/>
        <w:t>and</w:t>
      </w:r>
    </w:p>
    <w:p>
      <w:pPr>
        <w:pStyle w:val="Indenta"/>
      </w:pPr>
      <w:r>
        <w:tab/>
        <w:t>(c)</w:t>
      </w:r>
      <w:r>
        <w:tab/>
        <w:t>the vehicle is of a make of vehicles that the dealer is authorised to supply under an agreement or arrangement with the manufacturer or principal distributor; and</w:t>
      </w:r>
    </w:p>
    <w:p>
      <w:pPr>
        <w:pStyle w:val="Indenta"/>
        <w:keepNext/>
      </w:pPr>
      <w:r>
        <w:tab/>
        <w:t>(d)</w:t>
      </w:r>
      <w:r>
        <w:tab/>
        <w:t>the model year of the vehicle is the latest model year released by the manufacturer in Australia for that model of vehicle.</w:t>
      </w:r>
    </w:p>
    <w:p>
      <w:pPr>
        <w:pStyle w:val="Footnotesection"/>
      </w:pPr>
      <w:r>
        <w:tab/>
        <w:t>[Section 246 amended: No. 16 of 2022 s. 11.]</w:t>
      </w:r>
    </w:p>
    <w:p>
      <w:pPr>
        <w:pStyle w:val="Heading5"/>
      </w:pPr>
      <w:bookmarkStart w:id="1207" w:name="_Toc161401530"/>
      <w:bookmarkStart w:id="1208" w:name="_Toc154754027"/>
      <w:r>
        <w:rPr>
          <w:rStyle w:val="CharSectno"/>
        </w:rPr>
        <w:t>247</w:t>
      </w:r>
      <w:r>
        <w:t>.</w:t>
      </w:r>
      <w:r>
        <w:tab/>
        <w:t>If licence is for vehicle used for charitable etc. purposes</w:t>
      </w:r>
      <w:bookmarkEnd w:id="1207"/>
      <w:bookmarkEnd w:id="1208"/>
    </w:p>
    <w:p>
      <w:pPr>
        <w:pStyle w:val="Subsection"/>
        <w:keepNext/>
      </w:pPr>
      <w:r>
        <w:tab/>
        <w:t>(1)</w:t>
      </w:r>
      <w:r>
        <w:tab/>
        <w:t xml:space="preserve">Duty is not chargeable on the grant or transfer of a licence for a vehicle to a dealer if — </w:t>
      </w:r>
    </w:p>
    <w:p>
      <w:pPr>
        <w:pStyle w:val="Indenta"/>
        <w:keepNext/>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keepNext/>
      </w:pPr>
      <w:r>
        <w:tab/>
        <w:t>(v)</w:t>
      </w:r>
      <w:r>
        <w:tab/>
        <w:t>solely for a prescribed purpose;</w:t>
      </w:r>
    </w:p>
    <w:p>
      <w:pPr>
        <w:pStyle w:val="Indenta"/>
        <w:spacing w:before="100"/>
      </w:pPr>
      <w:r>
        <w:tab/>
      </w:r>
      <w:r>
        <w:tab/>
        <w:t>and</w:t>
      </w:r>
    </w:p>
    <w:p>
      <w:pPr>
        <w:pStyle w:val="Indenta"/>
        <w:keepNext/>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246(1)(a), (2)(a) or (3)(a);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keepNext/>
        <w:spacing w:before="180"/>
      </w:pPr>
      <w:r>
        <w:tab/>
        <w:t>(3)</w:t>
      </w:r>
      <w:r>
        <w:tab/>
        <w:t>Subject to the Taxation Administration Act section 17, the Commissioner must make any reassessment necessary to give effect to subsection (2).</w:t>
      </w:r>
    </w:p>
    <w:p>
      <w:pPr>
        <w:pStyle w:val="Footnotesection"/>
      </w:pPr>
      <w:r>
        <w:tab/>
        <w:t>[Section 247 amended: No. 16 of 2022 s. 12.]</w:t>
      </w:r>
    </w:p>
    <w:p>
      <w:pPr>
        <w:pStyle w:val="Heading5"/>
        <w:spacing w:before="240"/>
      </w:pPr>
      <w:bookmarkStart w:id="1209" w:name="_Toc161401531"/>
      <w:bookmarkStart w:id="1210" w:name="_Toc154754028"/>
      <w:r>
        <w:rPr>
          <w:rStyle w:val="CharSectno"/>
        </w:rPr>
        <w:t>248</w:t>
      </w:r>
      <w:r>
        <w:t>.</w:t>
      </w:r>
      <w:r>
        <w:tab/>
        <w:t>Change of permitted use of exempt vehicle, Commissioner to be notified</w:t>
      </w:r>
      <w:bookmarkEnd w:id="1209"/>
      <w:bookmarkEnd w:id="1210"/>
    </w:p>
    <w:p>
      <w:pPr>
        <w:pStyle w:val="Subsection"/>
        <w:keepNext/>
        <w:spacing w:before="180"/>
      </w:pPr>
      <w:r>
        <w:tab/>
      </w:r>
      <w:r>
        <w:tab/>
        <w:t>If, under section 246(1), (2) or (3) or 247(1), no duty was chargeable on the grant or transfer of a licence for a vehicle to a dealer and the dealer uses, or allows another person to use, the vehicle for a different purpose referred to in section 246(1)(a), (2)(a) or (3)(a) or 247(1)(a), the dealer must notify the Commissioner, in the approved form, of the change in use within one month after the day on which the use of the vehicle changed.</w:t>
      </w:r>
    </w:p>
    <w:p>
      <w:pPr>
        <w:pStyle w:val="Penstart"/>
        <w:keepNext/>
      </w:pPr>
      <w:r>
        <w:tab/>
        <w:t>Penalty: a fine of $5 000.</w:t>
      </w:r>
    </w:p>
    <w:p>
      <w:pPr>
        <w:pStyle w:val="Footnotesection"/>
      </w:pPr>
      <w:r>
        <w:tab/>
        <w:t>[Section 248 amended: No. 16 of 2022 s. 13.]</w:t>
      </w:r>
    </w:p>
    <w:p>
      <w:pPr>
        <w:pStyle w:val="Heading5"/>
      </w:pPr>
      <w:bookmarkStart w:id="1211" w:name="_Toc161401532"/>
      <w:bookmarkStart w:id="1212" w:name="_Toc154754029"/>
      <w:r>
        <w:rPr>
          <w:rStyle w:val="CharSectno"/>
        </w:rPr>
        <w:t>249</w:t>
      </w:r>
      <w:r>
        <w:t>.</w:t>
      </w:r>
      <w:r>
        <w:tab/>
        <w:t>Change of use of exempt vehicle to non</w:t>
      </w:r>
      <w:r>
        <w:noBreakHyphen/>
        <w:t>permitted use, consequences of</w:t>
      </w:r>
      <w:bookmarkEnd w:id="1211"/>
      <w:bookmarkEnd w:id="1212"/>
    </w:p>
    <w:p>
      <w:pPr>
        <w:pStyle w:val="Subsection"/>
        <w:keepNext/>
      </w:pPr>
      <w:r>
        <w:tab/>
        <w:t>(1)</w:t>
      </w:r>
      <w:r>
        <w:tab/>
        <w:t>If, under section 246(1), (2) or (3)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246(1)(a), (2)(a) or (3)(a) or 247(1)(a) unless the person notifies the Commissioner, in the approved form, of the change in use within one month after the day on which the use of the vehicle changed.</w:t>
      </w:r>
    </w:p>
    <w:p>
      <w:pPr>
        <w:pStyle w:val="Penstart"/>
      </w:pPr>
      <w:r>
        <w:tab/>
        <w:t>Penalty for this subsection: a fine of $20 000.</w:t>
      </w:r>
    </w:p>
    <w:p>
      <w:pPr>
        <w:pStyle w:val="Subsection"/>
        <w:keepNext/>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keepNext/>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keepNext/>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Footnotesection"/>
      </w:pPr>
      <w:r>
        <w:tab/>
        <w:t>[Section 249 amended: No. 16 of 2022 s. 14.]</w:t>
      </w:r>
    </w:p>
    <w:p>
      <w:pPr>
        <w:pStyle w:val="Heading4"/>
        <w:rPr>
          <w:sz w:val="26"/>
        </w:rPr>
      </w:pPr>
      <w:bookmarkStart w:id="1213" w:name="_Toc161400875"/>
      <w:bookmarkStart w:id="1214" w:name="_Toc161401533"/>
      <w:bookmarkStart w:id="1215" w:name="_Toc154754030"/>
      <w:r>
        <w:rPr>
          <w:sz w:val="26"/>
        </w:rPr>
        <w:t>Division 3 — Nominal duty</w:t>
      </w:r>
      <w:bookmarkEnd w:id="1213"/>
      <w:bookmarkEnd w:id="1214"/>
      <w:bookmarkEnd w:id="1215"/>
    </w:p>
    <w:p>
      <w:pPr>
        <w:pStyle w:val="Heading5"/>
      </w:pPr>
      <w:bookmarkStart w:id="1216" w:name="_Toc161401534"/>
      <w:bookmarkStart w:id="1217" w:name="_Toc154754031"/>
      <w:r>
        <w:rPr>
          <w:rStyle w:val="CharSectno"/>
        </w:rPr>
        <w:t>250</w:t>
      </w:r>
      <w:r>
        <w:t>.</w:t>
      </w:r>
      <w:r>
        <w:tab/>
        <w:t>Transactions chargeable with nominal duty</w:t>
      </w:r>
      <w:bookmarkEnd w:id="1216"/>
      <w:bookmarkEnd w:id="1217"/>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keepNext/>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keepNext/>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keepNext/>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keepNext/>
      </w:pPr>
      <w:r>
        <w:tab/>
        <w:t>(b)</w:t>
      </w:r>
      <w:r>
        <w:tab/>
        <w:t xml:space="preserve">the transfer of the vehicle is in accordance with — </w:t>
      </w:r>
    </w:p>
    <w:p>
      <w:pPr>
        <w:pStyle w:val="Indenti"/>
      </w:pPr>
      <w:r>
        <w:tab/>
        <w:t>(i)</w:t>
      </w:r>
      <w:r>
        <w:tab/>
        <w:t>a matrimonial instrument or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keepNext/>
      </w:pPr>
      <w:r>
        <w:tab/>
        <w:t>(b)</w:t>
      </w:r>
      <w:r>
        <w:tab/>
        <w:t>the day on which the instrument became a matrimonial instrument or de facto relationship instrument,</w:t>
      </w:r>
    </w:p>
    <w:p>
      <w:pPr>
        <w:pStyle w:val="Subsection"/>
      </w:pPr>
      <w:r>
        <w:tab/>
      </w:r>
      <w:r>
        <w:tab/>
        <w:t>as the case may be.</w:t>
      </w:r>
    </w:p>
    <w:p>
      <w:pPr>
        <w:pStyle w:val="Subsection"/>
        <w:keepNext/>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 No. 16 of 2022 s. 15.]</w:t>
      </w:r>
    </w:p>
    <w:p>
      <w:pPr>
        <w:pStyle w:val="Heading3"/>
        <w:keepLines/>
        <w:rPr>
          <w:sz w:val="28"/>
        </w:rPr>
      </w:pPr>
      <w:bookmarkStart w:id="1218" w:name="_Toc161400877"/>
      <w:bookmarkStart w:id="1219" w:name="_Toc161401535"/>
      <w:bookmarkStart w:id="1220" w:name="_Toc154754032"/>
      <w:r>
        <w:rPr>
          <w:rStyle w:val="CharDivNo"/>
          <w:sz w:val="28"/>
        </w:rPr>
        <w:t>Part 5</w:t>
      </w:r>
      <w:r>
        <w:rPr>
          <w:sz w:val="28"/>
        </w:rPr>
        <w:t> — </w:t>
      </w:r>
      <w:r>
        <w:rPr>
          <w:rStyle w:val="CharDivText"/>
          <w:sz w:val="28"/>
        </w:rPr>
        <w:t>General provisions as to vehicle licence duty</w:t>
      </w:r>
      <w:bookmarkEnd w:id="1218"/>
      <w:bookmarkEnd w:id="1219"/>
      <w:bookmarkEnd w:id="1220"/>
    </w:p>
    <w:p>
      <w:pPr>
        <w:pStyle w:val="Heading5"/>
      </w:pPr>
      <w:bookmarkStart w:id="1221" w:name="_Toc161401536"/>
      <w:bookmarkStart w:id="1222" w:name="_Toc154754033"/>
      <w:r>
        <w:rPr>
          <w:rStyle w:val="CharSectno"/>
        </w:rPr>
        <w:t>251</w:t>
      </w:r>
      <w:r>
        <w:t>.</w:t>
      </w:r>
      <w:r>
        <w:tab/>
        <w:t>Failure to apply for transfer of licence</w:t>
      </w:r>
      <w:bookmarkEnd w:id="1221"/>
      <w:bookmarkEnd w:id="1222"/>
    </w:p>
    <w:p>
      <w:pPr>
        <w:pStyle w:val="Subsection"/>
        <w:keepNext/>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1223" w:name="_Toc161401537"/>
      <w:bookmarkStart w:id="1224" w:name="_Toc154754034"/>
      <w:r>
        <w:rPr>
          <w:rStyle w:val="CharSectno"/>
        </w:rPr>
        <w:t>252</w:t>
      </w:r>
      <w:r>
        <w:t>.</w:t>
      </w:r>
      <w:r>
        <w:tab/>
        <w:t>Seller to state dutiable value of vehicle etc.</w:t>
      </w:r>
      <w:bookmarkEnd w:id="1223"/>
      <w:bookmarkEnd w:id="1224"/>
    </w:p>
    <w:p>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keepNext/>
      </w:pPr>
      <w:r>
        <w:tab/>
        <w:t>(b)</w:t>
      </w:r>
      <w:r>
        <w:tab/>
        <w:t>the person’s estimate of the dutiable value of the vehicle at the time the person ceased to be the owner of it.</w:t>
      </w:r>
    </w:p>
    <w:p>
      <w:pPr>
        <w:pStyle w:val="Penstart"/>
      </w:pPr>
      <w:r>
        <w:tab/>
        <w:t>Penalty: a fine of $20 000.</w:t>
      </w:r>
    </w:p>
    <w:p>
      <w:pPr>
        <w:pStyle w:val="Subsection"/>
        <w:keepNext/>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keepNext/>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keepNext/>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keepNext/>
      </w:pPr>
      <w:r>
        <w:tab/>
        <w:t>(b)</w:t>
      </w:r>
      <w:r>
        <w:tab/>
        <w:t>duty payable on the grant or transfer of the licence for that vehicle is initially assessed on a value of the vehicle that is less than the proper dutiable value,</w:t>
      </w:r>
    </w:p>
    <w:p>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1225" w:name="_Toc161401538"/>
      <w:bookmarkStart w:id="1226" w:name="_Toc154754035"/>
      <w:r>
        <w:rPr>
          <w:rStyle w:val="CharSectno"/>
        </w:rPr>
        <w:t>253</w:t>
      </w:r>
      <w:r>
        <w:t>.</w:t>
      </w:r>
      <w:r>
        <w:tab/>
        <w:t>Functions of CEO and Commissioner</w:t>
      </w:r>
      <w:bookmarkEnd w:id="1225"/>
      <w:bookmarkEnd w:id="1226"/>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1227" w:name="_Toc161401539"/>
      <w:bookmarkStart w:id="1228" w:name="_Toc154754036"/>
      <w:r>
        <w:rPr>
          <w:rStyle w:val="CharSectno"/>
        </w:rPr>
        <w:t>254</w:t>
      </w:r>
      <w:r>
        <w:t>.</w:t>
      </w:r>
      <w:r>
        <w:tab/>
        <w:t>Form of certain declarations</w:t>
      </w:r>
      <w:bookmarkEnd w:id="1227"/>
      <w:bookmarkEnd w:id="1228"/>
    </w:p>
    <w:p>
      <w:pPr>
        <w:pStyle w:val="Subsection"/>
        <w:keepNext/>
      </w:pPr>
      <w:r>
        <w:tab/>
      </w:r>
      <w:r>
        <w:tab/>
        <w:t>A declaration for the purposes of section 239(1)(e), 246(1)(b), (2)(b) or (3)(c) or 247(1)(b) must be signed by the person making the application for the grant or transfer of the licence.</w:t>
      </w:r>
    </w:p>
    <w:p>
      <w:pPr>
        <w:pStyle w:val="Footnotesection"/>
      </w:pPr>
      <w:r>
        <w:tab/>
        <w:t>[Section 254 amended: No. 16 of 2022 s. 16.]</w:t>
      </w:r>
    </w:p>
    <w:p>
      <w:pPr>
        <w:pStyle w:val="Heading5"/>
      </w:pPr>
      <w:bookmarkStart w:id="1229" w:name="_Toc161401540"/>
      <w:bookmarkStart w:id="1230" w:name="_Toc154754037"/>
      <w:r>
        <w:rPr>
          <w:rStyle w:val="CharSectno"/>
        </w:rPr>
        <w:t>255</w:t>
      </w:r>
      <w:r>
        <w:t>.</w:t>
      </w:r>
      <w:r>
        <w:tab/>
        <w:t>CEO’s duties</w:t>
      </w:r>
      <w:bookmarkEnd w:id="1229"/>
      <w:bookmarkEnd w:id="1230"/>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keepNext/>
      </w:pPr>
      <w:r>
        <w:tab/>
        <w:t>(b)</w:t>
      </w:r>
      <w:r>
        <w:tab/>
        <w:t>credit the amount of duty and penalty tax paid to the CEO, other than any amount refunded under section 244B(5), to the Commissioner.</w:t>
      </w:r>
    </w:p>
    <w:p>
      <w:pPr>
        <w:pStyle w:val="Footnotesection"/>
      </w:pPr>
      <w:r>
        <w:tab/>
        <w:t>[Section 255 amended: No. 8 of 2012 s. 96; No. 16 of 2022 s. 17.]</w:t>
      </w:r>
    </w:p>
    <w:p>
      <w:pPr>
        <w:pStyle w:val="Heading5"/>
      </w:pPr>
      <w:bookmarkStart w:id="1231" w:name="_Toc161401541"/>
      <w:bookmarkStart w:id="1232" w:name="_Toc154754038"/>
      <w:r>
        <w:rPr>
          <w:rStyle w:val="CharSectno"/>
        </w:rPr>
        <w:t>256</w:t>
      </w:r>
      <w:r>
        <w:t>.</w:t>
      </w:r>
      <w:r>
        <w:tab/>
        <w:t>Records to be kept by dealers</w:t>
      </w:r>
      <w:bookmarkEnd w:id="1231"/>
      <w:bookmarkEnd w:id="1232"/>
    </w:p>
    <w:p>
      <w:pPr>
        <w:pStyle w:val="Subsection"/>
        <w:keepNext/>
      </w:pPr>
      <w:r>
        <w:tab/>
      </w:r>
      <w:r>
        <w:tab/>
        <w:t xml:space="preserve">A dealer must keep — </w:t>
      </w:r>
    </w:p>
    <w:p>
      <w:pPr>
        <w:pStyle w:val="Indenta"/>
      </w:pPr>
      <w:r>
        <w:tab/>
        <w:t>(a)</w:t>
      </w:r>
      <w:r>
        <w:tab/>
        <w:t>the records that are prescribed for the purposes of this Chapter (if any); and</w:t>
      </w:r>
    </w:p>
    <w:p>
      <w:pPr>
        <w:pStyle w:val="Indenta"/>
        <w:keepNext/>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233" w:name="_Toc161400884"/>
      <w:bookmarkStart w:id="1234" w:name="_Toc161401542"/>
      <w:bookmarkStart w:id="1235" w:name="_Toc154754039"/>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233"/>
      <w:bookmarkEnd w:id="1234"/>
      <w:bookmarkEnd w:id="1235"/>
    </w:p>
    <w:p>
      <w:pPr>
        <w:pStyle w:val="Heading5"/>
      </w:pPr>
      <w:bookmarkStart w:id="1236" w:name="_Toc161401543"/>
      <w:bookmarkStart w:id="1237" w:name="_Toc154754040"/>
      <w:r>
        <w:rPr>
          <w:rStyle w:val="CharSectno"/>
        </w:rPr>
        <w:t>257</w:t>
      </w:r>
      <w:r>
        <w:t>.</w:t>
      </w:r>
      <w:r>
        <w:tab/>
        <w:t>Terms used</w:t>
      </w:r>
      <w:bookmarkEnd w:id="1236"/>
      <w:bookmarkEnd w:id="1237"/>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1238" w:name="_Toc161401544"/>
      <w:bookmarkStart w:id="1239" w:name="_Toc154754041"/>
      <w:r>
        <w:rPr>
          <w:rStyle w:val="CharSectno"/>
        </w:rPr>
        <w:t>258</w:t>
      </w:r>
      <w:r>
        <w:t>.</w:t>
      </w:r>
      <w:r>
        <w:tab/>
        <w:t>Members of family</w:t>
      </w:r>
      <w:bookmarkEnd w:id="1238"/>
      <w:bookmarkEnd w:id="1239"/>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240" w:name="_Toc161401545"/>
      <w:bookmarkStart w:id="1241" w:name="_Toc154754042"/>
      <w:r>
        <w:rPr>
          <w:rStyle w:val="CharSectno"/>
        </w:rPr>
        <w:t>259</w:t>
      </w:r>
      <w:r>
        <w:t>.</w:t>
      </w:r>
      <w:r>
        <w:tab/>
        <w:t>Relevant consolidation transaction</w:t>
      </w:r>
      <w:bookmarkEnd w:id="1240"/>
      <w:bookmarkEnd w:id="1241"/>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1242" w:name="_Toc161401546"/>
      <w:bookmarkStart w:id="1243" w:name="_Toc154754043"/>
      <w:r>
        <w:rPr>
          <w:rStyle w:val="CharSectno"/>
        </w:rPr>
        <w:t>260</w:t>
      </w:r>
      <w:r>
        <w:t>.</w:t>
      </w:r>
      <w:r>
        <w:tab/>
        <w:t>Relevant reconstruction transaction</w:t>
      </w:r>
      <w:bookmarkEnd w:id="1242"/>
      <w:bookmarkEnd w:id="1243"/>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pPr>
      <w:r>
        <w:tab/>
        <w:t>(1B)</w:t>
      </w:r>
      <w:r>
        <w:tab/>
        <w:t xml:space="preserve">For the purposes of subsection (1)(d), an acquisition of an interest in an entity by one member of a family is taken to be an acquisition from another member of the family if — </w:t>
      </w:r>
    </w:p>
    <w:p>
      <w:pPr>
        <w:pStyle w:val="Indenta"/>
      </w:pPr>
      <w:r>
        <w:tab/>
        <w:t>(a)</w:t>
      </w:r>
      <w:r>
        <w:tab/>
        <w:t>the interest of the other member of the family in the entity is decreased because of the acquisition; or</w:t>
      </w:r>
    </w:p>
    <w:p>
      <w:pPr>
        <w:pStyle w:val="Indenta"/>
      </w:pPr>
      <w:r>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1244" w:name="_Toc161401547"/>
      <w:bookmarkStart w:id="1245" w:name="_Toc154754044"/>
      <w:r>
        <w:rPr>
          <w:rStyle w:val="CharSectno"/>
        </w:rPr>
        <w:t>260A</w:t>
      </w:r>
      <w:r>
        <w:t>.</w:t>
      </w:r>
      <w:r>
        <w:tab/>
        <w:t>Consideration provided as loan</w:t>
      </w:r>
      <w:bookmarkEnd w:id="1244"/>
      <w:bookmarkEnd w:id="1245"/>
    </w:p>
    <w:p>
      <w:pPr>
        <w:pStyle w:val="Subsection"/>
      </w:pPr>
      <w:r>
        <w:tab/>
      </w:r>
      <w:r>
        <w:tab/>
        <w:t>For the purposes of sections 259(5) and 260(5), consideration provided by a person other than a member of the family is taken to have been provided by a member of the family if the Commissioner is satisfied that the consideration was provided 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1246" w:name="_Toc161401548"/>
      <w:bookmarkStart w:id="1247" w:name="_Toc154754045"/>
      <w:r>
        <w:rPr>
          <w:rStyle w:val="CharSectno"/>
        </w:rPr>
        <w:t>261</w:t>
      </w:r>
      <w:r>
        <w:t>.</w:t>
      </w:r>
      <w:r>
        <w:tab/>
        <w:t>Predetermining certain questions</w:t>
      </w:r>
      <w:bookmarkEnd w:id="1246"/>
      <w:bookmarkEnd w:id="1247"/>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1248" w:name="_Toc161401549"/>
      <w:bookmarkStart w:id="1249" w:name="_Toc154754046"/>
      <w:r>
        <w:rPr>
          <w:rStyle w:val="CharSectno"/>
        </w:rPr>
        <w:t>262</w:t>
      </w:r>
      <w:r>
        <w:t>.</w:t>
      </w:r>
      <w:r>
        <w:tab/>
        <w:t>Application for exemption</w:t>
      </w:r>
      <w:bookmarkEnd w:id="1248"/>
      <w:bookmarkEnd w:id="1249"/>
    </w:p>
    <w:p>
      <w:pPr>
        <w:pStyle w:val="Subsection"/>
        <w:keepNext/>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1250" w:name="_Toc161401550"/>
      <w:bookmarkStart w:id="1251" w:name="_Toc154754047"/>
      <w:r>
        <w:rPr>
          <w:rStyle w:val="CharSectno"/>
        </w:rPr>
        <w:t>263</w:t>
      </w:r>
      <w:r>
        <w:t>.</w:t>
      </w:r>
      <w:r>
        <w:tab/>
        <w:t>Grant of exemption</w:t>
      </w:r>
      <w:bookmarkEnd w:id="1250"/>
      <w:bookmarkEnd w:id="1251"/>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keepNext/>
      </w:pPr>
      <w:r>
        <w:tab/>
        <w:t>(4)</w:t>
      </w:r>
      <w:r>
        <w:tab/>
        <w:t xml:space="preserve">An exemption cannot be granted in relation to a relevant transaction if — </w:t>
      </w:r>
    </w:p>
    <w:p>
      <w:pPr>
        <w:pStyle w:val="Indenta"/>
      </w:pPr>
      <w:r>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1252" w:name="_Toc161401551"/>
      <w:bookmarkStart w:id="1253" w:name="_Toc154754048"/>
      <w:r>
        <w:rPr>
          <w:rStyle w:val="CharSectno"/>
        </w:rPr>
        <w:t>264</w:t>
      </w:r>
      <w:r>
        <w:t>.</w:t>
      </w:r>
      <w:r>
        <w:tab/>
        <w:t>Commissioner to be notified of certain events after exempt relevant transaction</w:t>
      </w:r>
      <w:bookmarkEnd w:id="1252"/>
      <w:bookmarkEnd w:id="1253"/>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keepNext/>
      </w:pPr>
      <w:r>
        <w:rPr>
          <w:b/>
        </w:rPr>
        <w:tab/>
      </w:r>
      <w:r>
        <w:rPr>
          <w:rStyle w:val="CharDefText"/>
        </w:rPr>
        <w:t>responsible person</w:t>
      </w:r>
      <w:r>
        <w:t xml:space="preserve"> means —</w:t>
      </w:r>
    </w:p>
    <w:p>
      <w:pPr>
        <w:pStyle w:val="Defpara"/>
        <w:keepNext/>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1254" w:name="_Toc161401552"/>
      <w:bookmarkStart w:id="1255" w:name="_Toc154754049"/>
      <w:r>
        <w:rPr>
          <w:rStyle w:val="CharSectno"/>
        </w:rPr>
        <w:t>264A</w:t>
      </w:r>
      <w:r>
        <w:t>.</w:t>
      </w:r>
      <w:r>
        <w:tab/>
        <w:t>Automatic revocation of exemption</w:t>
      </w:r>
      <w:bookmarkEnd w:id="1254"/>
      <w:bookmarkEnd w:id="1255"/>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1256" w:name="_Toc161401553"/>
      <w:bookmarkStart w:id="1257" w:name="_Toc154754050"/>
      <w:r>
        <w:rPr>
          <w:rStyle w:val="CharSectno"/>
        </w:rPr>
        <w:t>265</w:t>
      </w:r>
      <w:r>
        <w:t>.</w:t>
      </w:r>
      <w:r>
        <w:tab/>
        <w:t>Revocation of exemption by Commissioner</w:t>
      </w:r>
      <w:bookmarkEnd w:id="1256"/>
      <w:bookmarkEnd w:id="1257"/>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1258" w:name="_Toc161401554"/>
      <w:bookmarkStart w:id="1259" w:name="_Toc154754051"/>
      <w:r>
        <w:rPr>
          <w:rStyle w:val="CharSectno"/>
        </w:rPr>
        <w:t>266</w:t>
      </w:r>
      <w:r>
        <w:t>.</w:t>
      </w:r>
      <w:r>
        <w:tab/>
        <w:t>Liability for duty and tax if exemption revoked</w:t>
      </w:r>
      <w:bookmarkEnd w:id="1258"/>
      <w:bookmarkEnd w:id="1259"/>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1260" w:name="_Toc161401555"/>
      <w:bookmarkStart w:id="1261" w:name="_Toc154754052"/>
      <w:r>
        <w:rPr>
          <w:rStyle w:val="CharSectno"/>
        </w:rPr>
        <w:t>266A</w:t>
      </w:r>
      <w:r>
        <w:t>.</w:t>
      </w:r>
      <w:r>
        <w:tab/>
        <w:t>Reduction of duty following automatic revocation or refusal of exemption</w:t>
      </w:r>
      <w:bookmarkEnd w:id="1260"/>
      <w:bookmarkEnd w:id="1261"/>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an exemption application is made in accordance with section 262 for a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1262" w:name="_Toc161401556"/>
      <w:bookmarkStart w:id="1263" w:name="_Toc154754053"/>
      <w:r>
        <w:rPr>
          <w:rStyle w:val="CharSectno"/>
        </w:rPr>
        <w:t>266B</w:t>
      </w:r>
      <w:r>
        <w:t>.</w:t>
      </w:r>
      <w:r>
        <w:tab/>
        <w:t>Reduction of duty following automatic revocation or refusal of exemption resulting from relevant acquisition</w:t>
      </w:r>
      <w:bookmarkEnd w:id="1262"/>
      <w:bookmarkEnd w:id="1263"/>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The duty assessed on a relevant reconstruction transaction is to be reduced in accordance with subsection (3) if — </w:t>
      </w:r>
    </w:p>
    <w:p>
      <w:pPr>
        <w:pStyle w:val="Indenta"/>
        <w:keepNext/>
      </w:pPr>
      <w:r>
        <w:tab/>
        <w:t>(a)</w:t>
      </w:r>
      <w:r>
        <w:tab/>
        <w:t xml:space="preserve">either of the following occurs — </w:t>
      </w:r>
    </w:p>
    <w:p>
      <w:pPr>
        <w:pStyle w:val="Indenti"/>
      </w:pPr>
      <w:r>
        <w:tab/>
        <w:t>(i)</w:t>
      </w:r>
      <w:r>
        <w:tab/>
        <w:t>an exemption is granted for the relevant reconstruction transaction but the exemption is 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tab/>
        <w:t>(b)</w:t>
      </w:r>
      <w:r>
        <w:tab/>
        <w:t>the amount of landholder duty that is chargeable on the triggering acquisition, to the extent that the duty is chargeable in relation to relevant property.</w:t>
      </w:r>
    </w:p>
    <w:p>
      <w:pPr>
        <w:pStyle w:val="Subsection"/>
      </w:pPr>
      <w:r>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1264" w:name="_Toc161401557"/>
      <w:bookmarkStart w:id="1265" w:name="_Toc154754054"/>
      <w:r>
        <w:rPr>
          <w:rStyle w:val="CharSectno"/>
        </w:rPr>
        <w:t>266C</w:t>
      </w:r>
      <w:r>
        <w:t>.</w:t>
      </w:r>
      <w:r>
        <w:tab/>
        <w:t>Property in relation to which landholder duty taken to be chargeable for s. 266B</w:t>
      </w:r>
      <w:bookmarkEnd w:id="1264"/>
      <w:bookmarkEnd w:id="1265"/>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pPr>
        <w:pStyle w:val="Subsection"/>
      </w:pPr>
      <w:r>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1266" w:name="_Toc161401558"/>
      <w:bookmarkStart w:id="1267" w:name="_Toc154754055"/>
      <w:r>
        <w:rPr>
          <w:rStyle w:val="CharSectno"/>
        </w:rPr>
        <w:t>266D</w:t>
      </w:r>
      <w:r>
        <w:t>.</w:t>
      </w:r>
      <w:r>
        <w:tab/>
        <w:t>Application of s. 266B and 266C to foreign transfer duty and foreign landholder duty</w:t>
      </w:r>
      <w:bookmarkEnd w:id="1266"/>
      <w:bookmarkEnd w:id="1267"/>
    </w:p>
    <w:p>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tab/>
        <w:t>(c)</w:t>
      </w:r>
      <w:r>
        <w:tab/>
        <w:t>a reference to a landholder were a reference to a residential landholder (as defined in section 205ZD(1)); and</w:t>
      </w:r>
    </w:p>
    <w:p>
      <w:pPr>
        <w:pStyle w:val="Indenta"/>
      </w:pPr>
      <w:r>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rPr>
          <w:ins w:id="1268" w:author="Master Repository Process" w:date="2025-06-09T09:56:00Z"/>
        </w:rPr>
      </w:pPr>
      <w:bookmarkStart w:id="1269" w:name="_Toc161400901"/>
      <w:bookmarkStart w:id="1270" w:name="_Toc161401559"/>
      <w:ins w:id="1271" w:author="Master Repository Process" w:date="2025-06-09T09:56:00Z">
        <w:r>
          <w:rPr>
            <w:rStyle w:val="CharPartNo"/>
          </w:rPr>
          <w:t>Chapter 6A</w:t>
        </w:r>
        <w:r>
          <w:t> — </w:t>
        </w:r>
        <w:r>
          <w:rPr>
            <w:rStyle w:val="CharPartText"/>
          </w:rPr>
          <w:t>Off</w:t>
        </w:r>
        <w:r>
          <w:rPr>
            <w:rStyle w:val="CharPartText"/>
          </w:rPr>
          <w:noBreakHyphen/>
          <w:t>the</w:t>
        </w:r>
        <w:r>
          <w:rPr>
            <w:rStyle w:val="CharPartText"/>
          </w:rPr>
          <w:noBreakHyphen/>
          <w:t>plan concession for transfer duty and foreign transfer duty</w:t>
        </w:r>
        <w:bookmarkEnd w:id="1269"/>
        <w:bookmarkEnd w:id="1270"/>
      </w:ins>
    </w:p>
    <w:p>
      <w:pPr>
        <w:pStyle w:val="Footnoteheading"/>
        <w:rPr>
          <w:ins w:id="1272" w:author="Master Repository Process" w:date="2025-06-09T09:56:00Z"/>
        </w:rPr>
      </w:pPr>
      <w:ins w:id="1273" w:author="Master Repository Process" w:date="2025-06-09T09:56:00Z">
        <w:r>
          <w:tab/>
          <w:t>[Heading inserted: No. 29 of 2023 s. 8.]</w:t>
        </w:r>
      </w:ins>
    </w:p>
    <w:p>
      <w:pPr>
        <w:pStyle w:val="Heading5"/>
        <w:rPr>
          <w:ins w:id="1274" w:author="Master Repository Process" w:date="2025-06-09T09:56:00Z"/>
        </w:rPr>
      </w:pPr>
      <w:bookmarkStart w:id="1275" w:name="_Toc161401560"/>
      <w:ins w:id="1276" w:author="Master Repository Process" w:date="2025-06-09T09:56:00Z">
        <w:r>
          <w:rPr>
            <w:rStyle w:val="CharSectno"/>
          </w:rPr>
          <w:t>266E</w:t>
        </w:r>
        <w:r>
          <w:t>.</w:t>
        </w:r>
        <w:r>
          <w:tab/>
          <w:t>Terms used</w:t>
        </w:r>
        <w:bookmarkEnd w:id="1275"/>
      </w:ins>
    </w:p>
    <w:p>
      <w:pPr>
        <w:pStyle w:val="Subsection"/>
        <w:rPr>
          <w:ins w:id="1277" w:author="Master Repository Process" w:date="2025-06-09T09:56:00Z"/>
        </w:rPr>
      </w:pPr>
      <w:ins w:id="1278" w:author="Master Repository Process" w:date="2025-06-09T09:56:00Z">
        <w:r>
          <w:tab/>
        </w:r>
        <w:r>
          <w:tab/>
          <w:t xml:space="preserve">In this Chapter — </w:t>
        </w:r>
      </w:ins>
    </w:p>
    <w:p>
      <w:pPr>
        <w:pStyle w:val="Defstart"/>
        <w:rPr>
          <w:ins w:id="1279" w:author="Master Repository Process" w:date="2025-06-09T09:56:00Z"/>
        </w:rPr>
      </w:pPr>
      <w:ins w:id="1280" w:author="Master Repository Process" w:date="2025-06-09T09:56:00Z">
        <w:r>
          <w:tab/>
        </w:r>
        <w:r>
          <w:rPr>
            <w:rStyle w:val="CharDefText"/>
          </w:rPr>
          <w:t>cancelled transaction</w:t>
        </w:r>
        <w:r>
          <w:t xml:space="preserve"> has the meaning given in section 107(1);</w:t>
        </w:r>
      </w:ins>
    </w:p>
    <w:p>
      <w:pPr>
        <w:pStyle w:val="Defstart"/>
        <w:rPr>
          <w:ins w:id="1281" w:author="Master Repository Process" w:date="2025-06-09T09:56:00Z"/>
        </w:rPr>
      </w:pPr>
      <w:ins w:id="1282" w:author="Master Repository Process" w:date="2025-06-09T09:56:00Z">
        <w:r>
          <w:tab/>
        </w:r>
        <w:r>
          <w:rPr>
            <w:rStyle w:val="CharDefText"/>
          </w:rPr>
          <w:t>community titles (building) scheme</w:t>
        </w:r>
        <w:r>
          <w:t xml:space="preserve"> has the meaning given in the </w:t>
        </w:r>
        <w:r>
          <w:rPr>
            <w:i/>
          </w:rPr>
          <w:t>Community Titles Act 2018</w:t>
        </w:r>
        <w:r>
          <w:t xml:space="preserve"> section 11(7);</w:t>
        </w:r>
      </w:ins>
    </w:p>
    <w:p>
      <w:pPr>
        <w:pStyle w:val="Defstart"/>
        <w:rPr>
          <w:ins w:id="1283" w:author="Master Repository Process" w:date="2025-06-09T09:56:00Z"/>
        </w:rPr>
      </w:pPr>
      <w:ins w:id="1284" w:author="Master Repository Process" w:date="2025-06-09T09:56:00Z">
        <w:r>
          <w:tab/>
        </w:r>
        <w:r>
          <w:rPr>
            <w:rStyle w:val="CharDefText"/>
          </w:rPr>
          <w:t>concessional off</w:t>
        </w:r>
        <w:r>
          <w:rPr>
            <w:rStyle w:val="CharDefText"/>
          </w:rPr>
          <w:noBreakHyphen/>
          <w:t>the</w:t>
        </w:r>
        <w:r>
          <w:rPr>
            <w:rStyle w:val="CharDefText"/>
          </w:rPr>
          <w:noBreakHyphen/>
          <w:t>plan agreement</w:t>
        </w:r>
        <w:r>
          <w:t xml:space="preserve"> means — </w:t>
        </w:r>
      </w:ins>
    </w:p>
    <w:p>
      <w:pPr>
        <w:pStyle w:val="Defpara"/>
        <w:rPr>
          <w:ins w:id="1285" w:author="Master Repository Process" w:date="2025-06-09T09:56:00Z"/>
        </w:rPr>
      </w:pPr>
      <w:ins w:id="1286" w:author="Master Repository Process" w:date="2025-06-09T09:56:00Z">
        <w:r>
          <w:tab/>
          <w:t>(a)</w:t>
        </w:r>
        <w:r>
          <w:tab/>
          <w:t>a concessional pre</w:t>
        </w:r>
        <w:r>
          <w:noBreakHyphen/>
          <w:t>construction agreement; or</w:t>
        </w:r>
      </w:ins>
    </w:p>
    <w:p>
      <w:pPr>
        <w:pStyle w:val="Defpara"/>
        <w:rPr>
          <w:ins w:id="1287" w:author="Master Repository Process" w:date="2025-06-09T09:56:00Z"/>
        </w:rPr>
      </w:pPr>
      <w:ins w:id="1288" w:author="Master Repository Process" w:date="2025-06-09T09:56:00Z">
        <w:r>
          <w:tab/>
          <w:t>(b)</w:t>
        </w:r>
        <w:r>
          <w:tab/>
          <w:t>a concessional under construction agreement;</w:t>
        </w:r>
      </w:ins>
    </w:p>
    <w:p>
      <w:pPr>
        <w:pStyle w:val="Defstart"/>
        <w:rPr>
          <w:ins w:id="1289" w:author="Master Repository Process" w:date="2025-06-09T09:56:00Z"/>
        </w:rPr>
      </w:pPr>
      <w:ins w:id="1290" w:author="Master Repository Process" w:date="2025-06-09T09:56:00Z">
        <w:r>
          <w:tab/>
        </w:r>
        <w:r>
          <w:rPr>
            <w:rStyle w:val="CharDefText"/>
          </w:rPr>
          <w:t>concessional pre</w:t>
        </w:r>
        <w:r>
          <w:rPr>
            <w:rStyle w:val="CharDefText"/>
          </w:rPr>
          <w:noBreakHyphen/>
          <w:t>construction agreement</w:t>
        </w:r>
        <w:r>
          <w:t xml:space="preserve"> has the meaning given in section 266F;</w:t>
        </w:r>
      </w:ins>
    </w:p>
    <w:p>
      <w:pPr>
        <w:pStyle w:val="Defstart"/>
        <w:rPr>
          <w:ins w:id="1291" w:author="Master Repository Process" w:date="2025-06-09T09:56:00Z"/>
        </w:rPr>
      </w:pPr>
      <w:ins w:id="1292" w:author="Master Repository Process" w:date="2025-06-09T09:56:00Z">
        <w:r>
          <w:tab/>
        </w:r>
        <w:r>
          <w:rPr>
            <w:rStyle w:val="CharDefText"/>
          </w:rPr>
          <w:t>concessional under construction agreement</w:t>
        </w:r>
        <w:r>
          <w:t xml:space="preserve"> has the meaning given in section 266FA;</w:t>
        </w:r>
      </w:ins>
    </w:p>
    <w:p>
      <w:pPr>
        <w:pStyle w:val="Defstart"/>
        <w:rPr>
          <w:ins w:id="1293" w:author="Master Repository Process" w:date="2025-06-09T09:56:00Z"/>
        </w:rPr>
      </w:pPr>
      <w:ins w:id="1294" w:author="Master Repository Process" w:date="2025-06-09T09:56:00Z">
        <w:r>
          <w:tab/>
        </w:r>
        <w:r>
          <w:rPr>
            <w:rStyle w:val="CharDefText"/>
          </w:rPr>
          <w:t>concession amount</w:t>
        </w:r>
        <w:r>
          <w:t>, for a concessional off</w:t>
        </w:r>
        <w:r>
          <w:noBreakHyphen/>
          <w:t>the</w:t>
        </w:r>
        <w:r>
          <w:noBreakHyphen/>
          <w:t>plan agreement, means the concession amount for the agreement determined under sections 266L to 266N;</w:t>
        </w:r>
      </w:ins>
    </w:p>
    <w:p>
      <w:pPr>
        <w:pStyle w:val="Defstart"/>
        <w:rPr>
          <w:ins w:id="1295" w:author="Master Repository Process" w:date="2025-06-09T09:56:00Z"/>
        </w:rPr>
      </w:pPr>
      <w:ins w:id="1296" w:author="Master Repository Process" w:date="2025-06-09T09:56:00Z">
        <w:r>
          <w:tab/>
        </w:r>
        <w:r>
          <w:rPr>
            <w:rStyle w:val="CharDefText"/>
          </w:rPr>
          <w:t>concession day</w:t>
        </w:r>
        <w:r>
          <w:t>, in relation to a concessional off</w:t>
        </w:r>
        <w:r>
          <w:noBreakHyphen/>
          <w:t>the</w:t>
        </w:r>
        <w:r>
          <w:noBreakHyphen/>
          <w:t>plan agreement, has the meaning given in section 266H;</w:t>
        </w:r>
      </w:ins>
    </w:p>
    <w:p>
      <w:pPr>
        <w:pStyle w:val="Defstart"/>
        <w:rPr>
          <w:ins w:id="1297" w:author="Master Repository Process" w:date="2025-06-09T09:56:00Z"/>
        </w:rPr>
      </w:pPr>
      <w:ins w:id="1298" w:author="Master Repository Process" w:date="2025-06-09T09:56:00Z">
        <w:r>
          <w:tab/>
        </w:r>
        <w:r>
          <w:rPr>
            <w:rStyle w:val="CharDefText"/>
          </w:rPr>
          <w:t>dutiable value</w:t>
        </w:r>
        <w:r>
          <w:t xml:space="preserve"> has the meaning given in section 9;</w:t>
        </w:r>
      </w:ins>
    </w:p>
    <w:p>
      <w:pPr>
        <w:pStyle w:val="Defstart"/>
        <w:rPr>
          <w:ins w:id="1299" w:author="Master Repository Process" w:date="2025-06-09T09:56:00Z"/>
        </w:rPr>
      </w:pPr>
      <w:ins w:id="1300" w:author="Master Repository Process" w:date="2025-06-09T09:56:00Z">
        <w:r>
          <w:tab/>
        </w:r>
        <w:r>
          <w:rPr>
            <w:rStyle w:val="CharDefText"/>
          </w:rPr>
          <w:t>lot</w:t>
        </w:r>
        <w:r>
          <w:t xml:space="preserve"> — </w:t>
        </w:r>
      </w:ins>
    </w:p>
    <w:p>
      <w:pPr>
        <w:pStyle w:val="Defpara"/>
        <w:rPr>
          <w:ins w:id="1301" w:author="Master Repository Process" w:date="2025-06-09T09:56:00Z"/>
        </w:rPr>
      </w:pPr>
      <w:ins w:id="1302" w:author="Master Repository Process" w:date="2025-06-09T09:56:00Z">
        <w:r>
          <w:tab/>
          <w:t>(a)</w:t>
        </w:r>
        <w:r>
          <w:tab/>
          <w:t xml:space="preserve">in relation to a strata scheme — means a lot in a strata scheme as defined in the </w:t>
        </w:r>
        <w:r>
          <w:rPr>
            <w:i/>
          </w:rPr>
          <w:t>Strata Titles Act 1985</w:t>
        </w:r>
        <w:r>
          <w:t xml:space="preserve"> section 3(1); or</w:t>
        </w:r>
      </w:ins>
    </w:p>
    <w:p>
      <w:pPr>
        <w:pStyle w:val="Defpara"/>
        <w:rPr>
          <w:ins w:id="1303" w:author="Master Repository Process" w:date="2025-06-09T09:56:00Z"/>
        </w:rPr>
      </w:pPr>
      <w:ins w:id="1304" w:author="Master Repository Process" w:date="2025-06-09T09:56:00Z">
        <w:r>
          <w:tab/>
          <w:t>(b)</w:t>
        </w:r>
        <w:r>
          <w:tab/>
          <w:t xml:space="preserve">in relation to a community titles (building) scheme — has the meaning given in the </w:t>
        </w:r>
        <w:r>
          <w:rPr>
            <w:i/>
          </w:rPr>
          <w:t>Community Titles Act 2018</w:t>
        </w:r>
        <w:r>
          <w:t xml:space="preserve"> section 3(1);</w:t>
        </w:r>
      </w:ins>
    </w:p>
    <w:p>
      <w:pPr>
        <w:pStyle w:val="Defstart"/>
        <w:rPr>
          <w:ins w:id="1305" w:author="Master Repository Process" w:date="2025-06-09T09:56:00Z"/>
        </w:rPr>
      </w:pPr>
      <w:ins w:id="1306" w:author="Master Repository Process" w:date="2025-06-09T09:56:00Z">
        <w:r>
          <w:tab/>
        </w:r>
        <w:r>
          <w:rPr>
            <w:rStyle w:val="CharDefText"/>
          </w:rPr>
          <w:t>multi</w:t>
        </w:r>
        <w:r>
          <w:rPr>
            <w:rStyle w:val="CharDefText"/>
          </w:rPr>
          <w:noBreakHyphen/>
          <w:t>tiered scheme</w:t>
        </w:r>
        <w:r>
          <w:t xml:space="preserve"> means a strata scheme or a community titles (building) scheme, other than a strata scheme or community titles (building scheme) in which no part of a floor of a lot or part of a lot in a building forms or joins the ceiling of another lot or part of a lot in a building;</w:t>
        </w:r>
      </w:ins>
    </w:p>
    <w:p>
      <w:pPr>
        <w:pStyle w:val="Defstart"/>
        <w:rPr>
          <w:ins w:id="1307" w:author="Master Repository Process" w:date="2025-06-09T09:56:00Z"/>
        </w:rPr>
      </w:pPr>
      <w:ins w:id="1308" w:author="Master Repository Process" w:date="2025-06-09T09:56:00Z">
        <w:r>
          <w:tab/>
        </w:r>
        <w:r>
          <w:rPr>
            <w:rStyle w:val="CharDefText"/>
          </w:rPr>
          <w:t>new residential unit or apartment</w:t>
        </w:r>
        <w:r>
          <w:t xml:space="preserve"> has the meaning given in section 266G(1) and (2);</w:t>
        </w:r>
      </w:ins>
    </w:p>
    <w:p>
      <w:pPr>
        <w:pStyle w:val="Defstart"/>
        <w:rPr>
          <w:ins w:id="1309" w:author="Master Repository Process" w:date="2025-06-09T09:56:00Z"/>
        </w:rPr>
      </w:pPr>
      <w:ins w:id="1310" w:author="Master Repository Process" w:date="2025-06-09T09:56:00Z">
        <w:r>
          <w:tab/>
        </w:r>
        <w:r>
          <w:rPr>
            <w:rStyle w:val="CharDefText"/>
          </w:rPr>
          <w:t>Off</w:t>
        </w:r>
        <w:r>
          <w:rPr>
            <w:rStyle w:val="CharDefText"/>
          </w:rPr>
          <w:noBreakHyphen/>
          <w:t>the</w:t>
        </w:r>
        <w:r>
          <w:rPr>
            <w:rStyle w:val="CharDefText"/>
          </w:rPr>
          <w:noBreakHyphen/>
          <w:t>Plan Duty Rebate Scheme</w:t>
        </w:r>
        <w:r>
          <w:t xml:space="preserve"> means the administrative scheme for the payment of rebates on duty known as the Off</w:t>
        </w:r>
        <w:r>
          <w:noBreakHyphen/>
          <w:t>the</w:t>
        </w:r>
        <w:r>
          <w:noBreakHyphen/>
          <w:t>Plan Duty Rebate Scheme;</w:t>
        </w:r>
      </w:ins>
    </w:p>
    <w:p>
      <w:pPr>
        <w:pStyle w:val="Defstart"/>
        <w:rPr>
          <w:ins w:id="1311" w:author="Master Repository Process" w:date="2025-06-09T09:56:00Z"/>
        </w:rPr>
      </w:pPr>
      <w:ins w:id="1312" w:author="Master Repository Process" w:date="2025-06-09T09:56:00Z">
        <w:r>
          <w:tab/>
        </w:r>
        <w:r>
          <w:rPr>
            <w:rStyle w:val="CharDefText"/>
          </w:rPr>
          <w:t>replacement transaction</w:t>
        </w:r>
        <w:r>
          <w:t>, in relation to a cancelled transaction, has the meaning given in section 107(1);</w:t>
        </w:r>
      </w:ins>
    </w:p>
    <w:p>
      <w:pPr>
        <w:pStyle w:val="Defstart"/>
        <w:rPr>
          <w:ins w:id="1313" w:author="Master Repository Process" w:date="2025-06-09T09:56:00Z"/>
        </w:rPr>
      </w:pPr>
      <w:ins w:id="1314" w:author="Master Repository Process" w:date="2025-06-09T09:56:00Z">
        <w:r>
          <w:tab/>
        </w:r>
        <w:r>
          <w:rPr>
            <w:rStyle w:val="CharDefText"/>
          </w:rPr>
          <w:t>strata scheme</w:t>
        </w:r>
        <w:r>
          <w:t xml:space="preserve"> has the meaning given in the </w:t>
        </w:r>
        <w:r>
          <w:rPr>
            <w:i/>
          </w:rPr>
          <w:t>Strata Titles Act 1985</w:t>
        </w:r>
        <w:r>
          <w:t xml:space="preserve"> section 9;</w:t>
        </w:r>
      </w:ins>
    </w:p>
    <w:p>
      <w:pPr>
        <w:pStyle w:val="Defstart"/>
        <w:rPr>
          <w:ins w:id="1315" w:author="Master Repository Process" w:date="2025-06-09T09:56:00Z"/>
        </w:rPr>
      </w:pPr>
      <w:ins w:id="1316" w:author="Master Repository Process" w:date="2025-06-09T09:56:00Z">
        <w:r>
          <w:tab/>
        </w:r>
        <w:r>
          <w:rPr>
            <w:rStyle w:val="CharDefText"/>
          </w:rPr>
          <w:t>subsale transaction</w:t>
        </w:r>
        <w:r>
          <w:t>, in relation to a cancelled transaction, has the meaning given in section 107(1);</w:t>
        </w:r>
      </w:ins>
    </w:p>
    <w:p>
      <w:pPr>
        <w:pStyle w:val="Defstart"/>
        <w:rPr>
          <w:ins w:id="1317" w:author="Master Repository Process" w:date="2025-06-09T09:56:00Z"/>
        </w:rPr>
      </w:pPr>
      <w:ins w:id="1318" w:author="Master Repository Process" w:date="2025-06-09T09:56:00Z">
        <w:r>
          <w:tab/>
        </w:r>
        <w:r>
          <w:rPr>
            <w:rStyle w:val="CharDefText"/>
          </w:rPr>
          <w:t>unadjusted duty amount</w:t>
        </w:r>
        <w:r>
          <w:t>, in relation to a concessional off</w:t>
        </w:r>
        <w:r>
          <w:noBreakHyphen/>
          <w:t>the</w:t>
        </w:r>
        <w:r>
          <w:noBreakHyphen/>
          <w:t>plan agreement, has the meaning given in section 266I.</w:t>
        </w:r>
      </w:ins>
    </w:p>
    <w:p>
      <w:pPr>
        <w:pStyle w:val="Footnotesection"/>
        <w:rPr>
          <w:ins w:id="1319" w:author="Master Repository Process" w:date="2025-06-09T09:56:00Z"/>
        </w:rPr>
      </w:pPr>
      <w:ins w:id="1320" w:author="Master Repository Process" w:date="2025-06-09T09:56:00Z">
        <w:r>
          <w:tab/>
          <w:t>[Section 266E inserted: No. 29 of 2023 s. 8.]</w:t>
        </w:r>
      </w:ins>
    </w:p>
    <w:p>
      <w:pPr>
        <w:pStyle w:val="Heading5"/>
        <w:rPr>
          <w:ins w:id="1321" w:author="Master Repository Process" w:date="2025-06-09T09:56:00Z"/>
        </w:rPr>
      </w:pPr>
      <w:bookmarkStart w:id="1322" w:name="_Toc161401561"/>
      <w:ins w:id="1323" w:author="Master Repository Process" w:date="2025-06-09T09:56:00Z">
        <w:r>
          <w:rPr>
            <w:rStyle w:val="CharSectno"/>
          </w:rPr>
          <w:t>266F</w:t>
        </w:r>
        <w:r>
          <w:t>.</w:t>
        </w:r>
        <w:r>
          <w:tab/>
          <w:t>Concessional pre</w:t>
        </w:r>
        <w:r>
          <w:noBreakHyphen/>
          <w:t>construction agreement</w:t>
        </w:r>
        <w:bookmarkEnd w:id="1322"/>
      </w:ins>
    </w:p>
    <w:p>
      <w:pPr>
        <w:pStyle w:val="Subsection"/>
        <w:rPr>
          <w:ins w:id="1324" w:author="Master Repository Process" w:date="2025-06-09T09:56:00Z"/>
        </w:rPr>
      </w:pPr>
      <w:ins w:id="1325" w:author="Master Repository Process" w:date="2025-06-09T09:56:00Z">
        <w:r>
          <w:tab/>
          <w:t>(1)</w:t>
        </w:r>
        <w:r>
          <w:tab/>
          <w:t xml:space="preserve">An agreement for the transfer of dutiable property is a </w:t>
        </w:r>
        <w:r>
          <w:rPr>
            <w:rStyle w:val="CharDefText"/>
          </w:rPr>
          <w:t>concessional pre</w:t>
        </w:r>
        <w:r>
          <w:rPr>
            <w:rStyle w:val="CharDefText"/>
          </w:rPr>
          <w:noBreakHyphen/>
          <w:t>construction agreement</w:t>
        </w:r>
        <w:r>
          <w:t xml:space="preserve"> if the agreement is — </w:t>
        </w:r>
      </w:ins>
    </w:p>
    <w:p>
      <w:pPr>
        <w:pStyle w:val="Indenta"/>
        <w:rPr>
          <w:ins w:id="1326" w:author="Master Repository Process" w:date="2025-06-09T09:56:00Z"/>
        </w:rPr>
      </w:pPr>
      <w:ins w:id="1327" w:author="Master Repository Process" w:date="2025-06-09T09:56:00Z">
        <w:r>
          <w:tab/>
          <w:t>(a)</w:t>
        </w:r>
        <w:r>
          <w:tab/>
          <w:t>an agreement for the purchase, from the owner of land to be subdivided by the registration of a multi</w:t>
        </w:r>
        <w:r>
          <w:noBreakHyphen/>
          <w:t>tiered scheme or an amendment of a multi</w:t>
        </w:r>
        <w:r>
          <w:noBreakHyphen/>
          <w:t>tiered scheme, of a lot in the scheme on which there will be a new residential unit or apartment; and</w:t>
        </w:r>
      </w:ins>
    </w:p>
    <w:p>
      <w:pPr>
        <w:pStyle w:val="Indenta"/>
        <w:rPr>
          <w:ins w:id="1328" w:author="Master Repository Process" w:date="2025-06-09T09:56:00Z"/>
        </w:rPr>
      </w:pPr>
      <w:ins w:id="1329" w:author="Master Repository Process" w:date="2025-06-09T09:56:00Z">
        <w:r>
          <w:tab/>
          <w:t>(b)</w:t>
        </w:r>
        <w:r>
          <w:tab/>
          <w:t>entered into before development for the subdivision commences; and</w:t>
        </w:r>
      </w:ins>
    </w:p>
    <w:p>
      <w:pPr>
        <w:pStyle w:val="Indenta"/>
        <w:rPr>
          <w:ins w:id="1330" w:author="Master Repository Process" w:date="2025-06-09T09:56:00Z"/>
        </w:rPr>
      </w:pPr>
      <w:ins w:id="1331" w:author="Master Repository Process" w:date="2025-06-09T09:56:00Z">
        <w:r>
          <w:tab/>
          <w:t>(c)</w:t>
        </w:r>
        <w:r>
          <w:tab/>
          <w:t>entered into in the period beginning on 23 October 2019 and ending on 30 June 2025.</w:t>
        </w:r>
      </w:ins>
    </w:p>
    <w:p>
      <w:pPr>
        <w:pStyle w:val="Subsection"/>
        <w:keepNext/>
        <w:rPr>
          <w:ins w:id="1332" w:author="Master Repository Process" w:date="2025-06-09T09:56:00Z"/>
        </w:rPr>
      </w:pPr>
      <w:ins w:id="1333" w:author="Master Repository Process" w:date="2025-06-09T09:56:00Z">
        <w:r>
          <w:tab/>
          <w:t>(2)</w:t>
        </w:r>
        <w:r>
          <w:tab/>
          <w:t xml:space="preserve">An agreement (the </w:t>
        </w:r>
        <w:r>
          <w:rPr>
            <w:rStyle w:val="CharDefText"/>
          </w:rPr>
          <w:t>new agreement</w:t>
        </w:r>
        <w:r>
          <w:t xml:space="preserve">) for the transfer of dutiable property is also a </w:t>
        </w:r>
        <w:r>
          <w:rPr>
            <w:rStyle w:val="CharDefText"/>
          </w:rPr>
          <w:t>concessional pre</w:t>
        </w:r>
        <w:r>
          <w:rPr>
            <w:rStyle w:val="CharDefText"/>
          </w:rPr>
          <w:noBreakHyphen/>
          <w:t>construction agreement</w:t>
        </w:r>
        <w:r>
          <w:t xml:space="preserve"> if the new agreement is — </w:t>
        </w:r>
      </w:ins>
    </w:p>
    <w:p>
      <w:pPr>
        <w:pStyle w:val="Indenta"/>
        <w:rPr>
          <w:ins w:id="1334" w:author="Master Repository Process" w:date="2025-06-09T09:56:00Z"/>
        </w:rPr>
      </w:pPr>
      <w:ins w:id="1335" w:author="Master Repository Process" w:date="2025-06-09T09:56:00Z">
        <w:r>
          <w:tab/>
          <w:t>(a)</w:t>
        </w:r>
        <w:r>
          <w:tab/>
          <w:t>an agreement for the purchase, from the owner of land to be subdivided by the registration of a multi</w:t>
        </w:r>
        <w:r>
          <w:noBreakHyphen/>
          <w:t>tiered scheme or an amendment of a multi</w:t>
        </w:r>
        <w:r>
          <w:noBreakHyphen/>
          <w:t>tiered scheme, of a lot in the scheme on which there will be a new residential unit or apartment; and</w:t>
        </w:r>
      </w:ins>
    </w:p>
    <w:p>
      <w:pPr>
        <w:pStyle w:val="Indenta"/>
        <w:rPr>
          <w:ins w:id="1336" w:author="Master Repository Process" w:date="2025-06-09T09:56:00Z"/>
        </w:rPr>
      </w:pPr>
      <w:ins w:id="1337" w:author="Master Repository Process" w:date="2025-06-09T09:56:00Z">
        <w:r>
          <w:tab/>
          <w:t>(b)</w:t>
        </w:r>
        <w:r>
          <w:tab/>
          <w:t xml:space="preserve">substantially similar in effect to an earlier cancelled transaction that — </w:t>
        </w:r>
      </w:ins>
    </w:p>
    <w:p>
      <w:pPr>
        <w:pStyle w:val="Indenti"/>
        <w:rPr>
          <w:ins w:id="1338" w:author="Master Repository Process" w:date="2025-06-09T09:56:00Z"/>
        </w:rPr>
      </w:pPr>
      <w:ins w:id="1339" w:author="Master Repository Process" w:date="2025-06-09T09:56:00Z">
        <w:r>
          <w:tab/>
          <w:t>(i)</w:t>
        </w:r>
        <w:r>
          <w:tab/>
          <w:t>was a concessional pre</w:t>
        </w:r>
        <w:r>
          <w:noBreakHyphen/>
          <w:t>construction agreement under subsection (1); and</w:t>
        </w:r>
      </w:ins>
    </w:p>
    <w:p>
      <w:pPr>
        <w:pStyle w:val="Indenti"/>
        <w:rPr>
          <w:ins w:id="1340" w:author="Master Repository Process" w:date="2025-06-09T09:56:00Z"/>
        </w:rPr>
      </w:pPr>
      <w:ins w:id="1341" w:author="Master Repository Process" w:date="2025-06-09T09:56:00Z">
        <w:r>
          <w:tab/>
          <w:t>(ii)</w:t>
        </w:r>
        <w:r>
          <w:tab/>
          <w:t>was between all of the same parties as the parties to the new agreement, except that the seller was different;</w:t>
        </w:r>
      </w:ins>
    </w:p>
    <w:p>
      <w:pPr>
        <w:pStyle w:val="Indenta"/>
        <w:rPr>
          <w:ins w:id="1342" w:author="Master Repository Process" w:date="2025-06-09T09:56:00Z"/>
        </w:rPr>
      </w:pPr>
      <w:ins w:id="1343" w:author="Master Repository Process" w:date="2025-06-09T09:56:00Z">
        <w:r>
          <w:tab/>
        </w:r>
        <w:r>
          <w:tab/>
          <w:t>and</w:t>
        </w:r>
      </w:ins>
    </w:p>
    <w:p>
      <w:pPr>
        <w:pStyle w:val="Indenta"/>
        <w:rPr>
          <w:ins w:id="1344" w:author="Master Repository Process" w:date="2025-06-09T09:56:00Z"/>
        </w:rPr>
      </w:pPr>
      <w:ins w:id="1345" w:author="Master Repository Process" w:date="2025-06-09T09:56:00Z">
        <w:r>
          <w:tab/>
          <w:t>(c)</w:t>
        </w:r>
        <w:r>
          <w:tab/>
          <w:t>entered into after development for the subdivision commences, but before development for the subdivision is completed.</w:t>
        </w:r>
      </w:ins>
    </w:p>
    <w:p>
      <w:pPr>
        <w:pStyle w:val="Subsection"/>
        <w:rPr>
          <w:ins w:id="1346" w:author="Master Repository Process" w:date="2025-06-09T09:56:00Z"/>
        </w:rPr>
      </w:pPr>
      <w:ins w:id="1347" w:author="Master Repository Process" w:date="2025-06-09T09:56:00Z">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t>concessional pre</w:t>
        </w:r>
        <w:r>
          <w:rPr>
            <w:rStyle w:val="CharDefText"/>
          </w:rPr>
          <w:noBreakHyphen/>
          <w:t>construction agreement</w:t>
        </w:r>
        <w:r>
          <w:t xml:space="preserve"> — </w:t>
        </w:r>
      </w:ins>
    </w:p>
    <w:p>
      <w:pPr>
        <w:pStyle w:val="Indenta"/>
        <w:rPr>
          <w:ins w:id="1348" w:author="Master Repository Process" w:date="2025-06-09T09:56:00Z"/>
        </w:rPr>
      </w:pPr>
      <w:ins w:id="1349" w:author="Master Repository Process" w:date="2025-06-09T09:56:00Z">
        <w:r>
          <w:tab/>
          <w:t>(a)</w:t>
        </w:r>
        <w:r>
          <w:tab/>
          <w:t>if a rebate has been paid in relation to the relevant agreement under the Off</w:t>
        </w:r>
        <w:r>
          <w:noBreakHyphen/>
          <w:t>the</w:t>
        </w:r>
        <w:r>
          <w:noBreakHyphen/>
          <w:t>Plan Duty Rebate Scheme; or</w:t>
        </w:r>
      </w:ins>
    </w:p>
    <w:p>
      <w:pPr>
        <w:pStyle w:val="Indenta"/>
        <w:rPr>
          <w:ins w:id="1350" w:author="Master Repository Process" w:date="2025-06-09T09:56:00Z"/>
        </w:rPr>
      </w:pPr>
      <w:ins w:id="1351" w:author="Master Repository Process" w:date="2025-06-09T09:56:00Z">
        <w:r>
          <w:tab/>
          <w:t>(b)</w:t>
        </w:r>
        <w:r>
          <w:tab/>
          <w:t xml:space="preserve">if — </w:t>
        </w:r>
      </w:ins>
    </w:p>
    <w:p>
      <w:pPr>
        <w:pStyle w:val="Indenti"/>
        <w:rPr>
          <w:ins w:id="1352" w:author="Master Repository Process" w:date="2025-06-09T09:56:00Z"/>
        </w:rPr>
      </w:pPr>
      <w:ins w:id="1353" w:author="Master Repository Process" w:date="2025-06-09T09:56:00Z">
        <w:r>
          <w:tab/>
          <w:t>(i)</w:t>
        </w:r>
        <w:r>
          <w:tab/>
          <w:t>development for the subdivision of the land by the registration of the multi</w:t>
        </w:r>
        <w:r>
          <w:noBreakHyphen/>
          <w:t>tiered scheme, or the amendment of the multi</w:t>
        </w:r>
        <w:r>
          <w:noBreakHyphen/>
          <w:t>tiered scheme, is completed before 31 August 2023; and</w:t>
        </w:r>
      </w:ins>
    </w:p>
    <w:p>
      <w:pPr>
        <w:pStyle w:val="Indenti"/>
        <w:rPr>
          <w:ins w:id="1354" w:author="Master Repository Process" w:date="2025-06-09T09:56:00Z"/>
        </w:rPr>
      </w:pPr>
      <w:ins w:id="1355" w:author="Master Repository Process" w:date="2025-06-09T09:56:00Z">
        <w:r>
          <w:tab/>
          <w:t>(ii)</w:t>
        </w:r>
        <w:r>
          <w:tab/>
          <w:t>the eligibility criteria for payment of a rebate under the Off</w:t>
        </w:r>
        <w:r>
          <w:noBreakHyphen/>
          <w:t>the</w:t>
        </w:r>
        <w:r>
          <w:noBreakHyphen/>
          <w:t>Plan Duty Rebate Scheme are not satisfied in relation to the relevant agreement;</w:t>
        </w:r>
      </w:ins>
    </w:p>
    <w:p>
      <w:pPr>
        <w:pStyle w:val="Indenta"/>
        <w:rPr>
          <w:ins w:id="1356" w:author="Master Repository Process" w:date="2025-06-09T09:56:00Z"/>
        </w:rPr>
      </w:pPr>
      <w:ins w:id="1357" w:author="Master Repository Process" w:date="2025-06-09T09:56:00Z">
        <w:r>
          <w:tab/>
        </w:r>
        <w:r>
          <w:tab/>
          <w:t>or</w:t>
        </w:r>
      </w:ins>
    </w:p>
    <w:p>
      <w:pPr>
        <w:pStyle w:val="Indenta"/>
        <w:rPr>
          <w:ins w:id="1358" w:author="Master Repository Process" w:date="2025-06-09T09:56:00Z"/>
        </w:rPr>
      </w:pPr>
      <w:ins w:id="1359" w:author="Master Repository Process" w:date="2025-06-09T09:56:00Z">
        <w:r>
          <w:tab/>
          <w:t>(c)</w:t>
        </w:r>
        <w:r>
          <w:tab/>
          <w:t>if the relevant agreement is a replacement transaction in relation to a cancelled transaction; or</w:t>
        </w:r>
      </w:ins>
    </w:p>
    <w:p>
      <w:pPr>
        <w:pStyle w:val="Indenta"/>
        <w:rPr>
          <w:ins w:id="1360" w:author="Master Repository Process" w:date="2025-06-09T09:56:00Z"/>
        </w:rPr>
      </w:pPr>
      <w:ins w:id="1361" w:author="Master Repository Process" w:date="2025-06-09T09:56:00Z">
        <w:r>
          <w:tab/>
          <w:t>(d)</w:t>
        </w:r>
        <w:r>
          <w:tab/>
          <w:t>if the relevant agreement is a subsale transaction in relation to a cancelled transaction that was a concessional pre</w:t>
        </w:r>
        <w:r>
          <w:noBreakHyphen/>
          <w:t>construction agreement; or</w:t>
        </w:r>
      </w:ins>
    </w:p>
    <w:p>
      <w:pPr>
        <w:pStyle w:val="Indenta"/>
        <w:rPr>
          <w:ins w:id="1362" w:author="Master Repository Process" w:date="2025-06-09T09:56:00Z"/>
        </w:rPr>
      </w:pPr>
      <w:ins w:id="1363" w:author="Master Repository Process" w:date="2025-06-09T09:56:00Z">
        <w:r>
          <w:tab/>
          <w:t>(e)</w:t>
        </w:r>
        <w:r>
          <w:tab/>
          <w:t xml:space="preserve">if — </w:t>
        </w:r>
      </w:ins>
    </w:p>
    <w:p>
      <w:pPr>
        <w:pStyle w:val="Indenti"/>
        <w:rPr>
          <w:ins w:id="1364" w:author="Master Repository Process" w:date="2025-06-09T09:56:00Z"/>
        </w:rPr>
      </w:pPr>
      <w:ins w:id="1365" w:author="Master Repository Process" w:date="2025-06-09T09:56:00Z">
        <w:r>
          <w:tab/>
          <w:t>(i)</w:t>
        </w:r>
        <w:r>
          <w:tab/>
          <w:t>the relevant agreement is between all of the same parties as the parties to, and is substantially similar in effect to, an earlier cancelled transaction; and</w:t>
        </w:r>
      </w:ins>
    </w:p>
    <w:p>
      <w:pPr>
        <w:pStyle w:val="Indenti"/>
        <w:rPr>
          <w:ins w:id="1366" w:author="Master Repository Process" w:date="2025-06-09T09:56:00Z"/>
        </w:rPr>
      </w:pPr>
      <w:ins w:id="1367" w:author="Master Repository Process" w:date="2025-06-09T09:56:00Z">
        <w:r>
          <w:tab/>
          <w:t>(ii)</w:t>
        </w:r>
        <w:r>
          <w:tab/>
          <w:t>in the opinion of the Commissioner, the sole or dominant purpose of any party in entering into the relevant agreement is to obtain a rebate, or a higher amount of rebate, under the Off</w:t>
        </w:r>
        <w:r>
          <w:noBreakHyphen/>
          <w:t>the</w:t>
        </w:r>
        <w:r>
          <w:noBreakHyphen/>
          <w:t>Plan Duty Rebate Scheme;</w:t>
        </w:r>
      </w:ins>
    </w:p>
    <w:p>
      <w:pPr>
        <w:pStyle w:val="Indenta"/>
        <w:rPr>
          <w:ins w:id="1368" w:author="Master Repository Process" w:date="2025-06-09T09:56:00Z"/>
        </w:rPr>
      </w:pPr>
      <w:ins w:id="1369" w:author="Master Repository Process" w:date="2025-06-09T09:56:00Z">
        <w:r>
          <w:tab/>
        </w:r>
        <w:r>
          <w:tab/>
          <w:t>or</w:t>
        </w:r>
      </w:ins>
    </w:p>
    <w:p>
      <w:pPr>
        <w:pStyle w:val="Indenta"/>
        <w:rPr>
          <w:ins w:id="1370" w:author="Master Repository Process" w:date="2025-06-09T09:56:00Z"/>
        </w:rPr>
      </w:pPr>
      <w:ins w:id="1371" w:author="Master Repository Process" w:date="2025-06-09T09:56:00Z">
        <w:r>
          <w:tab/>
          <w:t>(f)</w:t>
        </w:r>
        <w:r>
          <w:tab/>
          <w:t xml:space="preserve">if the relevant agreement is substantially similar in effect to an earlier cancelled transaction that — </w:t>
        </w:r>
      </w:ins>
    </w:p>
    <w:p>
      <w:pPr>
        <w:pStyle w:val="Indenti"/>
        <w:rPr>
          <w:ins w:id="1372" w:author="Master Repository Process" w:date="2025-06-09T09:56:00Z"/>
        </w:rPr>
      </w:pPr>
      <w:ins w:id="1373" w:author="Master Repository Process" w:date="2025-06-09T09:56:00Z">
        <w:r>
          <w:tab/>
          <w:t>(i)</w:t>
        </w:r>
        <w:r>
          <w:tab/>
          <w:t>was between all of the same parties as the parties to the relevant agreement, except that the seller was different; and</w:t>
        </w:r>
      </w:ins>
    </w:p>
    <w:p>
      <w:pPr>
        <w:pStyle w:val="Indenti"/>
        <w:rPr>
          <w:ins w:id="1374" w:author="Master Repository Process" w:date="2025-06-09T09:56:00Z"/>
        </w:rPr>
      </w:pPr>
      <w:ins w:id="1375" w:author="Master Repository Process" w:date="2025-06-09T09:56:00Z">
        <w:r>
          <w:tab/>
          <w:t>(ii)</w:t>
        </w:r>
        <w:r>
          <w:tab/>
          <w:t>was entered into before 23 October 2019.</w:t>
        </w:r>
      </w:ins>
    </w:p>
    <w:p>
      <w:pPr>
        <w:pStyle w:val="Subsection"/>
        <w:rPr>
          <w:ins w:id="1376" w:author="Master Repository Process" w:date="2025-06-09T09:56:00Z"/>
        </w:rPr>
      </w:pPr>
      <w:ins w:id="1377" w:author="Master Repository Process" w:date="2025-06-09T09:56:00Z">
        <w:r>
          <w:tab/>
          <w:t>(4)</w:t>
        </w:r>
        <w:r>
          <w:tab/>
          <w:t>For the purposes of subsection (3)(b)(ii), the eligibility criteria for payment of a rebate under the Off</w:t>
        </w:r>
        <w:r>
          <w:noBreakHyphen/>
          <w:t>the</w:t>
        </w:r>
        <w:r>
          <w:noBreakHyphen/>
          <w:t>Plan Duty Rebate Scheme are taken to be the criteria set out in the application form entitled “Form FDA49 — Off</w:t>
        </w:r>
        <w:r>
          <w:noBreakHyphen/>
          <w:t>the</w:t>
        </w:r>
        <w:r>
          <w:noBreakHyphen/>
          <w:t>Plan Rebate: Pre</w:t>
        </w:r>
        <w:r>
          <w:noBreakHyphen/>
          <w:t>construction Contract” as published on the Commissioner’s website on 31 August 2023.</w:t>
        </w:r>
      </w:ins>
    </w:p>
    <w:p>
      <w:pPr>
        <w:pStyle w:val="Subsection"/>
        <w:rPr>
          <w:ins w:id="1378" w:author="Master Repository Process" w:date="2025-06-09T09:56:00Z"/>
        </w:rPr>
      </w:pPr>
      <w:ins w:id="1379" w:author="Master Repository Process" w:date="2025-06-09T09:56:00Z">
        <w:r>
          <w:tab/>
          <w:t>(5)</w:t>
        </w:r>
        <w:r>
          <w:tab/>
          <w:t>The Commissioner must ensure that the form referred to in subsection (4) remains published on the Commissioner’s website.</w:t>
        </w:r>
      </w:ins>
    </w:p>
    <w:p>
      <w:pPr>
        <w:pStyle w:val="Footnotesection"/>
        <w:rPr>
          <w:ins w:id="1380" w:author="Master Repository Process" w:date="2025-06-09T09:56:00Z"/>
        </w:rPr>
      </w:pPr>
      <w:ins w:id="1381" w:author="Master Repository Process" w:date="2025-06-09T09:56:00Z">
        <w:r>
          <w:tab/>
          <w:t>[Section 266F inserted: No. 29 of 2023 s. 8.]</w:t>
        </w:r>
      </w:ins>
    </w:p>
    <w:p>
      <w:pPr>
        <w:pStyle w:val="Heading5"/>
        <w:rPr>
          <w:ins w:id="1382" w:author="Master Repository Process" w:date="2025-06-09T09:56:00Z"/>
        </w:rPr>
      </w:pPr>
      <w:bookmarkStart w:id="1383" w:name="_Toc161401562"/>
      <w:ins w:id="1384" w:author="Master Repository Process" w:date="2025-06-09T09:56:00Z">
        <w:r>
          <w:rPr>
            <w:rStyle w:val="CharSectno"/>
          </w:rPr>
          <w:t>266FA</w:t>
        </w:r>
        <w:r>
          <w:t>.</w:t>
        </w:r>
        <w:r>
          <w:tab/>
          <w:t>Concessional under construction agreement</w:t>
        </w:r>
        <w:bookmarkEnd w:id="1383"/>
      </w:ins>
    </w:p>
    <w:p>
      <w:pPr>
        <w:pStyle w:val="Subsection"/>
        <w:rPr>
          <w:ins w:id="1385" w:author="Master Repository Process" w:date="2025-06-09T09:56:00Z"/>
        </w:rPr>
      </w:pPr>
      <w:ins w:id="1386" w:author="Master Repository Process" w:date="2025-06-09T09:56:00Z">
        <w:r>
          <w:tab/>
          <w:t>(1)</w:t>
        </w:r>
        <w:r>
          <w:tab/>
          <w:t xml:space="preserve">An agreement for the transfer of dutiable property is a </w:t>
        </w:r>
        <w:r>
          <w:rPr>
            <w:rStyle w:val="CharDefText"/>
          </w:rPr>
          <w:t>concessional under construction agreement</w:t>
        </w:r>
        <w:r>
          <w:t xml:space="preserve"> if the agreement is — </w:t>
        </w:r>
      </w:ins>
    </w:p>
    <w:p>
      <w:pPr>
        <w:pStyle w:val="Indenta"/>
        <w:rPr>
          <w:ins w:id="1387" w:author="Master Repository Process" w:date="2025-06-09T09:56:00Z"/>
        </w:rPr>
      </w:pPr>
      <w:ins w:id="1388" w:author="Master Repository Process" w:date="2025-06-09T09:56:00Z">
        <w:r>
          <w:tab/>
          <w:t>(a)</w:t>
        </w:r>
        <w:r>
          <w:tab/>
          <w:t>an agreement for the purchase, from the owner of land to be subdivided by the registration of a multi</w:t>
        </w:r>
        <w:r>
          <w:noBreakHyphen/>
          <w:t>tiered scheme or an amendment of a multi</w:t>
        </w:r>
        <w:r>
          <w:noBreakHyphen/>
          <w:t>tiered scheme, of a lot in the scheme on which there will be a new residential unit or apartment; and</w:t>
        </w:r>
      </w:ins>
    </w:p>
    <w:p>
      <w:pPr>
        <w:pStyle w:val="Indenta"/>
        <w:rPr>
          <w:ins w:id="1389" w:author="Master Repository Process" w:date="2025-06-09T09:56:00Z"/>
        </w:rPr>
      </w:pPr>
      <w:ins w:id="1390" w:author="Master Repository Process" w:date="2025-06-09T09:56:00Z">
        <w:r>
          <w:tab/>
          <w:t>(b)</w:t>
        </w:r>
        <w:r>
          <w:tab/>
          <w:t>entered into after development for the subdivision commences, but before development for the subdivision is completed; and</w:t>
        </w:r>
      </w:ins>
    </w:p>
    <w:p>
      <w:pPr>
        <w:pStyle w:val="Indenta"/>
        <w:rPr>
          <w:ins w:id="1391" w:author="Master Repository Process" w:date="2025-06-09T09:56:00Z"/>
        </w:rPr>
      </w:pPr>
      <w:ins w:id="1392" w:author="Master Repository Process" w:date="2025-06-09T09:56:00Z">
        <w:r>
          <w:tab/>
          <w:t>(c)</w:t>
        </w:r>
        <w:r>
          <w:tab/>
          <w:t>entered into in the period beginning on 31 August 2023 and ending on 30 June 2025.</w:t>
        </w:r>
      </w:ins>
    </w:p>
    <w:p>
      <w:pPr>
        <w:pStyle w:val="Subsection"/>
        <w:rPr>
          <w:ins w:id="1393" w:author="Master Repository Process" w:date="2025-06-09T09:56:00Z"/>
        </w:rPr>
      </w:pPr>
      <w:ins w:id="1394" w:author="Master Repository Process" w:date="2025-06-09T09:56:00Z">
        <w:r>
          <w:tab/>
          <w:t>(2)</w:t>
        </w:r>
        <w:r>
          <w:tab/>
          <w:t xml:space="preserve">An agreement (the </w:t>
        </w:r>
        <w:r>
          <w:rPr>
            <w:rStyle w:val="CharDefText"/>
          </w:rPr>
          <w:t>new agreement</w:t>
        </w:r>
        <w:r>
          <w:t xml:space="preserve">) for the transfer of dutiable property is also a </w:t>
        </w:r>
        <w:r>
          <w:rPr>
            <w:rStyle w:val="CharDefText"/>
          </w:rPr>
          <w:t>concessional under construction agreement</w:t>
        </w:r>
        <w:r>
          <w:t xml:space="preserve"> if — </w:t>
        </w:r>
      </w:ins>
    </w:p>
    <w:p>
      <w:pPr>
        <w:pStyle w:val="Indenta"/>
        <w:rPr>
          <w:ins w:id="1395" w:author="Master Repository Process" w:date="2025-06-09T09:56:00Z"/>
        </w:rPr>
      </w:pPr>
      <w:ins w:id="1396" w:author="Master Repository Process" w:date="2025-06-09T09:56:00Z">
        <w:r>
          <w:tab/>
          <w:t>(a)</w:t>
        </w:r>
        <w:r>
          <w:tab/>
          <w:t>subsection (1)(a) and (b) apply to the new agreement; and</w:t>
        </w:r>
      </w:ins>
    </w:p>
    <w:p>
      <w:pPr>
        <w:pStyle w:val="Indenta"/>
        <w:rPr>
          <w:ins w:id="1397" w:author="Master Repository Process" w:date="2025-06-09T09:56:00Z"/>
        </w:rPr>
      </w:pPr>
      <w:ins w:id="1398" w:author="Master Repository Process" w:date="2025-06-09T09:56:00Z">
        <w:r>
          <w:tab/>
          <w:t>(b)</w:t>
        </w:r>
        <w:r>
          <w:tab/>
          <w:t xml:space="preserve">the new agreement is substantially similar in effect to an earlier cancelled transaction that — </w:t>
        </w:r>
      </w:ins>
    </w:p>
    <w:p>
      <w:pPr>
        <w:pStyle w:val="Indenti"/>
        <w:rPr>
          <w:ins w:id="1399" w:author="Master Repository Process" w:date="2025-06-09T09:56:00Z"/>
        </w:rPr>
      </w:pPr>
      <w:ins w:id="1400" w:author="Master Repository Process" w:date="2025-06-09T09:56:00Z">
        <w:r>
          <w:tab/>
          <w:t>(i)</w:t>
        </w:r>
        <w:r>
          <w:tab/>
          <w:t>was a concessional under construction agreement under subsection (1); and</w:t>
        </w:r>
      </w:ins>
    </w:p>
    <w:p>
      <w:pPr>
        <w:pStyle w:val="Indenti"/>
        <w:rPr>
          <w:ins w:id="1401" w:author="Master Repository Process" w:date="2025-06-09T09:56:00Z"/>
        </w:rPr>
      </w:pPr>
      <w:ins w:id="1402" w:author="Master Repository Process" w:date="2025-06-09T09:56:00Z">
        <w:r>
          <w:tab/>
          <w:t>(ii)</w:t>
        </w:r>
        <w:r>
          <w:tab/>
          <w:t>was between all of the same parties as the parties to the new agreement, except that the seller was different.</w:t>
        </w:r>
      </w:ins>
    </w:p>
    <w:p>
      <w:pPr>
        <w:pStyle w:val="Subsection"/>
        <w:rPr>
          <w:ins w:id="1403" w:author="Master Repository Process" w:date="2025-06-09T09:56:00Z"/>
        </w:rPr>
      </w:pPr>
      <w:ins w:id="1404" w:author="Master Repository Process" w:date="2025-06-09T09:56:00Z">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t>concessional under construction agreement</w:t>
        </w:r>
        <w:r>
          <w:t xml:space="preserve"> if the relevant agreement is — </w:t>
        </w:r>
      </w:ins>
    </w:p>
    <w:p>
      <w:pPr>
        <w:pStyle w:val="Indenta"/>
        <w:rPr>
          <w:ins w:id="1405" w:author="Master Repository Process" w:date="2025-06-09T09:56:00Z"/>
        </w:rPr>
      </w:pPr>
      <w:ins w:id="1406" w:author="Master Repository Process" w:date="2025-06-09T09:56:00Z">
        <w:r>
          <w:tab/>
          <w:t>(a)</w:t>
        </w:r>
        <w:r>
          <w:tab/>
          <w:t>a concessional pre</w:t>
        </w:r>
        <w:r>
          <w:noBreakHyphen/>
          <w:t>construction agreement to which section 266F(2) applies; or</w:t>
        </w:r>
      </w:ins>
    </w:p>
    <w:p>
      <w:pPr>
        <w:pStyle w:val="Indenta"/>
        <w:rPr>
          <w:ins w:id="1407" w:author="Master Repository Process" w:date="2025-06-09T09:56:00Z"/>
        </w:rPr>
      </w:pPr>
      <w:ins w:id="1408" w:author="Master Repository Process" w:date="2025-06-09T09:56:00Z">
        <w:r>
          <w:tab/>
          <w:t>(b)</w:t>
        </w:r>
        <w:r>
          <w:tab/>
          <w:t>a replacement transaction in relation to a cancelled transaction; or</w:t>
        </w:r>
      </w:ins>
    </w:p>
    <w:p>
      <w:pPr>
        <w:pStyle w:val="Indenta"/>
        <w:rPr>
          <w:ins w:id="1409" w:author="Master Repository Process" w:date="2025-06-09T09:56:00Z"/>
        </w:rPr>
      </w:pPr>
      <w:ins w:id="1410" w:author="Master Repository Process" w:date="2025-06-09T09:56:00Z">
        <w:r>
          <w:tab/>
          <w:t>(c)</w:t>
        </w:r>
        <w:r>
          <w:tab/>
          <w:t>a subsale transaction in relation to a cancelled transaction that was a concessional off</w:t>
        </w:r>
        <w:r>
          <w:noBreakHyphen/>
          <w:t>the</w:t>
        </w:r>
        <w:r>
          <w:noBreakHyphen/>
          <w:t>plan agreement; or</w:t>
        </w:r>
      </w:ins>
    </w:p>
    <w:p>
      <w:pPr>
        <w:pStyle w:val="Indenta"/>
        <w:rPr>
          <w:ins w:id="1411" w:author="Master Repository Process" w:date="2025-06-09T09:56:00Z"/>
        </w:rPr>
      </w:pPr>
      <w:ins w:id="1412" w:author="Master Repository Process" w:date="2025-06-09T09:56:00Z">
        <w:r>
          <w:tab/>
          <w:t>(d)</w:t>
        </w:r>
        <w:r>
          <w:tab/>
          <w:t xml:space="preserve">substantially similar in effect to an earlier cancelled transaction that — </w:t>
        </w:r>
      </w:ins>
    </w:p>
    <w:p>
      <w:pPr>
        <w:pStyle w:val="Indenti"/>
        <w:rPr>
          <w:ins w:id="1413" w:author="Master Repository Process" w:date="2025-06-09T09:56:00Z"/>
        </w:rPr>
      </w:pPr>
      <w:ins w:id="1414" w:author="Master Repository Process" w:date="2025-06-09T09:56:00Z">
        <w:r>
          <w:tab/>
          <w:t>(i)</w:t>
        </w:r>
        <w:r>
          <w:tab/>
          <w:t>was between all of the same parties as the parties to the relevant agreement, except that the seller was different; and</w:t>
        </w:r>
      </w:ins>
    </w:p>
    <w:p>
      <w:pPr>
        <w:pStyle w:val="Indenti"/>
        <w:rPr>
          <w:ins w:id="1415" w:author="Master Repository Process" w:date="2025-06-09T09:56:00Z"/>
        </w:rPr>
      </w:pPr>
      <w:ins w:id="1416" w:author="Master Repository Process" w:date="2025-06-09T09:56:00Z">
        <w:r>
          <w:tab/>
          <w:t>(ii)</w:t>
        </w:r>
        <w:r>
          <w:tab/>
          <w:t>was entered into before 31 August 2023.</w:t>
        </w:r>
      </w:ins>
    </w:p>
    <w:p>
      <w:pPr>
        <w:pStyle w:val="Footnotesection"/>
        <w:rPr>
          <w:ins w:id="1417" w:author="Master Repository Process" w:date="2025-06-09T09:56:00Z"/>
        </w:rPr>
      </w:pPr>
      <w:ins w:id="1418" w:author="Master Repository Process" w:date="2025-06-09T09:56:00Z">
        <w:r>
          <w:tab/>
          <w:t>[Section 266FA inserted: No. 29 of 2023 s. 8.]</w:t>
        </w:r>
      </w:ins>
    </w:p>
    <w:p>
      <w:pPr>
        <w:pStyle w:val="Heading5"/>
        <w:rPr>
          <w:ins w:id="1419" w:author="Master Repository Process" w:date="2025-06-09T09:56:00Z"/>
        </w:rPr>
      </w:pPr>
      <w:bookmarkStart w:id="1420" w:name="_Toc161401563"/>
      <w:ins w:id="1421" w:author="Master Repository Process" w:date="2025-06-09T09:56:00Z">
        <w:r>
          <w:rPr>
            <w:rStyle w:val="CharSectno"/>
          </w:rPr>
          <w:t>266G</w:t>
        </w:r>
        <w:r>
          <w:t>.</w:t>
        </w:r>
        <w:r>
          <w:tab/>
          <w:t>New residential unit or apartment</w:t>
        </w:r>
        <w:bookmarkEnd w:id="1420"/>
      </w:ins>
    </w:p>
    <w:p>
      <w:pPr>
        <w:pStyle w:val="Subsection"/>
        <w:rPr>
          <w:ins w:id="1422" w:author="Master Repository Process" w:date="2025-06-09T09:56:00Z"/>
        </w:rPr>
      </w:pPr>
      <w:ins w:id="1423" w:author="Master Repository Process" w:date="2025-06-09T09:56:00Z">
        <w:r>
          <w:tab/>
          <w:t>(1)</w:t>
        </w:r>
        <w:r>
          <w:tab/>
          <w:t xml:space="preserve">For the purposes of sections 266F(1)(a) and </w:t>
        </w:r>
        <w:r>
          <w:rPr>
            <w:color w:val="000000" w:themeColor="text1"/>
          </w:rPr>
          <w:t>(2)(a) and 266FA(1)(a),</w:t>
        </w:r>
        <w:r>
          <w:t xml:space="preserve"> a </w:t>
        </w:r>
        <w:r>
          <w:rPr>
            <w:rStyle w:val="CharDefText"/>
          </w:rPr>
          <w:t>new residential unit or apartment</w:t>
        </w:r>
        <w:r>
          <w:t xml:space="preserve"> is a building, or part of a building, that — </w:t>
        </w:r>
      </w:ins>
    </w:p>
    <w:p>
      <w:pPr>
        <w:pStyle w:val="Indenta"/>
        <w:rPr>
          <w:ins w:id="1424" w:author="Master Repository Process" w:date="2025-06-09T09:56:00Z"/>
        </w:rPr>
      </w:pPr>
      <w:ins w:id="1425" w:author="Master Repository Process" w:date="2025-06-09T09:56:00Z">
        <w:r>
          <w:tab/>
          <w:t>(a)</w:t>
        </w:r>
        <w:r>
          <w:tab/>
          <w:t>may lawfully be used as a place of residence; and</w:t>
        </w:r>
      </w:ins>
    </w:p>
    <w:p>
      <w:pPr>
        <w:pStyle w:val="Indenta"/>
        <w:rPr>
          <w:ins w:id="1426" w:author="Master Repository Process" w:date="2025-06-09T09:56:00Z"/>
        </w:rPr>
      </w:pPr>
      <w:ins w:id="1427" w:author="Master Repository Process" w:date="2025-06-09T09:56:00Z">
        <w:r>
          <w:tab/>
          <w:t>(b)</w:t>
        </w:r>
        <w:r>
          <w:tab/>
          <w:t>in the Commissioner’s opinion, is suitable to be used as a place of residence; and</w:t>
        </w:r>
      </w:ins>
    </w:p>
    <w:p>
      <w:pPr>
        <w:pStyle w:val="Indenta"/>
        <w:rPr>
          <w:ins w:id="1428" w:author="Master Repository Process" w:date="2025-06-09T09:56:00Z"/>
        </w:rPr>
      </w:pPr>
      <w:ins w:id="1429" w:author="Master Repository Process" w:date="2025-06-09T09:56:00Z">
        <w:r>
          <w:tab/>
          <w:t>(c)</w:t>
        </w:r>
        <w:r>
          <w:tab/>
          <w:t>is intended to be used solely or dominantly as a place of residence; and</w:t>
        </w:r>
      </w:ins>
    </w:p>
    <w:p>
      <w:pPr>
        <w:pStyle w:val="Indenta"/>
        <w:rPr>
          <w:ins w:id="1430" w:author="Master Repository Process" w:date="2025-06-09T09:56:00Z"/>
        </w:rPr>
      </w:pPr>
      <w:ins w:id="1431" w:author="Master Repository Process" w:date="2025-06-09T09:56:00Z">
        <w:r>
          <w:tab/>
          <w:t>(d)</w:t>
        </w:r>
        <w:r>
          <w:tab/>
          <w:t>is not an existing building or part of an existing building.</w:t>
        </w:r>
      </w:ins>
    </w:p>
    <w:p>
      <w:pPr>
        <w:pStyle w:val="Subsection"/>
        <w:rPr>
          <w:ins w:id="1432" w:author="Master Repository Process" w:date="2025-06-09T09:56:00Z"/>
        </w:rPr>
      </w:pPr>
      <w:ins w:id="1433" w:author="Master Repository Process" w:date="2025-06-09T09:56:00Z">
        <w:r>
          <w:tab/>
          <w:t>(2)</w:t>
        </w:r>
        <w:r>
          <w:tab/>
          <w:t xml:space="preserve">Despite subsection (1), a building or part of a building is not a </w:t>
        </w:r>
        <w:r>
          <w:rPr>
            <w:rStyle w:val="CharDefText"/>
          </w:rPr>
          <w:t>new residential unit or apartment</w:t>
        </w:r>
        <w:r>
          <w:t xml:space="preserve"> if it is — </w:t>
        </w:r>
      </w:ins>
    </w:p>
    <w:p>
      <w:pPr>
        <w:pStyle w:val="Indenta"/>
        <w:rPr>
          <w:ins w:id="1434" w:author="Master Repository Process" w:date="2025-06-09T09:56:00Z"/>
        </w:rPr>
      </w:pPr>
      <w:ins w:id="1435" w:author="Master Repository Process" w:date="2025-06-09T09:56:00Z">
        <w:r>
          <w:tab/>
          <w:t>(a)</w:t>
        </w:r>
        <w:r>
          <w:tab/>
          <w:t>intended to be used as a hotel, motel, hostel, lodging house, boarding house or serviced apartment; or</w:t>
        </w:r>
      </w:ins>
    </w:p>
    <w:p>
      <w:pPr>
        <w:pStyle w:val="Indenta"/>
        <w:rPr>
          <w:ins w:id="1436" w:author="Master Repository Process" w:date="2025-06-09T09:56:00Z"/>
        </w:rPr>
      </w:pPr>
      <w:ins w:id="1437" w:author="Master Repository Process" w:date="2025-06-09T09:56:00Z">
        <w:r>
          <w:tab/>
          <w:t>(b)</w:t>
        </w:r>
        <w:r>
          <w:tab/>
          <w:t>of a prescribed class.</w:t>
        </w:r>
      </w:ins>
    </w:p>
    <w:p>
      <w:pPr>
        <w:pStyle w:val="Subsection"/>
        <w:rPr>
          <w:ins w:id="1438" w:author="Master Repository Process" w:date="2025-06-09T09:56:00Z"/>
        </w:rPr>
      </w:pPr>
      <w:ins w:id="1439" w:author="Master Repository Process" w:date="2025-06-09T09:56:00Z">
        <w:r>
          <w:tab/>
          <w:t>(3)</w:t>
        </w:r>
        <w:r>
          <w:tab/>
          <w:t xml:space="preserve">For the purposes of subsection (1)(d), an </w:t>
        </w:r>
        <w:r>
          <w:rPr>
            <w:rStyle w:val="CharDefText"/>
          </w:rPr>
          <w:t>existing building</w:t>
        </w:r>
        <w:r>
          <w:t xml:space="preserve"> is a building that has already been constructed when development for the subdivision referred to in section 266F(1)(a) or (2)(a) or 266FA(1)(a) (as the case requires) commences, whether or not refurbishment of the building is undertaken as part of that development.</w:t>
        </w:r>
      </w:ins>
    </w:p>
    <w:p>
      <w:pPr>
        <w:pStyle w:val="Footnotesection"/>
        <w:rPr>
          <w:ins w:id="1440" w:author="Master Repository Process" w:date="2025-06-09T09:56:00Z"/>
        </w:rPr>
      </w:pPr>
      <w:ins w:id="1441" w:author="Master Repository Process" w:date="2025-06-09T09:56:00Z">
        <w:r>
          <w:tab/>
          <w:t>[Section 266G inserted: No. 29 of 2023 s. 8.]</w:t>
        </w:r>
      </w:ins>
    </w:p>
    <w:p>
      <w:pPr>
        <w:pStyle w:val="Heading5"/>
        <w:rPr>
          <w:ins w:id="1442" w:author="Master Repository Process" w:date="2025-06-09T09:56:00Z"/>
        </w:rPr>
      </w:pPr>
      <w:bookmarkStart w:id="1443" w:name="_Toc161401564"/>
      <w:ins w:id="1444" w:author="Master Repository Process" w:date="2025-06-09T09:56:00Z">
        <w:r>
          <w:rPr>
            <w:rStyle w:val="CharSectno"/>
          </w:rPr>
          <w:t>266H</w:t>
        </w:r>
        <w:r>
          <w:t>.</w:t>
        </w:r>
        <w:r>
          <w:tab/>
          <w:t>Concession day for agreement</w:t>
        </w:r>
        <w:bookmarkEnd w:id="1443"/>
      </w:ins>
    </w:p>
    <w:p>
      <w:pPr>
        <w:pStyle w:val="Subsection"/>
        <w:rPr>
          <w:ins w:id="1445" w:author="Master Repository Process" w:date="2025-06-09T09:56:00Z"/>
        </w:rPr>
      </w:pPr>
      <w:ins w:id="1446" w:author="Master Repository Process" w:date="2025-06-09T09:56:00Z">
        <w:r>
          <w:tab/>
          <w:t>(1)</w:t>
        </w:r>
        <w:r>
          <w:tab/>
          <w:t xml:space="preserve">The </w:t>
        </w:r>
        <w:r>
          <w:rPr>
            <w:rStyle w:val="CharDefText"/>
          </w:rPr>
          <w:t>concession day</w:t>
        </w:r>
        <w:r>
          <w:t xml:space="preserve"> for a concessional off</w:t>
        </w:r>
        <w:r>
          <w:noBreakHyphen/>
          <w:t>the</w:t>
        </w:r>
        <w:r>
          <w:noBreakHyphen/>
          <w:t xml:space="preserve">plan agreement is — </w:t>
        </w:r>
      </w:ins>
    </w:p>
    <w:p>
      <w:pPr>
        <w:pStyle w:val="Indenta"/>
        <w:rPr>
          <w:ins w:id="1447" w:author="Master Repository Process" w:date="2025-06-09T09:56:00Z"/>
        </w:rPr>
      </w:pPr>
      <w:ins w:id="1448" w:author="Master Repository Process" w:date="2025-06-09T09:56:00Z">
        <w:r>
          <w:tab/>
          <w:t>(a)</w:t>
        </w:r>
        <w:r>
          <w:tab/>
          <w:t>if subsection (2) does not apply — the day on which the agreement is entered into; or</w:t>
        </w:r>
      </w:ins>
    </w:p>
    <w:p>
      <w:pPr>
        <w:pStyle w:val="Indenta"/>
        <w:rPr>
          <w:ins w:id="1449" w:author="Master Repository Process" w:date="2025-06-09T09:56:00Z"/>
        </w:rPr>
      </w:pPr>
      <w:ins w:id="1450" w:author="Master Repository Process" w:date="2025-06-09T09:56:00Z">
        <w:r>
          <w:tab/>
          <w:t>(b)</w:t>
        </w:r>
        <w:r>
          <w:tab/>
          <w:t>if subsection (2) applies — the day on which the cancelled transaction referred to in subsection (2) is entered into.</w:t>
        </w:r>
      </w:ins>
    </w:p>
    <w:p>
      <w:pPr>
        <w:pStyle w:val="Subsection"/>
        <w:rPr>
          <w:ins w:id="1451" w:author="Master Repository Process" w:date="2025-06-09T09:56:00Z"/>
        </w:rPr>
      </w:pPr>
      <w:ins w:id="1452" w:author="Master Repository Process" w:date="2025-06-09T09:56:00Z">
        <w:r>
          <w:tab/>
          <w:t>(2)</w:t>
        </w:r>
        <w:r>
          <w:tab/>
          <w:t>This subsection applies to a concessional off</w:t>
        </w:r>
        <w:r>
          <w:noBreakHyphen/>
          <w:t>the</w:t>
        </w:r>
        <w:r>
          <w:noBreakHyphen/>
          <w:t xml:space="preserve">plan agreement (the </w:t>
        </w:r>
        <w:r>
          <w:rPr>
            <w:rStyle w:val="CharDefText"/>
          </w:rPr>
          <w:t>new agreement</w:t>
        </w:r>
        <w:r>
          <w:t xml:space="preserve">) if the new agreement is substantially similar in effect to an earlier cancelled transaction that — </w:t>
        </w:r>
      </w:ins>
    </w:p>
    <w:p>
      <w:pPr>
        <w:pStyle w:val="Indenta"/>
        <w:rPr>
          <w:ins w:id="1453" w:author="Master Repository Process" w:date="2025-06-09T09:56:00Z"/>
        </w:rPr>
      </w:pPr>
      <w:ins w:id="1454" w:author="Master Repository Process" w:date="2025-06-09T09:56:00Z">
        <w:r>
          <w:tab/>
          <w:t>(a)</w:t>
        </w:r>
        <w:r>
          <w:tab/>
          <w:t xml:space="preserve">was — </w:t>
        </w:r>
      </w:ins>
    </w:p>
    <w:p>
      <w:pPr>
        <w:pStyle w:val="Indenti"/>
        <w:rPr>
          <w:ins w:id="1455" w:author="Master Repository Process" w:date="2025-06-09T09:56:00Z"/>
        </w:rPr>
      </w:pPr>
      <w:ins w:id="1456" w:author="Master Repository Process" w:date="2025-06-09T09:56:00Z">
        <w:r>
          <w:tab/>
          <w:t>(i)</w:t>
        </w:r>
        <w:r>
          <w:tab/>
          <w:t>if the new agreement is a concessional pre</w:t>
        </w:r>
        <w:r>
          <w:noBreakHyphen/>
          <w:t>construction agreement — a concessional pre</w:t>
        </w:r>
        <w:r>
          <w:noBreakHyphen/>
          <w:t>construction agreement under section 266F(1); or</w:t>
        </w:r>
      </w:ins>
    </w:p>
    <w:p>
      <w:pPr>
        <w:pStyle w:val="Indenti"/>
        <w:rPr>
          <w:ins w:id="1457" w:author="Master Repository Process" w:date="2025-06-09T09:56:00Z"/>
        </w:rPr>
      </w:pPr>
      <w:ins w:id="1458" w:author="Master Repository Process" w:date="2025-06-09T09:56:00Z">
        <w:r>
          <w:tab/>
          <w:t>(ii)</w:t>
        </w:r>
        <w:r>
          <w:tab/>
          <w:t>if the new agreement is a concessional under construction agreement — a concessional under construction agreement under section 266FA(1);</w:t>
        </w:r>
      </w:ins>
    </w:p>
    <w:p>
      <w:pPr>
        <w:pStyle w:val="Indenta"/>
        <w:rPr>
          <w:ins w:id="1459" w:author="Master Repository Process" w:date="2025-06-09T09:56:00Z"/>
        </w:rPr>
      </w:pPr>
      <w:ins w:id="1460" w:author="Master Repository Process" w:date="2025-06-09T09:56:00Z">
        <w:r>
          <w:tab/>
        </w:r>
        <w:r>
          <w:tab/>
          <w:t>and</w:t>
        </w:r>
      </w:ins>
    </w:p>
    <w:p>
      <w:pPr>
        <w:pStyle w:val="Indenta"/>
        <w:rPr>
          <w:ins w:id="1461" w:author="Master Repository Process" w:date="2025-06-09T09:56:00Z"/>
        </w:rPr>
      </w:pPr>
      <w:ins w:id="1462" w:author="Master Repository Process" w:date="2025-06-09T09:56:00Z">
        <w:r>
          <w:tab/>
          <w:t>(b)</w:t>
        </w:r>
        <w:r>
          <w:tab/>
          <w:t>was between all of the same parties as the parties to the new agreement, except that the seller was different.</w:t>
        </w:r>
      </w:ins>
    </w:p>
    <w:p>
      <w:pPr>
        <w:pStyle w:val="Subsection"/>
        <w:rPr>
          <w:ins w:id="1463" w:author="Master Repository Process" w:date="2025-06-09T09:56:00Z"/>
        </w:rPr>
      </w:pPr>
      <w:ins w:id="1464" w:author="Master Repository Process" w:date="2025-06-09T09:56:00Z">
        <w:r>
          <w:tab/>
          <w:t>(3)</w:t>
        </w:r>
        <w:r>
          <w:tab/>
          <w:t>If there is more than 1 cancelled transaction of the kind referred to in subsection (2) in relation to a concessional off</w:t>
        </w:r>
        <w:r>
          <w:noBreakHyphen/>
          <w:t>the</w:t>
        </w:r>
        <w:r>
          <w:noBreakHyphen/>
          <w:t>plan agreement, the reference in subsection (1)(b) to the cancelled transaction is a reference to the earliest of those cancelled transactions.</w:t>
        </w:r>
      </w:ins>
    </w:p>
    <w:p>
      <w:pPr>
        <w:pStyle w:val="Footnotesection"/>
        <w:rPr>
          <w:ins w:id="1465" w:author="Master Repository Process" w:date="2025-06-09T09:56:00Z"/>
        </w:rPr>
      </w:pPr>
      <w:ins w:id="1466" w:author="Master Repository Process" w:date="2025-06-09T09:56:00Z">
        <w:r>
          <w:tab/>
          <w:t>[Section 266H inserted: No. 29 of 2023 s. 8.]</w:t>
        </w:r>
      </w:ins>
    </w:p>
    <w:p>
      <w:pPr>
        <w:pStyle w:val="Heading5"/>
        <w:rPr>
          <w:ins w:id="1467" w:author="Master Repository Process" w:date="2025-06-09T09:56:00Z"/>
        </w:rPr>
      </w:pPr>
      <w:bookmarkStart w:id="1468" w:name="_Toc161401565"/>
      <w:ins w:id="1469" w:author="Master Repository Process" w:date="2025-06-09T09:56:00Z">
        <w:r>
          <w:rPr>
            <w:rStyle w:val="CharSectno"/>
          </w:rPr>
          <w:t>266I</w:t>
        </w:r>
        <w:r>
          <w:t>.</w:t>
        </w:r>
        <w:r>
          <w:tab/>
          <w:t>Unadjusted duty amount for agreement</w:t>
        </w:r>
        <w:bookmarkEnd w:id="1468"/>
      </w:ins>
    </w:p>
    <w:p>
      <w:pPr>
        <w:pStyle w:val="Subsection"/>
        <w:rPr>
          <w:ins w:id="1470" w:author="Master Repository Process" w:date="2025-06-09T09:56:00Z"/>
        </w:rPr>
      </w:pPr>
      <w:ins w:id="1471" w:author="Master Repository Process" w:date="2025-06-09T09:56:00Z">
        <w:r>
          <w:tab/>
        </w:r>
        <w:r>
          <w:tab/>
          <w:t xml:space="preserve">The </w:t>
        </w:r>
        <w:r>
          <w:rPr>
            <w:rStyle w:val="CharDefText"/>
          </w:rPr>
          <w:t>unadjusted duty amount</w:t>
        </w:r>
        <w:r>
          <w:t xml:space="preserve"> for a concessional off</w:t>
        </w:r>
        <w:r>
          <w:noBreakHyphen/>
          <w:t>the</w:t>
        </w:r>
        <w:r>
          <w:noBreakHyphen/>
          <w:t xml:space="preserve">plan agreement is — </w:t>
        </w:r>
      </w:ins>
    </w:p>
    <w:p>
      <w:pPr>
        <w:pStyle w:val="Indenta"/>
        <w:rPr>
          <w:ins w:id="1472" w:author="Master Repository Process" w:date="2025-06-09T09:56:00Z"/>
        </w:rPr>
      </w:pPr>
      <w:ins w:id="1473" w:author="Master Repository Process" w:date="2025-06-09T09:56:00Z">
        <w:r>
          <w:tab/>
          <w:t>(a)</w:t>
        </w:r>
        <w:r>
          <w:tab/>
          <w:t>if foreign transfer duty is not payable on the agreement — the amount of transfer duty that would be payable on the agreement if it were not a concessional off</w:t>
        </w:r>
        <w:r>
          <w:noBreakHyphen/>
          <w:t>the</w:t>
        </w:r>
        <w:r>
          <w:noBreakHyphen/>
          <w:t>plan agreement; or</w:t>
        </w:r>
      </w:ins>
    </w:p>
    <w:p>
      <w:pPr>
        <w:pStyle w:val="Indenta"/>
        <w:rPr>
          <w:ins w:id="1474" w:author="Master Repository Process" w:date="2025-06-09T09:56:00Z"/>
        </w:rPr>
      </w:pPr>
      <w:ins w:id="1475" w:author="Master Repository Process" w:date="2025-06-09T09:56:00Z">
        <w:r>
          <w:tab/>
          <w:t>(b)</w:t>
        </w:r>
        <w:r>
          <w:tab/>
          <w:t>if foreign transfer duty is payable on the agreement — the total amount of transfer duty and foreign transfer duty that would be payable on the agreement if it were not a concessional off</w:t>
        </w:r>
        <w:r>
          <w:noBreakHyphen/>
          <w:t>the</w:t>
        </w:r>
        <w:r>
          <w:noBreakHyphen/>
          <w:t>plan agreement.</w:t>
        </w:r>
      </w:ins>
    </w:p>
    <w:p>
      <w:pPr>
        <w:pStyle w:val="Footnotesection"/>
        <w:rPr>
          <w:ins w:id="1476" w:author="Master Repository Process" w:date="2025-06-09T09:56:00Z"/>
        </w:rPr>
      </w:pPr>
      <w:ins w:id="1477" w:author="Master Repository Process" w:date="2025-06-09T09:56:00Z">
        <w:r>
          <w:tab/>
          <w:t>[Section 266I inserted: No. 29 of 2023 s. 8.]</w:t>
        </w:r>
      </w:ins>
    </w:p>
    <w:p>
      <w:pPr>
        <w:pStyle w:val="Heading5"/>
        <w:rPr>
          <w:ins w:id="1478" w:author="Master Repository Process" w:date="2025-06-09T09:56:00Z"/>
        </w:rPr>
      </w:pPr>
      <w:bookmarkStart w:id="1479" w:name="_Toc161401566"/>
      <w:ins w:id="1480" w:author="Master Repository Process" w:date="2025-06-09T09:56:00Z">
        <w:r>
          <w:rPr>
            <w:rStyle w:val="CharSectno"/>
          </w:rPr>
          <w:t>266J</w:t>
        </w:r>
        <w:r>
          <w:t>.</w:t>
        </w:r>
        <w:r>
          <w:tab/>
          <w:t>Determining when development for subdivision of land commences and is completed</w:t>
        </w:r>
        <w:bookmarkEnd w:id="1479"/>
      </w:ins>
    </w:p>
    <w:p>
      <w:pPr>
        <w:pStyle w:val="Subsection"/>
        <w:rPr>
          <w:ins w:id="1481" w:author="Master Repository Process" w:date="2025-06-09T09:56:00Z"/>
        </w:rPr>
      </w:pPr>
      <w:ins w:id="1482" w:author="Master Repository Process" w:date="2025-06-09T09:56:00Z">
        <w:r>
          <w:tab/>
          <w:t>(1)</w:t>
        </w:r>
        <w:r>
          <w:tab/>
          <w:t>This section applies in determining for the purposes of this Chapter when development for the subdivision of land by the registration of a multi</w:t>
        </w:r>
        <w:r>
          <w:noBreakHyphen/>
          <w:t>tiered scheme, or an amendment of a multi</w:t>
        </w:r>
        <w:r>
          <w:noBreakHyphen/>
          <w:t>tiered scheme, commences and is completed.</w:t>
        </w:r>
      </w:ins>
    </w:p>
    <w:p>
      <w:pPr>
        <w:pStyle w:val="Subsection"/>
        <w:rPr>
          <w:ins w:id="1483" w:author="Master Repository Process" w:date="2025-06-09T09:56:00Z"/>
        </w:rPr>
      </w:pPr>
      <w:ins w:id="1484" w:author="Master Repository Process" w:date="2025-06-09T09:56:00Z">
        <w:r>
          <w:tab/>
          <w:t>(2)</w:t>
        </w:r>
        <w:r>
          <w:tab/>
          <w:t>Development commences when relevant construction works commence on the land.</w:t>
        </w:r>
      </w:ins>
    </w:p>
    <w:p>
      <w:pPr>
        <w:pStyle w:val="Subsection"/>
        <w:rPr>
          <w:ins w:id="1485" w:author="Master Repository Process" w:date="2025-06-09T09:56:00Z"/>
        </w:rPr>
      </w:pPr>
      <w:ins w:id="1486" w:author="Master Repository Process" w:date="2025-06-09T09:56:00Z">
        <w:r>
          <w:tab/>
          <w:t>(3)</w:t>
        </w:r>
        <w:r>
          <w:tab/>
          <w:t xml:space="preserve">In subsection (2) — </w:t>
        </w:r>
      </w:ins>
    </w:p>
    <w:p>
      <w:pPr>
        <w:pStyle w:val="Defstart"/>
        <w:rPr>
          <w:ins w:id="1487" w:author="Master Repository Process" w:date="2025-06-09T09:56:00Z"/>
        </w:rPr>
      </w:pPr>
      <w:ins w:id="1488" w:author="Master Repository Process" w:date="2025-06-09T09:56:00Z">
        <w:r>
          <w:tab/>
        </w:r>
        <w:r>
          <w:rPr>
            <w:rStyle w:val="CharDefText"/>
          </w:rPr>
          <w:t>relevant construction works</w:t>
        </w:r>
        <w:r>
          <w:t xml:space="preserve"> — </w:t>
        </w:r>
      </w:ins>
    </w:p>
    <w:p>
      <w:pPr>
        <w:pStyle w:val="Defpara"/>
        <w:rPr>
          <w:ins w:id="1489" w:author="Master Repository Process" w:date="2025-06-09T09:56:00Z"/>
        </w:rPr>
      </w:pPr>
      <w:ins w:id="1490" w:author="Master Repository Process" w:date="2025-06-09T09:56:00Z">
        <w:r>
          <w:tab/>
          <w:t>(a)</w:t>
        </w:r>
        <w:r>
          <w:tab/>
          <w:t>means excavation or works associated with the construction of a building or structure that is necessary for the subdivision; but</w:t>
        </w:r>
      </w:ins>
    </w:p>
    <w:p>
      <w:pPr>
        <w:pStyle w:val="Defpara"/>
        <w:rPr>
          <w:ins w:id="1491" w:author="Master Repository Process" w:date="2025-06-09T09:56:00Z"/>
        </w:rPr>
      </w:pPr>
      <w:ins w:id="1492" w:author="Master Repository Process" w:date="2025-06-09T09:56:00Z">
        <w:r>
          <w:tab/>
          <w:t>(b)</w:t>
        </w:r>
        <w:r>
          <w:tab/>
          <w:t xml:space="preserve">does not include excavation or works consisting of — </w:t>
        </w:r>
      </w:ins>
    </w:p>
    <w:p>
      <w:pPr>
        <w:pStyle w:val="Defsubpara"/>
        <w:rPr>
          <w:ins w:id="1493" w:author="Master Repository Process" w:date="2025-06-09T09:56:00Z"/>
        </w:rPr>
      </w:pPr>
      <w:ins w:id="1494" w:author="Master Repository Process" w:date="2025-06-09T09:56:00Z">
        <w:r>
          <w:tab/>
          <w:t>(i)</w:t>
        </w:r>
        <w:r>
          <w:tab/>
          <w:t>demolishing an existing building or structure; or</w:t>
        </w:r>
      </w:ins>
    </w:p>
    <w:p>
      <w:pPr>
        <w:pStyle w:val="Defsubpara"/>
        <w:rPr>
          <w:ins w:id="1495" w:author="Master Repository Process" w:date="2025-06-09T09:56:00Z"/>
        </w:rPr>
      </w:pPr>
      <w:ins w:id="1496" w:author="Master Repository Process" w:date="2025-06-09T09:56:00Z">
        <w:r>
          <w:tab/>
          <w:t>(ii)</w:t>
        </w:r>
        <w:r>
          <w:tab/>
          <w:t>clearing a site for development; or</w:t>
        </w:r>
      </w:ins>
    </w:p>
    <w:p>
      <w:pPr>
        <w:pStyle w:val="Defsubpara"/>
        <w:rPr>
          <w:ins w:id="1497" w:author="Master Repository Process" w:date="2025-06-09T09:56:00Z"/>
        </w:rPr>
      </w:pPr>
      <w:ins w:id="1498" w:author="Master Repository Process" w:date="2025-06-09T09:56:00Z">
        <w:r>
          <w:tab/>
          <w:t>(iii)</w:t>
        </w:r>
        <w:r>
          <w:tab/>
          <w:t>installing temporary fencing or structures, transportable buildings or advertising materials.</w:t>
        </w:r>
      </w:ins>
    </w:p>
    <w:p>
      <w:pPr>
        <w:pStyle w:val="Subsection"/>
        <w:rPr>
          <w:ins w:id="1499" w:author="Master Repository Process" w:date="2025-06-09T09:56:00Z"/>
        </w:rPr>
      </w:pPr>
      <w:ins w:id="1500" w:author="Master Repository Process" w:date="2025-06-09T09:56:00Z">
        <w:r>
          <w:tab/>
          <w:t>(4)</w:t>
        </w:r>
        <w:r>
          <w:tab/>
          <w:t>Development is completed when the land is subdivided by registration of the multi</w:t>
        </w:r>
        <w:r>
          <w:noBreakHyphen/>
          <w:t>tiered scheme, or the amendment of the multi</w:t>
        </w:r>
        <w:r>
          <w:noBreakHyphen/>
          <w:t xml:space="preserve">tiered scheme, under the </w:t>
        </w:r>
        <w:r>
          <w:rPr>
            <w:i/>
          </w:rPr>
          <w:t>Strata Titles Act 1985</w:t>
        </w:r>
        <w:r>
          <w:t xml:space="preserve"> section 11 or the </w:t>
        </w:r>
        <w:r>
          <w:rPr>
            <w:i/>
          </w:rPr>
          <w:t>Community Titles Act 2018</w:t>
        </w:r>
        <w:r>
          <w:t xml:space="preserve"> section 14 (as the case requires).</w:t>
        </w:r>
      </w:ins>
    </w:p>
    <w:p>
      <w:pPr>
        <w:pStyle w:val="Footnotesection"/>
        <w:rPr>
          <w:ins w:id="1501" w:author="Master Repository Process" w:date="2025-06-09T09:56:00Z"/>
        </w:rPr>
      </w:pPr>
      <w:ins w:id="1502" w:author="Master Repository Process" w:date="2025-06-09T09:56:00Z">
        <w:r>
          <w:tab/>
          <w:t>[Section 266J inserted: No. 29 of 2023 s. 8.]</w:t>
        </w:r>
      </w:ins>
    </w:p>
    <w:p>
      <w:pPr>
        <w:pStyle w:val="Heading5"/>
        <w:rPr>
          <w:ins w:id="1503" w:author="Master Repository Process" w:date="2025-06-09T09:56:00Z"/>
        </w:rPr>
      </w:pPr>
      <w:bookmarkStart w:id="1504" w:name="_Toc161401567"/>
      <w:ins w:id="1505" w:author="Master Repository Process" w:date="2025-06-09T09:56:00Z">
        <w:r>
          <w:rPr>
            <w:rStyle w:val="CharSectno"/>
          </w:rPr>
          <w:t>266K</w:t>
        </w:r>
        <w:r>
          <w:t>.</w:t>
        </w:r>
        <w:r>
          <w:tab/>
          <w:t>Reduction of duty on concessional off</w:t>
        </w:r>
        <w:r>
          <w:noBreakHyphen/>
          <w:t>the</w:t>
        </w:r>
        <w:r>
          <w:noBreakHyphen/>
          <w:t>plan agreement</w:t>
        </w:r>
        <w:bookmarkEnd w:id="1504"/>
      </w:ins>
    </w:p>
    <w:p>
      <w:pPr>
        <w:pStyle w:val="Subsection"/>
        <w:rPr>
          <w:ins w:id="1506" w:author="Master Repository Process" w:date="2025-06-09T09:56:00Z"/>
        </w:rPr>
      </w:pPr>
      <w:ins w:id="1507" w:author="Master Repository Process" w:date="2025-06-09T09:56:00Z">
        <w:r>
          <w:tab/>
          <w:t>(1)</w:t>
        </w:r>
        <w:r>
          <w:tab/>
          <w:t>The amount of transfer duty and (if applicable) foreign transfer duty payable on a concessional off</w:t>
        </w:r>
        <w:r>
          <w:noBreakHyphen/>
          <w:t>the</w:t>
        </w:r>
        <w:r>
          <w:noBreakHyphen/>
          <w:t>plan agreement is to be reduced by the concession amount for the agreement in accordance with this section.</w:t>
        </w:r>
      </w:ins>
    </w:p>
    <w:p>
      <w:pPr>
        <w:pStyle w:val="Subsection"/>
        <w:rPr>
          <w:ins w:id="1508" w:author="Master Repository Process" w:date="2025-06-09T09:56:00Z"/>
        </w:rPr>
      </w:pPr>
      <w:ins w:id="1509" w:author="Master Repository Process" w:date="2025-06-09T09:56:00Z">
        <w:r>
          <w:tab/>
          <w:t>(2)</w:t>
        </w:r>
        <w:r>
          <w:tab/>
          <w:t xml:space="preserve">If foreign transfer duty is not payable on the agreement, the amount of transfer duty payable on the agreement is to be reduced by the concession amount. </w:t>
        </w:r>
      </w:ins>
    </w:p>
    <w:p>
      <w:pPr>
        <w:pStyle w:val="Subsection"/>
        <w:rPr>
          <w:ins w:id="1510" w:author="Master Repository Process" w:date="2025-06-09T09:56:00Z"/>
        </w:rPr>
      </w:pPr>
      <w:ins w:id="1511" w:author="Master Repository Process" w:date="2025-06-09T09:56:00Z">
        <w:r>
          <w:tab/>
          <w:t>(3)</w:t>
        </w:r>
        <w:r>
          <w:tab/>
          <w:t xml:space="preserve">If foreign transfer duty is payable on the agreement, the duty payable is to be reduced as follows — </w:t>
        </w:r>
      </w:ins>
    </w:p>
    <w:p>
      <w:pPr>
        <w:pStyle w:val="Indenta"/>
        <w:rPr>
          <w:ins w:id="1512" w:author="Master Repository Process" w:date="2025-06-09T09:56:00Z"/>
        </w:rPr>
      </w:pPr>
      <w:ins w:id="1513" w:author="Master Repository Process" w:date="2025-06-09T09:56:00Z">
        <w:r>
          <w:tab/>
          <w:t>(a)</w:t>
        </w:r>
        <w:r>
          <w:tab/>
          <w:t>first, the amount of transfer duty payable on the agreement is to be reduced by the concession amount, or by so much of the concession amount as is necessary to reduce the amount of transfer duty payable to zero;</w:t>
        </w:r>
      </w:ins>
    </w:p>
    <w:p>
      <w:pPr>
        <w:pStyle w:val="Indenta"/>
        <w:rPr>
          <w:ins w:id="1514" w:author="Master Repository Process" w:date="2025-06-09T09:56:00Z"/>
        </w:rPr>
      </w:pPr>
      <w:ins w:id="1515" w:author="Master Repository Process" w:date="2025-06-09T09:56:00Z">
        <w:r>
          <w:tab/>
          <w:t>(b)</w:t>
        </w:r>
        <w:r>
          <w:tab/>
          <w:t>second, if there is a remainder of the concession amount after the amount of transfer duty payable is reduced to zero — the foreign transfer duty payable on the agreement is to be reduced by the remainder.</w:t>
        </w:r>
      </w:ins>
    </w:p>
    <w:p>
      <w:pPr>
        <w:pStyle w:val="Footnotesection"/>
        <w:rPr>
          <w:ins w:id="1516" w:author="Master Repository Process" w:date="2025-06-09T09:56:00Z"/>
        </w:rPr>
      </w:pPr>
      <w:ins w:id="1517" w:author="Master Repository Process" w:date="2025-06-09T09:56:00Z">
        <w:r>
          <w:tab/>
          <w:t>[Section 266K inserted: No. 29 of 2023 s. 8.]</w:t>
        </w:r>
      </w:ins>
    </w:p>
    <w:p>
      <w:pPr>
        <w:pStyle w:val="Heading5"/>
        <w:rPr>
          <w:ins w:id="1518" w:author="Master Repository Process" w:date="2025-06-09T09:56:00Z"/>
        </w:rPr>
      </w:pPr>
      <w:bookmarkStart w:id="1519" w:name="_Toc161401568"/>
      <w:ins w:id="1520" w:author="Master Repository Process" w:date="2025-06-09T09:56:00Z">
        <w:r>
          <w:rPr>
            <w:rStyle w:val="CharSectno"/>
          </w:rPr>
          <w:t>266L</w:t>
        </w:r>
        <w:r>
          <w:t>.</w:t>
        </w:r>
        <w:r>
          <w:tab/>
          <w:t>Concession amount</w:t>
        </w:r>
        <w:bookmarkEnd w:id="1519"/>
      </w:ins>
    </w:p>
    <w:p>
      <w:pPr>
        <w:pStyle w:val="Subsection"/>
        <w:rPr>
          <w:ins w:id="1521" w:author="Master Repository Process" w:date="2025-06-09T09:56:00Z"/>
        </w:rPr>
      </w:pPr>
      <w:ins w:id="1522" w:author="Master Repository Process" w:date="2025-06-09T09:56:00Z">
        <w:r>
          <w:tab/>
          <w:t>(1)</w:t>
        </w:r>
        <w:r>
          <w:tab/>
          <w:t>Subject to sections 266M(2) and 266N(2)(b), the concession amount for a concessional pre</w:t>
        </w:r>
        <w:r>
          <w:noBreakHyphen/>
          <w:t xml:space="preserve">construction agreement is the lesser of the following — </w:t>
        </w:r>
      </w:ins>
    </w:p>
    <w:p>
      <w:pPr>
        <w:pStyle w:val="Indenta"/>
        <w:rPr>
          <w:ins w:id="1523" w:author="Master Repository Process" w:date="2025-06-09T09:56:00Z"/>
        </w:rPr>
      </w:pPr>
      <w:ins w:id="1524" w:author="Master Repository Process" w:date="2025-06-09T09:56:00Z">
        <w:r>
          <w:tab/>
          <w:t>(a)</w:t>
        </w:r>
        <w:r>
          <w:tab/>
          <w:t>$50 000;</w:t>
        </w:r>
      </w:ins>
    </w:p>
    <w:p>
      <w:pPr>
        <w:pStyle w:val="Indenta"/>
        <w:rPr>
          <w:ins w:id="1525" w:author="Master Repository Process" w:date="2025-06-09T09:56:00Z"/>
        </w:rPr>
      </w:pPr>
      <w:ins w:id="1526" w:author="Master Repository Process" w:date="2025-06-09T09:56:00Z">
        <w:r>
          <w:tab/>
          <w:t>(b)</w:t>
        </w:r>
        <w:r>
          <w:tab/>
          <w:t xml:space="preserve">an amount calculated by — </w:t>
        </w:r>
      </w:ins>
    </w:p>
    <w:p>
      <w:pPr>
        <w:pStyle w:val="Indenti"/>
        <w:rPr>
          <w:ins w:id="1527" w:author="Master Repository Process" w:date="2025-06-09T09:56:00Z"/>
        </w:rPr>
      </w:pPr>
      <w:ins w:id="1528" w:author="Master Repository Process" w:date="2025-06-09T09:56:00Z">
        <w:r>
          <w:tab/>
          <w:t>(i)</w:t>
        </w:r>
        <w:r>
          <w:tab/>
          <w:t>determining the applicable concession percentage under the Table according to the concession day of the agreement and the dutiable value of the agreement; and</w:t>
        </w:r>
      </w:ins>
    </w:p>
    <w:p>
      <w:pPr>
        <w:pStyle w:val="Indenti"/>
        <w:rPr>
          <w:ins w:id="1529" w:author="Master Repository Process" w:date="2025-06-09T09:56:00Z"/>
        </w:rPr>
      </w:pPr>
      <w:ins w:id="1530" w:author="Master Repository Process" w:date="2025-06-09T09:56:00Z">
        <w:r>
          <w:tab/>
          <w:t>(ii)</w:t>
        </w:r>
        <w:r>
          <w:tab/>
          <w:t>multiplying that percentage by the unadjusted duty amount for the agreement.</w:t>
        </w:r>
      </w:ins>
    </w:p>
    <w:p>
      <w:pPr>
        <w:pStyle w:val="THeadingNAm"/>
        <w:ind w:left="709"/>
        <w:rPr>
          <w:ins w:id="1531" w:author="Master Repository Process" w:date="2025-06-09T09:56:00Z"/>
        </w:rPr>
      </w:pPr>
      <w:ins w:id="1532" w:author="Master Repository Process" w:date="2025-06-09T09:56:00Z">
        <w:r>
          <w:t>Table</w:t>
        </w:r>
      </w:ins>
    </w:p>
    <w:tbl>
      <w:tblPr>
        <w:tblW w:w="632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268"/>
        <w:gridCol w:w="1679"/>
        <w:gridCol w:w="1672"/>
      </w:tblGrid>
      <w:tr>
        <w:trPr>
          <w:tblHeader/>
          <w:ins w:id="1533" w:author="Master Repository Process" w:date="2025-06-09T09:56:00Z"/>
        </w:trPr>
        <w:tc>
          <w:tcPr>
            <w:tcW w:w="708" w:type="dxa"/>
          </w:tcPr>
          <w:p>
            <w:pPr>
              <w:pStyle w:val="TableNAm"/>
              <w:jc w:val="center"/>
              <w:rPr>
                <w:ins w:id="1534" w:author="Master Repository Process" w:date="2025-06-09T09:56:00Z"/>
                <w:b/>
                <w:bCs/>
              </w:rPr>
            </w:pPr>
            <w:ins w:id="1535" w:author="Master Repository Process" w:date="2025-06-09T09:56:00Z">
              <w:r>
                <w:rPr>
                  <w:b/>
                  <w:bCs/>
                </w:rPr>
                <w:t>Item</w:t>
              </w:r>
            </w:ins>
          </w:p>
        </w:tc>
        <w:tc>
          <w:tcPr>
            <w:tcW w:w="2268" w:type="dxa"/>
          </w:tcPr>
          <w:p>
            <w:pPr>
              <w:pStyle w:val="TableNAm"/>
              <w:jc w:val="center"/>
              <w:rPr>
                <w:ins w:id="1536" w:author="Master Repository Process" w:date="2025-06-09T09:56:00Z"/>
                <w:b/>
                <w:bCs/>
              </w:rPr>
            </w:pPr>
            <w:ins w:id="1537" w:author="Master Repository Process" w:date="2025-06-09T09:56:00Z">
              <w:r>
                <w:rPr>
                  <w:b/>
                  <w:bCs/>
                </w:rPr>
                <w:t>Concession day</w:t>
              </w:r>
            </w:ins>
          </w:p>
        </w:tc>
        <w:tc>
          <w:tcPr>
            <w:tcW w:w="1679" w:type="dxa"/>
          </w:tcPr>
          <w:p>
            <w:pPr>
              <w:pStyle w:val="TableNAm"/>
              <w:jc w:val="center"/>
              <w:rPr>
                <w:ins w:id="1538" w:author="Master Repository Process" w:date="2025-06-09T09:56:00Z"/>
                <w:b/>
                <w:bCs/>
              </w:rPr>
            </w:pPr>
            <w:ins w:id="1539" w:author="Master Repository Process" w:date="2025-06-09T09:56:00Z">
              <w:r>
                <w:rPr>
                  <w:b/>
                  <w:bCs/>
                </w:rPr>
                <w:t>Dutiable value</w:t>
              </w:r>
            </w:ins>
          </w:p>
        </w:tc>
        <w:tc>
          <w:tcPr>
            <w:tcW w:w="1672" w:type="dxa"/>
          </w:tcPr>
          <w:p>
            <w:pPr>
              <w:pStyle w:val="TableNAm"/>
              <w:jc w:val="center"/>
              <w:rPr>
                <w:ins w:id="1540" w:author="Master Repository Process" w:date="2025-06-09T09:56:00Z"/>
                <w:b/>
                <w:bCs/>
              </w:rPr>
            </w:pPr>
            <w:ins w:id="1541" w:author="Master Repository Process" w:date="2025-06-09T09:56:00Z">
              <w:r>
                <w:rPr>
                  <w:b/>
                  <w:bCs/>
                </w:rPr>
                <w:t>Concession percentage</w:t>
              </w:r>
              <w:r>
                <w:rPr>
                  <w:b/>
                  <w:bCs/>
                </w:rPr>
                <w:br/>
                <w:t>(%)</w:t>
              </w:r>
            </w:ins>
          </w:p>
        </w:tc>
      </w:tr>
      <w:tr>
        <w:trPr>
          <w:ins w:id="1542" w:author="Master Repository Process" w:date="2025-06-09T09:56:00Z"/>
        </w:trPr>
        <w:tc>
          <w:tcPr>
            <w:tcW w:w="708" w:type="dxa"/>
          </w:tcPr>
          <w:p>
            <w:pPr>
              <w:pStyle w:val="TableNAm"/>
              <w:rPr>
                <w:ins w:id="1543" w:author="Master Repository Process" w:date="2025-06-09T09:56:00Z"/>
              </w:rPr>
            </w:pPr>
            <w:ins w:id="1544" w:author="Master Repository Process" w:date="2025-06-09T09:56:00Z">
              <w:r>
                <w:t>1.</w:t>
              </w:r>
            </w:ins>
          </w:p>
        </w:tc>
        <w:tc>
          <w:tcPr>
            <w:tcW w:w="2268" w:type="dxa"/>
          </w:tcPr>
          <w:p>
            <w:pPr>
              <w:pStyle w:val="TableNAm"/>
              <w:rPr>
                <w:ins w:id="1545" w:author="Master Repository Process" w:date="2025-06-09T09:56:00Z"/>
              </w:rPr>
            </w:pPr>
            <w:ins w:id="1546" w:author="Master Repository Process" w:date="2025-06-09T09:56:00Z">
              <w:r>
                <w:t>23 October 2019 to 23 October 2021</w:t>
              </w:r>
            </w:ins>
          </w:p>
        </w:tc>
        <w:tc>
          <w:tcPr>
            <w:tcW w:w="1679" w:type="dxa"/>
          </w:tcPr>
          <w:p>
            <w:pPr>
              <w:pStyle w:val="TableNAm"/>
              <w:rPr>
                <w:ins w:id="1547" w:author="Master Repository Process" w:date="2025-06-09T09:56:00Z"/>
              </w:rPr>
            </w:pPr>
            <w:ins w:id="1548" w:author="Master Repository Process" w:date="2025-06-09T09:56:00Z">
              <w:r>
                <w:t>Any dutiable value</w:t>
              </w:r>
            </w:ins>
          </w:p>
        </w:tc>
        <w:tc>
          <w:tcPr>
            <w:tcW w:w="1672" w:type="dxa"/>
          </w:tcPr>
          <w:p>
            <w:pPr>
              <w:pStyle w:val="TableNAm"/>
              <w:rPr>
                <w:ins w:id="1549" w:author="Master Repository Process" w:date="2025-06-09T09:56:00Z"/>
              </w:rPr>
            </w:pPr>
            <w:ins w:id="1550" w:author="Master Repository Process" w:date="2025-06-09T09:56:00Z">
              <w:r>
                <w:t>75</w:t>
              </w:r>
            </w:ins>
          </w:p>
        </w:tc>
      </w:tr>
      <w:tr>
        <w:trPr>
          <w:ins w:id="1551" w:author="Master Repository Process" w:date="2025-06-09T09:56:00Z"/>
        </w:trPr>
        <w:tc>
          <w:tcPr>
            <w:tcW w:w="708" w:type="dxa"/>
          </w:tcPr>
          <w:p>
            <w:pPr>
              <w:pStyle w:val="TableNAm"/>
              <w:rPr>
                <w:ins w:id="1552" w:author="Master Repository Process" w:date="2025-06-09T09:56:00Z"/>
              </w:rPr>
            </w:pPr>
            <w:ins w:id="1553" w:author="Master Repository Process" w:date="2025-06-09T09:56:00Z">
              <w:r>
                <w:t>2.</w:t>
              </w:r>
            </w:ins>
          </w:p>
        </w:tc>
        <w:tc>
          <w:tcPr>
            <w:tcW w:w="2268" w:type="dxa"/>
          </w:tcPr>
          <w:p>
            <w:pPr>
              <w:pStyle w:val="TableNAm"/>
              <w:rPr>
                <w:ins w:id="1554" w:author="Master Repository Process" w:date="2025-06-09T09:56:00Z"/>
              </w:rPr>
            </w:pPr>
            <w:ins w:id="1555" w:author="Master Repository Process" w:date="2025-06-09T09:56:00Z">
              <w:r>
                <w:t>24 October 2021 to 31 May 2022</w:t>
              </w:r>
            </w:ins>
          </w:p>
        </w:tc>
        <w:tc>
          <w:tcPr>
            <w:tcW w:w="1679" w:type="dxa"/>
          </w:tcPr>
          <w:p>
            <w:pPr>
              <w:pStyle w:val="TableNAm"/>
              <w:rPr>
                <w:ins w:id="1556" w:author="Master Repository Process" w:date="2025-06-09T09:56:00Z"/>
              </w:rPr>
            </w:pPr>
            <w:ins w:id="1557" w:author="Master Repository Process" w:date="2025-06-09T09:56:00Z">
              <w:r>
                <w:t>Any dutiable value</w:t>
              </w:r>
            </w:ins>
          </w:p>
        </w:tc>
        <w:tc>
          <w:tcPr>
            <w:tcW w:w="1672" w:type="dxa"/>
          </w:tcPr>
          <w:p>
            <w:pPr>
              <w:pStyle w:val="TableNAm"/>
              <w:rPr>
                <w:ins w:id="1558" w:author="Master Repository Process" w:date="2025-06-09T09:56:00Z"/>
              </w:rPr>
            </w:pPr>
            <w:ins w:id="1559" w:author="Master Repository Process" w:date="2025-06-09T09:56:00Z">
              <w:r>
                <w:t>50</w:t>
              </w:r>
            </w:ins>
          </w:p>
        </w:tc>
      </w:tr>
      <w:tr>
        <w:trPr>
          <w:ins w:id="1560" w:author="Master Repository Process" w:date="2025-06-09T09:56:00Z"/>
        </w:trPr>
        <w:tc>
          <w:tcPr>
            <w:tcW w:w="708" w:type="dxa"/>
          </w:tcPr>
          <w:p>
            <w:pPr>
              <w:pStyle w:val="TableNAm"/>
              <w:keepNext/>
              <w:rPr>
                <w:ins w:id="1561" w:author="Master Repository Process" w:date="2025-06-09T09:56:00Z"/>
              </w:rPr>
            </w:pPr>
            <w:ins w:id="1562" w:author="Master Repository Process" w:date="2025-06-09T09:56:00Z">
              <w:r>
                <w:t>3.</w:t>
              </w:r>
            </w:ins>
          </w:p>
        </w:tc>
        <w:tc>
          <w:tcPr>
            <w:tcW w:w="2268" w:type="dxa"/>
          </w:tcPr>
          <w:p>
            <w:pPr>
              <w:pStyle w:val="TableNAm"/>
              <w:keepNext/>
              <w:rPr>
                <w:ins w:id="1563" w:author="Master Repository Process" w:date="2025-06-09T09:56:00Z"/>
              </w:rPr>
            </w:pPr>
            <w:ins w:id="1564" w:author="Master Repository Process" w:date="2025-06-09T09:56:00Z">
              <w:r>
                <w:t>1 June 2022 to 10 May 2023</w:t>
              </w:r>
            </w:ins>
          </w:p>
        </w:tc>
        <w:tc>
          <w:tcPr>
            <w:tcW w:w="1679" w:type="dxa"/>
          </w:tcPr>
          <w:p>
            <w:pPr>
              <w:pStyle w:val="TableNAm"/>
              <w:keepNext/>
              <w:rPr>
                <w:ins w:id="1565" w:author="Master Repository Process" w:date="2025-06-09T09:56:00Z"/>
              </w:rPr>
            </w:pPr>
            <w:ins w:id="1566" w:author="Master Repository Process" w:date="2025-06-09T09:56:00Z">
              <w:r>
                <w:t>$500 000 or less</w:t>
              </w:r>
            </w:ins>
          </w:p>
        </w:tc>
        <w:tc>
          <w:tcPr>
            <w:tcW w:w="1672" w:type="dxa"/>
          </w:tcPr>
          <w:p>
            <w:pPr>
              <w:pStyle w:val="TableNAm"/>
              <w:keepNext/>
              <w:rPr>
                <w:ins w:id="1567" w:author="Master Repository Process" w:date="2025-06-09T09:56:00Z"/>
              </w:rPr>
            </w:pPr>
            <w:ins w:id="1568" w:author="Master Repository Process" w:date="2025-06-09T09:56:00Z">
              <w:r>
                <w:t>100</w:t>
              </w:r>
            </w:ins>
          </w:p>
        </w:tc>
      </w:tr>
      <w:tr>
        <w:trPr>
          <w:ins w:id="1569" w:author="Master Repository Process" w:date="2025-06-09T09:56:00Z"/>
        </w:trPr>
        <w:tc>
          <w:tcPr>
            <w:tcW w:w="708" w:type="dxa"/>
          </w:tcPr>
          <w:p>
            <w:pPr>
              <w:pStyle w:val="TableNAm"/>
              <w:rPr>
                <w:ins w:id="1570" w:author="Master Repository Process" w:date="2025-06-09T09:56:00Z"/>
              </w:rPr>
            </w:pPr>
            <w:ins w:id="1571" w:author="Master Repository Process" w:date="2025-06-09T09:56:00Z">
              <w:r>
                <w:t>4.</w:t>
              </w:r>
            </w:ins>
          </w:p>
        </w:tc>
        <w:tc>
          <w:tcPr>
            <w:tcW w:w="2268" w:type="dxa"/>
          </w:tcPr>
          <w:p>
            <w:pPr>
              <w:pStyle w:val="TableNAm"/>
              <w:rPr>
                <w:ins w:id="1572" w:author="Master Repository Process" w:date="2025-06-09T09:56:00Z"/>
              </w:rPr>
            </w:pPr>
            <w:ins w:id="1573" w:author="Master Repository Process" w:date="2025-06-09T09:56:00Z">
              <w:r>
                <w:t>1 June 2022 to 10 May 2023</w:t>
              </w:r>
            </w:ins>
          </w:p>
        </w:tc>
        <w:tc>
          <w:tcPr>
            <w:tcW w:w="1679" w:type="dxa"/>
          </w:tcPr>
          <w:p>
            <w:pPr>
              <w:pStyle w:val="TableNAm"/>
              <w:rPr>
                <w:ins w:id="1574" w:author="Master Repository Process" w:date="2025-06-09T09:56:00Z"/>
              </w:rPr>
            </w:pPr>
            <w:ins w:id="1575" w:author="Master Repository Process" w:date="2025-06-09T09:56:00Z">
              <w:r>
                <w:t>More than $500 000 but less than $600 000</w:t>
              </w:r>
            </w:ins>
          </w:p>
        </w:tc>
        <w:tc>
          <w:tcPr>
            <w:tcW w:w="1672" w:type="dxa"/>
          </w:tcPr>
          <w:p>
            <w:pPr>
              <w:pStyle w:val="TableNAm"/>
              <w:rPr>
                <w:ins w:id="1576" w:author="Master Repository Process" w:date="2025-06-09T09:56:00Z"/>
              </w:rPr>
            </w:pPr>
            <w:ins w:id="1577" w:author="Master Repository Process" w:date="2025-06-09T09:56:00Z">
              <w:r>
                <w:t>X calculated under subsection (2)</w:t>
              </w:r>
            </w:ins>
          </w:p>
        </w:tc>
      </w:tr>
      <w:tr>
        <w:trPr>
          <w:ins w:id="1578" w:author="Master Repository Process" w:date="2025-06-09T09:56:00Z"/>
        </w:trPr>
        <w:tc>
          <w:tcPr>
            <w:tcW w:w="708" w:type="dxa"/>
          </w:tcPr>
          <w:p>
            <w:pPr>
              <w:pStyle w:val="TableNAm"/>
              <w:rPr>
                <w:ins w:id="1579" w:author="Master Repository Process" w:date="2025-06-09T09:56:00Z"/>
              </w:rPr>
            </w:pPr>
            <w:ins w:id="1580" w:author="Master Repository Process" w:date="2025-06-09T09:56:00Z">
              <w:r>
                <w:t>5.</w:t>
              </w:r>
            </w:ins>
          </w:p>
        </w:tc>
        <w:tc>
          <w:tcPr>
            <w:tcW w:w="2268" w:type="dxa"/>
          </w:tcPr>
          <w:p>
            <w:pPr>
              <w:pStyle w:val="TableNAm"/>
              <w:rPr>
                <w:ins w:id="1581" w:author="Master Repository Process" w:date="2025-06-09T09:56:00Z"/>
              </w:rPr>
            </w:pPr>
            <w:ins w:id="1582" w:author="Master Repository Process" w:date="2025-06-09T09:56:00Z">
              <w:r>
                <w:t>1 June 2022 to 10 May 2023</w:t>
              </w:r>
            </w:ins>
          </w:p>
        </w:tc>
        <w:tc>
          <w:tcPr>
            <w:tcW w:w="1679" w:type="dxa"/>
          </w:tcPr>
          <w:p>
            <w:pPr>
              <w:pStyle w:val="TableNAm"/>
              <w:rPr>
                <w:ins w:id="1583" w:author="Master Repository Process" w:date="2025-06-09T09:56:00Z"/>
              </w:rPr>
            </w:pPr>
            <w:ins w:id="1584" w:author="Master Repository Process" w:date="2025-06-09T09:56:00Z">
              <w:r>
                <w:t>$600 000 or more</w:t>
              </w:r>
            </w:ins>
          </w:p>
        </w:tc>
        <w:tc>
          <w:tcPr>
            <w:tcW w:w="1672" w:type="dxa"/>
          </w:tcPr>
          <w:p>
            <w:pPr>
              <w:pStyle w:val="TableNAm"/>
              <w:rPr>
                <w:ins w:id="1585" w:author="Master Repository Process" w:date="2025-06-09T09:56:00Z"/>
              </w:rPr>
            </w:pPr>
            <w:ins w:id="1586" w:author="Master Repository Process" w:date="2025-06-09T09:56:00Z">
              <w:r>
                <w:t>50</w:t>
              </w:r>
            </w:ins>
          </w:p>
        </w:tc>
      </w:tr>
      <w:tr>
        <w:trPr>
          <w:ins w:id="1587" w:author="Master Repository Process" w:date="2025-06-09T09:56:00Z"/>
        </w:trPr>
        <w:tc>
          <w:tcPr>
            <w:tcW w:w="708" w:type="dxa"/>
          </w:tcPr>
          <w:p>
            <w:pPr>
              <w:pStyle w:val="TableNAm"/>
              <w:rPr>
                <w:ins w:id="1588" w:author="Master Repository Process" w:date="2025-06-09T09:56:00Z"/>
              </w:rPr>
            </w:pPr>
            <w:ins w:id="1589" w:author="Master Repository Process" w:date="2025-06-09T09:56:00Z">
              <w:r>
                <w:t>6.</w:t>
              </w:r>
            </w:ins>
          </w:p>
        </w:tc>
        <w:tc>
          <w:tcPr>
            <w:tcW w:w="2268" w:type="dxa"/>
          </w:tcPr>
          <w:p>
            <w:pPr>
              <w:pStyle w:val="TableNAm"/>
              <w:rPr>
                <w:ins w:id="1590" w:author="Master Repository Process" w:date="2025-06-09T09:56:00Z"/>
              </w:rPr>
            </w:pPr>
            <w:ins w:id="1591" w:author="Master Repository Process" w:date="2025-06-09T09:56:00Z">
              <w:r>
                <w:t>11 May 2023 to 30 June 2025</w:t>
              </w:r>
            </w:ins>
          </w:p>
        </w:tc>
        <w:tc>
          <w:tcPr>
            <w:tcW w:w="1679" w:type="dxa"/>
          </w:tcPr>
          <w:p>
            <w:pPr>
              <w:pStyle w:val="TableNAm"/>
              <w:rPr>
                <w:ins w:id="1592" w:author="Master Repository Process" w:date="2025-06-09T09:56:00Z"/>
              </w:rPr>
            </w:pPr>
            <w:ins w:id="1593" w:author="Master Repository Process" w:date="2025-06-09T09:56:00Z">
              <w:r>
                <w:t>$650 000 or less</w:t>
              </w:r>
            </w:ins>
          </w:p>
        </w:tc>
        <w:tc>
          <w:tcPr>
            <w:tcW w:w="1672" w:type="dxa"/>
          </w:tcPr>
          <w:p>
            <w:pPr>
              <w:pStyle w:val="TableNAm"/>
              <w:rPr>
                <w:ins w:id="1594" w:author="Master Repository Process" w:date="2025-06-09T09:56:00Z"/>
              </w:rPr>
            </w:pPr>
            <w:ins w:id="1595" w:author="Master Repository Process" w:date="2025-06-09T09:56:00Z">
              <w:r>
                <w:t>100</w:t>
              </w:r>
            </w:ins>
          </w:p>
        </w:tc>
      </w:tr>
      <w:tr>
        <w:trPr>
          <w:ins w:id="1596" w:author="Master Repository Process" w:date="2025-06-09T09:56:00Z"/>
        </w:trPr>
        <w:tc>
          <w:tcPr>
            <w:tcW w:w="708" w:type="dxa"/>
          </w:tcPr>
          <w:p>
            <w:pPr>
              <w:pStyle w:val="TableNAm"/>
              <w:rPr>
                <w:ins w:id="1597" w:author="Master Repository Process" w:date="2025-06-09T09:56:00Z"/>
              </w:rPr>
            </w:pPr>
            <w:ins w:id="1598" w:author="Master Repository Process" w:date="2025-06-09T09:56:00Z">
              <w:r>
                <w:t>7.</w:t>
              </w:r>
            </w:ins>
          </w:p>
        </w:tc>
        <w:tc>
          <w:tcPr>
            <w:tcW w:w="2268" w:type="dxa"/>
          </w:tcPr>
          <w:p>
            <w:pPr>
              <w:pStyle w:val="TableNAm"/>
              <w:rPr>
                <w:ins w:id="1599" w:author="Master Repository Process" w:date="2025-06-09T09:56:00Z"/>
              </w:rPr>
            </w:pPr>
            <w:ins w:id="1600" w:author="Master Repository Process" w:date="2025-06-09T09:56:00Z">
              <w:r>
                <w:t>11 May 2023 to 30 June 2025</w:t>
              </w:r>
            </w:ins>
          </w:p>
        </w:tc>
        <w:tc>
          <w:tcPr>
            <w:tcW w:w="1679" w:type="dxa"/>
          </w:tcPr>
          <w:p>
            <w:pPr>
              <w:pStyle w:val="TableNAm"/>
              <w:rPr>
                <w:ins w:id="1601" w:author="Master Repository Process" w:date="2025-06-09T09:56:00Z"/>
              </w:rPr>
            </w:pPr>
            <w:ins w:id="1602" w:author="Master Repository Process" w:date="2025-06-09T09:56:00Z">
              <w:r>
                <w:t>More than $650 000 but less than $750 000</w:t>
              </w:r>
            </w:ins>
          </w:p>
        </w:tc>
        <w:tc>
          <w:tcPr>
            <w:tcW w:w="1672" w:type="dxa"/>
          </w:tcPr>
          <w:p>
            <w:pPr>
              <w:pStyle w:val="TableNAm"/>
              <w:rPr>
                <w:ins w:id="1603" w:author="Master Repository Process" w:date="2025-06-09T09:56:00Z"/>
              </w:rPr>
            </w:pPr>
            <w:ins w:id="1604" w:author="Master Repository Process" w:date="2025-06-09T09:56:00Z">
              <w:r>
                <w:t>Y calculated under subsection (3)</w:t>
              </w:r>
            </w:ins>
          </w:p>
        </w:tc>
      </w:tr>
      <w:tr>
        <w:trPr>
          <w:ins w:id="1605" w:author="Master Repository Process" w:date="2025-06-09T09:56:00Z"/>
        </w:trPr>
        <w:tc>
          <w:tcPr>
            <w:tcW w:w="708" w:type="dxa"/>
          </w:tcPr>
          <w:p>
            <w:pPr>
              <w:pStyle w:val="TableNAm"/>
              <w:rPr>
                <w:ins w:id="1606" w:author="Master Repository Process" w:date="2025-06-09T09:56:00Z"/>
              </w:rPr>
            </w:pPr>
            <w:ins w:id="1607" w:author="Master Repository Process" w:date="2025-06-09T09:56:00Z">
              <w:r>
                <w:t>8.</w:t>
              </w:r>
            </w:ins>
          </w:p>
        </w:tc>
        <w:tc>
          <w:tcPr>
            <w:tcW w:w="2268" w:type="dxa"/>
          </w:tcPr>
          <w:p>
            <w:pPr>
              <w:pStyle w:val="TableNAm"/>
              <w:rPr>
                <w:ins w:id="1608" w:author="Master Repository Process" w:date="2025-06-09T09:56:00Z"/>
              </w:rPr>
            </w:pPr>
            <w:ins w:id="1609" w:author="Master Repository Process" w:date="2025-06-09T09:56:00Z">
              <w:r>
                <w:t>11 May 2023 to 30 June 2025</w:t>
              </w:r>
            </w:ins>
          </w:p>
        </w:tc>
        <w:tc>
          <w:tcPr>
            <w:tcW w:w="1679" w:type="dxa"/>
          </w:tcPr>
          <w:p>
            <w:pPr>
              <w:pStyle w:val="TableNAm"/>
              <w:rPr>
                <w:ins w:id="1610" w:author="Master Repository Process" w:date="2025-06-09T09:56:00Z"/>
              </w:rPr>
            </w:pPr>
            <w:ins w:id="1611" w:author="Master Repository Process" w:date="2025-06-09T09:56:00Z">
              <w:r>
                <w:t>$750 000 or more</w:t>
              </w:r>
            </w:ins>
          </w:p>
        </w:tc>
        <w:tc>
          <w:tcPr>
            <w:tcW w:w="1672" w:type="dxa"/>
          </w:tcPr>
          <w:p>
            <w:pPr>
              <w:pStyle w:val="TableNAm"/>
              <w:rPr>
                <w:ins w:id="1612" w:author="Master Repository Process" w:date="2025-06-09T09:56:00Z"/>
              </w:rPr>
            </w:pPr>
            <w:ins w:id="1613" w:author="Master Repository Process" w:date="2025-06-09T09:56:00Z">
              <w:r>
                <w:t>50</w:t>
              </w:r>
            </w:ins>
          </w:p>
        </w:tc>
      </w:tr>
    </w:tbl>
    <w:p>
      <w:pPr>
        <w:pStyle w:val="Subsection"/>
        <w:rPr>
          <w:ins w:id="1614" w:author="Master Repository Process" w:date="2025-06-09T09:56:00Z"/>
        </w:rPr>
      </w:pPr>
      <w:ins w:id="1615" w:author="Master Repository Process" w:date="2025-06-09T09:56:00Z">
        <w:r>
          <w:tab/>
          <w:t>(2)</w:t>
        </w:r>
        <w:r>
          <w:tab/>
          <w:t xml:space="preserve">The calculation for the purposes of item 4 in the Table to subsection (1) is as follows — </w:t>
        </w:r>
      </w:ins>
    </w:p>
    <w:p>
      <w:pPr>
        <w:pStyle w:val="Equation"/>
        <w:spacing w:before="120"/>
        <w:ind w:left="879"/>
        <w:rPr>
          <w:ins w:id="1616" w:author="Master Repository Process" w:date="2025-06-09T09:56:00Z"/>
        </w:rPr>
      </w:pPr>
      <m:oMathPara>
        <m:oMathParaPr>
          <m:jc m:val="left"/>
        </m:oMathParaPr>
        <m:oMath>
          <m:r>
            <w:ins w:id="1617" w:author="Master Repository Process" w:date="2025-06-09T09:56:00Z">
              <m:rPr>
                <m:sty m:val="p"/>
              </m:rPr>
              <w:rPr>
                <w:rFonts w:ascii="Cambria Math" w:hAnsi="Cambria Math"/>
              </w:rPr>
              <m:t>X</m:t>
            </w:ins>
          </m:r>
          <m:r>
            <w:ins w:id="1618" w:author="Master Repository Process" w:date="2025-06-09T09:56:00Z">
              <w:rPr>
                <w:rFonts w:ascii="Cambria Math" w:hAnsi="Cambria Math"/>
              </w:rPr>
              <m:t>=</m:t>
            </w:ins>
          </m:r>
          <m:r>
            <w:ins w:id="1619" w:author="Master Repository Process" w:date="2025-06-09T09:56:00Z">
              <m:rPr>
                <m:sty m:val="p"/>
              </m:rPr>
              <w:rPr>
                <w:rFonts w:ascii="Cambria Math" w:hAnsi="Cambria Math"/>
              </w:rPr>
              <m:t xml:space="preserve">100- </m:t>
            </w:ins>
          </m:r>
          <m:d>
            <m:dPr>
              <m:ctrlPr>
                <w:ins w:id="1620" w:author="Master Repository Process" w:date="2025-06-09T09:56:00Z">
                  <w:rPr>
                    <w:rFonts w:ascii="Cambria Math" w:hAnsi="Cambria Math"/>
                  </w:rPr>
                </w:ins>
              </m:ctrlPr>
            </m:dPr>
            <m:e>
              <m:f>
                <m:fPr>
                  <m:ctrlPr>
                    <w:ins w:id="1621" w:author="Master Repository Process" w:date="2025-06-09T09:56:00Z">
                      <w:rPr>
                        <w:rFonts w:ascii="Cambria Math" w:hAnsi="Cambria Math"/>
                      </w:rPr>
                    </w:ins>
                  </m:ctrlPr>
                </m:fPr>
                <m:num>
                  <m:r>
                    <w:ins w:id="1622" w:author="Master Repository Process" w:date="2025-06-09T09:56:00Z">
                      <m:rPr>
                        <m:sty m:val="p"/>
                      </m:rPr>
                      <w:rPr>
                        <w:rFonts w:ascii="Cambria Math" w:hAnsi="Cambria Math"/>
                      </w:rPr>
                      <m:t xml:space="preserve"> V-500 000</m:t>
                    </w:ins>
                  </m:r>
                </m:num>
                <m:den>
                  <m:r>
                    <w:ins w:id="1623" w:author="Master Repository Process" w:date="2025-06-09T09:56:00Z">
                      <m:rPr>
                        <m:sty m:val="p"/>
                      </m:rPr>
                      <w:rPr>
                        <w:rFonts w:ascii="Cambria Math" w:hAnsi="Cambria Math"/>
                      </w:rPr>
                      <m:t>100</m:t>
                    </w:ins>
                  </m:r>
                </m:den>
              </m:f>
              <m:r>
                <w:ins w:id="1624" w:author="Master Repository Process" w:date="2025-06-09T09:56:00Z">
                  <m:rPr>
                    <m:sty m:val="p"/>
                  </m:rPr>
                  <w:rPr>
                    <w:rFonts w:ascii="Cambria Math" w:hAnsi="Cambria Math"/>
                  </w:rPr>
                  <m:t>×0.05</m:t>
                </w:ins>
              </m:r>
            </m:e>
          </m:d>
        </m:oMath>
      </m:oMathPara>
    </w:p>
    <w:p>
      <w:pPr>
        <w:pStyle w:val="MiscellaneousBody"/>
        <w:tabs>
          <w:tab w:val="left" w:pos="879"/>
          <w:tab w:val="left" w:pos="1418"/>
        </w:tabs>
        <w:rPr>
          <w:ins w:id="1625" w:author="Master Repository Process" w:date="2025-06-09T09:56:00Z"/>
        </w:rPr>
      </w:pPr>
      <w:ins w:id="1626" w:author="Master Repository Process" w:date="2025-06-09T09:56:00Z">
        <w:r>
          <w:tab/>
          <w:t xml:space="preserve">where — </w:t>
        </w:r>
      </w:ins>
    </w:p>
    <w:p>
      <w:pPr>
        <w:pStyle w:val="MiscellaneousBody"/>
        <w:tabs>
          <w:tab w:val="left" w:pos="879"/>
          <w:tab w:val="left" w:pos="1418"/>
        </w:tabs>
        <w:ind w:left="1276" w:hanging="1276"/>
        <w:rPr>
          <w:ins w:id="1627" w:author="Master Repository Process" w:date="2025-06-09T09:56:00Z"/>
        </w:rPr>
      </w:pPr>
      <w:ins w:id="1628" w:author="Master Repository Process" w:date="2025-06-09T09:56:00Z">
        <w:r>
          <w:tab/>
          <w:t>V</w:t>
        </w:r>
        <w:r>
          <w:tab/>
          <w:t>is the dutiable value of the concessional pre</w:t>
        </w:r>
        <w:r>
          <w:noBreakHyphen/>
          <w:t>construction agreement.</w:t>
        </w:r>
      </w:ins>
    </w:p>
    <w:p>
      <w:pPr>
        <w:pStyle w:val="Subsection"/>
        <w:rPr>
          <w:ins w:id="1629" w:author="Master Repository Process" w:date="2025-06-09T09:56:00Z"/>
        </w:rPr>
      </w:pPr>
      <w:ins w:id="1630" w:author="Master Repository Process" w:date="2025-06-09T09:56:00Z">
        <w:r>
          <w:tab/>
          <w:t>(3)</w:t>
        </w:r>
        <w:r>
          <w:tab/>
          <w:t xml:space="preserve">The calculation for the purposes of item 7 in the Table to subsection (1) is as follows — </w:t>
        </w:r>
      </w:ins>
    </w:p>
    <w:p>
      <w:pPr>
        <w:pStyle w:val="Equation"/>
        <w:keepNext/>
        <w:spacing w:before="120"/>
        <w:ind w:left="879"/>
        <w:rPr>
          <w:ins w:id="1631" w:author="Master Repository Process" w:date="2025-06-09T09:56:00Z"/>
          <w:rFonts w:ascii="Cambria Math" w:hAnsi="Cambria Math"/>
        </w:rPr>
      </w:pPr>
      <m:oMathPara>
        <m:oMathParaPr>
          <m:jc m:val="left"/>
        </m:oMathParaPr>
        <m:oMath>
          <m:r>
            <w:ins w:id="1632" w:author="Master Repository Process" w:date="2025-06-09T09:56:00Z">
              <m:rPr>
                <m:sty m:val="p"/>
              </m:rPr>
              <w:rPr>
                <w:rFonts w:ascii="Cambria Math" w:hAnsi="Cambria Math"/>
              </w:rPr>
              <m:t xml:space="preserve">Y=100- </m:t>
            </w:ins>
          </m:r>
          <m:d>
            <m:dPr>
              <m:ctrlPr>
                <w:ins w:id="1633" w:author="Master Repository Process" w:date="2025-06-09T09:56:00Z">
                  <w:rPr>
                    <w:rFonts w:ascii="Cambria Math" w:hAnsi="Cambria Math"/>
                  </w:rPr>
                </w:ins>
              </m:ctrlPr>
            </m:dPr>
            <m:e>
              <m:f>
                <m:fPr>
                  <m:ctrlPr>
                    <w:ins w:id="1634" w:author="Master Repository Process" w:date="2025-06-09T09:56:00Z">
                      <w:rPr>
                        <w:rFonts w:ascii="Cambria Math" w:hAnsi="Cambria Math"/>
                      </w:rPr>
                    </w:ins>
                  </m:ctrlPr>
                </m:fPr>
                <m:num>
                  <m:r>
                    <w:ins w:id="1635" w:author="Master Repository Process" w:date="2025-06-09T09:56:00Z">
                      <m:rPr>
                        <m:sty m:val="p"/>
                      </m:rPr>
                      <w:rPr>
                        <w:rFonts w:ascii="Cambria Math" w:hAnsi="Cambria Math"/>
                      </w:rPr>
                      <m:t xml:space="preserve"> V-650 000</m:t>
                    </w:ins>
                  </m:r>
                </m:num>
                <m:den>
                  <m:r>
                    <w:ins w:id="1636" w:author="Master Repository Process" w:date="2025-06-09T09:56:00Z">
                      <m:rPr>
                        <m:sty m:val="p"/>
                      </m:rPr>
                      <w:rPr>
                        <w:rFonts w:ascii="Cambria Math" w:hAnsi="Cambria Math"/>
                      </w:rPr>
                      <m:t>100</m:t>
                    </w:ins>
                  </m:r>
                </m:den>
              </m:f>
              <m:r>
                <w:ins w:id="1637" w:author="Master Repository Process" w:date="2025-06-09T09:56:00Z">
                  <m:rPr>
                    <m:sty m:val="p"/>
                  </m:rPr>
                  <w:rPr>
                    <w:rFonts w:ascii="Cambria Math" w:hAnsi="Cambria Math"/>
                  </w:rPr>
                  <m:t>×0.05</m:t>
                </w:ins>
              </m:r>
            </m:e>
          </m:d>
        </m:oMath>
      </m:oMathPara>
    </w:p>
    <w:p>
      <w:pPr>
        <w:pStyle w:val="MiscellaneousBody"/>
        <w:tabs>
          <w:tab w:val="left" w:pos="879"/>
          <w:tab w:val="left" w:pos="1418"/>
        </w:tabs>
        <w:rPr>
          <w:ins w:id="1638" w:author="Master Repository Process" w:date="2025-06-09T09:56:00Z"/>
        </w:rPr>
      </w:pPr>
      <w:ins w:id="1639" w:author="Master Repository Process" w:date="2025-06-09T09:56:00Z">
        <w:r>
          <w:tab/>
          <w:t xml:space="preserve">where — </w:t>
        </w:r>
      </w:ins>
    </w:p>
    <w:p>
      <w:pPr>
        <w:pStyle w:val="MiscellaneousBody"/>
        <w:tabs>
          <w:tab w:val="left" w:pos="879"/>
          <w:tab w:val="left" w:pos="1418"/>
        </w:tabs>
        <w:ind w:left="1276" w:hanging="1276"/>
        <w:rPr>
          <w:ins w:id="1640" w:author="Master Repository Process" w:date="2025-06-09T09:56:00Z"/>
        </w:rPr>
      </w:pPr>
      <w:ins w:id="1641" w:author="Master Repository Process" w:date="2025-06-09T09:56:00Z">
        <w:r>
          <w:tab/>
          <w:t>V</w:t>
        </w:r>
        <w:r>
          <w:tab/>
          <w:t>is the dutiable value of the concessional pre</w:t>
        </w:r>
        <w:r>
          <w:noBreakHyphen/>
          <w:t>construction agreement.</w:t>
        </w:r>
      </w:ins>
    </w:p>
    <w:p>
      <w:pPr>
        <w:pStyle w:val="Subsection"/>
        <w:rPr>
          <w:ins w:id="1642" w:author="Master Repository Process" w:date="2025-06-09T09:56:00Z"/>
        </w:rPr>
      </w:pPr>
      <w:ins w:id="1643" w:author="Master Repository Process" w:date="2025-06-09T09:56:00Z">
        <w:r>
          <w:tab/>
          <w:t>(4)</w:t>
        </w:r>
        <w:r>
          <w:tab/>
          <w:t xml:space="preserve">Subject to sections 266M(2) and 266N(2)(b), the concession amount for a concessional under construction agreement is the lesser of the following — </w:t>
        </w:r>
      </w:ins>
    </w:p>
    <w:p>
      <w:pPr>
        <w:pStyle w:val="Indenta"/>
        <w:rPr>
          <w:ins w:id="1644" w:author="Master Repository Process" w:date="2025-06-09T09:56:00Z"/>
        </w:rPr>
      </w:pPr>
      <w:ins w:id="1645" w:author="Master Repository Process" w:date="2025-06-09T09:56:00Z">
        <w:r>
          <w:tab/>
          <w:t>(a)</w:t>
        </w:r>
        <w:r>
          <w:tab/>
          <w:t>$50 000;</w:t>
        </w:r>
      </w:ins>
    </w:p>
    <w:p>
      <w:pPr>
        <w:pStyle w:val="Indenta"/>
        <w:rPr>
          <w:ins w:id="1646" w:author="Master Repository Process" w:date="2025-06-09T09:56:00Z"/>
        </w:rPr>
      </w:pPr>
      <w:ins w:id="1647" w:author="Master Repository Process" w:date="2025-06-09T09:56:00Z">
        <w:r>
          <w:tab/>
          <w:t>(b)</w:t>
        </w:r>
        <w:r>
          <w:tab/>
          <w:t xml:space="preserve">an amount calculated by — </w:t>
        </w:r>
      </w:ins>
    </w:p>
    <w:p>
      <w:pPr>
        <w:pStyle w:val="Indenti"/>
        <w:rPr>
          <w:ins w:id="1648" w:author="Master Repository Process" w:date="2025-06-09T09:56:00Z"/>
        </w:rPr>
      </w:pPr>
      <w:ins w:id="1649" w:author="Master Repository Process" w:date="2025-06-09T09:56:00Z">
        <w:r>
          <w:tab/>
          <w:t>(i)</w:t>
        </w:r>
        <w:r>
          <w:tab/>
          <w:t>determining the applicable concession percentage under the Table according to the dutiable value of the agreement; and</w:t>
        </w:r>
      </w:ins>
    </w:p>
    <w:p>
      <w:pPr>
        <w:pStyle w:val="Indenti"/>
        <w:rPr>
          <w:ins w:id="1650" w:author="Master Repository Process" w:date="2025-06-09T09:56:00Z"/>
        </w:rPr>
      </w:pPr>
      <w:ins w:id="1651" w:author="Master Repository Process" w:date="2025-06-09T09:56:00Z">
        <w:r>
          <w:tab/>
          <w:t>(ii)</w:t>
        </w:r>
        <w:r>
          <w:tab/>
          <w:t>multiplying that percentage by the unadjusted duty amount for the agreement.</w:t>
        </w:r>
      </w:ins>
    </w:p>
    <w:p>
      <w:pPr>
        <w:pStyle w:val="THeadingNAm"/>
        <w:rPr>
          <w:ins w:id="1652" w:author="Master Repository Process" w:date="2025-06-09T09:56:00Z"/>
        </w:rPr>
      </w:pPr>
      <w:ins w:id="1653" w:author="Master Repository Process" w:date="2025-06-09T09:56:00Z">
        <w:r>
          <w:t>Table</w:t>
        </w:r>
      </w:ins>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6"/>
        <w:gridCol w:w="2835"/>
      </w:tblGrid>
      <w:tr>
        <w:trPr>
          <w:tblHeader/>
          <w:ins w:id="1654" w:author="Master Repository Process" w:date="2025-06-09T09:56:00Z"/>
        </w:trPr>
        <w:tc>
          <w:tcPr>
            <w:tcW w:w="708" w:type="dxa"/>
            <w:noWrap/>
          </w:tcPr>
          <w:p>
            <w:pPr>
              <w:pStyle w:val="TableNAm"/>
              <w:jc w:val="center"/>
              <w:rPr>
                <w:ins w:id="1655" w:author="Master Repository Process" w:date="2025-06-09T09:56:00Z"/>
                <w:b/>
              </w:rPr>
            </w:pPr>
            <w:ins w:id="1656" w:author="Master Repository Process" w:date="2025-06-09T09:56:00Z">
              <w:r>
                <w:rPr>
                  <w:b/>
                </w:rPr>
                <w:t>Item</w:t>
              </w:r>
            </w:ins>
          </w:p>
        </w:tc>
        <w:tc>
          <w:tcPr>
            <w:tcW w:w="2836" w:type="dxa"/>
            <w:noWrap/>
          </w:tcPr>
          <w:p>
            <w:pPr>
              <w:pStyle w:val="TableNAm"/>
              <w:jc w:val="center"/>
              <w:rPr>
                <w:ins w:id="1657" w:author="Master Repository Process" w:date="2025-06-09T09:56:00Z"/>
                <w:b/>
              </w:rPr>
            </w:pPr>
            <w:ins w:id="1658" w:author="Master Repository Process" w:date="2025-06-09T09:56:00Z">
              <w:r>
                <w:rPr>
                  <w:b/>
                </w:rPr>
                <w:t>Dutiable value</w:t>
              </w:r>
            </w:ins>
          </w:p>
        </w:tc>
        <w:tc>
          <w:tcPr>
            <w:tcW w:w="2835" w:type="dxa"/>
            <w:noWrap/>
          </w:tcPr>
          <w:p>
            <w:pPr>
              <w:pStyle w:val="TableNAm"/>
              <w:jc w:val="center"/>
              <w:rPr>
                <w:ins w:id="1659" w:author="Master Repository Process" w:date="2025-06-09T09:56:00Z"/>
                <w:b/>
              </w:rPr>
            </w:pPr>
            <w:ins w:id="1660" w:author="Master Repository Process" w:date="2025-06-09T09:56:00Z">
              <w:r>
                <w:rPr>
                  <w:b/>
                </w:rPr>
                <w:t>Concession percentage</w:t>
              </w:r>
              <w:r>
                <w:rPr>
                  <w:b/>
                </w:rPr>
                <w:br/>
                <w:t>(%)</w:t>
              </w:r>
            </w:ins>
          </w:p>
        </w:tc>
      </w:tr>
      <w:tr>
        <w:trPr>
          <w:ins w:id="1661" w:author="Master Repository Process" w:date="2025-06-09T09:56:00Z"/>
        </w:trPr>
        <w:tc>
          <w:tcPr>
            <w:tcW w:w="708" w:type="dxa"/>
            <w:noWrap/>
          </w:tcPr>
          <w:p>
            <w:pPr>
              <w:pStyle w:val="TableNAm"/>
              <w:rPr>
                <w:ins w:id="1662" w:author="Master Repository Process" w:date="2025-06-09T09:56:00Z"/>
              </w:rPr>
            </w:pPr>
            <w:ins w:id="1663" w:author="Master Repository Process" w:date="2025-06-09T09:56:00Z">
              <w:r>
                <w:t>1.</w:t>
              </w:r>
            </w:ins>
          </w:p>
        </w:tc>
        <w:tc>
          <w:tcPr>
            <w:tcW w:w="2836" w:type="dxa"/>
            <w:noWrap/>
          </w:tcPr>
          <w:p>
            <w:pPr>
              <w:pStyle w:val="TableNAm"/>
              <w:rPr>
                <w:ins w:id="1664" w:author="Master Repository Process" w:date="2025-06-09T09:56:00Z"/>
              </w:rPr>
            </w:pPr>
            <w:ins w:id="1665" w:author="Master Repository Process" w:date="2025-06-09T09:56:00Z">
              <w:r>
                <w:t>$650 000 or less</w:t>
              </w:r>
            </w:ins>
          </w:p>
        </w:tc>
        <w:tc>
          <w:tcPr>
            <w:tcW w:w="2835" w:type="dxa"/>
            <w:noWrap/>
          </w:tcPr>
          <w:p>
            <w:pPr>
              <w:pStyle w:val="TableNAm"/>
              <w:rPr>
                <w:ins w:id="1666" w:author="Master Repository Process" w:date="2025-06-09T09:56:00Z"/>
              </w:rPr>
            </w:pPr>
            <w:ins w:id="1667" w:author="Master Repository Process" w:date="2025-06-09T09:56:00Z">
              <w:r>
                <w:t>75</w:t>
              </w:r>
            </w:ins>
          </w:p>
        </w:tc>
      </w:tr>
      <w:tr>
        <w:trPr>
          <w:ins w:id="1668" w:author="Master Repository Process" w:date="2025-06-09T09:56:00Z"/>
        </w:trPr>
        <w:tc>
          <w:tcPr>
            <w:tcW w:w="708" w:type="dxa"/>
            <w:noWrap/>
          </w:tcPr>
          <w:p>
            <w:pPr>
              <w:pStyle w:val="TableNAm"/>
              <w:rPr>
                <w:ins w:id="1669" w:author="Master Repository Process" w:date="2025-06-09T09:56:00Z"/>
              </w:rPr>
            </w:pPr>
            <w:ins w:id="1670" w:author="Master Repository Process" w:date="2025-06-09T09:56:00Z">
              <w:r>
                <w:t>2.</w:t>
              </w:r>
            </w:ins>
          </w:p>
        </w:tc>
        <w:tc>
          <w:tcPr>
            <w:tcW w:w="2836" w:type="dxa"/>
            <w:noWrap/>
          </w:tcPr>
          <w:p>
            <w:pPr>
              <w:pStyle w:val="TableNAm"/>
              <w:rPr>
                <w:ins w:id="1671" w:author="Master Repository Process" w:date="2025-06-09T09:56:00Z"/>
              </w:rPr>
            </w:pPr>
            <w:ins w:id="1672" w:author="Master Repository Process" w:date="2025-06-09T09:56:00Z">
              <w:r>
                <w:t>More than $650 000 but less than $750 000</w:t>
              </w:r>
            </w:ins>
          </w:p>
        </w:tc>
        <w:tc>
          <w:tcPr>
            <w:tcW w:w="2835" w:type="dxa"/>
            <w:noWrap/>
          </w:tcPr>
          <w:p>
            <w:pPr>
              <w:pStyle w:val="TableNAm"/>
              <w:rPr>
                <w:ins w:id="1673" w:author="Master Repository Process" w:date="2025-06-09T09:56:00Z"/>
              </w:rPr>
            </w:pPr>
            <w:ins w:id="1674" w:author="Master Repository Process" w:date="2025-06-09T09:56:00Z">
              <w:r>
                <w:t>Z calculated under subsection (5)</w:t>
              </w:r>
            </w:ins>
          </w:p>
        </w:tc>
      </w:tr>
      <w:tr>
        <w:trPr>
          <w:ins w:id="1675" w:author="Master Repository Process" w:date="2025-06-09T09:56:00Z"/>
        </w:trPr>
        <w:tc>
          <w:tcPr>
            <w:tcW w:w="708" w:type="dxa"/>
            <w:noWrap/>
          </w:tcPr>
          <w:p>
            <w:pPr>
              <w:pStyle w:val="TableNAm"/>
              <w:rPr>
                <w:ins w:id="1676" w:author="Master Repository Process" w:date="2025-06-09T09:56:00Z"/>
              </w:rPr>
            </w:pPr>
            <w:ins w:id="1677" w:author="Master Repository Process" w:date="2025-06-09T09:56:00Z">
              <w:r>
                <w:t>3.</w:t>
              </w:r>
            </w:ins>
          </w:p>
        </w:tc>
        <w:tc>
          <w:tcPr>
            <w:tcW w:w="2836" w:type="dxa"/>
            <w:noWrap/>
          </w:tcPr>
          <w:p>
            <w:pPr>
              <w:pStyle w:val="TableNAm"/>
              <w:rPr>
                <w:ins w:id="1678" w:author="Master Repository Process" w:date="2025-06-09T09:56:00Z"/>
              </w:rPr>
            </w:pPr>
            <w:ins w:id="1679" w:author="Master Repository Process" w:date="2025-06-09T09:56:00Z">
              <w:r>
                <w:t>$750 000 or more</w:t>
              </w:r>
            </w:ins>
          </w:p>
        </w:tc>
        <w:tc>
          <w:tcPr>
            <w:tcW w:w="2835" w:type="dxa"/>
            <w:noWrap/>
          </w:tcPr>
          <w:p>
            <w:pPr>
              <w:pStyle w:val="TableNAm"/>
              <w:rPr>
                <w:ins w:id="1680" w:author="Master Repository Process" w:date="2025-06-09T09:56:00Z"/>
              </w:rPr>
            </w:pPr>
            <w:ins w:id="1681" w:author="Master Repository Process" w:date="2025-06-09T09:56:00Z">
              <w:r>
                <w:t>37.5</w:t>
              </w:r>
            </w:ins>
          </w:p>
        </w:tc>
      </w:tr>
    </w:tbl>
    <w:p>
      <w:pPr>
        <w:pStyle w:val="Subsection"/>
        <w:rPr>
          <w:ins w:id="1682" w:author="Master Repository Process" w:date="2025-06-09T09:56:00Z"/>
        </w:rPr>
      </w:pPr>
      <w:ins w:id="1683" w:author="Master Repository Process" w:date="2025-06-09T09:56:00Z">
        <w:r>
          <w:tab/>
          <w:t>(5)</w:t>
        </w:r>
        <w:r>
          <w:tab/>
          <w:t xml:space="preserve">The calculation for the purposes of item 2 in the Table to subsection (4) is as follows — </w:t>
        </w:r>
      </w:ins>
    </w:p>
    <w:p>
      <w:pPr>
        <w:pStyle w:val="Equation"/>
        <w:keepNext/>
        <w:spacing w:before="120"/>
        <w:ind w:left="879"/>
        <w:rPr>
          <w:ins w:id="1684" w:author="Master Repository Process" w:date="2025-06-09T09:56:00Z"/>
          <w:rFonts w:ascii="Cambria Math" w:hAnsi="Cambria Math"/>
        </w:rPr>
      </w:pPr>
      <m:oMathPara>
        <m:oMathParaPr>
          <m:jc m:val="left"/>
        </m:oMathParaPr>
        <m:oMath>
          <m:r>
            <w:ins w:id="1685" w:author="Master Repository Process" w:date="2025-06-09T09:56:00Z">
              <m:rPr>
                <m:sty m:val="p"/>
              </m:rPr>
              <w:rPr>
                <w:rFonts w:ascii="Cambria Math" w:hAnsi="Cambria Math"/>
              </w:rPr>
              <m:t xml:space="preserve">Z=75- </m:t>
            </w:ins>
          </m:r>
          <m:d>
            <m:dPr>
              <m:ctrlPr>
                <w:ins w:id="1686" w:author="Master Repository Process" w:date="2025-06-09T09:56:00Z">
                  <w:rPr>
                    <w:rFonts w:ascii="Cambria Math" w:hAnsi="Cambria Math"/>
                  </w:rPr>
                </w:ins>
              </m:ctrlPr>
            </m:dPr>
            <m:e>
              <m:f>
                <m:fPr>
                  <m:ctrlPr>
                    <w:ins w:id="1687" w:author="Master Repository Process" w:date="2025-06-09T09:56:00Z">
                      <w:rPr>
                        <w:rFonts w:ascii="Cambria Math" w:hAnsi="Cambria Math"/>
                      </w:rPr>
                    </w:ins>
                  </m:ctrlPr>
                </m:fPr>
                <m:num>
                  <m:r>
                    <w:ins w:id="1688" w:author="Master Repository Process" w:date="2025-06-09T09:56:00Z">
                      <m:rPr>
                        <m:sty m:val="p"/>
                      </m:rPr>
                      <w:rPr>
                        <w:rFonts w:ascii="Cambria Math" w:hAnsi="Cambria Math"/>
                      </w:rPr>
                      <m:t xml:space="preserve"> V-650 000</m:t>
                    </w:ins>
                  </m:r>
                </m:num>
                <m:den>
                  <m:r>
                    <w:ins w:id="1689" w:author="Master Repository Process" w:date="2025-06-09T09:56:00Z">
                      <m:rPr>
                        <m:sty m:val="p"/>
                      </m:rPr>
                      <w:rPr>
                        <w:rFonts w:ascii="Cambria Math" w:hAnsi="Cambria Math"/>
                      </w:rPr>
                      <m:t>100</m:t>
                    </w:ins>
                  </m:r>
                </m:den>
              </m:f>
              <m:r>
                <w:ins w:id="1690" w:author="Master Repository Process" w:date="2025-06-09T09:56:00Z">
                  <m:rPr>
                    <m:sty m:val="p"/>
                  </m:rPr>
                  <w:rPr>
                    <w:rFonts w:ascii="Cambria Math" w:hAnsi="Cambria Math"/>
                  </w:rPr>
                  <m:t>×0.0375</m:t>
                </w:ins>
              </m:r>
            </m:e>
          </m:d>
        </m:oMath>
      </m:oMathPara>
    </w:p>
    <w:p>
      <w:pPr>
        <w:pStyle w:val="MiscellaneousBody"/>
        <w:tabs>
          <w:tab w:val="left" w:pos="879"/>
          <w:tab w:val="left" w:pos="1418"/>
        </w:tabs>
        <w:rPr>
          <w:ins w:id="1691" w:author="Master Repository Process" w:date="2025-06-09T09:56:00Z"/>
        </w:rPr>
      </w:pPr>
      <w:ins w:id="1692" w:author="Master Repository Process" w:date="2025-06-09T09:56:00Z">
        <w:r>
          <w:tab/>
          <w:t xml:space="preserve">where — </w:t>
        </w:r>
      </w:ins>
    </w:p>
    <w:p>
      <w:pPr>
        <w:pStyle w:val="MiscellaneousBody"/>
        <w:tabs>
          <w:tab w:val="left" w:pos="879"/>
          <w:tab w:val="left" w:pos="1418"/>
        </w:tabs>
        <w:ind w:left="1276" w:hanging="1276"/>
        <w:rPr>
          <w:ins w:id="1693" w:author="Master Repository Process" w:date="2025-06-09T09:56:00Z"/>
        </w:rPr>
      </w:pPr>
      <w:ins w:id="1694" w:author="Master Repository Process" w:date="2025-06-09T09:56:00Z">
        <w:r>
          <w:tab/>
          <w:t>V</w:t>
        </w:r>
        <w:r>
          <w:tab/>
          <w:t>is the dutiable value of the concessional under construction agreement.</w:t>
        </w:r>
      </w:ins>
    </w:p>
    <w:p>
      <w:pPr>
        <w:pStyle w:val="Footnotesection"/>
        <w:rPr>
          <w:ins w:id="1695" w:author="Master Repository Process" w:date="2025-06-09T09:56:00Z"/>
        </w:rPr>
      </w:pPr>
      <w:ins w:id="1696" w:author="Master Repository Process" w:date="2025-06-09T09:56:00Z">
        <w:r>
          <w:tab/>
          <w:t>[Section 266L inserted: No. 29 of 2023 s. 8.]</w:t>
        </w:r>
      </w:ins>
    </w:p>
    <w:p>
      <w:pPr>
        <w:pStyle w:val="Heading5"/>
        <w:rPr>
          <w:ins w:id="1697" w:author="Master Repository Process" w:date="2025-06-09T09:56:00Z"/>
        </w:rPr>
      </w:pPr>
      <w:bookmarkStart w:id="1698" w:name="_Toc161401569"/>
      <w:ins w:id="1699" w:author="Master Repository Process" w:date="2025-06-09T09:56:00Z">
        <w:r>
          <w:rPr>
            <w:rStyle w:val="CharSectno"/>
          </w:rPr>
          <w:t>266M</w:t>
        </w:r>
        <w:r>
          <w:t>.</w:t>
        </w:r>
        <w:r>
          <w:tab/>
          <w:t>Concession amount for concessional off</w:t>
        </w:r>
        <w:r>
          <w:noBreakHyphen/>
          <w:t>the</w:t>
        </w:r>
        <w:r>
          <w:noBreakHyphen/>
          <w:t>plan agreement relating to 2 or more properties</w:t>
        </w:r>
        <w:bookmarkEnd w:id="1698"/>
      </w:ins>
    </w:p>
    <w:p>
      <w:pPr>
        <w:pStyle w:val="Subsection"/>
        <w:rPr>
          <w:ins w:id="1700" w:author="Master Repository Process" w:date="2025-06-09T09:56:00Z"/>
        </w:rPr>
      </w:pPr>
      <w:ins w:id="1701" w:author="Master Repository Process" w:date="2025-06-09T09:56:00Z">
        <w:r>
          <w:tab/>
          <w:t>(1)</w:t>
        </w:r>
        <w:r>
          <w:tab/>
          <w:t>This section applies to a concessional off</w:t>
        </w:r>
        <w:r>
          <w:noBreakHyphen/>
          <w:t>the</w:t>
        </w:r>
        <w:r>
          <w:noBreakHyphen/>
          <w:t xml:space="preserve">plan agreement that is an agreement for the purchase of 2 or more lots (the </w:t>
        </w:r>
        <w:r>
          <w:rPr>
            <w:rStyle w:val="CharDefText"/>
          </w:rPr>
          <w:t>relevant properties</w:t>
        </w:r>
        <w:r>
          <w:t>) in a multi</w:t>
        </w:r>
        <w:r>
          <w:noBreakHyphen/>
          <w:t>tiered scheme, on each of which there will be a new residential unit or apartment.</w:t>
        </w:r>
      </w:ins>
    </w:p>
    <w:p>
      <w:pPr>
        <w:pStyle w:val="Subsection"/>
        <w:rPr>
          <w:ins w:id="1702" w:author="Master Repository Process" w:date="2025-06-09T09:56:00Z"/>
        </w:rPr>
      </w:pPr>
      <w:ins w:id="1703" w:author="Master Repository Process" w:date="2025-06-09T09:56:00Z">
        <w:r>
          <w:tab/>
          <w:t>(2)</w:t>
        </w:r>
        <w:r>
          <w:tab/>
          <w:t>The concession amount for the concessional off</w:t>
        </w:r>
        <w:r>
          <w:noBreakHyphen/>
          <w:t>the</w:t>
        </w:r>
        <w:r>
          <w:noBreakHyphen/>
          <w:t>plan agreement is the total of the concession amounts for each of the relevant properties determined under subsection (3).</w:t>
        </w:r>
      </w:ins>
    </w:p>
    <w:p>
      <w:pPr>
        <w:pStyle w:val="Subsection"/>
        <w:rPr>
          <w:ins w:id="1704" w:author="Master Repository Process" w:date="2025-06-09T09:56:00Z"/>
        </w:rPr>
      </w:pPr>
      <w:ins w:id="1705" w:author="Master Repository Process" w:date="2025-06-09T09:56:00Z">
        <w:r>
          <w:tab/>
          <w:t>(3)</w:t>
        </w:r>
        <w:r>
          <w:tab/>
          <w:t xml:space="preserve">The concession amounts for the relevant properties are determined as follows — </w:t>
        </w:r>
      </w:ins>
    </w:p>
    <w:p>
      <w:pPr>
        <w:pStyle w:val="Indenta"/>
        <w:rPr>
          <w:ins w:id="1706" w:author="Master Repository Process" w:date="2025-06-09T09:56:00Z"/>
        </w:rPr>
      </w:pPr>
      <w:ins w:id="1707" w:author="Master Repository Process" w:date="2025-06-09T09:56:00Z">
        <w:r>
          <w:tab/>
          <w:t>(a)</w:t>
        </w:r>
        <w:r>
          <w:tab/>
          <w:t>first, apportion the dutiable value of the concessional off</w:t>
        </w:r>
        <w:r>
          <w:noBreakHyphen/>
          <w:t>the</w:t>
        </w:r>
        <w:r>
          <w:noBreakHyphen/>
          <w:t>plan agreement between each of the relevant properties as decided by the Commissioner;</w:t>
        </w:r>
      </w:ins>
    </w:p>
    <w:p>
      <w:pPr>
        <w:pStyle w:val="Indenta"/>
        <w:rPr>
          <w:ins w:id="1708" w:author="Master Repository Process" w:date="2025-06-09T09:56:00Z"/>
        </w:rPr>
      </w:pPr>
      <w:ins w:id="1709" w:author="Master Repository Process" w:date="2025-06-09T09:56:00Z">
        <w:r>
          <w:tab/>
          <w:t>(b)</w:t>
        </w:r>
        <w:r>
          <w:tab/>
          <w:t>second, apportion the unadjusted duty amount for the agreement between each of the relevant properties according to the proportion that the dutiable value apportioned to that relevant property under paragraph (a) bears to the dutiable value of the agreement;</w:t>
        </w:r>
      </w:ins>
    </w:p>
    <w:p>
      <w:pPr>
        <w:pStyle w:val="Indenta"/>
        <w:rPr>
          <w:ins w:id="1710" w:author="Master Repository Process" w:date="2025-06-09T09:56:00Z"/>
        </w:rPr>
      </w:pPr>
      <w:ins w:id="1711" w:author="Master Repository Process" w:date="2025-06-09T09:56:00Z">
        <w:r>
          <w:tab/>
          <w:t>(c)</w:t>
        </w:r>
        <w:r>
          <w:tab/>
          <w:t xml:space="preserve">third, determine a concession amount for each of the relevant properties under section 266L as if — </w:t>
        </w:r>
      </w:ins>
    </w:p>
    <w:p>
      <w:pPr>
        <w:pStyle w:val="Indenti"/>
        <w:rPr>
          <w:ins w:id="1712" w:author="Master Repository Process" w:date="2025-06-09T09:56:00Z"/>
        </w:rPr>
      </w:pPr>
      <w:ins w:id="1713" w:author="Master Repository Process" w:date="2025-06-09T09:56:00Z">
        <w:r>
          <w:tab/>
          <w:t>(i)</w:t>
        </w:r>
        <w:r>
          <w:tab/>
          <w:t>that relevant property were the subject of a separate concessional pre</w:t>
        </w:r>
        <w:r>
          <w:noBreakHyphen/>
          <w:t>construction agreement or concessional under construction agreement (whichever is relevant); and</w:t>
        </w:r>
      </w:ins>
    </w:p>
    <w:p>
      <w:pPr>
        <w:pStyle w:val="Indenti"/>
        <w:rPr>
          <w:ins w:id="1714" w:author="Master Repository Process" w:date="2025-06-09T09:56:00Z"/>
        </w:rPr>
      </w:pPr>
      <w:ins w:id="1715" w:author="Master Repository Process" w:date="2025-06-09T09:56:00Z">
        <w:r>
          <w:tab/>
          <w:t>(ii)</w:t>
        </w:r>
        <w:r>
          <w:tab/>
          <w:t>the dutiable value of that agreement were the amount apportioned to that relevant property under paragraph (a); and</w:t>
        </w:r>
      </w:ins>
    </w:p>
    <w:p>
      <w:pPr>
        <w:pStyle w:val="Indenti"/>
        <w:rPr>
          <w:ins w:id="1716" w:author="Master Repository Process" w:date="2025-06-09T09:56:00Z"/>
        </w:rPr>
      </w:pPr>
      <w:ins w:id="1717" w:author="Master Repository Process" w:date="2025-06-09T09:56:00Z">
        <w:r>
          <w:tab/>
          <w:t>(iii)</w:t>
        </w:r>
        <w:r>
          <w:tab/>
          <w:t>the unadjusted duty amount for that agreement were the amount apportioned to that relevant property under paragraph (b).</w:t>
        </w:r>
      </w:ins>
    </w:p>
    <w:p>
      <w:pPr>
        <w:pStyle w:val="Footnotesection"/>
        <w:rPr>
          <w:ins w:id="1718" w:author="Master Repository Process" w:date="2025-06-09T09:56:00Z"/>
        </w:rPr>
      </w:pPr>
      <w:ins w:id="1719" w:author="Master Repository Process" w:date="2025-06-09T09:56:00Z">
        <w:r>
          <w:tab/>
          <w:t>[Section 266M inserted: No. 29 of 2023 s. 8.]</w:t>
        </w:r>
      </w:ins>
    </w:p>
    <w:p>
      <w:pPr>
        <w:pStyle w:val="Heading5"/>
        <w:rPr>
          <w:ins w:id="1720" w:author="Master Repository Process" w:date="2025-06-09T09:56:00Z"/>
        </w:rPr>
      </w:pPr>
      <w:bookmarkStart w:id="1721" w:name="_Toc161401570"/>
      <w:ins w:id="1722" w:author="Master Repository Process" w:date="2025-06-09T09:56:00Z">
        <w:r>
          <w:rPr>
            <w:rStyle w:val="CharSectno"/>
          </w:rPr>
          <w:t>266N</w:t>
        </w:r>
        <w:r>
          <w:t>.</w:t>
        </w:r>
        <w:r>
          <w:tab/>
          <w:t>Aggregation of transactions</w:t>
        </w:r>
        <w:bookmarkEnd w:id="1721"/>
      </w:ins>
    </w:p>
    <w:p>
      <w:pPr>
        <w:pStyle w:val="Subsection"/>
        <w:keepNext/>
        <w:rPr>
          <w:ins w:id="1723" w:author="Master Repository Process" w:date="2025-06-09T09:56:00Z"/>
        </w:rPr>
      </w:pPr>
      <w:ins w:id="1724" w:author="Master Repository Process" w:date="2025-06-09T09:56:00Z">
        <w:r>
          <w:tab/>
          <w:t>(1)</w:t>
        </w:r>
        <w:r>
          <w:tab/>
          <w:t xml:space="preserve">Subsection (2) applies if under section 37 — </w:t>
        </w:r>
      </w:ins>
    </w:p>
    <w:p>
      <w:pPr>
        <w:pStyle w:val="Indenta"/>
        <w:rPr>
          <w:ins w:id="1725" w:author="Master Repository Process" w:date="2025-06-09T09:56:00Z"/>
        </w:rPr>
      </w:pPr>
      <w:ins w:id="1726" w:author="Master Repository Process" w:date="2025-06-09T09:56:00Z">
        <w:r>
          <w:tab/>
          <w:t>(a)</w:t>
        </w:r>
        <w:r>
          <w:tab/>
          <w:t>2 or more concessional off</w:t>
        </w:r>
        <w:r>
          <w:noBreakHyphen/>
          <w:t>the</w:t>
        </w:r>
        <w:r>
          <w:noBreakHyphen/>
          <w:t>plan agreements are aggregated and treated as a single dutiable transaction; or</w:t>
        </w:r>
      </w:ins>
    </w:p>
    <w:p>
      <w:pPr>
        <w:pStyle w:val="Indenta"/>
        <w:rPr>
          <w:ins w:id="1727" w:author="Master Repository Process" w:date="2025-06-09T09:56:00Z"/>
        </w:rPr>
      </w:pPr>
      <w:ins w:id="1728" w:author="Master Repository Process" w:date="2025-06-09T09:56:00Z">
        <w:r>
          <w:tab/>
          <w:t>(b)</w:t>
        </w:r>
        <w:r>
          <w:tab/>
          <w:t>1 or more concessional off</w:t>
        </w:r>
        <w:r>
          <w:noBreakHyphen/>
          <w:t>the</w:t>
        </w:r>
        <w:r>
          <w:noBreakHyphen/>
          <w:t>plan agreements and 1 or more other dutiable transactions are aggregated and treated as a single dutiable transaction.</w:t>
        </w:r>
      </w:ins>
    </w:p>
    <w:p>
      <w:pPr>
        <w:pStyle w:val="Subsection"/>
        <w:rPr>
          <w:ins w:id="1729" w:author="Master Repository Process" w:date="2025-06-09T09:56:00Z"/>
        </w:rPr>
      </w:pPr>
      <w:ins w:id="1730" w:author="Master Repository Process" w:date="2025-06-09T09:56:00Z">
        <w:r>
          <w:tab/>
          <w:t>(2)</w:t>
        </w:r>
        <w:r>
          <w:tab/>
          <w:t xml:space="preserve">In determining the duty payable on the aggregated transactions — </w:t>
        </w:r>
      </w:ins>
    </w:p>
    <w:p>
      <w:pPr>
        <w:pStyle w:val="Indenta"/>
        <w:rPr>
          <w:ins w:id="1731" w:author="Master Repository Process" w:date="2025-06-09T09:56:00Z"/>
        </w:rPr>
      </w:pPr>
      <w:ins w:id="1732" w:author="Master Repository Process" w:date="2025-06-09T09:56:00Z">
        <w:r>
          <w:tab/>
          <w:t>(a)</w:t>
        </w:r>
        <w:r>
          <w:tab/>
          <w:t>first, under section 37, determine and apportion between the aggregated transactions the amount of transfer duty that would be payable on the aggregated transactions if none of the transactions were a concessional off</w:t>
        </w:r>
        <w:r>
          <w:noBreakHyphen/>
          <w:t>the</w:t>
        </w:r>
        <w:r>
          <w:noBreakHyphen/>
          <w:t>plan agreement;</w:t>
        </w:r>
      </w:ins>
    </w:p>
    <w:p>
      <w:pPr>
        <w:pStyle w:val="Indenta"/>
        <w:rPr>
          <w:ins w:id="1733" w:author="Master Repository Process" w:date="2025-06-09T09:56:00Z"/>
        </w:rPr>
      </w:pPr>
      <w:ins w:id="1734" w:author="Master Repository Process" w:date="2025-06-09T09:56:00Z">
        <w:r>
          <w:tab/>
          <w:t>(b)</w:t>
        </w:r>
        <w:r>
          <w:tab/>
          <w:t>second, determine a concession amount under section 266L (or, if applicable, sections 266L and 266M) for each of the concessional off</w:t>
        </w:r>
        <w:r>
          <w:noBreakHyphen/>
          <w:t>the</w:t>
        </w:r>
        <w:r>
          <w:noBreakHyphen/>
          <w:t xml:space="preserve">plan agreements, treated as a separate transaction, as if the unadjusted duty amount for the agreement were — </w:t>
        </w:r>
      </w:ins>
    </w:p>
    <w:p>
      <w:pPr>
        <w:pStyle w:val="Indenti"/>
        <w:rPr>
          <w:ins w:id="1735" w:author="Master Repository Process" w:date="2025-06-09T09:56:00Z"/>
        </w:rPr>
      </w:pPr>
      <w:ins w:id="1736" w:author="Master Repository Process" w:date="2025-06-09T09:56:00Z">
        <w:r>
          <w:tab/>
          <w:t>(i)</w:t>
        </w:r>
        <w:r>
          <w:tab/>
          <w:t xml:space="preserve">if foreign transfer duty is not payable on the agreement — the amount (the </w:t>
        </w:r>
        <w:r>
          <w:rPr>
            <w:rStyle w:val="CharDefText"/>
          </w:rPr>
          <w:t>apportioned transfer duty amount</w:t>
        </w:r>
        <w:r>
          <w:t>) of transfer duty apportioned to the agreement as referred to in paragraph (a); or</w:t>
        </w:r>
      </w:ins>
    </w:p>
    <w:p>
      <w:pPr>
        <w:pStyle w:val="Indenti"/>
        <w:rPr>
          <w:ins w:id="1737" w:author="Master Repository Process" w:date="2025-06-09T09:56:00Z"/>
        </w:rPr>
      </w:pPr>
      <w:ins w:id="1738" w:author="Master Repository Process" w:date="2025-06-09T09:56:00Z">
        <w:r>
          <w:tab/>
          <w:t>(ii)</w:t>
        </w:r>
        <w:r>
          <w:tab/>
          <w:t>if foreign transfer duty is payable on the agreement — the total of the apportioned transfer duty amount and the amount of foreign transfer duty that would be payable on the agreement if it were not a concessional off</w:t>
        </w:r>
        <w:r>
          <w:noBreakHyphen/>
          <w:t>the</w:t>
        </w:r>
        <w:r>
          <w:noBreakHyphen/>
          <w:t>plan agreement;</w:t>
        </w:r>
      </w:ins>
    </w:p>
    <w:p>
      <w:pPr>
        <w:pStyle w:val="Indenta"/>
        <w:rPr>
          <w:ins w:id="1739" w:author="Master Repository Process" w:date="2025-06-09T09:56:00Z"/>
        </w:rPr>
      </w:pPr>
      <w:ins w:id="1740" w:author="Master Repository Process" w:date="2025-06-09T09:56:00Z">
        <w:r>
          <w:tab/>
          <w:t>(c)</w:t>
        </w:r>
        <w:r>
          <w:tab/>
          <w:t>third, for each of the concessional off</w:t>
        </w:r>
        <w:r>
          <w:noBreakHyphen/>
          <w:t>the</w:t>
        </w:r>
        <w:r>
          <w:noBreakHyphen/>
          <w:t>plan agreements, reduce in accordance with section 266K the amount of transfer duty and (if applicable) foreign transfer duty payable by the concession amount for that agreement determined under paragraph (b), as if the amount of transfer duty payable on the agreement were the apportioned transfer duty amount.</w:t>
        </w:r>
      </w:ins>
    </w:p>
    <w:p>
      <w:pPr>
        <w:pStyle w:val="Subsection"/>
        <w:rPr>
          <w:ins w:id="1741" w:author="Master Repository Process" w:date="2025-06-09T09:56:00Z"/>
        </w:rPr>
      </w:pPr>
      <w:ins w:id="1742" w:author="Master Repository Process" w:date="2025-06-09T09:56:00Z">
        <w:r>
          <w:tab/>
          <w:t>(3)</w:t>
        </w:r>
        <w:r>
          <w:tab/>
          <w:t>A concessional off</w:t>
        </w:r>
        <w:r>
          <w:noBreakHyphen/>
          <w:t>the</w:t>
        </w:r>
        <w:r>
          <w:noBreakHyphen/>
          <w:t>plan agreement is not an exempt transaction for the purposes of section 37(3)(c) solely because the transfer duty payable on the agreement is reduced to zero under this Chapter.</w:t>
        </w:r>
      </w:ins>
    </w:p>
    <w:p>
      <w:pPr>
        <w:pStyle w:val="Footnotesection"/>
        <w:rPr>
          <w:ins w:id="1743" w:author="Master Repository Process" w:date="2025-06-09T09:56:00Z"/>
        </w:rPr>
      </w:pPr>
      <w:ins w:id="1744" w:author="Master Repository Process" w:date="2025-06-09T09:56:00Z">
        <w:r>
          <w:tab/>
          <w:t>[Section 266N inserted: No. 29 of 2023 s. 8.]</w:t>
        </w:r>
      </w:ins>
    </w:p>
    <w:p>
      <w:pPr>
        <w:pStyle w:val="Heading5"/>
        <w:rPr>
          <w:ins w:id="1745" w:author="Master Repository Process" w:date="2025-06-09T09:56:00Z"/>
        </w:rPr>
      </w:pPr>
      <w:bookmarkStart w:id="1746" w:name="_Toc161401571"/>
      <w:ins w:id="1747" w:author="Master Repository Process" w:date="2025-06-09T09:56:00Z">
        <w:r>
          <w:rPr>
            <w:rStyle w:val="CharSectno"/>
          </w:rPr>
          <w:t>266O</w:t>
        </w:r>
        <w:r>
          <w:t>.</w:t>
        </w:r>
        <w:r>
          <w:tab/>
          <w:t>Application for off</w:t>
        </w:r>
        <w:r>
          <w:noBreakHyphen/>
          <w:t>the</w:t>
        </w:r>
        <w:r>
          <w:noBreakHyphen/>
          <w:t>plan concession</w:t>
        </w:r>
        <w:bookmarkEnd w:id="1746"/>
      </w:ins>
    </w:p>
    <w:p>
      <w:pPr>
        <w:pStyle w:val="Subsection"/>
        <w:rPr>
          <w:ins w:id="1748" w:author="Master Repository Process" w:date="2025-06-09T09:56:00Z"/>
        </w:rPr>
      </w:pPr>
      <w:ins w:id="1749" w:author="Master Repository Process" w:date="2025-06-09T09:56:00Z">
        <w:r>
          <w:tab/>
          <w:t>(1)</w:t>
        </w:r>
        <w:r>
          <w:tab/>
          <w:t>An application for assessment or reassessment of the liability to duty of a concessional off</w:t>
        </w:r>
        <w:r>
          <w:noBreakHyphen/>
          <w:t>the</w:t>
        </w:r>
        <w:r>
          <w:noBreakHyphen/>
          <w:t>plan agreement under this Chapter must be made in the approved form no later than 12 months after the day on which the agreement is completed.</w:t>
        </w:r>
      </w:ins>
    </w:p>
    <w:p>
      <w:pPr>
        <w:pStyle w:val="Subsection"/>
        <w:rPr>
          <w:ins w:id="1750" w:author="Master Repository Process" w:date="2025-06-09T09:56:00Z"/>
        </w:rPr>
      </w:pPr>
      <w:ins w:id="1751" w:author="Master Repository Process" w:date="2025-06-09T09:56:00Z">
        <w:r>
          <w:tab/>
          <w:t>(2)</w:t>
        </w:r>
        <w:r>
          <w:tab/>
          <w:t xml:space="preserve">For the purposes of this Chapter, the Taxation Administration Act section 17 applies as if — </w:t>
        </w:r>
      </w:ins>
    </w:p>
    <w:p>
      <w:pPr>
        <w:pStyle w:val="Indenta"/>
        <w:rPr>
          <w:ins w:id="1752" w:author="Master Repository Process" w:date="2025-06-09T09:56:00Z"/>
        </w:rPr>
      </w:pPr>
      <w:ins w:id="1753" w:author="Master Repository Process" w:date="2025-06-09T09:56:00Z">
        <w:r>
          <w:tab/>
          <w:t>(a)</w:t>
        </w:r>
        <w:r>
          <w:tab/>
          <w:t>despite subsection (1) of that section, a taxpayer is not entitled to apply for a reassessment of the liability to duty of a concessional off</w:t>
        </w:r>
        <w:r>
          <w:noBreakHyphen/>
          <w:t>the</w:t>
        </w:r>
        <w:r>
          <w:noBreakHyphen/>
          <w:t>plan agreement under this Chapter more than 12 months after the day on which the agreement is completed; and</w:t>
        </w:r>
      </w:ins>
    </w:p>
    <w:p>
      <w:pPr>
        <w:pStyle w:val="Indenta"/>
        <w:rPr>
          <w:ins w:id="1754" w:author="Master Repository Process" w:date="2025-06-09T09:56:00Z"/>
        </w:rPr>
      </w:pPr>
      <w:ins w:id="1755" w:author="Master Repository Process" w:date="2025-06-09T09:56:00Z">
        <w:r>
          <w:tab/>
          <w:t>(b)</w:t>
        </w:r>
        <w:r>
          <w:tab/>
          <w:t>despite subsection (4) of that section, the Commissioner can make a reassessment of the liability to duty of a concessional off</w:t>
        </w:r>
        <w:r>
          <w:noBreakHyphen/>
          <w:t>the</w:t>
        </w:r>
        <w:r>
          <w:noBreakHyphen/>
          <w:t>plan agreement under this Chapter on an application by a taxpayer only if the application was made within that time.</w:t>
        </w:r>
      </w:ins>
    </w:p>
    <w:p>
      <w:pPr>
        <w:pStyle w:val="Footnotesection"/>
        <w:rPr>
          <w:ins w:id="1756" w:author="Master Repository Process" w:date="2025-06-09T09:56:00Z"/>
        </w:rPr>
      </w:pPr>
      <w:ins w:id="1757" w:author="Master Repository Process" w:date="2025-06-09T09:56:00Z">
        <w:r>
          <w:tab/>
          <w:t>[Section 266O inserted: No. 29 of 2023 s. 8.]</w:t>
        </w:r>
      </w:ins>
    </w:p>
    <w:p>
      <w:pPr>
        <w:pStyle w:val="Heading2"/>
        <w:spacing w:before="120"/>
        <w:rPr>
          <w:sz w:val="32"/>
        </w:rPr>
      </w:pPr>
      <w:bookmarkStart w:id="1758" w:name="_Toc161400914"/>
      <w:bookmarkStart w:id="1759" w:name="_Toc161401572"/>
      <w:bookmarkStart w:id="1760" w:name="_Toc154754056"/>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758"/>
      <w:bookmarkEnd w:id="1759"/>
      <w:bookmarkEnd w:id="1760"/>
    </w:p>
    <w:p>
      <w:pPr>
        <w:pStyle w:val="Heading5"/>
        <w:spacing w:before="180"/>
      </w:pPr>
      <w:bookmarkStart w:id="1761" w:name="_Toc161401573"/>
      <w:bookmarkStart w:id="1762" w:name="_Toc154754057"/>
      <w:r>
        <w:rPr>
          <w:rStyle w:val="CharSectno"/>
        </w:rPr>
        <w:t>267</w:t>
      </w:r>
      <w:r>
        <w:t>.</w:t>
      </w:r>
      <w:r>
        <w:tab/>
        <w:t>Term used: scheme</w:t>
      </w:r>
      <w:bookmarkEnd w:id="1761"/>
      <w:bookmarkEnd w:id="1762"/>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1763" w:name="_Toc161401574"/>
      <w:bookmarkStart w:id="1764" w:name="_Toc154754058"/>
      <w:r>
        <w:rPr>
          <w:rStyle w:val="CharSectno"/>
        </w:rPr>
        <w:t>268</w:t>
      </w:r>
      <w:r>
        <w:t>.</w:t>
      </w:r>
      <w:r>
        <w:rPr>
          <w:vertAlign w:val="superscript"/>
        </w:rPr>
        <w:t xml:space="preserve">1M, 1MC </w:t>
      </w:r>
      <w:r>
        <w:t>Tax avoidance scheme</w:t>
      </w:r>
      <w:bookmarkEnd w:id="1763"/>
      <w:bookmarkEnd w:id="1764"/>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Footnotesection"/>
      </w:pPr>
      <w:r>
        <w:tab/>
        <w:t>[Modification, to section 268, to have effect under the Commonwealth Places (Mirror Taxes Administration) Act 1999 s. 7, see Commonwealth Places (Mirror Taxes Administration) Regulations 2007 r. 9 and endnote 1M.]</w:t>
      </w:r>
    </w:p>
    <w:p>
      <w:pPr>
        <w:pStyle w:val="Footnotesection"/>
      </w:pPr>
      <w:r>
        <w:tab/>
        <w:t>[Modification, to section 268, to have effect under the Commonwealth Places (Mirror Taxes) Act 1998 (Commonwealth) s. 8, see Commonwealth Places (Mirror Taxes) (Modification of Applied Laws (WA)) Notice 2007 cl. 10 and endnote 1MC.]</w:t>
      </w:r>
    </w:p>
    <w:p>
      <w:pPr>
        <w:pStyle w:val="Heading5"/>
      </w:pPr>
      <w:bookmarkStart w:id="1765" w:name="_Toc161401575"/>
      <w:bookmarkStart w:id="1766" w:name="_Toc154754059"/>
      <w:r>
        <w:rPr>
          <w:rStyle w:val="CharSectno"/>
        </w:rPr>
        <w:t>269</w:t>
      </w:r>
      <w:r>
        <w:t>.</w:t>
      </w:r>
      <w:r>
        <w:tab/>
        <w:t>Deciding whether proposed scheme would be disregarded under s. 270</w:t>
      </w:r>
      <w:bookmarkEnd w:id="1765"/>
      <w:bookmarkEnd w:id="1766"/>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keepNex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767" w:name="_Toc161401576"/>
      <w:bookmarkStart w:id="1768" w:name="_Toc154754060"/>
      <w:r>
        <w:rPr>
          <w:rStyle w:val="CharSectno"/>
        </w:rPr>
        <w:t>270</w:t>
      </w:r>
      <w:r>
        <w:t>.</w:t>
      </w:r>
      <w:r>
        <w:tab/>
        <w:t>Certain tax avoidance schemes, Commissioner may disregard</w:t>
      </w:r>
      <w:bookmarkEnd w:id="1767"/>
      <w:bookmarkEnd w:id="1768"/>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1769" w:name="_Toc161401577"/>
      <w:bookmarkStart w:id="1770" w:name="_Toc154754061"/>
      <w:r>
        <w:rPr>
          <w:rStyle w:val="CharSectno"/>
        </w:rPr>
        <w:t>271</w:t>
      </w:r>
      <w:r>
        <w:t>.</w:t>
      </w:r>
      <w:r>
        <w:tab/>
        <w:t>Statement in relation to determination</w:t>
      </w:r>
      <w:bookmarkEnd w:id="1769"/>
      <w:bookmarkEnd w:id="1770"/>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771" w:name="_Toc161400920"/>
      <w:bookmarkStart w:id="1772" w:name="_Toc161401578"/>
      <w:bookmarkStart w:id="1773" w:name="_Toc154754062"/>
      <w:r>
        <w:rPr>
          <w:rStyle w:val="CharPartNo"/>
          <w:sz w:val="32"/>
        </w:rPr>
        <w:t>Chapter 8</w:t>
      </w:r>
      <w:r>
        <w:rPr>
          <w:sz w:val="32"/>
        </w:rPr>
        <w:t> — </w:t>
      </w:r>
      <w:r>
        <w:rPr>
          <w:rStyle w:val="CharPartText"/>
          <w:sz w:val="32"/>
        </w:rPr>
        <w:t>Other general provisions</w:t>
      </w:r>
      <w:bookmarkEnd w:id="1771"/>
      <w:bookmarkEnd w:id="1772"/>
      <w:bookmarkEnd w:id="1773"/>
    </w:p>
    <w:p>
      <w:pPr>
        <w:pStyle w:val="Heading3"/>
        <w:rPr>
          <w:sz w:val="28"/>
        </w:rPr>
      </w:pPr>
      <w:bookmarkStart w:id="1774" w:name="_Toc161400921"/>
      <w:bookmarkStart w:id="1775" w:name="_Toc161401579"/>
      <w:bookmarkStart w:id="1776" w:name="_Toc154754063"/>
      <w:r>
        <w:rPr>
          <w:rStyle w:val="CharDivNo"/>
          <w:sz w:val="28"/>
        </w:rPr>
        <w:t>Part 1</w:t>
      </w:r>
      <w:r>
        <w:rPr>
          <w:sz w:val="28"/>
        </w:rPr>
        <w:t> — </w:t>
      </w:r>
      <w:r>
        <w:rPr>
          <w:rStyle w:val="CharDivText"/>
          <w:sz w:val="28"/>
        </w:rPr>
        <w:t>Duty endorsement</w:t>
      </w:r>
      <w:bookmarkEnd w:id="1774"/>
      <w:bookmarkEnd w:id="1775"/>
      <w:bookmarkEnd w:id="1776"/>
    </w:p>
    <w:p>
      <w:pPr>
        <w:pStyle w:val="Heading5"/>
        <w:spacing w:before="180"/>
      </w:pPr>
      <w:bookmarkStart w:id="1777" w:name="_Toc161401580"/>
      <w:bookmarkStart w:id="1778" w:name="_Toc154754064"/>
      <w:r>
        <w:rPr>
          <w:rStyle w:val="CharSectno"/>
        </w:rPr>
        <w:t>272</w:t>
      </w:r>
      <w:r>
        <w:t>.</w:t>
      </w:r>
      <w:r>
        <w:tab/>
        <w:t>Duty endorsed</w:t>
      </w:r>
      <w:bookmarkEnd w:id="1777"/>
      <w:bookmarkEnd w:id="1778"/>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1779" w:name="_Toc161401581"/>
      <w:bookmarkStart w:id="1780" w:name="_Toc154754065"/>
      <w:r>
        <w:rPr>
          <w:rStyle w:val="CharSectno"/>
        </w:rPr>
        <w:t>273A</w:t>
      </w:r>
      <w:r>
        <w:t>.</w:t>
      </w:r>
      <w:r>
        <w:tab/>
        <w:t>Duty endorsement: electronic conveyancing instruments</w:t>
      </w:r>
      <w:bookmarkEnd w:id="1779"/>
      <w:bookmarkEnd w:id="1780"/>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1781" w:name="_Toc161401582"/>
      <w:bookmarkStart w:id="1782" w:name="_Toc154754066"/>
      <w:r>
        <w:rPr>
          <w:rStyle w:val="CharSectno"/>
        </w:rPr>
        <w:t>273</w:t>
      </w:r>
      <w:r>
        <w:t>.</w:t>
      </w:r>
      <w:r>
        <w:tab/>
        <w:t>Endorsing transaction records as to duty paid etc.</w:t>
      </w:r>
      <w:bookmarkEnd w:id="1781"/>
      <w:bookmarkEnd w:id="1782"/>
    </w:p>
    <w:p>
      <w:pPr>
        <w:pStyle w:val="Subsection"/>
        <w:keepNext/>
      </w:pPr>
      <w:r>
        <w:rPr>
          <w:b/>
        </w:rPr>
        <w:tab/>
      </w:r>
      <w:r>
        <w:t>(1)</w:t>
      </w:r>
      <w:r>
        <w:tab/>
        <w:t>In this section —</w:t>
      </w:r>
    </w:p>
    <w:p>
      <w:pPr>
        <w:pStyle w:val="Defstart"/>
        <w:keepNex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1783" w:name="_Toc161401583"/>
      <w:bookmarkStart w:id="1784" w:name="_Toc154754067"/>
      <w:r>
        <w:rPr>
          <w:rStyle w:val="CharSectno"/>
        </w:rPr>
        <w:t>274</w:t>
      </w:r>
      <w:r>
        <w:t>.</w:t>
      </w:r>
      <w:r>
        <w:tab/>
        <w:t>Endorsement of duty that depends on duty paid on another transaction</w:t>
      </w:r>
      <w:bookmarkEnd w:id="1783"/>
      <w:bookmarkEnd w:id="1784"/>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1785" w:name="_Toc161401584"/>
      <w:bookmarkStart w:id="1786" w:name="_Toc154754068"/>
      <w:r>
        <w:rPr>
          <w:rStyle w:val="CharSectno"/>
        </w:rPr>
        <w:t>275</w:t>
      </w:r>
      <w:r>
        <w:t>.</w:t>
      </w:r>
      <w:r>
        <w:tab/>
        <w:t>Duty endorsement is evidence of certain matters</w:t>
      </w:r>
      <w:bookmarkEnd w:id="1785"/>
      <w:bookmarkEnd w:id="1786"/>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1787" w:name="_Toc161400927"/>
      <w:bookmarkStart w:id="1788" w:name="_Toc161401585"/>
      <w:bookmarkStart w:id="1789" w:name="_Toc154754069"/>
      <w:r>
        <w:rPr>
          <w:rStyle w:val="CharDivNo"/>
          <w:sz w:val="28"/>
        </w:rPr>
        <w:t>Part 2</w:t>
      </w:r>
      <w:r>
        <w:rPr>
          <w:sz w:val="28"/>
        </w:rPr>
        <w:t> — </w:t>
      </w:r>
      <w:r>
        <w:rPr>
          <w:rStyle w:val="CharDivText"/>
          <w:sz w:val="28"/>
        </w:rPr>
        <w:t>Enforcement</w:t>
      </w:r>
      <w:bookmarkEnd w:id="1787"/>
      <w:bookmarkEnd w:id="1788"/>
      <w:bookmarkEnd w:id="1789"/>
    </w:p>
    <w:p>
      <w:pPr>
        <w:pStyle w:val="Heading5"/>
      </w:pPr>
      <w:bookmarkStart w:id="1790" w:name="_Toc161401586"/>
      <w:bookmarkStart w:id="1791" w:name="_Toc154754070"/>
      <w:r>
        <w:rPr>
          <w:rStyle w:val="CharSectno"/>
        </w:rPr>
        <w:t>276</w:t>
      </w:r>
      <w:r>
        <w:t>.</w:t>
      </w:r>
      <w:r>
        <w:tab/>
        <w:t>Dutiable transactions etc. not to be registered etc. unless duty endorsed</w:t>
      </w:r>
      <w:bookmarkEnd w:id="1790"/>
      <w:bookmarkEnd w:id="1791"/>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792" w:name="_Toc161401587"/>
      <w:bookmarkStart w:id="1793" w:name="_Toc154754071"/>
      <w:r>
        <w:rPr>
          <w:rStyle w:val="CharSectno"/>
        </w:rPr>
        <w:t>277</w:t>
      </w:r>
      <w:r>
        <w:t>.</w:t>
      </w:r>
      <w:r>
        <w:tab/>
        <w:t>Business licences not to be registered etc. unless duty endorsed or instrument lodged</w:t>
      </w:r>
      <w:bookmarkEnd w:id="1792"/>
      <w:bookmarkEnd w:id="1793"/>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1794" w:name="_Toc161401588"/>
      <w:bookmarkStart w:id="1795" w:name="_Toc154754072"/>
      <w:r>
        <w:rPr>
          <w:rStyle w:val="CharSectno"/>
        </w:rPr>
        <w:t>278</w:t>
      </w:r>
      <w:r>
        <w:t>.</w:t>
      </w:r>
      <w:r>
        <w:tab/>
        <w:t>Caveat as to dutiable transaction not to be registered unless transaction is duty endorsed or lodged</w:t>
      </w:r>
      <w:bookmarkEnd w:id="1794"/>
      <w:bookmarkEnd w:id="1795"/>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1796" w:name="_Toc161401589"/>
      <w:bookmarkStart w:id="1797" w:name="_Toc154754073"/>
      <w:r>
        <w:rPr>
          <w:rStyle w:val="CharSectno"/>
        </w:rPr>
        <w:t>279</w:t>
      </w:r>
      <w:r>
        <w:t>.</w:t>
      </w:r>
      <w:r>
        <w:tab/>
        <w:t>Use of transaction records in civil proceedings</w:t>
      </w:r>
      <w:bookmarkEnd w:id="1796"/>
      <w:bookmarkEnd w:id="1797"/>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keepNext/>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1798" w:name="_Toc161401590"/>
      <w:bookmarkStart w:id="1799" w:name="_Toc154754074"/>
      <w:r>
        <w:rPr>
          <w:rStyle w:val="CharSectno"/>
        </w:rPr>
        <w:t>280</w:t>
      </w:r>
      <w:r>
        <w:t>.</w:t>
      </w:r>
      <w:r>
        <w:tab/>
        <w:t>Unlodged instruments, duty of non</w:t>
      </w:r>
      <w:r>
        <w:noBreakHyphen/>
        <w:t>party to lodge</w:t>
      </w:r>
      <w:bookmarkEnd w:id="1798"/>
      <w:bookmarkEnd w:id="1799"/>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800" w:name="_Toc161400933"/>
      <w:bookmarkStart w:id="1801" w:name="_Toc161401591"/>
      <w:bookmarkStart w:id="1802" w:name="_Toc154754075"/>
      <w:r>
        <w:rPr>
          <w:rStyle w:val="CharDivNo"/>
          <w:sz w:val="28"/>
        </w:rPr>
        <w:t>Part 3</w:t>
      </w:r>
      <w:r>
        <w:rPr>
          <w:sz w:val="28"/>
        </w:rPr>
        <w:t> — </w:t>
      </w:r>
      <w:r>
        <w:rPr>
          <w:rStyle w:val="CharDivText"/>
          <w:sz w:val="28"/>
        </w:rPr>
        <w:t>Miscellaneous</w:t>
      </w:r>
      <w:bookmarkEnd w:id="1800"/>
      <w:bookmarkEnd w:id="1801"/>
      <w:bookmarkEnd w:id="1802"/>
    </w:p>
    <w:p>
      <w:pPr>
        <w:pStyle w:val="Heading5"/>
      </w:pPr>
      <w:bookmarkStart w:id="1803" w:name="_Toc161401592"/>
      <w:bookmarkStart w:id="1804" w:name="_Toc154754076"/>
      <w:r>
        <w:rPr>
          <w:rStyle w:val="CharSectno"/>
        </w:rPr>
        <w:t>281</w:t>
      </w:r>
      <w:r>
        <w:t>.</w:t>
      </w:r>
      <w:r>
        <w:tab/>
        <w:t>Transaction records etc., Commissioner’s power to destroy</w:t>
      </w:r>
      <w:bookmarkEnd w:id="1803"/>
      <w:bookmarkEnd w:id="1804"/>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805" w:name="_Toc161401593"/>
      <w:bookmarkStart w:id="1806" w:name="_Toc154754077"/>
      <w:r>
        <w:rPr>
          <w:rStyle w:val="CharSectno"/>
        </w:rPr>
        <w:t>282</w:t>
      </w:r>
      <w:r>
        <w:t>.</w:t>
      </w:r>
      <w:r>
        <w:tab/>
        <w:t>Correction of errors</w:t>
      </w:r>
      <w:bookmarkEnd w:id="1805"/>
      <w:bookmarkEnd w:id="1806"/>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1807" w:name="_Toc161401594"/>
      <w:bookmarkStart w:id="1808" w:name="_Toc154754078"/>
      <w:r>
        <w:rPr>
          <w:rStyle w:val="CharSectno"/>
        </w:rPr>
        <w:t>283</w:t>
      </w:r>
      <w:r>
        <w:t>.</w:t>
      </w:r>
      <w:r>
        <w:tab/>
      </w:r>
      <w:r>
        <w:rPr>
          <w:snapToGrid w:val="0"/>
        </w:rPr>
        <w:t>Amounts expressed in foreign currency</w:t>
      </w:r>
      <w:bookmarkEnd w:id="1807"/>
      <w:bookmarkEnd w:id="1808"/>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spacing w:before="180"/>
      </w:pPr>
      <w:bookmarkStart w:id="1809" w:name="_Toc161401595"/>
      <w:bookmarkStart w:id="1810" w:name="_Toc154754079"/>
      <w:r>
        <w:rPr>
          <w:rStyle w:val="CharSectno"/>
        </w:rPr>
        <w:t>284</w:t>
      </w:r>
      <w:r>
        <w:t>.</w:t>
      </w:r>
      <w:r>
        <w:tab/>
        <w:t>Application of Corporations Act s. 1070A(1)(a) limited</w:t>
      </w:r>
      <w:bookmarkEnd w:id="1809"/>
      <w:bookmarkEnd w:id="1810"/>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1811" w:name="_Toc161401596"/>
      <w:bookmarkStart w:id="1812" w:name="_Toc154754080"/>
      <w:r>
        <w:rPr>
          <w:rStyle w:val="CharSectno"/>
        </w:rPr>
        <w:t>285</w:t>
      </w:r>
      <w:r>
        <w:t>.</w:t>
      </w:r>
      <w:r>
        <w:tab/>
        <w:t>Regulations</w:t>
      </w:r>
      <w:bookmarkEnd w:id="1811"/>
      <w:bookmarkEnd w:id="1812"/>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813" w:name="_Toc161401597"/>
      <w:bookmarkStart w:id="1814" w:name="_Toc154754081"/>
      <w:r>
        <w:rPr>
          <w:rStyle w:val="CharSectno"/>
        </w:rPr>
        <w:t>286</w:t>
      </w:r>
      <w:r>
        <w:t>.</w:t>
      </w:r>
      <w:r>
        <w:tab/>
        <w:t>Transitional provisions (Sch. 3)</w:t>
      </w:r>
      <w:bookmarkEnd w:id="1813"/>
      <w:bookmarkEnd w:id="1814"/>
    </w:p>
    <w:p>
      <w:pPr>
        <w:pStyle w:val="Subsection"/>
      </w:pPr>
      <w:r>
        <w:tab/>
      </w:r>
      <w:r>
        <w:tab/>
        <w:t>Schedule 3 sets out transitional provisions.</w:t>
      </w:r>
    </w:p>
    <w:p>
      <w:pPr>
        <w:pStyle w:val="Subsection"/>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titlePg/>
          <w:docGrid w:linePitch="326"/>
        </w:sectPr>
      </w:pPr>
    </w:p>
    <w:p>
      <w:pPr>
        <w:pStyle w:val="yScheduleHeading"/>
      </w:pPr>
      <w:bookmarkStart w:id="1815" w:name="_Toc161400940"/>
      <w:bookmarkStart w:id="1816" w:name="_Toc161401598"/>
      <w:bookmarkStart w:id="1817" w:name="_Toc154754082"/>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815"/>
      <w:bookmarkEnd w:id="1816"/>
      <w:bookmarkEnd w:id="1817"/>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18(caa), the person to whom the new lease is, or is to be, granted in accordance with the agreement, arrangement or understanding;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rPr>
                <w:szCs w:val="22"/>
              </w:rPr>
              <w:t>A concessional farm</w:t>
            </w:r>
            <w:r>
              <w:rPr>
                <w:szCs w:val="22"/>
              </w:rPr>
              <w:noBreakHyphen/>
              <w:t>in transaction</w:t>
            </w:r>
          </w:p>
        </w:tc>
        <w:tc>
          <w:tcPr>
            <w:tcW w:w="1854" w:type="dxa"/>
            <w:tcBorders>
              <w:top w:val="nil"/>
              <w:left w:val="nil"/>
              <w:bottom w:val="single" w:sz="4" w:space="0" w:color="auto"/>
              <w:right w:val="nil"/>
            </w:tcBorders>
          </w:tcPr>
          <w:p>
            <w:pPr>
              <w:pStyle w:val="yTableNAm"/>
            </w:pPr>
            <w:r>
              <w:rPr>
                <w:szCs w:val="22"/>
              </w:rPr>
              <w:t>When the concessional farm</w:t>
            </w:r>
            <w:r>
              <w:rPr>
                <w:szCs w:val="22"/>
              </w:rPr>
              <w:noBreakHyphen/>
              <w:t>in transaction is made</w:t>
            </w:r>
          </w:p>
        </w:tc>
        <w:tc>
          <w:tcPr>
            <w:tcW w:w="1745" w:type="dxa"/>
            <w:tcBorders>
              <w:top w:val="nil"/>
              <w:left w:val="nil"/>
              <w:bottom w:val="single" w:sz="4" w:space="0" w:color="auto"/>
              <w:right w:val="nil"/>
            </w:tcBorders>
          </w:tcPr>
          <w:p>
            <w:pPr>
              <w:pStyle w:val="yTableNAm"/>
            </w:pPr>
            <w:r>
              <w:rPr>
                <w:szCs w:val="22"/>
              </w:rPr>
              <w:t>The farmee</w:t>
            </w:r>
          </w:p>
        </w:tc>
      </w:tr>
    </w:tbl>
    <w:p>
      <w:pPr>
        <w:pStyle w:val="yFootnotesection"/>
      </w:pPr>
      <w:r>
        <w:tab/>
        <w:t>[Schedule 1 amended: No. 12 of 2019 s. 130; No. 37 of 2022 s. 13; No. 4 of 2023 s. 119.]</w:t>
      </w:r>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yScheduleHeading"/>
      </w:pPr>
      <w:bookmarkStart w:id="1819" w:name="_Toc161400941"/>
      <w:bookmarkStart w:id="1820" w:name="_Toc161401599"/>
      <w:bookmarkStart w:id="1821" w:name="_Toc154754083"/>
      <w:r>
        <w:rPr>
          <w:rStyle w:val="CharSchNo"/>
        </w:rPr>
        <w:t>Schedule 2</w:t>
      </w:r>
      <w:r>
        <w:t> — </w:t>
      </w:r>
      <w:r>
        <w:rPr>
          <w:rStyle w:val="CharSchText"/>
        </w:rPr>
        <w:t>Rates of transfer duty</w:t>
      </w:r>
      <w:bookmarkEnd w:id="1819"/>
      <w:bookmarkEnd w:id="1820"/>
      <w:bookmarkEnd w:id="1821"/>
    </w:p>
    <w:p>
      <w:pPr>
        <w:pStyle w:val="yShoulderClause"/>
        <w:rPr>
          <w:b/>
        </w:rPr>
      </w:pPr>
      <w:r>
        <w:t>[s. 3, 9, 26 and 184]</w:t>
      </w:r>
    </w:p>
    <w:p>
      <w:pPr>
        <w:pStyle w:val="yFootnoteheading"/>
      </w:pPr>
      <w:r>
        <w:tab/>
        <w:t>[Heading amended: No. 16 of 2022 s. 24(1).]</w:t>
      </w:r>
    </w:p>
    <w:p>
      <w:pPr>
        <w:pStyle w:val="yHeading3"/>
      </w:pPr>
      <w:bookmarkStart w:id="1822" w:name="_Toc161400942"/>
      <w:bookmarkStart w:id="1823" w:name="_Toc161401600"/>
      <w:bookmarkStart w:id="1824" w:name="_Toc154754084"/>
      <w:r>
        <w:rPr>
          <w:rStyle w:val="CharSDivNo"/>
        </w:rPr>
        <w:t>Division 1</w:t>
      </w:r>
      <w:r>
        <w:t> — </w:t>
      </w:r>
      <w:r>
        <w:rPr>
          <w:rStyle w:val="CharSDivText"/>
        </w:rPr>
        <w:t>General rate</w:t>
      </w:r>
      <w:bookmarkEnd w:id="1822"/>
      <w:bookmarkEnd w:id="1823"/>
      <w:bookmarkEnd w:id="1824"/>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3"/>
        <w:gridCol w:w="3826"/>
      </w:tblGrid>
      <w:tr>
        <w:trPr>
          <w:tblHeader/>
        </w:trPr>
        <w:tc>
          <w:tcPr>
            <w:tcW w:w="3153" w:type="dxa"/>
            <w:tcBorders>
              <w:top w:val="single" w:sz="4" w:space="0" w:color="auto"/>
              <w:left w:val="nil"/>
              <w:bottom w:val="single" w:sz="4" w:space="0" w:color="auto"/>
              <w:right w:val="nil"/>
            </w:tcBorders>
            <w:noWrap/>
            <w:hideMark/>
          </w:tcPr>
          <w:p>
            <w:pPr>
              <w:pStyle w:val="yTableNAm"/>
            </w:pPr>
            <w:r>
              <w:rPr>
                <w:b/>
              </w:rPr>
              <w:t>Dutiable value</w:t>
            </w:r>
            <w:r>
              <w:t xml:space="preserve"> </w:t>
            </w:r>
            <w:r>
              <w:rPr>
                <w:i/>
              </w:rPr>
              <w:t>(rounded down to nearest whole dollar)</w:t>
            </w:r>
          </w:p>
        </w:tc>
        <w:tc>
          <w:tcPr>
            <w:tcW w:w="3826" w:type="dxa"/>
            <w:tcBorders>
              <w:top w:val="single" w:sz="4" w:space="0" w:color="auto"/>
              <w:left w:val="nil"/>
              <w:bottom w:val="single" w:sz="4" w:space="0" w:color="auto"/>
              <w:right w:val="nil"/>
            </w:tcBorders>
            <w:noWrap/>
            <w:hideMark/>
          </w:tcPr>
          <w:p>
            <w:pPr>
              <w:pStyle w:val="yTableNAm"/>
            </w:pPr>
            <w:r>
              <w:rPr>
                <w:b/>
              </w:rPr>
              <w:t>General rate of duty</w:t>
            </w:r>
          </w:p>
        </w:tc>
      </w:tr>
      <w:tr>
        <w:tc>
          <w:tcPr>
            <w:tcW w:w="3153" w:type="dxa"/>
            <w:tcBorders>
              <w:top w:val="single" w:sz="4" w:space="0" w:color="auto"/>
              <w:left w:val="nil"/>
              <w:bottom w:val="nil"/>
              <w:right w:val="nil"/>
            </w:tcBorders>
            <w:noWrap/>
            <w:hideMark/>
          </w:tcPr>
          <w:p>
            <w:pPr>
              <w:pStyle w:val="yTableNAm"/>
            </w:pPr>
            <w:r>
              <w:t>$0 — $120 000</w:t>
            </w:r>
          </w:p>
        </w:tc>
        <w:tc>
          <w:tcPr>
            <w:tcW w:w="3826" w:type="dxa"/>
            <w:tcBorders>
              <w:top w:val="single" w:sz="4" w:space="0" w:color="auto"/>
              <w:left w:val="nil"/>
              <w:bottom w:val="nil"/>
              <w:right w:val="nil"/>
            </w:tcBorders>
            <w:noWrap/>
            <w:hideMark/>
          </w:tcPr>
          <w:p>
            <w:pPr>
              <w:pStyle w:val="yTableNAm"/>
            </w:pPr>
            <w:r>
              <w:t>$1.90 per $100 or part of $100</w:t>
            </w:r>
          </w:p>
        </w:tc>
      </w:tr>
      <w:tr>
        <w:tc>
          <w:tcPr>
            <w:tcW w:w="3153" w:type="dxa"/>
            <w:tcBorders>
              <w:top w:val="single" w:sz="4" w:space="0" w:color="auto"/>
              <w:left w:val="nil"/>
              <w:bottom w:val="nil"/>
              <w:right w:val="nil"/>
            </w:tcBorders>
            <w:noWrap/>
          </w:tcPr>
          <w:p>
            <w:pPr>
              <w:pStyle w:val="yTableNAm"/>
            </w:pPr>
            <w:r>
              <w:t>$120 001 — $150 000</w:t>
            </w:r>
          </w:p>
        </w:tc>
        <w:tc>
          <w:tcPr>
            <w:tcW w:w="3826" w:type="dxa"/>
            <w:tcBorders>
              <w:top w:val="single" w:sz="4" w:space="0" w:color="auto"/>
              <w:left w:val="nil"/>
              <w:bottom w:val="nil"/>
              <w:right w:val="nil"/>
            </w:tcBorders>
            <w:noWrap/>
          </w:tcPr>
          <w:p>
            <w:pPr>
              <w:pStyle w:val="yTableNAm"/>
            </w:pPr>
            <w:r>
              <w:t>$2 280 + $2.85 per $100 or part of $100 above $120 000</w:t>
            </w:r>
          </w:p>
        </w:tc>
      </w:tr>
      <w:tr>
        <w:tc>
          <w:tcPr>
            <w:tcW w:w="3153" w:type="dxa"/>
            <w:tcBorders>
              <w:top w:val="single" w:sz="4" w:space="0" w:color="auto"/>
              <w:left w:val="nil"/>
              <w:bottom w:val="nil"/>
              <w:right w:val="nil"/>
            </w:tcBorders>
            <w:noWrap/>
          </w:tcPr>
          <w:p>
            <w:pPr>
              <w:pStyle w:val="yTableNAm"/>
            </w:pPr>
            <w:r>
              <w:t>$150 001 — $360 000</w:t>
            </w:r>
          </w:p>
        </w:tc>
        <w:tc>
          <w:tcPr>
            <w:tcW w:w="3826" w:type="dxa"/>
            <w:tcBorders>
              <w:top w:val="single" w:sz="4" w:space="0" w:color="auto"/>
              <w:left w:val="nil"/>
              <w:bottom w:val="nil"/>
              <w:right w:val="nil"/>
            </w:tcBorders>
            <w:noWrap/>
          </w:tcPr>
          <w:p>
            <w:pPr>
              <w:pStyle w:val="yTableNAm"/>
            </w:pPr>
            <w:r>
              <w:t>$3 135 + $3.80 per $100 or part of $100 above $150 000</w:t>
            </w:r>
          </w:p>
        </w:tc>
      </w:tr>
      <w:tr>
        <w:tc>
          <w:tcPr>
            <w:tcW w:w="3153" w:type="dxa"/>
            <w:tcBorders>
              <w:top w:val="single" w:sz="4" w:space="0" w:color="auto"/>
              <w:left w:val="nil"/>
              <w:bottom w:val="single" w:sz="4" w:space="0" w:color="auto"/>
              <w:right w:val="nil"/>
            </w:tcBorders>
            <w:noWrap/>
          </w:tcPr>
          <w:p>
            <w:pPr>
              <w:pStyle w:val="yTableNAm"/>
            </w:pPr>
            <w:r>
              <w:t>$360 001 — $725 000</w:t>
            </w:r>
          </w:p>
        </w:tc>
        <w:tc>
          <w:tcPr>
            <w:tcW w:w="3826" w:type="dxa"/>
            <w:tcBorders>
              <w:top w:val="single" w:sz="4" w:space="0" w:color="auto"/>
              <w:left w:val="nil"/>
              <w:bottom w:val="single" w:sz="4" w:space="0" w:color="auto"/>
              <w:right w:val="nil"/>
            </w:tcBorders>
            <w:noWrap/>
          </w:tcPr>
          <w:p>
            <w:pPr>
              <w:pStyle w:val="yTableNAm"/>
            </w:pPr>
            <w:r>
              <w:t>$11 115 + $4.75 per $100 or part of $100 above $360 000</w:t>
            </w:r>
          </w:p>
        </w:tc>
      </w:tr>
      <w:tr>
        <w:tc>
          <w:tcPr>
            <w:tcW w:w="3153" w:type="dxa"/>
            <w:tcBorders>
              <w:top w:val="single" w:sz="4" w:space="0" w:color="auto"/>
              <w:left w:val="nil"/>
              <w:bottom w:val="single" w:sz="4" w:space="0" w:color="auto"/>
              <w:right w:val="nil"/>
            </w:tcBorders>
            <w:noWrap/>
          </w:tcPr>
          <w:p>
            <w:pPr>
              <w:pStyle w:val="yTableNAm"/>
            </w:pPr>
            <w:r>
              <w:t>$725 001 and upwards</w:t>
            </w:r>
          </w:p>
        </w:tc>
        <w:tc>
          <w:tcPr>
            <w:tcW w:w="3826" w:type="dxa"/>
            <w:tcBorders>
              <w:top w:val="single" w:sz="4" w:space="0" w:color="auto"/>
              <w:left w:val="nil"/>
              <w:bottom w:val="single" w:sz="4" w:space="0" w:color="auto"/>
              <w:right w:val="nil"/>
            </w:tcBorders>
            <w:noWrap/>
          </w:tcPr>
          <w:p>
            <w:pPr>
              <w:pStyle w:val="yTableNAm"/>
            </w:pPr>
            <w:r>
              <w:t>$28 453 + $5.15 per $100 or part of $100 above $725 000</w:t>
            </w:r>
          </w:p>
        </w:tc>
      </w:tr>
    </w:tbl>
    <w:p>
      <w:pPr>
        <w:pStyle w:val="yFootnotesection"/>
      </w:pPr>
      <w:r>
        <w:tab/>
        <w:t>[Division 1 inserted: No. 16 of 2022 s. 24(2).]</w:t>
      </w:r>
    </w:p>
    <w:p>
      <w:pPr>
        <w:pStyle w:val="yHeading3"/>
      </w:pPr>
      <w:bookmarkStart w:id="1825" w:name="_Toc161400943"/>
      <w:bookmarkStart w:id="1826" w:name="_Toc161401601"/>
      <w:bookmarkStart w:id="1827" w:name="_Toc154754085"/>
      <w:r>
        <w:rPr>
          <w:rStyle w:val="CharSDivNo"/>
        </w:rPr>
        <w:t>Division 2</w:t>
      </w:r>
      <w:r>
        <w:t> — </w:t>
      </w:r>
      <w:r>
        <w:rPr>
          <w:rStyle w:val="CharSDivText"/>
        </w:rPr>
        <w:t>Concessional rates</w:t>
      </w:r>
      <w:bookmarkEnd w:id="1825"/>
      <w:bookmarkEnd w:id="1826"/>
      <w:bookmarkEnd w:id="1827"/>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trPr>
          <w:cantSplit/>
          <w:tblHeader/>
        </w:trPr>
        <w:tc>
          <w:tcPr>
            <w:tcW w:w="1735" w:type="dxa"/>
            <w:tcBorders>
              <w:top w:val="single" w:sz="4" w:space="0" w:color="auto"/>
              <w:left w:val="nil"/>
              <w:bottom w:val="single" w:sz="4" w:space="0" w:color="auto"/>
              <w:right w:val="nil"/>
            </w:tcBorders>
            <w:noWrap/>
            <w:hideMark/>
          </w:tcPr>
          <w:p>
            <w:pPr>
              <w:pStyle w:val="yTableNAm"/>
            </w:pPr>
            <w:r>
              <w:rPr>
                <w:b/>
              </w:rPr>
              <w:t>Concessional transaction</w:t>
            </w:r>
          </w:p>
        </w:tc>
        <w:tc>
          <w:tcPr>
            <w:tcW w:w="2977" w:type="dxa"/>
            <w:tcBorders>
              <w:top w:val="single" w:sz="4" w:space="0" w:color="auto"/>
              <w:left w:val="nil"/>
              <w:bottom w:val="single" w:sz="4" w:space="0" w:color="auto"/>
              <w:right w:val="nil"/>
            </w:tcBorders>
            <w:noWrap/>
            <w:hideMark/>
          </w:tcPr>
          <w:p>
            <w:pPr>
              <w:pStyle w:val="yTableNAm"/>
            </w:pPr>
            <w:r>
              <w:rPr>
                <w:b/>
              </w:rPr>
              <w:t>Dutiable value</w:t>
            </w:r>
            <w:r>
              <w:rPr>
                <w:i/>
              </w:rPr>
              <w:t xml:space="preserve"> (rounded down to nearest whole dollar)</w:t>
            </w:r>
          </w:p>
        </w:tc>
        <w:tc>
          <w:tcPr>
            <w:tcW w:w="2267" w:type="dxa"/>
            <w:tcBorders>
              <w:top w:val="single" w:sz="4" w:space="0" w:color="auto"/>
              <w:left w:val="nil"/>
              <w:bottom w:val="single" w:sz="4" w:space="0" w:color="auto"/>
              <w:right w:val="nil"/>
            </w:tcBorders>
            <w:noWrap/>
            <w:hideMark/>
          </w:tcPr>
          <w:p>
            <w:pPr>
              <w:pStyle w:val="yTableNAm"/>
            </w:pPr>
            <w:r>
              <w:rPr>
                <w:b/>
              </w:rPr>
              <w:t>Concessional rate of duty</w:t>
            </w:r>
          </w:p>
        </w:tc>
      </w:tr>
      <w:tr>
        <w:trPr>
          <w:cantSplit/>
        </w:trPr>
        <w:tc>
          <w:tcPr>
            <w:tcW w:w="1735" w:type="dxa"/>
            <w:tcBorders>
              <w:top w:val="nil"/>
              <w:left w:val="nil"/>
              <w:bottom w:val="nil"/>
              <w:right w:val="nil"/>
            </w:tcBorders>
            <w:noWrap/>
            <w:hideMark/>
          </w:tcPr>
          <w:p>
            <w:pPr>
              <w:pStyle w:val="yTableNAm"/>
            </w:pPr>
            <w:r>
              <w:t>s. 143</w:t>
            </w:r>
            <w:r>
              <w:br/>
              <w:t>First home owners</w:t>
            </w:r>
          </w:p>
        </w:tc>
        <w:tc>
          <w:tcPr>
            <w:tcW w:w="2977" w:type="dxa"/>
            <w:tcBorders>
              <w:top w:val="nil"/>
              <w:left w:val="nil"/>
              <w:bottom w:val="nil"/>
              <w:right w:val="nil"/>
            </w:tcBorders>
            <w:noWrap/>
          </w:tcPr>
          <w:p>
            <w:pPr>
              <w:pStyle w:val="zyTableNAm"/>
            </w:pPr>
          </w:p>
        </w:tc>
        <w:tc>
          <w:tcPr>
            <w:tcW w:w="2267" w:type="dxa"/>
            <w:tcBorders>
              <w:top w:val="nil"/>
              <w:left w:val="nil"/>
              <w:bottom w:val="nil"/>
              <w:right w:val="nil"/>
            </w:tcBorders>
            <w:noWrap/>
          </w:tcPr>
          <w:p>
            <w:pPr>
              <w:pStyle w:val="yTableNAm"/>
            </w:pPr>
          </w:p>
        </w:tc>
      </w:tr>
      <w:tr>
        <w:trPr>
          <w:cantSplit/>
        </w:trPr>
        <w:tc>
          <w:tcPr>
            <w:tcW w:w="1735" w:type="dxa"/>
            <w:tcBorders>
              <w:top w:val="nil"/>
              <w:left w:val="nil"/>
              <w:bottom w:val="nil"/>
              <w:right w:val="nil"/>
            </w:tcBorders>
            <w:noWrap/>
          </w:tcPr>
          <w:p>
            <w:pPr>
              <w:pStyle w:val="yTableNAm"/>
            </w:pPr>
            <w:r>
              <w:t>If the property includes a home</w:t>
            </w:r>
          </w:p>
        </w:tc>
        <w:tc>
          <w:tcPr>
            <w:tcW w:w="2977" w:type="dxa"/>
            <w:tcBorders>
              <w:top w:val="nil"/>
              <w:left w:val="nil"/>
              <w:bottom w:val="nil"/>
              <w:right w:val="nil"/>
            </w:tcBorders>
            <w:noWrap/>
          </w:tcPr>
          <w:p>
            <w:pPr>
              <w:pStyle w:val="yTableNAm"/>
            </w:pPr>
            <w:r>
              <w:t>$0 — $430 000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nil"/>
              <w:right w:val="nil"/>
            </w:tcBorders>
            <w:noWrap/>
          </w:tcPr>
          <w:p>
            <w:pPr>
              <w:pStyle w:val="zyTableNAm"/>
            </w:pPr>
          </w:p>
        </w:tc>
        <w:tc>
          <w:tcPr>
            <w:tcW w:w="2977" w:type="dxa"/>
            <w:tcBorders>
              <w:top w:val="nil"/>
              <w:left w:val="nil"/>
              <w:bottom w:val="nil"/>
              <w:right w:val="nil"/>
            </w:tcBorders>
            <w:noWrap/>
          </w:tcPr>
          <w:p>
            <w:pPr>
              <w:pStyle w:val="yTableNAm"/>
            </w:pPr>
            <w:r>
              <w:t>$430 001 — $530 000</w:t>
            </w:r>
          </w:p>
        </w:tc>
        <w:tc>
          <w:tcPr>
            <w:tcW w:w="2267" w:type="dxa"/>
            <w:tcBorders>
              <w:top w:val="nil"/>
              <w:left w:val="nil"/>
              <w:bottom w:val="nil"/>
              <w:right w:val="nil"/>
            </w:tcBorders>
            <w:noWrap/>
          </w:tcPr>
          <w:p>
            <w:pPr>
              <w:pStyle w:val="yTableNAm"/>
            </w:pPr>
            <w:r>
              <w:t>$19.19 per $100 or part of $100 above $430 000</w:t>
            </w:r>
          </w:p>
        </w:tc>
      </w:tr>
      <w:tr>
        <w:trPr>
          <w:cantSplit/>
        </w:trPr>
        <w:tc>
          <w:tcPr>
            <w:tcW w:w="1735" w:type="dxa"/>
            <w:tcBorders>
              <w:top w:val="nil"/>
              <w:left w:val="nil"/>
              <w:bottom w:val="nil"/>
              <w:right w:val="nil"/>
            </w:tcBorders>
            <w:noWrap/>
          </w:tcPr>
          <w:p>
            <w:pPr>
              <w:pStyle w:val="yTableNAm"/>
            </w:pPr>
            <w:r>
              <w:t>If the property does not include a home</w:t>
            </w:r>
          </w:p>
        </w:tc>
        <w:tc>
          <w:tcPr>
            <w:tcW w:w="2977" w:type="dxa"/>
            <w:tcBorders>
              <w:top w:val="nil"/>
              <w:left w:val="nil"/>
              <w:bottom w:val="nil"/>
              <w:right w:val="nil"/>
            </w:tcBorders>
            <w:noWrap/>
          </w:tcPr>
          <w:p>
            <w:pPr>
              <w:pStyle w:val="yTableNAm"/>
            </w:pPr>
            <w:r>
              <w:t>$0 — $300 000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$300 001 — $400 000</w:t>
            </w:r>
          </w:p>
        </w:tc>
        <w:tc>
          <w:tcPr>
            <w:tcW w:w="2267" w:type="dxa"/>
            <w:tcBorders>
              <w:top w:val="nil"/>
              <w:left w:val="nil"/>
              <w:bottom w:val="single" w:sz="4" w:space="0" w:color="auto"/>
              <w:right w:val="nil"/>
            </w:tcBorders>
            <w:noWrap/>
          </w:tcPr>
          <w:p>
            <w:pPr>
              <w:pStyle w:val="yTableNAm"/>
            </w:pPr>
            <w:r>
              <w:t>$13.01 per $100 or part of $100 above $300 000</w:t>
            </w:r>
          </w:p>
        </w:tc>
      </w:tr>
      <w:tr>
        <w:trPr>
          <w:cantSplit/>
        </w:trPr>
        <w:tc>
          <w:tcPr>
            <w:tcW w:w="1735" w:type="dxa"/>
            <w:tcBorders>
              <w:top w:val="single" w:sz="4" w:space="0" w:color="auto"/>
              <w:left w:val="nil"/>
              <w:bottom w:val="nil"/>
              <w:right w:val="nil"/>
            </w:tcBorders>
            <w:noWrap/>
          </w:tcPr>
          <w:p>
            <w:pPr>
              <w:pStyle w:val="yTableNAm"/>
            </w:pPr>
            <w:r>
              <w:t>s. 147</w:t>
            </w:r>
            <w:r>
              <w:br/>
              <w:t>Residential or business property</w:t>
            </w:r>
          </w:p>
        </w:tc>
        <w:tc>
          <w:tcPr>
            <w:tcW w:w="2977" w:type="dxa"/>
            <w:tcBorders>
              <w:top w:val="single" w:sz="4" w:space="0" w:color="auto"/>
              <w:left w:val="nil"/>
              <w:bottom w:val="nil"/>
              <w:right w:val="nil"/>
            </w:tcBorders>
            <w:noWrap/>
          </w:tcPr>
          <w:p>
            <w:pPr>
              <w:pStyle w:val="yTableNAm"/>
            </w:pPr>
            <w:r>
              <w:t>$0 — $120 000</w:t>
            </w:r>
          </w:p>
        </w:tc>
        <w:tc>
          <w:tcPr>
            <w:tcW w:w="2267" w:type="dxa"/>
            <w:tcBorders>
              <w:top w:val="single" w:sz="4" w:space="0" w:color="auto"/>
              <w:left w:val="nil"/>
              <w:bottom w:val="nil"/>
              <w:right w:val="nil"/>
            </w:tcBorders>
            <w:noWrap/>
          </w:tcPr>
          <w:p>
            <w:pPr>
              <w:pStyle w:val="yTableNAm"/>
            </w:pPr>
            <w:r>
              <w:t>$1.50 per $100 or part of $100</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$120 001 — $200 000</w:t>
            </w:r>
          </w:p>
        </w:tc>
        <w:tc>
          <w:tcPr>
            <w:tcW w:w="2267" w:type="dxa"/>
            <w:tcBorders>
              <w:top w:val="nil"/>
              <w:left w:val="nil"/>
              <w:bottom w:val="single" w:sz="4" w:space="0" w:color="auto"/>
              <w:right w:val="nil"/>
            </w:tcBorders>
            <w:noWrap/>
          </w:tcPr>
          <w:p>
            <w:pPr>
              <w:pStyle w:val="yTableNAm"/>
            </w:pPr>
            <w:r>
              <w:t>$1 800 + $4.04 per $100 or part of $100 above $120 000</w:t>
            </w:r>
          </w:p>
        </w:tc>
      </w:tr>
    </w:tbl>
    <w:p>
      <w:pPr>
        <w:pStyle w:val="yFootnotesection"/>
      </w:pPr>
      <w:r>
        <w:tab/>
        <w:t>[Division 2 inserted: No. 16 of 2022 s. 24(2).]</w:t>
      </w:r>
    </w:p>
    <w:p>
      <w:pPr>
        <w:pStyle w:val="yHeading3"/>
      </w:pPr>
      <w:bookmarkStart w:id="1828" w:name="_Toc161400944"/>
      <w:bookmarkStart w:id="1829" w:name="_Toc161401602"/>
      <w:bookmarkStart w:id="1830" w:name="_Toc154754086"/>
      <w:r>
        <w:rPr>
          <w:rStyle w:val="CharSDivNo"/>
        </w:rPr>
        <w:t>Division 3</w:t>
      </w:r>
      <w:r>
        <w:t> — </w:t>
      </w:r>
      <w:r>
        <w:rPr>
          <w:rStyle w:val="CharSDivText"/>
        </w:rPr>
        <w:t>Nominal duty</w:t>
      </w:r>
      <w:bookmarkEnd w:id="1828"/>
      <w:bookmarkEnd w:id="1829"/>
      <w:bookmarkEnd w:id="1830"/>
    </w:p>
    <w:p>
      <w:pPr>
        <w:pStyle w:val="ySubsection"/>
        <w:keepNext/>
      </w:pPr>
      <w:r>
        <w:tab/>
      </w:r>
      <w:r>
        <w:tab/>
        <w:t>The amount of nominal duty is $20.00.</w:t>
      </w:r>
    </w:p>
    <w:p>
      <w:pPr>
        <w:sectPr>
          <w:endnotePr>
            <w:numFmt w:val="decimal"/>
          </w:endnotePr>
          <w:pgSz w:w="11907" w:h="16840" w:code="9"/>
          <w:pgMar w:top="2381" w:right="2410" w:bottom="3544" w:left="2410" w:header="720" w:footer="3544" w:gutter="0"/>
          <w:cols w:space="720"/>
          <w:docGrid w:linePitch="326"/>
        </w:sectPr>
      </w:pPr>
    </w:p>
    <w:p>
      <w:pPr>
        <w:pStyle w:val="yScheduleHeading"/>
      </w:pPr>
      <w:bookmarkStart w:id="1831" w:name="_Toc161400945"/>
      <w:bookmarkStart w:id="1832" w:name="_Toc161401603"/>
      <w:bookmarkStart w:id="1833" w:name="_Toc154754087"/>
      <w:r>
        <w:rPr>
          <w:rStyle w:val="CharSchNo"/>
        </w:rPr>
        <w:t>Schedule 3</w:t>
      </w:r>
      <w:r>
        <w:t> — </w:t>
      </w:r>
      <w:r>
        <w:rPr>
          <w:rStyle w:val="CharSchText"/>
        </w:rPr>
        <w:t>Transitional provisions</w:t>
      </w:r>
      <w:bookmarkEnd w:id="1831"/>
      <w:bookmarkEnd w:id="1832"/>
      <w:bookmarkEnd w:id="1833"/>
    </w:p>
    <w:p>
      <w:pPr>
        <w:pStyle w:val="yShoulderClause"/>
      </w:pPr>
      <w:r>
        <w:t>[s. 286]</w:t>
      </w:r>
    </w:p>
    <w:p>
      <w:pPr>
        <w:pStyle w:val="yHeading3"/>
      </w:pPr>
      <w:bookmarkStart w:id="1834" w:name="_Toc161400946"/>
      <w:bookmarkStart w:id="1835" w:name="_Toc161401604"/>
      <w:bookmarkStart w:id="1836" w:name="_Toc154754088"/>
      <w:r>
        <w:rPr>
          <w:rStyle w:val="CharSDivNo"/>
        </w:rPr>
        <w:t>Division 1</w:t>
      </w:r>
      <w:r>
        <w:t> — </w:t>
      </w:r>
      <w:r>
        <w:rPr>
          <w:rStyle w:val="CharSDivText"/>
        </w:rPr>
        <w:t xml:space="preserve">Provisions for </w:t>
      </w:r>
      <w:r>
        <w:rPr>
          <w:rStyle w:val="CharSDivText"/>
          <w:i/>
          <w:iCs/>
        </w:rPr>
        <w:t>Duties Act 2008</w:t>
      </w:r>
      <w:bookmarkEnd w:id="1834"/>
      <w:bookmarkEnd w:id="1835"/>
      <w:bookmarkEnd w:id="1836"/>
    </w:p>
    <w:p>
      <w:pPr>
        <w:pStyle w:val="yHeading4"/>
      </w:pPr>
      <w:bookmarkStart w:id="1837" w:name="_Toc161400947"/>
      <w:bookmarkStart w:id="1838" w:name="_Toc161401605"/>
      <w:bookmarkStart w:id="1839" w:name="_Toc154754089"/>
      <w:r>
        <w:t>Subdivision 1</w:t>
      </w:r>
      <w:r>
        <w:rPr>
          <w:b w:val="0"/>
        </w:rPr>
        <w:t> — </w:t>
      </w:r>
      <w:r>
        <w:t>Preliminary</w:t>
      </w:r>
      <w:bookmarkEnd w:id="1837"/>
      <w:bookmarkEnd w:id="1838"/>
      <w:bookmarkEnd w:id="1839"/>
    </w:p>
    <w:p>
      <w:pPr>
        <w:pStyle w:val="yHeading5"/>
      </w:pPr>
      <w:bookmarkStart w:id="1840" w:name="_Toc161401606"/>
      <w:bookmarkStart w:id="1841" w:name="_Toc154754090"/>
      <w:r>
        <w:rPr>
          <w:rStyle w:val="CharSClsNo"/>
        </w:rPr>
        <w:t>1</w:t>
      </w:r>
      <w:r>
        <w:t>.</w:t>
      </w:r>
      <w:r>
        <w:tab/>
        <w:t>Terms used</w:t>
      </w:r>
      <w:bookmarkEnd w:id="1840"/>
      <w:bookmarkEnd w:id="1841"/>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1842" w:name="_Toc161400949"/>
      <w:bookmarkStart w:id="1843" w:name="_Toc161401607"/>
      <w:bookmarkStart w:id="1844" w:name="_Toc154754091"/>
      <w:r>
        <w:t>Subdivision 2</w:t>
      </w:r>
      <w:r>
        <w:rPr>
          <w:b w:val="0"/>
        </w:rPr>
        <w:t> — </w:t>
      </w:r>
      <w:r>
        <w:t>Provisions for Chapter 2</w:t>
      </w:r>
      <w:bookmarkEnd w:id="1842"/>
      <w:bookmarkEnd w:id="1843"/>
      <w:bookmarkEnd w:id="1844"/>
    </w:p>
    <w:p>
      <w:pPr>
        <w:pStyle w:val="yHeading5"/>
      </w:pPr>
      <w:bookmarkStart w:id="1845" w:name="_Toc161401608"/>
      <w:bookmarkStart w:id="1846" w:name="_Toc154754092"/>
      <w:r>
        <w:rPr>
          <w:rStyle w:val="CharSClsNo"/>
        </w:rPr>
        <w:t>2</w:t>
      </w:r>
      <w:r>
        <w:t>.</w:t>
      </w:r>
      <w:r>
        <w:tab/>
        <w:t>When Ch. 2 starts to apply</w:t>
      </w:r>
      <w:bookmarkEnd w:id="1845"/>
      <w:bookmarkEnd w:id="1846"/>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847" w:name="_Toc161401609"/>
      <w:bookmarkStart w:id="1848" w:name="_Toc154754093"/>
      <w:r>
        <w:rPr>
          <w:rStyle w:val="CharSClsNo"/>
        </w:rPr>
        <w:t>3</w:t>
      </w:r>
      <w:r>
        <w:t>.</w:t>
      </w:r>
      <w:r>
        <w:tab/>
        <w:t>No double duty</w:t>
      </w:r>
      <w:bookmarkEnd w:id="1847"/>
      <w:bookmarkEnd w:id="1848"/>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849" w:name="_Toc161401610"/>
      <w:bookmarkStart w:id="1850" w:name="_Toc154754094"/>
      <w:r>
        <w:rPr>
          <w:rStyle w:val="CharSClsNo"/>
        </w:rPr>
        <w:t>4</w:t>
      </w:r>
      <w:r>
        <w:t>.</w:t>
      </w:r>
      <w:r>
        <w:tab/>
        <w:t>Alteration of consideration (s. 31)</w:t>
      </w:r>
      <w:bookmarkEnd w:id="1849"/>
      <w:bookmarkEnd w:id="1850"/>
    </w:p>
    <w:p>
      <w:pPr>
        <w:pStyle w:val="ySubsection"/>
      </w:pPr>
      <w:r>
        <w:tab/>
      </w:r>
      <w:r>
        <w:tab/>
        <w:t xml:space="preserve">Section 31(1) and (3) do not apply if the liability to duty is under the </w:t>
      </w:r>
      <w:r>
        <w:rPr>
          <w:i/>
          <w:iCs/>
        </w:rPr>
        <w:t>Stamp Act 1921</w:t>
      </w:r>
      <w:r>
        <w:t>.</w:t>
      </w:r>
    </w:p>
    <w:p>
      <w:pPr>
        <w:pStyle w:val="yHeading5"/>
      </w:pPr>
      <w:bookmarkStart w:id="1851" w:name="_Toc161401611"/>
      <w:bookmarkStart w:id="1852" w:name="_Toc154754095"/>
      <w:r>
        <w:rPr>
          <w:rStyle w:val="CharSClsNo"/>
        </w:rPr>
        <w:t>5</w:t>
      </w:r>
      <w:r>
        <w:t>.</w:t>
      </w:r>
      <w:r>
        <w:tab/>
        <w:t>Aggregation (s. 37)</w:t>
      </w:r>
      <w:bookmarkEnd w:id="1851"/>
      <w:bookmarkEnd w:id="1852"/>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1853" w:name="_Toc161401612"/>
      <w:bookmarkStart w:id="1854" w:name="_Toc154754096"/>
      <w:r>
        <w:rPr>
          <w:rStyle w:val="CharSClsNo"/>
        </w:rPr>
        <w:t>6</w:t>
      </w:r>
      <w:r>
        <w:t>.</w:t>
      </w:r>
      <w:r>
        <w:tab/>
        <w:t>Exchanges (s. 40)</w:t>
      </w:r>
      <w:bookmarkEnd w:id="1853"/>
      <w:bookmarkEnd w:id="1854"/>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1855" w:name="_Toc161401613"/>
      <w:bookmarkStart w:id="1856" w:name="_Toc154754097"/>
      <w:r>
        <w:rPr>
          <w:rStyle w:val="CharSClsNo"/>
        </w:rPr>
        <w:t>7</w:t>
      </w:r>
      <w:r>
        <w:t>.</w:t>
      </w:r>
      <w:r>
        <w:tab/>
        <w:t>Exempt bodies (s. 92)</w:t>
      </w:r>
      <w:bookmarkEnd w:id="1855"/>
      <w:bookmarkEnd w:id="1856"/>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857" w:name="_Toc161401614"/>
      <w:bookmarkStart w:id="1858" w:name="_Toc154754098"/>
      <w:r>
        <w:rPr>
          <w:rStyle w:val="CharSClsNo"/>
        </w:rPr>
        <w:t>8</w:t>
      </w:r>
      <w:r>
        <w:t>.</w:t>
      </w:r>
      <w:r>
        <w:tab/>
        <w:t>Family farm transactions (s. 104 and 105)</w:t>
      </w:r>
      <w:bookmarkEnd w:id="1857"/>
      <w:bookmarkEnd w:id="1858"/>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1859" w:name="_Toc161401615"/>
      <w:bookmarkStart w:id="1860" w:name="_Toc154754099"/>
      <w:r>
        <w:rPr>
          <w:rStyle w:val="CharSClsNo"/>
        </w:rPr>
        <w:t>9</w:t>
      </w:r>
      <w:r>
        <w:t>.</w:t>
      </w:r>
      <w:r>
        <w:tab/>
        <w:t>Matrimonial and de facto relationship instruments (s. 129, 130)</w:t>
      </w:r>
      <w:bookmarkEnd w:id="1859"/>
      <w:bookmarkEnd w:id="1860"/>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1861" w:name="_Toc161401616"/>
      <w:bookmarkStart w:id="1862" w:name="_Toc154754100"/>
      <w:r>
        <w:rPr>
          <w:rStyle w:val="CharSClsNo"/>
        </w:rPr>
        <w:t>10</w:t>
      </w:r>
      <w:r>
        <w:t>.</w:t>
      </w:r>
      <w:r>
        <w:tab/>
        <w:t>First home owners (Part 6 Div. 3)</w:t>
      </w:r>
      <w:bookmarkEnd w:id="1861"/>
      <w:bookmarkEnd w:id="1862"/>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Ednotesection"/>
      </w:pPr>
      <w:r>
        <w:t>[</w:t>
      </w:r>
      <w:r>
        <w:rPr>
          <w:b/>
        </w:rPr>
        <w:t>11A.</w:t>
      </w:r>
      <w:r>
        <w:tab/>
        <w:t>Deleted: No. 16 of 2022 s. 25.]</w:t>
      </w:r>
    </w:p>
    <w:p>
      <w:pPr>
        <w:pStyle w:val="yHeading4"/>
      </w:pPr>
      <w:bookmarkStart w:id="1863" w:name="_Toc161400959"/>
      <w:bookmarkStart w:id="1864" w:name="_Toc161401617"/>
      <w:bookmarkStart w:id="1865" w:name="_Toc154754101"/>
      <w:r>
        <w:t>Subdivision 3</w:t>
      </w:r>
      <w:r>
        <w:rPr>
          <w:b w:val="0"/>
        </w:rPr>
        <w:t> — </w:t>
      </w:r>
      <w:r>
        <w:t>Provisions for Chapter 3</w:t>
      </w:r>
      <w:bookmarkEnd w:id="1863"/>
      <w:bookmarkEnd w:id="1864"/>
      <w:bookmarkEnd w:id="1865"/>
    </w:p>
    <w:p>
      <w:pPr>
        <w:pStyle w:val="yHeading5"/>
      </w:pPr>
      <w:bookmarkStart w:id="1866" w:name="_Toc161401618"/>
      <w:bookmarkStart w:id="1867" w:name="_Toc154754102"/>
      <w:r>
        <w:rPr>
          <w:rStyle w:val="CharSClsNo"/>
        </w:rPr>
        <w:t>11</w:t>
      </w:r>
      <w:r>
        <w:t>.</w:t>
      </w:r>
      <w:r>
        <w:tab/>
        <w:t>When Ch. 3 starts to apply</w:t>
      </w:r>
      <w:bookmarkEnd w:id="1866"/>
      <w:bookmarkEnd w:id="1867"/>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1868" w:name="_Toc161401619"/>
      <w:bookmarkStart w:id="1869" w:name="_Toc154754103"/>
      <w:r>
        <w:rPr>
          <w:rStyle w:val="CharSClsNo"/>
        </w:rPr>
        <w:t>12</w:t>
      </w:r>
      <w:r>
        <w:t>.</w:t>
      </w:r>
      <w:r>
        <w:tab/>
        <w:t>Acquisitions under an agreement made before 1 July 2008</w:t>
      </w:r>
      <w:bookmarkEnd w:id="1868"/>
      <w:bookmarkEnd w:id="1869"/>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1870" w:name="_Toc161400962"/>
      <w:bookmarkStart w:id="1871" w:name="_Toc161401620"/>
      <w:bookmarkStart w:id="1872" w:name="_Toc154754104"/>
      <w:r>
        <w:t>Subdivision 4</w:t>
      </w:r>
      <w:r>
        <w:rPr>
          <w:b w:val="0"/>
        </w:rPr>
        <w:t> — </w:t>
      </w:r>
      <w:r>
        <w:t>Provisions for Chapter 4</w:t>
      </w:r>
      <w:bookmarkEnd w:id="1870"/>
      <w:bookmarkEnd w:id="1871"/>
      <w:bookmarkEnd w:id="1872"/>
    </w:p>
    <w:p>
      <w:pPr>
        <w:pStyle w:val="yHeading5"/>
      </w:pPr>
      <w:bookmarkStart w:id="1873" w:name="_Toc161401621"/>
      <w:bookmarkStart w:id="1874" w:name="_Toc154754105"/>
      <w:r>
        <w:rPr>
          <w:rStyle w:val="CharSClsNo"/>
        </w:rPr>
        <w:t>14</w:t>
      </w:r>
      <w:r>
        <w:t>.</w:t>
      </w:r>
      <w:r>
        <w:tab/>
        <w:t>Terms used</w:t>
      </w:r>
      <w:bookmarkEnd w:id="1873"/>
      <w:bookmarkEnd w:id="1874"/>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875" w:name="_Toc161401622"/>
      <w:bookmarkStart w:id="1876" w:name="_Toc154754106"/>
      <w:r>
        <w:rPr>
          <w:rStyle w:val="CharSClsNo"/>
        </w:rPr>
        <w:t>15</w:t>
      </w:r>
      <w:r>
        <w:t>.</w:t>
      </w:r>
      <w:r>
        <w:tab/>
        <w:t>When Ch. 4 starts to apply</w:t>
      </w:r>
      <w:bookmarkEnd w:id="1875"/>
      <w:bookmarkEnd w:id="1876"/>
    </w:p>
    <w:p>
      <w:pPr>
        <w:pStyle w:val="ySubsection"/>
        <w:keepNext/>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877" w:name="_Toc161401623"/>
      <w:bookmarkStart w:id="1878" w:name="_Toc154754107"/>
      <w:r>
        <w:rPr>
          <w:rStyle w:val="CharSClsNo"/>
        </w:rPr>
        <w:t>16</w:t>
      </w:r>
      <w:r>
        <w:t>.</w:t>
      </w:r>
      <w:r>
        <w:tab/>
        <w:t>Registration</w:t>
      </w:r>
      <w:bookmarkEnd w:id="1877"/>
      <w:bookmarkEnd w:id="1878"/>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879" w:name="_Toc161400966"/>
      <w:bookmarkStart w:id="1880" w:name="_Toc161401624"/>
      <w:bookmarkStart w:id="1881" w:name="_Toc154754108"/>
      <w:r>
        <w:t>Subdivision 5</w:t>
      </w:r>
      <w:r>
        <w:rPr>
          <w:b w:val="0"/>
        </w:rPr>
        <w:t> — </w:t>
      </w:r>
      <w:r>
        <w:t>Provisions for Chapter 5</w:t>
      </w:r>
      <w:bookmarkEnd w:id="1879"/>
      <w:bookmarkEnd w:id="1880"/>
      <w:bookmarkEnd w:id="1881"/>
    </w:p>
    <w:p>
      <w:pPr>
        <w:pStyle w:val="yHeading5"/>
      </w:pPr>
      <w:bookmarkStart w:id="1882" w:name="_Toc161401625"/>
      <w:bookmarkStart w:id="1883" w:name="_Toc154754109"/>
      <w:r>
        <w:rPr>
          <w:rStyle w:val="CharSClsNo"/>
        </w:rPr>
        <w:t>17</w:t>
      </w:r>
      <w:r>
        <w:t>.</w:t>
      </w:r>
      <w:r>
        <w:tab/>
        <w:t>Terms used</w:t>
      </w:r>
      <w:bookmarkEnd w:id="1882"/>
      <w:bookmarkEnd w:id="1883"/>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884" w:name="_Toc161401626"/>
      <w:bookmarkStart w:id="1885" w:name="_Toc154754110"/>
      <w:r>
        <w:rPr>
          <w:rStyle w:val="CharSClsNo"/>
        </w:rPr>
        <w:t>18</w:t>
      </w:r>
      <w:r>
        <w:t>.</w:t>
      </w:r>
      <w:r>
        <w:tab/>
        <w:t>When Ch. 5 starts to apply</w:t>
      </w:r>
      <w:bookmarkEnd w:id="1884"/>
      <w:bookmarkEnd w:id="1885"/>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1886" w:name="_Toc161401627"/>
      <w:bookmarkStart w:id="1887" w:name="_Toc154754111"/>
      <w:r>
        <w:rPr>
          <w:rStyle w:val="CharSClsNo"/>
        </w:rPr>
        <w:t>19</w:t>
      </w:r>
      <w:r>
        <w:t>.</w:t>
      </w:r>
      <w:r>
        <w:tab/>
        <w:t>New vehicles (s. 228)</w:t>
      </w:r>
      <w:bookmarkEnd w:id="1886"/>
      <w:bookmarkEnd w:id="1887"/>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1888" w:name="_Toc161401628"/>
      <w:bookmarkStart w:id="1889" w:name="_Toc154754112"/>
      <w:r>
        <w:rPr>
          <w:rStyle w:val="CharSClsNo"/>
        </w:rPr>
        <w:t>20</w:t>
      </w:r>
      <w:r>
        <w:t>.</w:t>
      </w:r>
      <w:r>
        <w:tab/>
        <w:t>Specialised vehicles (s. 239)</w:t>
      </w:r>
      <w:bookmarkEnd w:id="1888"/>
      <w:bookmarkEnd w:id="1889"/>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890" w:name="_Toc161401629"/>
      <w:bookmarkStart w:id="1891" w:name="_Toc154754113"/>
      <w:r>
        <w:rPr>
          <w:rStyle w:val="CharSClsNo"/>
        </w:rPr>
        <w:t>21</w:t>
      </w:r>
      <w:r>
        <w:t>.</w:t>
      </w:r>
      <w:r>
        <w:tab/>
        <w:t>Approval of philanthropic purposes (s. 247)</w:t>
      </w:r>
      <w:bookmarkEnd w:id="1890"/>
      <w:bookmarkEnd w:id="1891"/>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892" w:name="_Toc161401630"/>
      <w:bookmarkStart w:id="1893" w:name="_Toc154754114"/>
      <w:r>
        <w:rPr>
          <w:rStyle w:val="CharSClsNo"/>
        </w:rPr>
        <w:t>22</w:t>
      </w:r>
      <w:r>
        <w:t>.</w:t>
      </w:r>
      <w:r>
        <w:tab/>
        <w:t>Transfer of vehicles, nominal duty on (s. 250)</w:t>
      </w:r>
      <w:bookmarkEnd w:id="1892"/>
      <w:bookmarkEnd w:id="1893"/>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894" w:name="_Toc161401631"/>
      <w:bookmarkStart w:id="1895" w:name="_Toc154754115"/>
      <w:r>
        <w:rPr>
          <w:rStyle w:val="CharSClsNo"/>
        </w:rPr>
        <w:t>23</w:t>
      </w:r>
      <w:r>
        <w:t>.</w:t>
      </w:r>
      <w:r>
        <w:tab/>
        <w:t xml:space="preserve">Statements made under </w:t>
      </w:r>
      <w:r>
        <w:rPr>
          <w:i/>
          <w:iCs/>
        </w:rPr>
        <w:t>Stamp Act 1921</w:t>
      </w:r>
      <w:r>
        <w:t xml:space="preserve"> s. 76H (s. 252)</w:t>
      </w:r>
      <w:bookmarkEnd w:id="1894"/>
      <w:bookmarkEnd w:id="1895"/>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896" w:name="_Toc161400974"/>
      <w:bookmarkStart w:id="1897" w:name="_Toc161401632"/>
      <w:bookmarkStart w:id="1898" w:name="_Toc154754116"/>
      <w:r>
        <w:t>Subdivision 6</w:t>
      </w:r>
      <w:r>
        <w:rPr>
          <w:b w:val="0"/>
        </w:rPr>
        <w:t> — </w:t>
      </w:r>
      <w:r>
        <w:t>Provisions for Chapter 7</w:t>
      </w:r>
      <w:bookmarkEnd w:id="1896"/>
      <w:bookmarkEnd w:id="1897"/>
      <w:bookmarkEnd w:id="1898"/>
    </w:p>
    <w:p>
      <w:pPr>
        <w:pStyle w:val="yHeading5"/>
      </w:pPr>
      <w:bookmarkStart w:id="1899" w:name="_Toc161401633"/>
      <w:bookmarkStart w:id="1900" w:name="_Toc154754117"/>
      <w:r>
        <w:rPr>
          <w:rStyle w:val="CharSClsNo"/>
        </w:rPr>
        <w:t>24</w:t>
      </w:r>
      <w:r>
        <w:t>.</w:t>
      </w:r>
      <w:r>
        <w:tab/>
        <w:t>When Ch. 7 starts to apply</w:t>
      </w:r>
      <w:bookmarkEnd w:id="1899"/>
      <w:bookmarkEnd w:id="1900"/>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1901" w:name="_Toc161400976"/>
      <w:bookmarkStart w:id="1902" w:name="_Toc161401634"/>
      <w:bookmarkStart w:id="1903" w:name="_Toc154754118"/>
      <w:r>
        <w:t>Subdivision 7</w:t>
      </w:r>
      <w:r>
        <w:rPr>
          <w:b w:val="0"/>
        </w:rPr>
        <w:t> — </w:t>
      </w:r>
      <w:r>
        <w:t>General</w:t>
      </w:r>
      <w:bookmarkEnd w:id="1901"/>
      <w:bookmarkEnd w:id="1902"/>
      <w:bookmarkEnd w:id="1903"/>
    </w:p>
    <w:p>
      <w:pPr>
        <w:pStyle w:val="yHeading5"/>
      </w:pPr>
      <w:bookmarkStart w:id="1904" w:name="_Toc161401635"/>
      <w:bookmarkStart w:id="1905" w:name="_Toc154754119"/>
      <w:r>
        <w:rPr>
          <w:rStyle w:val="CharSClsNo"/>
        </w:rPr>
        <w:t>25</w:t>
      </w:r>
      <w:r>
        <w:t>.</w:t>
      </w:r>
      <w:r>
        <w:tab/>
        <w:t>Some references to duty include stamp duty</w:t>
      </w:r>
      <w:bookmarkEnd w:id="1904"/>
      <w:bookmarkEnd w:id="1905"/>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906" w:name="_Toc161401636"/>
      <w:bookmarkStart w:id="1907" w:name="_Toc154754120"/>
      <w:r>
        <w:rPr>
          <w:rStyle w:val="CharSClsNo"/>
        </w:rPr>
        <w:t>26</w:t>
      </w:r>
      <w:r>
        <w:t>.</w:t>
      </w:r>
      <w:r>
        <w:tab/>
        <w:t>Application of some Ch. 8 provisions</w:t>
      </w:r>
      <w:bookmarkEnd w:id="1906"/>
      <w:bookmarkEnd w:id="1907"/>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1908" w:name="_Toc161401637"/>
      <w:bookmarkStart w:id="1909" w:name="_Toc154754121"/>
      <w:r>
        <w:rPr>
          <w:rStyle w:val="CharSClsNo"/>
        </w:rPr>
        <w:t>27</w:t>
      </w:r>
      <w:r>
        <w:t>.</w:t>
      </w:r>
      <w:r>
        <w:tab/>
        <w:t>Regulations</w:t>
      </w:r>
      <w:bookmarkEnd w:id="1908"/>
      <w:bookmarkEnd w:id="1909"/>
    </w:p>
    <w:p>
      <w:pPr>
        <w:pStyle w:val="ySubsection"/>
        <w:keepNext/>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910" w:name="_Toc161401638"/>
      <w:bookmarkStart w:id="1911" w:name="_Toc154754122"/>
      <w:r>
        <w:rPr>
          <w:rStyle w:val="CharSClsNo"/>
        </w:rPr>
        <w:t>28</w:t>
      </w:r>
      <w:r>
        <w:t>.</w:t>
      </w:r>
      <w:r>
        <w:tab/>
      </w:r>
      <w:r>
        <w:rPr>
          <w:i/>
          <w:iCs/>
        </w:rPr>
        <w:t>Stamp Act 1921</w:t>
      </w:r>
      <w:r>
        <w:rPr>
          <w:iCs/>
        </w:rPr>
        <w:t>, references to</w:t>
      </w:r>
      <w:bookmarkEnd w:id="1910"/>
      <w:bookmarkEnd w:id="1911"/>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1912" w:name="_Toc161400981"/>
      <w:bookmarkStart w:id="1913" w:name="_Toc161401639"/>
      <w:bookmarkStart w:id="1914" w:name="_Toc154754123"/>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912"/>
      <w:bookmarkEnd w:id="1913"/>
      <w:bookmarkEnd w:id="1914"/>
    </w:p>
    <w:p>
      <w:pPr>
        <w:pStyle w:val="yFootnoteheading"/>
      </w:pPr>
      <w:r>
        <w:tab/>
        <w:t>[Heading inserted: No. 9 of 2010 s. 6.]</w:t>
      </w:r>
    </w:p>
    <w:p>
      <w:pPr>
        <w:pStyle w:val="yHeading5"/>
      </w:pPr>
      <w:bookmarkStart w:id="1915" w:name="_Toc161401640"/>
      <w:bookmarkStart w:id="1916" w:name="_Toc154754124"/>
      <w:r>
        <w:rPr>
          <w:rStyle w:val="CharSClsNo"/>
        </w:rPr>
        <w:t>31</w:t>
      </w:r>
      <w:r>
        <w:t>.</w:t>
      </w:r>
      <w:r>
        <w:rPr>
          <w:b w:val="0"/>
        </w:rPr>
        <w:tab/>
      </w:r>
      <w:r>
        <w:rPr>
          <w:bCs/>
        </w:rPr>
        <w:t>Terms used</w:t>
      </w:r>
      <w:bookmarkEnd w:id="1915"/>
      <w:bookmarkEnd w:id="1916"/>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1917" w:name="_Toc161401641"/>
      <w:bookmarkStart w:id="1918" w:name="_Toc154754125"/>
      <w:r>
        <w:rPr>
          <w:rStyle w:val="CharSClsNo"/>
        </w:rPr>
        <w:t>32</w:t>
      </w:r>
      <w:r>
        <w:t>.</w:t>
      </w:r>
      <w:r>
        <w:rPr>
          <w:b w:val="0"/>
        </w:rPr>
        <w:tab/>
      </w:r>
      <w:r>
        <w:rPr>
          <w:bCs/>
        </w:rPr>
        <w:t>Certain relevant reconstruction transactions</w:t>
      </w:r>
      <w:bookmarkEnd w:id="1917"/>
      <w:bookmarkEnd w:id="1918"/>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1919" w:name="_Toc161400984"/>
      <w:bookmarkStart w:id="1920" w:name="_Toc161401642"/>
      <w:bookmarkStart w:id="1921" w:name="_Toc154754126"/>
      <w:r>
        <w:rPr>
          <w:rStyle w:val="CharSDivNo"/>
        </w:rPr>
        <w:t>Division 5</w:t>
      </w:r>
      <w:r>
        <w:rPr>
          <w:b w:val="0"/>
        </w:rPr>
        <w:t> — </w:t>
      </w:r>
      <w:r>
        <w:rPr>
          <w:rStyle w:val="CharSDivText"/>
        </w:rPr>
        <w:t xml:space="preserve">Provisions for </w:t>
      </w:r>
      <w:r>
        <w:rPr>
          <w:rStyle w:val="CharSDivText"/>
          <w:i/>
        </w:rPr>
        <w:t>Duties Amendment Act (No. 2) 2011</w:t>
      </w:r>
      <w:bookmarkEnd w:id="1919"/>
      <w:bookmarkEnd w:id="1920"/>
      <w:bookmarkEnd w:id="1921"/>
    </w:p>
    <w:p>
      <w:pPr>
        <w:pStyle w:val="yFootnoteheading"/>
      </w:pPr>
      <w:r>
        <w:tab/>
        <w:t>[Heading inserted: No. 33 of 2011 s. 6.]</w:t>
      </w:r>
    </w:p>
    <w:p>
      <w:pPr>
        <w:pStyle w:val="yHeading5"/>
      </w:pPr>
      <w:bookmarkStart w:id="1922" w:name="_Toc161401643"/>
      <w:bookmarkStart w:id="1923" w:name="_Toc154754127"/>
      <w:r>
        <w:rPr>
          <w:rStyle w:val="CharSClsNo"/>
        </w:rPr>
        <w:t>33</w:t>
      </w:r>
      <w:r>
        <w:t>.</w:t>
      </w:r>
      <w:r>
        <w:rPr>
          <w:b w:val="0"/>
        </w:rPr>
        <w:tab/>
      </w:r>
      <w:r>
        <w:t>Term used: relevant period</w:t>
      </w:r>
      <w:bookmarkEnd w:id="1922"/>
      <w:bookmarkEnd w:id="1923"/>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1924" w:name="_Toc161401644"/>
      <w:bookmarkStart w:id="1925" w:name="_Toc154754128"/>
      <w:r>
        <w:rPr>
          <w:rStyle w:val="CharSClsNo"/>
        </w:rPr>
        <w:t>34</w:t>
      </w:r>
      <w:r>
        <w:t>.</w:t>
      </w:r>
      <w:r>
        <w:rPr>
          <w:b w:val="0"/>
        </w:rPr>
        <w:tab/>
      </w:r>
      <w:r>
        <w:t>When transfer duty deemed to arise in certain cases</w:t>
      </w:r>
      <w:bookmarkEnd w:id="1924"/>
      <w:bookmarkEnd w:id="1925"/>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1926" w:name="_Toc161401645"/>
      <w:bookmarkStart w:id="1927" w:name="_Toc154754129"/>
      <w:r>
        <w:rPr>
          <w:rStyle w:val="CharSClsNo"/>
        </w:rPr>
        <w:t>35</w:t>
      </w:r>
      <w:r>
        <w:t>.</w:t>
      </w:r>
      <w:r>
        <w:rPr>
          <w:b w:val="0"/>
        </w:rPr>
        <w:tab/>
      </w:r>
      <w:r>
        <w:t>When landholder duty deemed to arise in certain cases</w:t>
      </w:r>
      <w:bookmarkEnd w:id="1926"/>
      <w:bookmarkEnd w:id="1927"/>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No. 33 of 2011 s. 6.]</w:t>
      </w:r>
    </w:p>
    <w:p>
      <w:pPr>
        <w:pStyle w:val="yHeading3"/>
      </w:pPr>
      <w:bookmarkStart w:id="1928" w:name="_Toc161400988"/>
      <w:bookmarkStart w:id="1929" w:name="_Toc161401646"/>
      <w:bookmarkStart w:id="1930" w:name="_Toc154754130"/>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928"/>
      <w:bookmarkEnd w:id="1929"/>
      <w:bookmarkEnd w:id="1930"/>
    </w:p>
    <w:p>
      <w:pPr>
        <w:pStyle w:val="yFootnoteheading"/>
      </w:pPr>
      <w:r>
        <w:tab/>
        <w:t>[Heading inserted: No. 10 of 2013 s. 9.]</w:t>
      </w:r>
    </w:p>
    <w:p>
      <w:pPr>
        <w:pStyle w:val="yHeading5"/>
      </w:pPr>
      <w:bookmarkStart w:id="1931" w:name="_Toc161401647"/>
      <w:bookmarkStart w:id="1932" w:name="_Toc154754131"/>
      <w:r>
        <w:rPr>
          <w:rStyle w:val="CharSClsNo"/>
        </w:rPr>
        <w:t>36</w:t>
      </w:r>
      <w:r>
        <w:t>.</w:t>
      </w:r>
      <w:r>
        <w:tab/>
        <w:t>Interim assessments</w:t>
      </w:r>
      <w:bookmarkEnd w:id="1931"/>
      <w:bookmarkEnd w:id="1932"/>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1933" w:name="_Toc161400990"/>
      <w:bookmarkStart w:id="1934" w:name="_Toc161401648"/>
      <w:bookmarkStart w:id="1935" w:name="_Toc154754132"/>
      <w:r>
        <w:rPr>
          <w:rStyle w:val="CharSDivNo"/>
        </w:rPr>
        <w:t>Division 7</w:t>
      </w:r>
      <w:r>
        <w:t> — </w:t>
      </w:r>
      <w:r>
        <w:rPr>
          <w:rStyle w:val="CharSDivText"/>
        </w:rPr>
        <w:t xml:space="preserve">Provisions for </w:t>
      </w:r>
      <w:r>
        <w:rPr>
          <w:rStyle w:val="CharSDivText"/>
          <w:i/>
        </w:rPr>
        <w:t>Taxation Legislation Amendment Act 2015</w:t>
      </w:r>
      <w:bookmarkEnd w:id="1933"/>
      <w:bookmarkEnd w:id="1934"/>
      <w:bookmarkEnd w:id="1935"/>
    </w:p>
    <w:p>
      <w:pPr>
        <w:pStyle w:val="yFootnoteheading"/>
        <w:keepNext/>
      </w:pPr>
      <w:r>
        <w:tab/>
        <w:t>[Heading inserted: No. 1 of 2015 s. 28.]</w:t>
      </w:r>
    </w:p>
    <w:p>
      <w:pPr>
        <w:pStyle w:val="yHeading5"/>
      </w:pPr>
      <w:bookmarkStart w:id="1936" w:name="_Toc161401649"/>
      <w:bookmarkStart w:id="1937" w:name="_Toc154754133"/>
      <w:r>
        <w:rPr>
          <w:rStyle w:val="CharSClsNo"/>
        </w:rPr>
        <w:t>37</w:t>
      </w:r>
      <w:r>
        <w:t>.</w:t>
      </w:r>
      <w:r>
        <w:tab/>
        <w:t>Terms used</w:t>
      </w:r>
      <w:bookmarkEnd w:id="1936"/>
      <w:bookmarkEnd w:id="1937"/>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1938" w:name="_Toc161401650"/>
      <w:bookmarkStart w:id="1939" w:name="_Toc154754134"/>
      <w:r>
        <w:rPr>
          <w:rStyle w:val="CharSClsNo"/>
        </w:rPr>
        <w:t>38</w:t>
      </w:r>
      <w:r>
        <w:t>.</w:t>
      </w:r>
      <w:r>
        <w:tab/>
        <w:t>Duty on certain relevant acquisitions</w:t>
      </w:r>
      <w:bookmarkEnd w:id="1938"/>
      <w:bookmarkEnd w:id="1939"/>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1940" w:name="_Toc161400993"/>
      <w:bookmarkStart w:id="1941" w:name="_Toc161401651"/>
      <w:bookmarkStart w:id="1942" w:name="_Toc154754135"/>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1940"/>
      <w:bookmarkEnd w:id="1941"/>
      <w:bookmarkEnd w:id="1942"/>
    </w:p>
    <w:p>
      <w:pPr>
        <w:pStyle w:val="Footnoteheading"/>
      </w:pPr>
      <w:r>
        <w:tab/>
        <w:t>[Heading inserted: No. 24 of 2018 s. 15.]</w:t>
      </w:r>
    </w:p>
    <w:p>
      <w:pPr>
        <w:pStyle w:val="yHeading5"/>
      </w:pPr>
      <w:bookmarkStart w:id="1943" w:name="_Toc161401652"/>
      <w:bookmarkStart w:id="1944" w:name="_Toc154754136"/>
      <w:r>
        <w:rPr>
          <w:rStyle w:val="CharSClsNo"/>
        </w:rPr>
        <w:t>39</w:t>
      </w:r>
      <w:r>
        <w:t>.</w:t>
      </w:r>
      <w:r>
        <w:rPr>
          <w:b w:val="0"/>
        </w:rPr>
        <w:tab/>
      </w:r>
      <w:r>
        <w:t>Terms used</w:t>
      </w:r>
      <w:bookmarkEnd w:id="1943"/>
      <w:bookmarkEnd w:id="1944"/>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1945" w:name="_Toc161401653"/>
      <w:bookmarkStart w:id="1946" w:name="_Toc154754137"/>
      <w:r>
        <w:rPr>
          <w:rStyle w:val="CharSClsNo"/>
        </w:rPr>
        <w:t>40</w:t>
      </w:r>
      <w:r>
        <w:t>.</w:t>
      </w:r>
      <w:r>
        <w:tab/>
        <w:t>When Ch. 3A Pt. 2 starts to apply</w:t>
      </w:r>
      <w:bookmarkEnd w:id="1945"/>
      <w:bookmarkEnd w:id="1946"/>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1947" w:name="_Toc161401654"/>
      <w:bookmarkStart w:id="1948" w:name="_Toc154754138"/>
      <w:r>
        <w:rPr>
          <w:rStyle w:val="CharSClsNo"/>
        </w:rPr>
        <w:t>41</w:t>
      </w:r>
      <w:r>
        <w:t>.</w:t>
      </w:r>
      <w:r>
        <w:tab/>
        <w:t>Agreements entered into before 1 January 2019</w:t>
      </w:r>
      <w:bookmarkEnd w:id="1947"/>
      <w:bookmarkEnd w:id="1948"/>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yFootnotesection"/>
      </w:pPr>
      <w:r>
        <w:tab/>
        <w:t>[Clause 41 inserted: No. 24 of 2018 s. 15.]</w:t>
      </w:r>
    </w:p>
    <w:p>
      <w:pPr>
        <w:pStyle w:val="yHeading5"/>
      </w:pPr>
      <w:bookmarkStart w:id="1949" w:name="_Toc161401655"/>
      <w:bookmarkStart w:id="1950" w:name="_Toc154754139"/>
      <w:r>
        <w:rPr>
          <w:rStyle w:val="CharSClsNo"/>
        </w:rPr>
        <w:t>42</w:t>
      </w:r>
      <w:r>
        <w:t>.</w:t>
      </w:r>
      <w:r>
        <w:tab/>
        <w:t>Declaration of trusts made before 1 January 2019</w:t>
      </w:r>
      <w:bookmarkEnd w:id="1949"/>
      <w:bookmarkEnd w:id="1950"/>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1951" w:name="_Toc161401656"/>
      <w:bookmarkStart w:id="1952" w:name="_Toc154754140"/>
      <w:r>
        <w:rPr>
          <w:rStyle w:val="CharSClsNo"/>
        </w:rPr>
        <w:t>43</w:t>
      </w:r>
      <w:r>
        <w:t>.</w:t>
      </w:r>
      <w:r>
        <w:tab/>
        <w:t>Other transactions before 1 January 2019</w:t>
      </w:r>
      <w:bookmarkEnd w:id="1951"/>
      <w:bookmarkEnd w:id="1952"/>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1953" w:name="_Toc161401657"/>
      <w:bookmarkStart w:id="1954" w:name="_Toc154754141"/>
      <w:r>
        <w:rPr>
          <w:rStyle w:val="CharSClsNo"/>
        </w:rPr>
        <w:t>44</w:t>
      </w:r>
      <w:r>
        <w:t>.</w:t>
      </w:r>
      <w:r>
        <w:tab/>
        <w:t>When Ch. 3A Pt. 3 starts to apply</w:t>
      </w:r>
      <w:bookmarkEnd w:id="1953"/>
      <w:bookmarkEnd w:id="1954"/>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1955" w:name="_Toc161401658"/>
      <w:bookmarkStart w:id="1956" w:name="_Toc154754142"/>
      <w:r>
        <w:rPr>
          <w:rStyle w:val="CharSClsNo"/>
        </w:rPr>
        <w:t>45</w:t>
      </w:r>
      <w:r>
        <w:t>.</w:t>
      </w:r>
      <w:r>
        <w:tab/>
        <w:t>Application of some Ch. 8 provisions</w:t>
      </w:r>
      <w:bookmarkEnd w:id="1955"/>
      <w:bookmarkEnd w:id="1956"/>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1957" w:name="_Toc161401001"/>
      <w:bookmarkStart w:id="1958" w:name="_Toc161401659"/>
      <w:bookmarkStart w:id="1959" w:name="_Toc154754143"/>
      <w:r>
        <w:rPr>
          <w:rStyle w:val="CharSDivNo"/>
        </w:rPr>
        <w:t>Division 9</w:t>
      </w:r>
      <w:r>
        <w:t> — </w:t>
      </w:r>
      <w:r>
        <w:rPr>
          <w:rStyle w:val="CharSDivText"/>
        </w:rPr>
        <w:t xml:space="preserve">Provisions for </w:t>
      </w:r>
      <w:r>
        <w:rPr>
          <w:rStyle w:val="CharSDivText"/>
          <w:i/>
        </w:rPr>
        <w:t>Revenue Laws Amendment Act 2019</w:t>
      </w:r>
      <w:bookmarkEnd w:id="1957"/>
      <w:bookmarkEnd w:id="1958"/>
      <w:bookmarkEnd w:id="1959"/>
    </w:p>
    <w:p>
      <w:pPr>
        <w:pStyle w:val="Footnoteheading"/>
      </w:pPr>
      <w:r>
        <w:tab/>
        <w:t>[Heading inserted: No. 12 of 2019 s. 132.]</w:t>
      </w:r>
    </w:p>
    <w:p>
      <w:pPr>
        <w:pStyle w:val="yHeading5"/>
      </w:pPr>
      <w:bookmarkStart w:id="1960" w:name="_Toc161401660"/>
      <w:bookmarkStart w:id="1961" w:name="_Toc154754144"/>
      <w:r>
        <w:rPr>
          <w:rStyle w:val="CharSClsNo"/>
        </w:rPr>
        <w:t>46</w:t>
      </w:r>
      <w:r>
        <w:t>.</w:t>
      </w:r>
      <w:r>
        <w:tab/>
        <w:t>Terms used</w:t>
      </w:r>
      <w:bookmarkEnd w:id="1960"/>
      <w:bookmarkEnd w:id="1961"/>
    </w:p>
    <w:p>
      <w:pPr>
        <w:pStyle w:val="ySubsection"/>
      </w:pPr>
      <w:r>
        <w:tab/>
        <w:t>(1)</w:t>
      </w:r>
      <w:r>
        <w:tab/>
        <w:t xml:space="preserve">In this Division — </w:t>
      </w:r>
    </w:p>
    <w:p>
      <w:pPr>
        <w:pStyle w:val="yDefstart"/>
      </w:pPr>
      <w:r>
        <w:tab/>
      </w:r>
      <w:r>
        <w:rPr>
          <w:rStyle w:val="CharDefText"/>
        </w:rPr>
        <w:t>commencement day</w:t>
      </w:r>
      <w:r>
        <w:t xml:space="preserve"> 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a transaction of a kind referred to in section 11 (including a transaction that would be a dutiable transaction if it related to 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keepNext/>
      </w:pPr>
      <w:r>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1962" w:name="_Toc161401661"/>
      <w:bookmarkStart w:id="1963" w:name="_Toc154754145"/>
      <w:r>
        <w:rPr>
          <w:rStyle w:val="CharSClsNo"/>
        </w:rPr>
        <w:t>47</w:t>
      </w:r>
      <w:r>
        <w:t>.</w:t>
      </w:r>
      <w:r>
        <w:tab/>
        <w:t xml:space="preserve">Application of amendments made by </w:t>
      </w:r>
      <w:r>
        <w:rPr>
          <w:i/>
        </w:rPr>
        <w:t>Revenue Laws Amendment Act 2019</w:t>
      </w:r>
      <w:bookmarkEnd w:id="1962"/>
      <w:bookmarkEnd w:id="1963"/>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1964" w:name="_Toc161401662"/>
      <w:bookmarkStart w:id="1965" w:name="_Toc154754146"/>
      <w:r>
        <w:rPr>
          <w:rStyle w:val="CharSClsNo"/>
        </w:rPr>
        <w:t>48</w:t>
      </w:r>
      <w:r>
        <w:t>.</w:t>
      </w:r>
      <w:r>
        <w:tab/>
        <w:t xml:space="preserve">Definition of </w:t>
      </w:r>
      <w:r>
        <w:rPr>
          <w:i/>
        </w:rPr>
        <w:t>land</w:t>
      </w:r>
      <w:r>
        <w:t xml:space="preserve"> taken always to have included pastoral leases</w:t>
      </w:r>
      <w:bookmarkEnd w:id="1964"/>
      <w:bookmarkEnd w:id="1965"/>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1966" w:name="_Toc161401663"/>
      <w:bookmarkStart w:id="1967" w:name="_Toc154754147"/>
      <w:r>
        <w:rPr>
          <w:rStyle w:val="CharSClsNo"/>
        </w:rPr>
        <w:t>49</w:t>
      </w:r>
      <w:r>
        <w:t>.</w:t>
      </w:r>
      <w:r>
        <w:tab/>
        <w:t>Validation of administration agreements entered into before commencement day</w:t>
      </w:r>
      <w:bookmarkEnd w:id="1966"/>
      <w:bookmarkEnd w:id="1967"/>
    </w:p>
    <w:p>
      <w:pPr>
        <w:pStyle w:val="ySubsection"/>
        <w:keepNext/>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t>Revenue Laws Amendment Act 2019</w:t>
      </w:r>
      <w:r>
        <w:t> section 52 had been in force when the agreement was entered into.</w:t>
      </w:r>
    </w:p>
    <w:p>
      <w:pPr>
        <w:pStyle w:val="yFootnotesection"/>
      </w:pPr>
      <w:r>
        <w:tab/>
        <w:t>[Clause 49 inserted: No. 12 of 2019 s. 132.]</w:t>
      </w:r>
    </w:p>
    <w:p>
      <w:pPr>
        <w:pStyle w:val="yHeading5"/>
      </w:pPr>
      <w:bookmarkStart w:id="1968" w:name="_Toc161401664"/>
      <w:bookmarkStart w:id="1969" w:name="_Toc154754148"/>
      <w:r>
        <w:rPr>
          <w:rStyle w:val="CharSClsNo"/>
        </w:rPr>
        <w:t>50</w:t>
      </w:r>
      <w:r>
        <w:t>.</w:t>
      </w:r>
      <w:r>
        <w:tab/>
        <w:t>Transfers of vehicle licences between spouses between 1 July 2014 and commencement day</w:t>
      </w:r>
      <w:bookmarkEnd w:id="1968"/>
      <w:bookmarkEnd w:id="1969"/>
    </w:p>
    <w:p>
      <w:pPr>
        <w:pStyle w:val="ySubsection"/>
        <w:keepNext/>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1970" w:name="_Toc161401665"/>
      <w:bookmarkStart w:id="1971" w:name="_Toc154754149"/>
      <w:r>
        <w:rPr>
          <w:rStyle w:val="CharSClsNo"/>
        </w:rPr>
        <w:t>51</w:t>
      </w:r>
      <w:r>
        <w:t>.</w:t>
      </w:r>
      <w:r>
        <w:tab/>
        <w:t>Provisions relating to exemptions for connected entities</w:t>
      </w:r>
      <w:bookmarkEnd w:id="1970"/>
      <w:bookmarkEnd w:id="1971"/>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1972" w:name="_Toc161401666"/>
      <w:bookmarkStart w:id="1973" w:name="_Toc154754150"/>
      <w:r>
        <w:rPr>
          <w:rStyle w:val="CharSClsNo"/>
        </w:rPr>
        <w:t>52</w:t>
      </w:r>
      <w:r>
        <w:t>.</w:t>
      </w:r>
      <w:r>
        <w:tab/>
        <w:t>Provisions about validated assessments</w:t>
      </w:r>
      <w:bookmarkEnd w:id="1972"/>
      <w:bookmarkEnd w:id="1973"/>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1974" w:name="_Toc161401667"/>
      <w:bookmarkStart w:id="1975" w:name="_Toc154754151"/>
      <w:r>
        <w:rPr>
          <w:rStyle w:val="CharSClsNo"/>
        </w:rPr>
        <w:t>53</w:t>
      </w:r>
      <w:r>
        <w:t>.</w:t>
      </w:r>
      <w:r>
        <w:tab/>
        <w:t>Application of s. 195B and 195 to acquisitions before commencement day</w:t>
      </w:r>
      <w:bookmarkEnd w:id="1974"/>
      <w:bookmarkEnd w:id="1975"/>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Heading5"/>
      </w:pPr>
      <w:bookmarkStart w:id="1976" w:name="_Toc161401668"/>
      <w:bookmarkStart w:id="1977" w:name="_Toc154754152"/>
      <w:r>
        <w:rPr>
          <w:rStyle w:val="CharSClsNo"/>
        </w:rPr>
        <w:t>54</w:t>
      </w:r>
      <w:r>
        <w:t>.</w:t>
      </w:r>
      <w:r>
        <w:tab/>
        <w:t>Provisions about derivative mining rights</w:t>
      </w:r>
      <w:bookmarkEnd w:id="1976"/>
      <w:bookmarkEnd w:id="1977"/>
    </w:p>
    <w:p>
      <w:pPr>
        <w:pStyle w:val="ySubsection"/>
      </w:pPr>
      <w:r>
        <w:tab/>
        <w:t>(1)</w:t>
      </w:r>
      <w:r>
        <w:tab/>
        <w:t xml:space="preserve">The exemption from duty in section 91F(3) applies despite the acquisition of the previous right not being duty endorsed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pPr>
        <w:pStyle w:val="yIndenta"/>
      </w:pPr>
      <w:r>
        <w:tab/>
        <w:t>(a)</w:t>
      </w:r>
      <w:r>
        <w:tab/>
        <w:t>occurred before commencement day; and</w:t>
      </w:r>
    </w:p>
    <w:p>
      <w:pPr>
        <w:pStyle w:val="yIndenta"/>
      </w:pPr>
      <w:r>
        <w:tab/>
        <w:t>(b)</w:t>
      </w:r>
      <w:r>
        <w:tab/>
        <w:t>was not a dutiable transaction.</w:t>
      </w:r>
    </w:p>
    <w:p>
      <w:pPr>
        <w:pStyle w:val="ySubsection"/>
        <w:keepNext/>
      </w:pPr>
      <w:r>
        <w:tab/>
        <w:t>(4)</w:t>
      </w:r>
      <w:r>
        <w:tab/>
        <w:t xml:space="preserve">Section 204E(2) applies for the purpose of determining the unencumbered value of a mining tenement despite the acquisition of the derivative mining right not being duty endorsed as required by that section (as in force on commencement day) if that acquisition — </w:t>
      </w:r>
    </w:p>
    <w:p>
      <w:pPr>
        <w:pStyle w:val="yIndenta"/>
      </w:pPr>
      <w:r>
        <w:tab/>
        <w:t>(a)</w:t>
      </w:r>
      <w:r>
        <w:tab/>
        <w:t>occurred before commencement day; and</w:t>
      </w:r>
    </w:p>
    <w:p>
      <w:pPr>
        <w:pStyle w:val="yIndenta"/>
        <w:keepNext/>
      </w:pPr>
      <w:r>
        <w:tab/>
        <w:t>(b)</w:t>
      </w:r>
      <w:r>
        <w:tab/>
        <w:t>was not a dutiable transaction.</w:t>
      </w:r>
    </w:p>
    <w:p>
      <w:pPr>
        <w:pStyle w:val="yFootnotesection"/>
      </w:pPr>
      <w:r>
        <w:tab/>
        <w:t>[Clause 54 inserted: No. 16 of 2022 s. 27 </w:t>
      </w:r>
      <w:r>
        <w:rPr>
          <w:vertAlign w:val="superscript"/>
        </w:rPr>
        <w:t>7</w:t>
      </w:r>
      <w:r>
        <w:t>.]</w:t>
      </w:r>
    </w:p>
    <w:p>
      <w:pPr>
        <w:pStyle w:val="yHeading3"/>
        <w:rPr>
          <w:i/>
        </w:rPr>
      </w:pPr>
      <w:bookmarkStart w:id="1978" w:name="_Toc161401011"/>
      <w:bookmarkStart w:id="1979" w:name="_Toc161401669"/>
      <w:bookmarkStart w:id="1980" w:name="_Toc154754153"/>
      <w:r>
        <w:rPr>
          <w:rStyle w:val="CharSDivNo"/>
        </w:rPr>
        <w:t>Division 10</w:t>
      </w:r>
      <w:r>
        <w:t> — </w:t>
      </w:r>
      <w:r>
        <w:rPr>
          <w:rStyle w:val="CharSDivText"/>
        </w:rPr>
        <w:t xml:space="preserve">Provisions relating to </w:t>
      </w:r>
      <w:r>
        <w:rPr>
          <w:rStyle w:val="CharSDivText"/>
          <w:i/>
        </w:rPr>
        <w:t>Duties Amendment Act 2022</w:t>
      </w:r>
      <w:bookmarkEnd w:id="1978"/>
      <w:bookmarkEnd w:id="1979"/>
      <w:bookmarkEnd w:id="1980"/>
    </w:p>
    <w:p>
      <w:pPr>
        <w:pStyle w:val="yFootnoteheading"/>
        <w:keepNext/>
      </w:pPr>
      <w:r>
        <w:tab/>
        <w:t>[Heading inserted: No. 16 of 2022 s. 18.]</w:t>
      </w:r>
    </w:p>
    <w:p>
      <w:pPr>
        <w:pStyle w:val="yHeading5"/>
      </w:pPr>
      <w:bookmarkStart w:id="1981" w:name="_Toc161401670"/>
      <w:bookmarkStart w:id="1982" w:name="_Toc154754154"/>
      <w:r>
        <w:rPr>
          <w:rStyle w:val="CharSClsNo"/>
        </w:rPr>
        <w:t>55</w:t>
      </w:r>
      <w:r>
        <w:t>.</w:t>
      </w:r>
      <w:r>
        <w:tab/>
        <w:t>Terms used</w:t>
      </w:r>
      <w:bookmarkEnd w:id="1981"/>
      <w:bookmarkEnd w:id="1982"/>
    </w:p>
    <w:p>
      <w:pPr>
        <w:pStyle w:val="ySubsection"/>
        <w:keepNext/>
      </w:pPr>
      <w:r>
        <w:tab/>
        <w:t>(1)</w:t>
      </w:r>
      <w:r>
        <w:tab/>
        <w:t xml:space="preserve">In this Division — </w:t>
      </w:r>
    </w:p>
    <w:p>
      <w:pPr>
        <w:pStyle w:val="yDefstart"/>
      </w:pPr>
      <w:r>
        <w:tab/>
      </w:r>
      <w:r>
        <w:rPr>
          <w:rStyle w:val="CharDefText"/>
        </w:rPr>
        <w:t>commencement day</w:t>
      </w:r>
      <w:r>
        <w:t xml:space="preserve"> means the day on which the </w:t>
      </w:r>
      <w:r>
        <w:rPr>
          <w:i/>
        </w:rPr>
        <w:t>Duties Amendment Act 2022</w:t>
      </w:r>
      <w:r>
        <w:t xml:space="preserve"> Part 2 comes into operation.</w:t>
      </w:r>
    </w:p>
    <w:p>
      <w:pPr>
        <w:pStyle w:val="ySubsection"/>
        <w:keepNext/>
      </w:pPr>
      <w:r>
        <w:tab/>
        <w:t>(2)</w:t>
      </w:r>
      <w:r>
        <w:tab/>
        <w:t>A term used in clause 56(1)(b) or (2) or 57 has the same meaning as it has in Chapter 5.</w:t>
      </w:r>
    </w:p>
    <w:p>
      <w:pPr>
        <w:pStyle w:val="yFootnotesection"/>
      </w:pPr>
      <w:r>
        <w:tab/>
        <w:t>[Clause 55 inserted: No. 16 of 2022 s. 18.]</w:t>
      </w:r>
    </w:p>
    <w:p>
      <w:pPr>
        <w:pStyle w:val="yHeading5"/>
      </w:pPr>
      <w:bookmarkStart w:id="1983" w:name="_Toc161401671"/>
      <w:bookmarkStart w:id="1984" w:name="_Toc154754155"/>
      <w:r>
        <w:rPr>
          <w:rStyle w:val="CharSClsNo"/>
        </w:rPr>
        <w:t>56</w:t>
      </w:r>
      <w:r>
        <w:t>.</w:t>
      </w:r>
      <w:r>
        <w:tab/>
        <w:t xml:space="preserve">Application of amendments made by </w:t>
      </w:r>
      <w:r>
        <w:rPr>
          <w:i/>
        </w:rPr>
        <w:t>Duties Amendment Act 2022</w:t>
      </w:r>
      <w:r>
        <w:t xml:space="preserve"> Part 2</w:t>
      </w:r>
      <w:bookmarkEnd w:id="1983"/>
      <w:bookmarkEnd w:id="1984"/>
    </w:p>
    <w:p>
      <w:pPr>
        <w:pStyle w:val="ySubsection"/>
        <w:keepNext/>
      </w:pPr>
      <w:r>
        <w:tab/>
        <w:t>(1)</w:t>
      </w:r>
      <w:r>
        <w:tab/>
        <w:t xml:space="preserve">The amendments made by the </w:t>
      </w:r>
      <w:r>
        <w:rPr>
          <w:i/>
        </w:rPr>
        <w:t xml:space="preserve">Duties Amendment Act 2022 </w:t>
      </w:r>
      <w:r>
        <w:t xml:space="preserve">Part 2 apply in relation to the imposition of duty on — </w:t>
      </w:r>
    </w:p>
    <w:p>
      <w:pPr>
        <w:pStyle w:val="yIndenta"/>
      </w:pPr>
      <w:r>
        <w:tab/>
        <w:t>(a)</w:t>
      </w:r>
      <w:r>
        <w:tab/>
        <w:t>transactions that occur on or after commencement day; and</w:t>
      </w:r>
    </w:p>
    <w:p>
      <w:pPr>
        <w:pStyle w:val="yIndenta"/>
      </w:pPr>
      <w:r>
        <w:tab/>
        <w:t>(b)</w:t>
      </w:r>
      <w:r>
        <w:tab/>
        <w:t>grants or transfers of licences for vehicles that occur on or after commencement day.</w:t>
      </w:r>
    </w:p>
    <w:p>
      <w:pPr>
        <w:pStyle w:val="ySubsection"/>
        <w:keepNext/>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pPr>
        <w:pStyle w:val="yFootnotesection"/>
      </w:pPr>
      <w:r>
        <w:tab/>
        <w:t>[Clause 56 inserted: No. 16 of 2022 s. 18.]</w:t>
      </w:r>
    </w:p>
    <w:p>
      <w:pPr>
        <w:pStyle w:val="yHeading5"/>
      </w:pPr>
      <w:bookmarkStart w:id="1985" w:name="_Toc161401672"/>
      <w:bookmarkStart w:id="1986" w:name="_Toc154754156"/>
      <w:r>
        <w:rPr>
          <w:rStyle w:val="CharSClsNo"/>
        </w:rPr>
        <w:t>57</w:t>
      </w:r>
      <w:r>
        <w:t>.</w:t>
      </w:r>
      <w:r>
        <w:tab/>
        <w:t>Validation of certain reassessments and refunds of vehicle licence duty by CEO before commencement day</w:t>
      </w:r>
      <w:bookmarkEnd w:id="1985"/>
      <w:bookmarkEnd w:id="1986"/>
    </w:p>
    <w:p>
      <w:pPr>
        <w:pStyle w:val="ySubsection"/>
        <w:keepNext/>
      </w:pPr>
      <w:r>
        <w:tab/>
        <w:t>(1)</w:t>
      </w:r>
      <w:r>
        <w:tab/>
        <w:t xml:space="preserve">This clause applies if — </w:t>
      </w:r>
    </w:p>
    <w:p>
      <w:pPr>
        <w:pStyle w:val="yIndenta"/>
      </w:pPr>
      <w:r>
        <w:tab/>
        <w:t>(a)</w:t>
      </w:r>
      <w:r>
        <w:tab/>
        <w:t>in the period beginning on 1 July 2008 and ending immediately before commencement day, the CEO made a reassessment determining that no duty was payable on the grant or transfer of a licence for a vehicle; and</w:t>
      </w:r>
    </w:p>
    <w:p>
      <w:pPr>
        <w:pStyle w:val="yIndenta"/>
      </w:pPr>
      <w:r>
        <w:tab/>
        <w:t>(b)</w:t>
      </w:r>
      <w:r>
        <w:tab/>
        <w:t>the application for the grant or transfer was the result of an agreement to purchase the vehicle from a dealer and was made by the dealer on behalf of the purchaser; and</w:t>
      </w:r>
    </w:p>
    <w:p>
      <w:pPr>
        <w:pStyle w:val="yIndenta"/>
      </w:pPr>
      <w:r>
        <w:tab/>
        <w:t>(c)</w:t>
      </w:r>
      <w:r>
        <w:tab/>
        <w:t>the agreement was rescinded, annulled or otherwise terminated before the purchaser took possession of the vehicle.</w:t>
      </w:r>
    </w:p>
    <w:p>
      <w:pPr>
        <w:pStyle w:val="ySubsection"/>
      </w:pPr>
      <w:r>
        <w:tab/>
        <w:t>(2)</w:t>
      </w:r>
      <w:r>
        <w:tab/>
        <w:t>The reassessment is, and is taken to have always been, validly made.</w:t>
      </w:r>
    </w:p>
    <w:p>
      <w:pPr>
        <w:pStyle w:val="ySubsection"/>
      </w:pPr>
      <w:r>
        <w:tab/>
        <w:t>(3)</w:t>
      </w:r>
      <w:r>
        <w:tab/>
        <w:t>If, as a result of the reassessment, the CEO refunded an amount of duty paid on the grant or transfer of the licence for the vehicle, the refund is, and is taken to have always been, validly made.</w:t>
      </w:r>
    </w:p>
    <w:p>
      <w:pPr>
        <w:pStyle w:val="ySubsection"/>
      </w:pPr>
      <w:r>
        <w:tab/>
        <w:t>(4)</w:t>
      </w:r>
      <w:r>
        <w:tab/>
        <w:t>The rights, obligations and liabilities of all persons are taken to be, and to have always been, the same as if the reassessment had been validly made.</w:t>
      </w:r>
    </w:p>
    <w:p>
      <w:pPr>
        <w:pStyle w:val="ySubsection"/>
        <w:keepNext/>
      </w:pPr>
      <w:r>
        <w:tab/>
        <w:t>(5)</w:t>
      </w:r>
      <w:r>
        <w:tab/>
        <w:t>Anything done, or purportedly done, before commencement day is as valid and effective, and is taken to have always been as valid and effective, as it would have been if the reassessment had been validly made.</w:t>
      </w:r>
    </w:p>
    <w:p>
      <w:pPr>
        <w:pStyle w:val="yFootnotesection"/>
      </w:pPr>
      <w:r>
        <w:tab/>
        <w:t>[Clause 57 inserted: No. 16 of 2022 s. 18.]</w:t>
      </w:r>
    </w:p>
    <w:p>
      <w:pPr>
        <w:pStyle w:val="yHeading5"/>
      </w:pPr>
      <w:bookmarkStart w:id="1987" w:name="_Toc161401673"/>
      <w:bookmarkStart w:id="1988" w:name="_Toc154754157"/>
      <w:r>
        <w:rPr>
          <w:rStyle w:val="CharSClsNo"/>
        </w:rPr>
        <w:t>58</w:t>
      </w:r>
      <w:r>
        <w:t>.</w:t>
      </w:r>
      <w:r>
        <w:tab/>
        <w:t xml:space="preserve">Application of amendments made by </w:t>
      </w:r>
      <w:r>
        <w:rPr>
          <w:i/>
        </w:rPr>
        <w:t>Duties Amendment Act 2022</w:t>
      </w:r>
      <w:r>
        <w:t xml:space="preserve"> Part 3</w:t>
      </w:r>
      <w:bookmarkEnd w:id="1987"/>
      <w:bookmarkEnd w:id="1988"/>
    </w:p>
    <w:p>
      <w:pPr>
        <w:pStyle w:val="ySubsection"/>
      </w:pPr>
      <w:r>
        <w:tab/>
        <w:t>(1)</w:t>
      </w:r>
      <w:r>
        <w:tab/>
        <w:t xml:space="preserve">The amendments made by the </w:t>
      </w:r>
      <w:r>
        <w:rPr>
          <w:i/>
        </w:rPr>
        <w:t>Duties Amendment Act 2022</w:t>
      </w:r>
      <w:r>
        <w:t xml:space="preserve"> Part 3 apply in relation to the imposition of duty on transactions or acquisitions that occur on or after 1 July 2022.</w:t>
      </w:r>
    </w:p>
    <w:p>
      <w:pPr>
        <w:pStyle w:val="ySubsection"/>
      </w:pPr>
      <w:r>
        <w:tab/>
        <w:t>(2)</w:t>
      </w:r>
      <w:r>
        <w:tab/>
        <w:t xml:space="preserve">Without limiting subclause (1) — </w:t>
      </w:r>
    </w:p>
    <w:p>
      <w:pPr>
        <w:pStyle w:val="yIndenta"/>
      </w:pPr>
      <w:r>
        <w:tab/>
        <w:t>(a)</w:t>
      </w:r>
      <w:r>
        <w:tab/>
        <w:t>section 91DA(2) applies in relation to the imposition of duty on a transaction referred to in section 91DA(1) that occurs on or after 1 July 2022, whether the other transaction referred to in section 91DA(2) occurs before, on or after that day; and</w:t>
      </w:r>
    </w:p>
    <w:p>
      <w:pPr>
        <w:pStyle w:val="yIndenta"/>
      </w:pPr>
      <w:r>
        <w:tab/>
        <w:t>(b)</w:t>
      </w:r>
      <w:r>
        <w:tab/>
        <w:t>section 91DA(3) applies in relation to the imposition of duty on a transaction referred to in section 91DA(1) that occurs on or after 1 July 2022, whether the acquisition or agreement referred to in section 91DA(3) occurs before, on or after 1 July 2022.</w:t>
      </w:r>
    </w:p>
    <w:p>
      <w:pPr>
        <w:pStyle w:val="yFootnotesection"/>
      </w:pPr>
      <w:r>
        <w:tab/>
        <w:t>[Clause 58 inserted: No. 16 of 2022 s. 26.]</w:t>
      </w:r>
    </w:p>
    <w:p>
      <w:pPr>
        <w:pStyle w:val="yHeading5"/>
      </w:pPr>
      <w:bookmarkStart w:id="1989" w:name="_Toc161401674"/>
      <w:bookmarkStart w:id="1990" w:name="_Toc154754158"/>
      <w:r>
        <w:rPr>
          <w:rStyle w:val="CharSClsNo"/>
        </w:rPr>
        <w:t>59</w:t>
      </w:r>
      <w:r>
        <w:t>.</w:t>
      </w:r>
      <w:r>
        <w:tab/>
        <w:t>Provisions relating to residential concession</w:t>
      </w:r>
      <w:bookmarkEnd w:id="1989"/>
      <w:bookmarkEnd w:id="1990"/>
    </w:p>
    <w:p>
      <w:pPr>
        <w:pStyle w:val="ySubsection"/>
        <w:keepNext/>
      </w:pPr>
      <w:r>
        <w:tab/>
        <w:t>(1)</w:t>
      </w:r>
      <w:r>
        <w:tab/>
        <w:t xml:space="preserve">In this clause — </w:t>
      </w:r>
    </w:p>
    <w:p>
      <w:pPr>
        <w:pStyle w:val="yDefstart"/>
      </w:pPr>
      <w:r>
        <w:tab/>
      </w:r>
      <w:r>
        <w:rPr>
          <w:rStyle w:val="CharDefText"/>
        </w:rPr>
        <w:t>former Chapter 2 Part 6 Division 4A</w:t>
      </w:r>
      <w:r>
        <w:t xml:space="preserve"> means Chapter 2 Part 6 Division 4A as in force before its repeal by the </w:t>
      </w:r>
      <w:r>
        <w:rPr>
          <w:i/>
        </w:rPr>
        <w:t xml:space="preserve">Duties Amendment Act 2022 </w:t>
      </w:r>
      <w:r>
        <w:t>section 21.</w:t>
      </w:r>
    </w:p>
    <w:p>
      <w:pPr>
        <w:pStyle w:val="ySubsection"/>
      </w:pPr>
      <w:r>
        <w:tab/>
        <w:t>(2)</w:t>
      </w:r>
      <w:r>
        <w:tab/>
        <w:t xml:space="preserve">Despite the repeal of former Chapter 2 Part 6 Division 4A by the </w:t>
      </w:r>
      <w:r>
        <w:rPr>
          <w:i/>
        </w:rPr>
        <w:t xml:space="preserve">Duties Amendment Act 2022 </w:t>
      </w:r>
      <w:r>
        <w:t xml:space="preserve">section 21 — </w:t>
      </w:r>
    </w:p>
    <w:p>
      <w:pPr>
        <w:pStyle w:val="yIndenta"/>
      </w:pPr>
      <w:r>
        <w:tab/>
        <w:t>(a)</w:t>
      </w:r>
      <w:r>
        <w:tab/>
        <w:t xml:space="preserve">sections 147F and 147G, as in force immediately before 1 July 2022, continue to apply on and after 1 July 2022 to a dutiable transaction that — </w:t>
      </w:r>
    </w:p>
    <w:p>
      <w:pPr>
        <w:pStyle w:val="yIndenti0"/>
      </w:pPr>
      <w:r>
        <w:tab/>
        <w:t>(i)</w:t>
      </w:r>
      <w:r>
        <w:tab/>
        <w:t>occurred before 1 July 2022; and</w:t>
      </w:r>
    </w:p>
    <w:p>
      <w:pPr>
        <w:pStyle w:val="yIndenti0"/>
      </w:pPr>
      <w:r>
        <w:tab/>
        <w:t>(ii)</w:t>
      </w:r>
      <w:r>
        <w:tab/>
        <w:t>was an eligible transaction for the purposes of former Chapter 2 Part 6 Division 4A;</w:t>
      </w:r>
    </w:p>
    <w:p>
      <w:pPr>
        <w:pStyle w:val="yIndenta"/>
      </w:pPr>
      <w:r>
        <w:tab/>
      </w:r>
      <w:r>
        <w:tab/>
        <w:t>and</w:t>
      </w:r>
    </w:p>
    <w:p>
      <w:pPr>
        <w:pStyle w:val="yIndenta"/>
      </w:pPr>
      <w:r>
        <w:tab/>
        <w:t>(b)</w:t>
      </w:r>
      <w:r>
        <w:tab/>
        <w:t>any reassessment made under section 147F, as it applies under paragraph (a), must be made at the applicable concessional rate of duty that applied when the transaction occurred.</w:t>
      </w:r>
    </w:p>
    <w:p>
      <w:pPr>
        <w:pStyle w:val="ySubsection"/>
      </w:pPr>
      <w:r>
        <w:tab/>
        <w:t>(3)</w:t>
      </w:r>
      <w:r>
        <w:tab/>
        <w:t xml:space="preserve">If, immediately before 1 July 2022, a transaction that occurred before that day was both a concessional transaction for the purposes of section 147 and a concessional transaction for the purposes of former Chapter 2 Part 6 Division 4A, then on and after that day — </w:t>
      </w:r>
    </w:p>
    <w:p>
      <w:pPr>
        <w:pStyle w:val="yIndenta"/>
      </w:pPr>
      <w:r>
        <w:tab/>
        <w:t>(a)</w:t>
      </w:r>
      <w:r>
        <w:tab/>
        <w:t>the taxpayer may elect for the transaction to be assessed or reassessed under Chapter 2 Part 6 Division 4 or former Chapter 2 Part 6 Division 4A; and</w:t>
      </w:r>
    </w:p>
    <w:p>
      <w:pPr>
        <w:pStyle w:val="yIndenta"/>
      </w:pPr>
      <w:r>
        <w:tab/>
        <w:t>(b)</w:t>
      </w:r>
      <w:r>
        <w:tab/>
        <w:t>the Commissioner may, with the consent or at the request of the taxpayer, treat an application for assessment or reassessment under one of those Divisions as an application for assessment or reassessment under the other Division.</w:t>
      </w:r>
    </w:p>
    <w:p>
      <w:pPr>
        <w:pStyle w:val="ySubsection"/>
      </w:pPr>
      <w:r>
        <w:tab/>
        <w:t>(4)</w:t>
      </w:r>
      <w:r>
        <w:tab/>
        <w:t xml:space="preserve">Subclauses (2) and (3) do not limit the effect of clause 58(1) or the </w:t>
      </w:r>
      <w:r>
        <w:rPr>
          <w:i/>
        </w:rPr>
        <w:t>Interpretation Act 1984</w:t>
      </w:r>
      <w:r>
        <w:t xml:space="preserve"> section 37.</w:t>
      </w:r>
    </w:p>
    <w:p>
      <w:pPr>
        <w:pStyle w:val="yFootnotesection"/>
      </w:pPr>
      <w:r>
        <w:tab/>
        <w:t>[Clause 59 inserted: No. 16 of 2022 s. 26.]</w:t>
      </w:r>
    </w:p>
    <w:p>
      <w:pPr>
        <w:pStyle w:val="yHeading3"/>
      </w:pPr>
      <w:bookmarkStart w:id="1991" w:name="_Toc161401017"/>
      <w:bookmarkStart w:id="1992" w:name="_Toc161401675"/>
      <w:bookmarkStart w:id="1993" w:name="_Toc154754159"/>
      <w:r>
        <w:rPr>
          <w:rStyle w:val="CharSDivNo"/>
        </w:rPr>
        <w:t>Division 11</w:t>
      </w:r>
      <w:r>
        <w:rPr>
          <w:b w:val="0"/>
        </w:rPr>
        <w:t> — </w:t>
      </w:r>
      <w:r>
        <w:rPr>
          <w:rStyle w:val="CharSDivText"/>
        </w:rPr>
        <w:t xml:space="preserve">Provisions for </w:t>
      </w:r>
      <w:r>
        <w:rPr>
          <w:rStyle w:val="CharSDivText"/>
          <w:i/>
        </w:rPr>
        <w:t>Duties Amendment (Farm in Agreements) Act 2022</w:t>
      </w:r>
      <w:bookmarkEnd w:id="1991"/>
      <w:bookmarkEnd w:id="1992"/>
      <w:bookmarkEnd w:id="1993"/>
    </w:p>
    <w:p>
      <w:pPr>
        <w:pStyle w:val="yFootnoteheading"/>
        <w:keepNext/>
      </w:pPr>
      <w:r>
        <w:tab/>
        <w:t>[Heading inserted: No. 37 of 2022 s. 14.]</w:t>
      </w:r>
    </w:p>
    <w:p>
      <w:pPr>
        <w:pStyle w:val="yHeading4"/>
      </w:pPr>
      <w:bookmarkStart w:id="1994" w:name="_Toc161401018"/>
      <w:bookmarkStart w:id="1995" w:name="_Toc161401676"/>
      <w:bookmarkStart w:id="1996" w:name="_Toc154754160"/>
      <w:r>
        <w:t>Subdivision 1</w:t>
      </w:r>
      <w:r>
        <w:rPr>
          <w:b w:val="0"/>
        </w:rPr>
        <w:t> — </w:t>
      </w:r>
      <w:r>
        <w:t>Preliminary</w:t>
      </w:r>
      <w:bookmarkEnd w:id="1994"/>
      <w:bookmarkEnd w:id="1995"/>
      <w:bookmarkEnd w:id="1996"/>
    </w:p>
    <w:p>
      <w:pPr>
        <w:pStyle w:val="yFootnoteheading"/>
        <w:keepNext/>
      </w:pPr>
      <w:r>
        <w:tab/>
        <w:t>[Heading inserted: No. 37 of 2022 s. 14.]</w:t>
      </w:r>
    </w:p>
    <w:p>
      <w:pPr>
        <w:pStyle w:val="yHeading5"/>
      </w:pPr>
      <w:bookmarkStart w:id="1997" w:name="_Toc161401677"/>
      <w:bookmarkStart w:id="1998" w:name="_Toc154754161"/>
      <w:r>
        <w:rPr>
          <w:rStyle w:val="CharSClsNo"/>
        </w:rPr>
        <w:t>60</w:t>
      </w:r>
      <w:r>
        <w:t>.</w:t>
      </w:r>
      <w:r>
        <w:tab/>
        <w:t>Terms used</w:t>
      </w:r>
      <w:bookmarkEnd w:id="1997"/>
      <w:bookmarkEnd w:id="1998"/>
    </w:p>
    <w:p>
      <w:pPr>
        <w:pStyle w:val="ySubsection"/>
      </w:pPr>
      <w:r>
        <w:tab/>
        <w:t>(1)</w:t>
      </w:r>
      <w:r>
        <w:tab/>
        <w:t xml:space="preserve">In this Division — </w:t>
      </w:r>
    </w:p>
    <w:p>
      <w:pPr>
        <w:pStyle w:val="yDefstart"/>
      </w:pPr>
      <w:r>
        <w:tab/>
      </w:r>
      <w:r>
        <w:rPr>
          <w:rStyle w:val="CharDefText"/>
        </w:rPr>
        <w:t>actual section 13 farm</w:t>
      </w:r>
      <w:r>
        <w:rPr>
          <w:rStyle w:val="CharDefText"/>
        </w:rPr>
        <w:noBreakHyphen/>
        <w:t>in agreement</w:t>
      </w:r>
      <w:r>
        <w:t xml:space="preserve"> means an agreement made during the first pre</w:t>
      </w:r>
      <w:r>
        <w:noBreakHyphen/>
        <w:t>amendment period that is, apart from clause 64(2), a farm</w:t>
      </w:r>
      <w:r>
        <w:noBreakHyphen/>
        <w:t>in agreement under section 13;</w:t>
      </w:r>
    </w:p>
    <w:p>
      <w:pPr>
        <w:pStyle w:val="yDefstart"/>
      </w:pPr>
      <w:r>
        <w:tab/>
      </w:r>
      <w:r>
        <w:rPr>
          <w:rStyle w:val="CharDefText"/>
        </w:rPr>
        <w:t>amending Act</w:t>
      </w:r>
      <w:r>
        <w:t xml:space="preserve"> means the </w:t>
      </w:r>
      <w:r>
        <w:rPr>
          <w:i/>
        </w:rPr>
        <w:t>Duties Amendment (Farm</w:t>
      </w:r>
      <w:r>
        <w:rPr>
          <w:i/>
        </w:rPr>
        <w:noBreakHyphen/>
        <w:t>in Agreements) Act 2022</w:t>
      </w:r>
      <w:r>
        <w:t>;</w:t>
      </w:r>
    </w:p>
    <w:p>
      <w:pPr>
        <w:pStyle w:val="yDefstart"/>
      </w:pPr>
      <w:r>
        <w:tab/>
      </w:r>
      <w:r>
        <w:rPr>
          <w:rStyle w:val="CharDefText"/>
        </w:rPr>
        <w:t>amendment day</w:t>
      </w:r>
      <w:r>
        <w:t xml:space="preserve"> means the day on which section 14 of the amending Act comes into operation;</w:t>
      </w:r>
    </w:p>
    <w:p>
      <w:pPr>
        <w:pStyle w:val="yDefstart"/>
      </w:pPr>
      <w:r>
        <w:tab/>
      </w:r>
      <w:r>
        <w:rPr>
          <w:rStyle w:val="CharDefText"/>
        </w:rPr>
        <w:t>deemed section 13 farm</w:t>
      </w:r>
      <w:r>
        <w:rPr>
          <w:rStyle w:val="CharDefText"/>
        </w:rPr>
        <w:noBreakHyphen/>
        <w:t>in agreement</w:t>
      </w:r>
      <w:r>
        <w:t xml:space="preserve">, subject to clause 65(7) and (8), means an agreement — </w:t>
      </w:r>
    </w:p>
    <w:p>
      <w:pPr>
        <w:pStyle w:val="yDefpara"/>
      </w:pPr>
      <w:r>
        <w:tab/>
        <w:t>(a)</w:t>
      </w:r>
      <w:r>
        <w:tab/>
        <w:t>that is taken under clause 64(2) to be a farm</w:t>
      </w:r>
      <w:r>
        <w:noBreakHyphen/>
        <w:t>in agreement under section 13; or</w:t>
      </w:r>
    </w:p>
    <w:p>
      <w:pPr>
        <w:pStyle w:val="yDefpara"/>
      </w:pPr>
      <w:r>
        <w:tab/>
        <w:t>(b)</w:t>
      </w:r>
      <w:r>
        <w:tab/>
        <w:t>that is a deemed section 13 farm</w:t>
      </w:r>
      <w:r>
        <w:noBreakHyphen/>
        <w:t>in agreement under clause 65(2)(b);</w:t>
      </w:r>
    </w:p>
    <w:p>
      <w:pPr>
        <w:pStyle w:val="yDefstart"/>
      </w:pPr>
      <w:r>
        <w:tab/>
      </w:r>
      <w:r>
        <w:rPr>
          <w:rStyle w:val="CharDefText"/>
        </w:rPr>
        <w:t>first pre</w:t>
      </w:r>
      <w:r>
        <w:rPr>
          <w:rStyle w:val="CharDefText"/>
        </w:rPr>
        <w:noBreakHyphen/>
        <w:t>amendment period</w:t>
      </w:r>
      <w:r>
        <w:t xml:space="preserve"> means the period beginning on 1 July 2008 and ending on the day before amendment day;</w:t>
      </w:r>
    </w:p>
    <w:p>
      <w:pPr>
        <w:pStyle w:val="yDefstart"/>
      </w:pPr>
      <w:r>
        <w:tab/>
      </w:r>
      <w:r>
        <w:rPr>
          <w:rStyle w:val="CharDefText"/>
        </w:rPr>
        <w:t>second pre</w:t>
      </w:r>
      <w:r>
        <w:rPr>
          <w:rStyle w:val="CharDefText"/>
        </w:rPr>
        <w:noBreakHyphen/>
        <w:t>amendment period</w:t>
      </w:r>
      <w:r>
        <w:t xml:space="preserve"> means the period beginning on 28 November 2018 and ending on the day before amendment day;</w:t>
      </w:r>
    </w:p>
    <w:p>
      <w:pPr>
        <w:pStyle w:val="yDefstart"/>
      </w:pPr>
      <w:r>
        <w:tab/>
      </w:r>
      <w:r>
        <w:rPr>
          <w:rStyle w:val="CharDefText"/>
        </w:rPr>
        <w:t>section 13</w:t>
      </w:r>
      <w:r>
        <w:t xml:space="preserve"> means section 13 as in force from time to time before amendment day and as modified under Subdivision 5;</w:t>
      </w:r>
    </w:p>
    <w:p>
      <w:pPr>
        <w:pStyle w:val="yDefstart"/>
      </w:pPr>
      <w:r>
        <w:tab/>
      </w:r>
      <w:r>
        <w:rPr>
          <w:rStyle w:val="CharDefText"/>
        </w:rPr>
        <w:t>section 13 exploration amount</w:t>
      </w:r>
      <w:r>
        <w:t xml:space="preserve"> — </w:t>
      </w:r>
    </w:p>
    <w:p>
      <w:pPr>
        <w:pStyle w:val="yDefpara"/>
      </w:pPr>
      <w:r>
        <w:tab/>
        <w:t>(a)</w:t>
      </w:r>
      <w:r>
        <w:tab/>
        <w:t>in relation to an actual section 13 farm</w:t>
      </w:r>
      <w:r>
        <w:noBreakHyphen/>
        <w:t>in agreement, means the exploration amount for the agreement as defined in subsection (2) of section 13; and</w:t>
      </w:r>
    </w:p>
    <w:p>
      <w:pPr>
        <w:pStyle w:val="yDefpara"/>
        <w:keepNext/>
      </w:pPr>
      <w:r>
        <w:tab/>
        <w:t>(b)</w:t>
      </w:r>
      <w:r>
        <w:tab/>
        <w:t>in relation to a deemed section 13 farm</w:t>
      </w:r>
      <w:r>
        <w:noBreakHyphen/>
        <w:t>in agreement, means the exploration amount for the agreement as defined in section 91N(5), subject to section 91N(6);</w:t>
      </w:r>
    </w:p>
    <w:p>
      <w:pPr>
        <w:pStyle w:val="yDefstart"/>
      </w:pPr>
      <w:r>
        <w:tab/>
      </w:r>
      <w:r>
        <w:rPr>
          <w:rStyle w:val="CharDefText"/>
        </w:rPr>
        <w:t>section 13 exploration requirement</w:t>
      </w:r>
      <w:r>
        <w:t xml:space="preserve"> — </w:t>
      </w:r>
    </w:p>
    <w:p>
      <w:pPr>
        <w:pStyle w:val="yDefpara"/>
      </w:pPr>
      <w:r>
        <w:tab/>
        <w:t>(a)</w:t>
      </w:r>
      <w:r>
        <w:tab/>
        <w:t>in relation to an actual section 13 farm</w:t>
      </w:r>
      <w:r>
        <w:noBreakHyphen/>
        <w:t>in agreement, means the requirement to expend the section 13 exploration amount; and</w:t>
      </w:r>
    </w:p>
    <w:p>
      <w:pPr>
        <w:pStyle w:val="yDefpara"/>
      </w:pPr>
      <w:r>
        <w:tab/>
        <w:t>(b)</w:t>
      </w:r>
      <w:r>
        <w:tab/>
        <w:t>in relation to a deemed section 13 farm</w:t>
      </w:r>
      <w:r>
        <w:noBreakHyphen/>
        <w:t>in agreement, means the exploration requirement for the agreement as defined in section 91N(1) to (4), subject to section 91N(6);</w:t>
      </w:r>
    </w:p>
    <w:p>
      <w:pPr>
        <w:pStyle w:val="yDefstart"/>
      </w:pPr>
      <w:r>
        <w:tab/>
      </w:r>
      <w:r>
        <w:rPr>
          <w:rStyle w:val="CharDefText"/>
        </w:rPr>
        <w:t>section 13 farm</w:t>
      </w:r>
      <w:r>
        <w:rPr>
          <w:rStyle w:val="CharDefText"/>
        </w:rPr>
        <w:noBreakHyphen/>
        <w:t>in agreement</w:t>
      </w:r>
      <w:r>
        <w:t xml:space="preserve"> means an actual section 13 farm</w:t>
      </w:r>
      <w:r>
        <w:noBreakHyphen/>
        <w:t>in agreement or a deemed section 13 farm</w:t>
      </w:r>
      <w:r>
        <w:noBreakHyphen/>
        <w:t>in agreement;</w:t>
      </w:r>
    </w:p>
    <w:p>
      <w:pPr>
        <w:pStyle w:val="yDefstart"/>
      </w:pPr>
      <w:r>
        <w:tab/>
      </w:r>
      <w:r>
        <w:rPr>
          <w:rStyle w:val="CharDefText"/>
        </w:rPr>
        <w:t>section 42(15)</w:t>
      </w:r>
      <w:r>
        <w:t xml:space="preserve"> means section 42(15) as in force from time to time before amendment day.</w:t>
      </w:r>
    </w:p>
    <w:p>
      <w:pPr>
        <w:pStyle w:val="ySubsection"/>
      </w:pPr>
      <w:r>
        <w:tab/>
        <w:t>(2)</w:t>
      </w:r>
      <w:r>
        <w:tab/>
        <w:t>If a term used in this Division is given a meaning in section 91K, it has the same meaning in this Division (unless otherwise indicated).</w:t>
      </w:r>
    </w:p>
    <w:p>
      <w:pPr>
        <w:pStyle w:val="ySubsection"/>
      </w:pPr>
      <w:r>
        <w:tab/>
        <w:t>(3)</w:t>
      </w:r>
      <w:r>
        <w:tab/>
        <w:t>If a provision of this Division listed in subclause (4) refers to a provision of Chapter 2 Part 5 Division 9, the provision of Chapter 2 Part 5 Division 9 applies, for the purposes of the provision of this Division, in relation to a deemed section 13 farm</w:t>
      </w:r>
      <w:r>
        <w:noBreakHyphen/>
        <w:t xml:space="preserve">in agreement — </w:t>
      </w:r>
    </w:p>
    <w:p>
      <w:pPr>
        <w:pStyle w:val="yIndenta"/>
      </w:pPr>
      <w:r>
        <w:tab/>
        <w:t>(a)</w:t>
      </w:r>
      <w:r>
        <w:tab/>
        <w:t>as it applies in relation to a farm</w:t>
      </w:r>
      <w:r>
        <w:noBreakHyphen/>
        <w:t>in transaction; and</w:t>
      </w:r>
    </w:p>
    <w:p>
      <w:pPr>
        <w:pStyle w:val="yIndenta"/>
      </w:pPr>
      <w:r>
        <w:tab/>
        <w:t>(b)</w:t>
      </w:r>
      <w:r>
        <w:tab/>
        <w:t>with any necessary modifications.</w:t>
      </w:r>
    </w:p>
    <w:p>
      <w:pPr>
        <w:pStyle w:val="ySubsection"/>
      </w:pPr>
      <w:r>
        <w:tab/>
        <w:t>(4)</w:t>
      </w:r>
      <w:r>
        <w:tab/>
        <w:t xml:space="preserve">The provisions of this Division are as follows — </w:t>
      </w:r>
    </w:p>
    <w:p>
      <w:pPr>
        <w:pStyle w:val="yIndenta"/>
      </w:pPr>
      <w:r>
        <w:tab/>
        <w:t>(a)</w:t>
      </w:r>
      <w:r>
        <w:tab/>
        <w:t xml:space="preserve">paragraph (b) of the definition of </w:t>
      </w:r>
      <w:r>
        <w:rPr>
          <w:b/>
          <w:i/>
        </w:rPr>
        <w:t>section 13 exploration amount</w:t>
      </w:r>
      <w:r>
        <w:t xml:space="preserve"> in subclause (1);</w:t>
      </w:r>
    </w:p>
    <w:p>
      <w:pPr>
        <w:pStyle w:val="yIndenta"/>
      </w:pPr>
      <w:r>
        <w:tab/>
        <w:t>(b)</w:t>
      </w:r>
      <w:r>
        <w:tab/>
        <w:t xml:space="preserve">paragraph (b) of the definition of </w:t>
      </w:r>
      <w:r>
        <w:rPr>
          <w:b/>
          <w:i/>
        </w:rPr>
        <w:t>section 13 exploration requirement</w:t>
      </w:r>
      <w:r>
        <w:t xml:space="preserve"> in subclause (1);</w:t>
      </w:r>
    </w:p>
    <w:p>
      <w:pPr>
        <w:pStyle w:val="yIndenta"/>
      </w:pPr>
      <w:r>
        <w:tab/>
        <w:t>(c)</w:t>
      </w:r>
      <w:r>
        <w:tab/>
        <w:t>clause 62(a);</w:t>
      </w:r>
    </w:p>
    <w:p>
      <w:pPr>
        <w:pStyle w:val="yIndenta"/>
      </w:pPr>
      <w:r>
        <w:tab/>
        <w:t>(d)</w:t>
      </w:r>
      <w:r>
        <w:tab/>
        <w:t>clause 69;</w:t>
      </w:r>
    </w:p>
    <w:p>
      <w:pPr>
        <w:pStyle w:val="yIndenta"/>
      </w:pPr>
      <w:r>
        <w:tab/>
        <w:t>(e)</w:t>
      </w:r>
      <w:r>
        <w:tab/>
        <w:t>clause 71(4)(b);</w:t>
      </w:r>
    </w:p>
    <w:p>
      <w:pPr>
        <w:pStyle w:val="yIndenta"/>
      </w:pPr>
      <w:r>
        <w:tab/>
        <w:t>(f)</w:t>
      </w:r>
      <w:r>
        <w:tab/>
        <w:t xml:space="preserve">paragraph (b) of the definition of </w:t>
      </w:r>
      <w:r>
        <w:rPr>
          <w:b/>
          <w:i/>
        </w:rPr>
        <w:t>replacement mining tenement</w:t>
      </w:r>
      <w:r>
        <w:t xml:space="preserve"> in clause 73(1);</w:t>
      </w:r>
    </w:p>
    <w:p>
      <w:pPr>
        <w:pStyle w:val="yIndenta"/>
        <w:keepNext/>
      </w:pPr>
      <w:r>
        <w:tab/>
        <w:t>(g)</w:t>
      </w:r>
      <w:r>
        <w:tab/>
        <w:t xml:space="preserve">paragraph (b) of the definition of </w:t>
      </w:r>
      <w:r>
        <w:rPr>
          <w:b/>
          <w:i/>
        </w:rPr>
        <w:t>replacement derivative mining right</w:t>
      </w:r>
      <w:r>
        <w:t xml:space="preserve"> in clause 74(1).</w:t>
      </w:r>
    </w:p>
    <w:p>
      <w:pPr>
        <w:pStyle w:val="yFootnotesection"/>
      </w:pPr>
      <w:r>
        <w:tab/>
        <w:t>[Clause 60 inserted: No. 37 of 2022 s. 14.]</w:t>
      </w:r>
    </w:p>
    <w:p>
      <w:pPr>
        <w:pStyle w:val="yHeading5"/>
      </w:pPr>
      <w:bookmarkStart w:id="1999" w:name="_Toc161401678"/>
      <w:bookmarkStart w:id="2000" w:name="_Toc154754162"/>
      <w:r>
        <w:rPr>
          <w:rStyle w:val="CharSClsNo"/>
        </w:rPr>
        <w:t>61</w:t>
      </w:r>
      <w:r>
        <w:t>.</w:t>
      </w:r>
      <w:r>
        <w:tab/>
        <w:t>Assessments</w:t>
      </w:r>
      <w:bookmarkEnd w:id="1999"/>
      <w:bookmarkEnd w:id="2000"/>
    </w:p>
    <w:p>
      <w:pPr>
        <w:pStyle w:val="ySubsection"/>
      </w:pPr>
      <w:r>
        <w:tab/>
        <w:t>(1)</w:t>
      </w:r>
      <w:r>
        <w:tab/>
        <w:t xml:space="preserve">In this clause — </w:t>
      </w:r>
    </w:p>
    <w:p>
      <w:pPr>
        <w:pStyle w:val="yDefstart"/>
      </w:pPr>
      <w:r>
        <w:tab/>
      </w:r>
      <w:r>
        <w:rPr>
          <w:rStyle w:val="CharDefText"/>
        </w:rPr>
        <w:t>made</w:t>
      </w:r>
      <w:r>
        <w:t>, in relation to an assessment, includes purportedly made;</w:t>
      </w:r>
    </w:p>
    <w:p>
      <w:pPr>
        <w:pStyle w:val="yDefstart"/>
      </w:pPr>
      <w:r>
        <w:tab/>
      </w:r>
      <w:r>
        <w:rPr>
          <w:rStyle w:val="CharDefText"/>
        </w:rPr>
        <w:t>relevant provision</w:t>
      </w:r>
      <w:r>
        <w:t xml:space="preserve"> means clause 64(2), 67(1), 68(1), 69, 70(2), 71(2), 72(1), 73(2) or (5) or 74(3).</w:t>
      </w:r>
    </w:p>
    <w:p>
      <w:pPr>
        <w:pStyle w:val="ySubsection"/>
      </w:pPr>
      <w:r>
        <w:tab/>
        <w:t>(2)</w:t>
      </w:r>
      <w:r>
        <w:tab/>
        <w:t xml:space="preserve">Subclause (3) applies to an assessment of duty chargeable under this Act that — </w:t>
      </w:r>
    </w:p>
    <w:p>
      <w:pPr>
        <w:pStyle w:val="yIndenta"/>
      </w:pPr>
      <w:r>
        <w:tab/>
        <w:t>(a)</w:t>
      </w:r>
      <w:r>
        <w:tab/>
        <w:t>is made before amendment day; and</w:t>
      </w:r>
    </w:p>
    <w:p>
      <w:pPr>
        <w:pStyle w:val="yIndenta"/>
      </w:pPr>
      <w:r>
        <w:tab/>
        <w:t>(b)</w:t>
      </w:r>
      <w:r>
        <w:tab/>
        <w:t>accords with a relevant provision.</w:t>
      </w:r>
    </w:p>
    <w:p>
      <w:pPr>
        <w:pStyle w:val="ySubsection"/>
      </w:pPr>
      <w:r>
        <w:tab/>
        <w:t>(3)</w:t>
      </w:r>
      <w:r>
        <w:tab/>
        <w:t>Without limiting the relevant provision, the assessment is, and is taken always to have been, valid and effective so far as it accords with the relevant provision.</w:t>
      </w:r>
    </w:p>
    <w:p>
      <w:pPr>
        <w:pStyle w:val="ySubsection"/>
      </w:pPr>
      <w:r>
        <w:tab/>
        <w:t>(4)</w:t>
      </w:r>
      <w:r>
        <w:tab/>
        <w:t xml:space="preserve">Subclause (5) applies in relation to an assessment of duty chargeable under this Act that — </w:t>
      </w:r>
    </w:p>
    <w:p>
      <w:pPr>
        <w:pStyle w:val="yIndenta"/>
      </w:pPr>
      <w:r>
        <w:tab/>
        <w:t>(a)</w:t>
      </w:r>
      <w:r>
        <w:tab/>
        <w:t>is made before amendment day; and</w:t>
      </w:r>
    </w:p>
    <w:p>
      <w:pPr>
        <w:pStyle w:val="yIndenta"/>
      </w:pPr>
      <w:r>
        <w:tab/>
        <w:t>(b)</w:t>
      </w:r>
      <w:r>
        <w:tab/>
        <w:t>does not accord with a relevant provision.</w:t>
      </w:r>
    </w:p>
    <w:p>
      <w:pPr>
        <w:pStyle w:val="ySubsection"/>
      </w:pPr>
      <w:r>
        <w:tab/>
        <w:t>(5)</w:t>
      </w:r>
      <w:r>
        <w:tab/>
        <w:t xml:space="preserve">In order to give effect to the relevant provision, the Commissioner may make a reassessment of the duty chargeable — </w:t>
      </w:r>
    </w:p>
    <w:p>
      <w:pPr>
        <w:pStyle w:val="yIndenta"/>
      </w:pPr>
      <w:r>
        <w:tab/>
        <w:t>(a)</w:t>
      </w:r>
      <w:r>
        <w:tab/>
        <w:t xml:space="preserve">on the Commissioner’s own initiative; or </w:t>
      </w:r>
    </w:p>
    <w:p>
      <w:pPr>
        <w:pStyle w:val="yIndenta"/>
      </w:pPr>
      <w:r>
        <w:tab/>
        <w:t>(b)</w:t>
      </w:r>
      <w:r>
        <w:tab/>
        <w:t>on the application of the taxpayer.</w:t>
      </w:r>
    </w:p>
    <w:p>
      <w:pPr>
        <w:pStyle w:val="ySubsection"/>
      </w:pPr>
      <w:r>
        <w:tab/>
        <w:t>(6)</w:t>
      </w:r>
      <w:r>
        <w:tab/>
        <w:t xml:space="preserve">For the purposes of a reassessment under subclause (5), the Taxation Administration Act section 17 applies as if — </w:t>
      </w:r>
    </w:p>
    <w:p>
      <w:pPr>
        <w:pStyle w:val="yIndenta"/>
      </w:pPr>
      <w:r>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keepNext/>
      </w:pPr>
      <w:r>
        <w:tab/>
        <w:t>(ii)</w:t>
      </w:r>
      <w:r>
        <w:tab/>
        <w:t>12 months after amendment day;</w:t>
      </w:r>
    </w:p>
    <w:p>
      <w:pPr>
        <w:pStyle w:val="yIndenta"/>
        <w:keepNext/>
      </w:pPr>
      <w:r>
        <w:tab/>
      </w:r>
      <w:r>
        <w:tab/>
        <w:t>and</w:t>
      </w:r>
    </w:p>
    <w:p>
      <w:pPr>
        <w:pStyle w:val="yIndenta"/>
        <w:keepNext/>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amendment day.</w:t>
      </w:r>
    </w:p>
    <w:p>
      <w:pPr>
        <w:pStyle w:val="yFootnotesection"/>
      </w:pPr>
      <w:r>
        <w:tab/>
        <w:t>[Clause 61 inserted: No. 37 of 2022 s. 14.]</w:t>
      </w:r>
    </w:p>
    <w:p>
      <w:pPr>
        <w:pStyle w:val="yHeading4"/>
      </w:pPr>
      <w:bookmarkStart w:id="2001" w:name="_Toc161401021"/>
      <w:bookmarkStart w:id="2002" w:name="_Toc161401679"/>
      <w:bookmarkStart w:id="2003" w:name="_Toc154754163"/>
      <w:r>
        <w:t>Subdivision 2</w:t>
      </w:r>
      <w:r>
        <w:rPr>
          <w:b w:val="0"/>
        </w:rPr>
        <w:t> — </w:t>
      </w:r>
      <w:r>
        <w:t>Provisions relating to Chapter 2 Part 5 Division 9</w:t>
      </w:r>
      <w:bookmarkEnd w:id="2001"/>
      <w:bookmarkEnd w:id="2002"/>
      <w:bookmarkEnd w:id="2003"/>
    </w:p>
    <w:p>
      <w:pPr>
        <w:pStyle w:val="yFootnoteheading"/>
        <w:keepNext/>
      </w:pPr>
      <w:r>
        <w:tab/>
        <w:t>[Heading inserted: No. 37 of 2022 s. 14.]</w:t>
      </w:r>
    </w:p>
    <w:p>
      <w:pPr>
        <w:pStyle w:val="yHeading5"/>
      </w:pPr>
      <w:bookmarkStart w:id="2004" w:name="_Toc161401680"/>
      <w:bookmarkStart w:id="2005" w:name="_Toc154754164"/>
      <w:r>
        <w:rPr>
          <w:rStyle w:val="CharSClsNo"/>
        </w:rPr>
        <w:t>62</w:t>
      </w:r>
      <w:r>
        <w:t>.</w:t>
      </w:r>
      <w:r>
        <w:tab/>
        <w:t>Application of section 91K(2)</w:t>
      </w:r>
      <w:bookmarkEnd w:id="2004"/>
      <w:bookmarkEnd w:id="2005"/>
    </w:p>
    <w:p>
      <w:pPr>
        <w:pStyle w:val="ySubsection"/>
      </w:pPr>
      <w:r>
        <w:tab/>
      </w:r>
      <w:r>
        <w:tab/>
        <w:t xml:space="preserve">For the purposes of paragraph (b)(iv) of the definition of </w:t>
      </w:r>
      <w:r>
        <w:rPr>
          <w:b/>
          <w:i/>
        </w:rPr>
        <w:t>primary farmor</w:t>
      </w:r>
      <w:r>
        <w:t xml:space="preserve"> in section 91K(1), section 91K(2) also applies to a transfer if the transfer is made to the transferee — </w:t>
      </w:r>
    </w:p>
    <w:p>
      <w:pPr>
        <w:pStyle w:val="yIndenta"/>
      </w:pPr>
      <w:r>
        <w:tab/>
        <w:t>(a)</w:t>
      </w:r>
      <w:r>
        <w:tab/>
        <w:t>under an actual section 13 farm</w:t>
      </w:r>
      <w:r>
        <w:noBreakHyphen/>
        <w:t>in agreement as contemplated in subsection (1)(c) and (d) of section 13 or under a deemed section 13 farm</w:t>
      </w:r>
      <w:r>
        <w:noBreakHyphen/>
        <w:t>in agreement as contemplated in section 91M(1)(c)(i); and</w:t>
      </w:r>
    </w:p>
    <w:p>
      <w:pPr>
        <w:pStyle w:val="yIndenta"/>
      </w:pPr>
      <w:r>
        <w:tab/>
        <w:t>(b)</w:t>
      </w:r>
      <w:r>
        <w:tab/>
        <w:t>without limiting paragraph (a), after the transferee has fulfilled the section 13 exploration requirement.</w:t>
      </w:r>
    </w:p>
    <w:p>
      <w:pPr>
        <w:pStyle w:val="yFootnotesection"/>
      </w:pPr>
      <w:r>
        <w:tab/>
        <w:t>[Clause 62 inserted: No. 37 of 2022 s. 14.]</w:t>
      </w:r>
    </w:p>
    <w:p>
      <w:pPr>
        <w:pStyle w:val="yHeading5"/>
      </w:pPr>
      <w:bookmarkStart w:id="2006" w:name="_Toc161401681"/>
      <w:bookmarkStart w:id="2007" w:name="_Toc154754165"/>
      <w:r>
        <w:rPr>
          <w:rStyle w:val="CharSClsNo"/>
        </w:rPr>
        <w:t>63</w:t>
      </w:r>
      <w:r>
        <w:t>.</w:t>
      </w:r>
      <w:r>
        <w:tab/>
        <w:t>Application of Chapter 2 Part 5 Division 9</w:t>
      </w:r>
      <w:bookmarkEnd w:id="2006"/>
      <w:bookmarkEnd w:id="2007"/>
    </w:p>
    <w:p>
      <w:pPr>
        <w:pStyle w:val="ySubsection"/>
      </w:pPr>
      <w:r>
        <w:tab/>
      </w:r>
      <w:r>
        <w:tab/>
        <w:t>An agreement can be a farm</w:t>
      </w:r>
      <w:r>
        <w:noBreakHyphen/>
        <w:t>in agreement or farm</w:t>
      </w:r>
      <w:r>
        <w:noBreakHyphen/>
        <w:t>in transaction under Chapter 2 Part 5 Division 9 only if the agreement is made on or after amendment day.</w:t>
      </w:r>
    </w:p>
    <w:p>
      <w:pPr>
        <w:pStyle w:val="yFootnotesection"/>
      </w:pPr>
      <w:r>
        <w:tab/>
        <w:t>[Clause 63 inserted: No. 37 of 2022 s. 14.]</w:t>
      </w:r>
    </w:p>
    <w:p>
      <w:pPr>
        <w:pStyle w:val="yHeading4"/>
      </w:pPr>
      <w:bookmarkStart w:id="2008" w:name="_Toc161401024"/>
      <w:bookmarkStart w:id="2009" w:name="_Toc161401682"/>
      <w:bookmarkStart w:id="2010" w:name="_Toc154754166"/>
      <w:r>
        <w:t>Subdivision 3</w:t>
      </w:r>
      <w:r>
        <w:rPr>
          <w:b w:val="0"/>
        </w:rPr>
        <w:t> — </w:t>
      </w:r>
      <w:r>
        <w:t>Deemed section 13 farm</w:t>
      </w:r>
      <w:r>
        <w:noBreakHyphen/>
        <w:t>in agreements</w:t>
      </w:r>
      <w:bookmarkEnd w:id="2008"/>
      <w:bookmarkEnd w:id="2009"/>
      <w:bookmarkEnd w:id="2010"/>
    </w:p>
    <w:p>
      <w:pPr>
        <w:pStyle w:val="yFootnoteheading"/>
        <w:keepNext/>
      </w:pPr>
      <w:r>
        <w:tab/>
        <w:t>[Heading inserted: No. 37 of 2022 s. 14.]</w:t>
      </w:r>
    </w:p>
    <w:p>
      <w:pPr>
        <w:pStyle w:val="yHeading5"/>
      </w:pPr>
      <w:bookmarkStart w:id="2011" w:name="_Toc161401683"/>
      <w:bookmarkStart w:id="2012" w:name="_Toc154754167"/>
      <w:r>
        <w:rPr>
          <w:rStyle w:val="CharSClsNo"/>
        </w:rPr>
        <w:t>64</w:t>
      </w:r>
      <w:r>
        <w:t>.</w:t>
      </w:r>
      <w:r>
        <w:tab/>
        <w:t>Certain agreements taken to be farm</w:t>
      </w:r>
      <w:r>
        <w:noBreakHyphen/>
        <w:t>in agreements under section 13</w:t>
      </w:r>
      <w:bookmarkEnd w:id="2011"/>
      <w:bookmarkEnd w:id="2012"/>
    </w:p>
    <w:p>
      <w:pPr>
        <w:pStyle w:val="ySubsection"/>
      </w:pPr>
      <w:r>
        <w:tab/>
        <w:t>(1)</w:t>
      </w:r>
      <w:r>
        <w:tab/>
        <w:t>Subclause (2) applies to an agreement made during the first pre</w:t>
      </w:r>
      <w:r>
        <w:noBreakHyphen/>
        <w:t xml:space="preserve">amendment period if — </w:t>
      </w:r>
    </w:p>
    <w:p>
      <w:pPr>
        <w:pStyle w:val="yIndenta"/>
      </w:pPr>
      <w:r>
        <w:tab/>
        <w:t>(a)</w:t>
      </w:r>
      <w:r>
        <w:tab/>
        <w:t>the agreement is not an actual section 13 farm</w:t>
      </w:r>
      <w:r>
        <w:noBreakHyphen/>
        <w:t>in agreement; and</w:t>
      </w:r>
    </w:p>
    <w:p>
      <w:pPr>
        <w:pStyle w:val="yIndenta"/>
      </w:pPr>
      <w:r>
        <w:tab/>
        <w:t>(b)</w:t>
      </w:r>
      <w:r>
        <w:tab/>
        <w:t>if Chapter 2 Part 5 Division 9 applied to agreements made during the first pre</w:t>
      </w:r>
      <w:r>
        <w:noBreakHyphen/>
        <w:t>amendment period — the agreement would, under that Division, be a concessional farm</w:t>
      </w:r>
      <w:r>
        <w:noBreakHyphen/>
        <w:t>in transaction.</w:t>
      </w:r>
    </w:p>
    <w:p>
      <w:pPr>
        <w:pStyle w:val="ySubsection"/>
      </w:pPr>
      <w:r>
        <w:tab/>
        <w:t>(2)</w:t>
      </w:r>
      <w:r>
        <w:tab/>
        <w:t>For the purposes of this Act, the agreement is taken to be, and to have always been, a farm</w:t>
      </w:r>
      <w:r>
        <w:noBreakHyphen/>
        <w:t>in agreement under section 13.</w:t>
      </w:r>
    </w:p>
    <w:p>
      <w:pPr>
        <w:pStyle w:val="ySubsection"/>
      </w:pPr>
      <w:r>
        <w:tab/>
        <w:t>(3)</w:t>
      </w:r>
      <w:r>
        <w:tab/>
        <w:t>For the purposes of the application of this Division to agreements made during the first pre</w:t>
      </w:r>
      <w:r>
        <w:noBreakHyphen/>
        <w:t>amendment period, Chapter 2 Part 5 Division 9 is taken to be modified in accordance with subclauses (4) to (8).</w:t>
      </w:r>
    </w:p>
    <w:p>
      <w:pPr>
        <w:pStyle w:val="ySubsection"/>
      </w:pPr>
      <w:r>
        <w:tab/>
        <w:t>(4)</w:t>
      </w:r>
      <w:r>
        <w:tab/>
        <w:t>In relation to an agreement made before 13 June 2019, references to a derivative mining right are to a right to exploit a mining tenement.</w:t>
      </w:r>
    </w:p>
    <w:p>
      <w:pPr>
        <w:pStyle w:val="ySubsection"/>
      </w:pPr>
      <w:r>
        <w:tab/>
        <w:t>(5)</w:t>
      </w:r>
      <w:r>
        <w:tab/>
        <w:t xml:space="preserve">In relation to an agreement made before 28 November 2018, the definition of </w:t>
      </w:r>
      <w:r>
        <w:rPr>
          <w:b/>
          <w:i/>
        </w:rPr>
        <w:t>exploration</w:t>
      </w:r>
      <w:r>
        <w:t xml:space="preserve"> in section 91K(1) is replaced with:</w:t>
      </w:r>
    </w:p>
    <w:p>
      <w:pPr>
        <w:pStyle w:val="BlankOpen"/>
      </w:pPr>
    </w:p>
    <w:p>
      <w:pPr>
        <w:pStyle w:val="yDefstart"/>
      </w:pPr>
      <w:r>
        <w:tab/>
      </w:r>
      <w:r>
        <w:rPr>
          <w:rStyle w:val="CharDefText"/>
        </w:rPr>
        <w:t>exploration</w:t>
      </w:r>
      <w:r>
        <w:t xml:space="preserve"> includes development;</w:t>
      </w:r>
    </w:p>
    <w:p>
      <w:pPr>
        <w:pStyle w:val="BlankClose"/>
      </w:pPr>
    </w:p>
    <w:p>
      <w:pPr>
        <w:pStyle w:val="ySubsection"/>
      </w:pPr>
      <w:r>
        <w:tab/>
        <w:t>(6)</w:t>
      </w:r>
      <w:r>
        <w:tab/>
        <w:t xml:space="preserve">In section 91N(2) — </w:t>
      </w:r>
    </w:p>
    <w:p>
      <w:pPr>
        <w:pStyle w:val="yIndenta"/>
      </w:pPr>
      <w:r>
        <w:tab/>
        <w:t>(a)</w:t>
      </w:r>
      <w:r>
        <w:tab/>
        <w:t>in paragraph (a)(ii) and (iii), references to exploration of each relevant derivative mining right are to exploration of each mining tenement to which a relevant derivative mining right relates; and</w:t>
      </w:r>
    </w:p>
    <w:p>
      <w:pPr>
        <w:pStyle w:val="yIndenta"/>
      </w:pPr>
      <w:r>
        <w:tab/>
        <w:t>(b)</w:t>
      </w:r>
      <w:r>
        <w:tab/>
        <w:t>paragraph (b) is deleted.</w:t>
      </w:r>
    </w:p>
    <w:p>
      <w:pPr>
        <w:pStyle w:val="ySubsection"/>
        <w:keepNext/>
      </w:pPr>
      <w:r>
        <w:tab/>
        <w:t>(7)</w:t>
      </w:r>
      <w:r>
        <w:tab/>
        <w:t>Subdivision 4 is deleted.</w:t>
      </w:r>
    </w:p>
    <w:p>
      <w:pPr>
        <w:pStyle w:val="ySubsection"/>
      </w:pPr>
      <w:r>
        <w:tab/>
        <w:t>(8)</w:t>
      </w:r>
      <w:r>
        <w:tab/>
        <w:t>Section 91U is deleted.</w:t>
      </w:r>
    </w:p>
    <w:p>
      <w:pPr>
        <w:pStyle w:val="ySubsection"/>
      </w:pPr>
      <w:r>
        <w:tab/>
        <w:t>(9)</w:t>
      </w:r>
      <w:r>
        <w:tab/>
        <w:t>This clause is subject to clause 65.</w:t>
      </w:r>
    </w:p>
    <w:p>
      <w:pPr>
        <w:pStyle w:val="yFootnotesection"/>
      </w:pPr>
      <w:r>
        <w:tab/>
        <w:t>[Clause 64 inserted: No. 37 of 2022 s. 14.]</w:t>
      </w:r>
    </w:p>
    <w:p>
      <w:pPr>
        <w:pStyle w:val="yHeading5"/>
      </w:pPr>
      <w:bookmarkStart w:id="2013" w:name="_Toc161401684"/>
      <w:bookmarkStart w:id="2014" w:name="_Toc154754168"/>
      <w:r>
        <w:rPr>
          <w:rStyle w:val="CharSClsNo"/>
        </w:rPr>
        <w:t>65</w:t>
      </w:r>
      <w:r>
        <w:t>.</w:t>
      </w:r>
      <w:r>
        <w:tab/>
        <w:t>Variations and other events affecting section 13 farm</w:t>
      </w:r>
      <w:r>
        <w:noBreakHyphen/>
        <w:t>in agreements</w:t>
      </w:r>
      <w:bookmarkEnd w:id="2013"/>
      <w:bookmarkEnd w:id="2014"/>
    </w:p>
    <w:p>
      <w:pPr>
        <w:pStyle w:val="ySubsection"/>
      </w:pPr>
      <w:r>
        <w:tab/>
        <w:t>(1)</w:t>
      </w:r>
      <w:r>
        <w:tab/>
        <w:t xml:space="preserve">Subclauses (2) to (6) apply if, on or after amendment day, an agreement (the </w:t>
      </w:r>
      <w:r>
        <w:rPr>
          <w:rStyle w:val="CharDefText"/>
        </w:rPr>
        <w:t>additional agreement</w:t>
      </w:r>
      <w:r>
        <w:t xml:space="preserve">) is added to an agreement (the </w:t>
      </w:r>
      <w:r>
        <w:rPr>
          <w:rStyle w:val="CharDefText"/>
        </w:rPr>
        <w:t>existing agreement</w:t>
      </w:r>
      <w:r>
        <w:t>) that contains 1 or more section 13 farm</w:t>
      </w:r>
      <w:r>
        <w:noBreakHyphen/>
        <w:t>in agreements.</w:t>
      </w:r>
    </w:p>
    <w:p>
      <w:pPr>
        <w:pStyle w:val="ySubsection"/>
      </w:pPr>
      <w:r>
        <w:tab/>
        <w:t>(2)</w:t>
      </w:r>
      <w:r>
        <w:tab/>
        <w:t xml:space="preserve">The additional agreement — </w:t>
      </w:r>
    </w:p>
    <w:p>
      <w:pPr>
        <w:pStyle w:val="yIndenta"/>
      </w:pPr>
      <w:r>
        <w:tab/>
        <w:t>(a)</w:t>
      </w:r>
      <w:r>
        <w:tab/>
        <w:t>cannot be a concessional farm</w:t>
      </w:r>
      <w:r>
        <w:noBreakHyphen/>
        <w:t>in transaction; but</w:t>
      </w:r>
    </w:p>
    <w:p>
      <w:pPr>
        <w:pStyle w:val="yIndenta"/>
      </w:pPr>
      <w:r>
        <w:tab/>
        <w:t>(b)</w:t>
      </w:r>
      <w:r>
        <w:tab/>
        <w:t>is a deemed section 13 farm</w:t>
      </w:r>
      <w:r>
        <w:noBreakHyphen/>
        <w:t>in agreement if, apart from paragraph (a), the additional agreement would be a concessional farm</w:t>
      </w:r>
      <w:r>
        <w:noBreakHyphen/>
        <w:t xml:space="preserve">in transaction — </w:t>
      </w:r>
    </w:p>
    <w:p>
      <w:pPr>
        <w:pStyle w:val="yIndenti0"/>
      </w:pPr>
      <w:r>
        <w:tab/>
        <w:t>(i)</w:t>
      </w:r>
      <w:r>
        <w:tab/>
        <w:t>under section 91S(3) or (4) and, if both section 91M(1)(a)(i) and (ii) apply, under both section 91S(3) and (4); or</w:t>
      </w:r>
    </w:p>
    <w:p>
      <w:pPr>
        <w:pStyle w:val="yIndenti0"/>
      </w:pPr>
      <w:r>
        <w:tab/>
        <w:t>(ii)</w:t>
      </w:r>
      <w:r>
        <w:tab/>
        <w:t>under any regulations made for the purposes of section 91S(2)(b).</w:t>
      </w:r>
    </w:p>
    <w:p>
      <w:pPr>
        <w:pStyle w:val="ySubsection"/>
      </w:pPr>
      <w:r>
        <w:tab/>
        <w:t>(3)</w:t>
      </w:r>
      <w:r>
        <w:tab/>
        <w:t xml:space="preserve">For the purposes of subclause (2)(b), section 91S(3) and (4), and any regulations made for the purposes of section 91S(2)(b), apply, with any necessary modifications, as if — </w:t>
      </w:r>
    </w:p>
    <w:p>
      <w:pPr>
        <w:pStyle w:val="yIndenta"/>
      </w:pPr>
      <w:r>
        <w:tab/>
        <w:t>(a)</w:t>
      </w:r>
      <w:r>
        <w:tab/>
        <w:t>the existing agreement were a farm</w:t>
      </w:r>
      <w:r>
        <w:noBreakHyphen/>
        <w:t>in agreement; and</w:t>
      </w:r>
    </w:p>
    <w:p>
      <w:pPr>
        <w:pStyle w:val="yIndenta"/>
      </w:pPr>
      <w:r>
        <w:tab/>
        <w:t>(b)</w:t>
      </w:r>
      <w:r>
        <w:tab/>
        <w:t>any section 13 farm</w:t>
      </w:r>
      <w:r>
        <w:noBreakHyphen/>
        <w:t>in agreement contained in the existing agreement were a concessional farm</w:t>
      </w:r>
      <w:r>
        <w:noBreakHyphen/>
        <w:t>in transaction.</w:t>
      </w:r>
    </w:p>
    <w:p>
      <w:pPr>
        <w:pStyle w:val="ySubsection"/>
      </w:pPr>
      <w:r>
        <w:tab/>
        <w:t>(4)</w:t>
      </w:r>
      <w:r>
        <w:tab/>
        <w:t>If the additional agreement is a deemed section 13 farm</w:t>
      </w:r>
      <w:r>
        <w:noBreakHyphen/>
        <w:t>in agreement under subclause (2)(b), the Commissioner may, for the purpose of applying clause 70(5), (6) or (7), reassess the duty chargeable on any other section 13 farm</w:t>
      </w:r>
      <w:r>
        <w:noBreakHyphen/>
        <w:t xml:space="preserve">in agreement contained in the existing agreement — </w:t>
      </w:r>
    </w:p>
    <w:p>
      <w:pPr>
        <w:pStyle w:val="yIndenta"/>
      </w:pPr>
      <w:r>
        <w:tab/>
        <w:t>(a)</w:t>
      </w:r>
      <w:r>
        <w:tab/>
        <w:t>on the Commissioner’s own initiative; or</w:t>
      </w:r>
    </w:p>
    <w:p>
      <w:pPr>
        <w:pStyle w:val="yIndenta"/>
        <w:keepNext/>
      </w:pPr>
      <w:r>
        <w:tab/>
        <w:t>(b)</w:t>
      </w:r>
      <w:r>
        <w:tab/>
        <w:t>on the application of the taxpayer.</w:t>
      </w:r>
    </w:p>
    <w:p>
      <w:pPr>
        <w:pStyle w:val="ySubsection"/>
      </w:pPr>
      <w:r>
        <w:tab/>
        <w:t>(5)</w:t>
      </w:r>
      <w:r>
        <w:tab/>
        <w:t>For the purposes of a reassessment under subclause (4) of the duty chargeable on a section 13 farm</w:t>
      </w:r>
      <w:r>
        <w:noBreakHyphen/>
        <w:t>in agreement, the section 13 farm</w:t>
      </w:r>
      <w:r>
        <w:noBreakHyphen/>
        <w:t>in agreement is to be taken to have been made when the additional agreement is added to the existing agreement.</w:t>
      </w:r>
    </w:p>
    <w:p>
      <w:pPr>
        <w:pStyle w:val="ySubsection"/>
      </w:pPr>
      <w:r>
        <w:tab/>
        <w:t>(6)</w:t>
      </w:r>
      <w:r>
        <w:tab/>
        <w:t xml:space="preserve">For the purposes of a reassessment under subclause (4), the Taxation Administration Act section 17 applies as if — </w:t>
      </w:r>
    </w:p>
    <w:p>
      <w:pPr>
        <w:pStyle w:val="yIndenta"/>
      </w:pPr>
      <w:r>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Indenta"/>
      </w:pPr>
      <w:r>
        <w:tab/>
      </w:r>
      <w:r>
        <w:tab/>
        <w:t>and</w:t>
      </w:r>
    </w:p>
    <w:p>
      <w:pPr>
        <w:pStyle w:val="yIndenta"/>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Subsection"/>
      </w:pPr>
      <w:r>
        <w:tab/>
        <w:t>(7)</w:t>
      </w:r>
      <w:r>
        <w:tab/>
        <w:t>If, on or after amendment day, an agreement that is a deemed section 13 farm</w:t>
      </w:r>
      <w:r>
        <w:noBreakHyphen/>
        <w:t>in agreement ceases to meet the requirements for a farm</w:t>
      </w:r>
      <w:r>
        <w:noBreakHyphen/>
        <w:t>in transaction set out in section 91M(1) to (5), the agreement ceases to be a deemed section 13 farm</w:t>
      </w:r>
      <w:r>
        <w:noBreakHyphen/>
        <w:t>in agreement accordingly.</w:t>
      </w:r>
    </w:p>
    <w:p>
      <w:pPr>
        <w:pStyle w:val="ySubsection"/>
      </w:pPr>
      <w:r>
        <w:tab/>
        <w:t>(8)</w:t>
      </w:r>
      <w:r>
        <w:tab/>
        <w:t>If, on or after amendment day in a case in which subclause (7) does not apply, an agreement that is a deemed section 13 farm</w:t>
      </w:r>
      <w:r>
        <w:noBreakHyphen/>
        <w:t xml:space="preserve">in agreement is varied, section 91T(2) to (4), and any regulations made for the purposes of section 91T(2)(c), (3)(c) or (5), apply for the purpose of determining whether, as a result of the variation — </w:t>
      </w:r>
    </w:p>
    <w:p>
      <w:pPr>
        <w:pStyle w:val="yIndenta"/>
      </w:pPr>
      <w:r>
        <w:tab/>
        <w:t>(a)</w:t>
      </w:r>
      <w:r>
        <w:tab/>
        <w:t>the agreement ceases to be a deemed section 13 farm</w:t>
      </w:r>
      <w:r>
        <w:noBreakHyphen/>
        <w:t>in agreement; or</w:t>
      </w:r>
    </w:p>
    <w:p>
      <w:pPr>
        <w:pStyle w:val="yIndenta"/>
        <w:keepNext/>
      </w:pPr>
      <w:r>
        <w:tab/>
        <w:t>(b)</w:t>
      </w:r>
      <w:r>
        <w:tab/>
        <w:t>the agreement is taken not to be a deemed section 13 farm</w:t>
      </w:r>
      <w:r>
        <w:noBreakHyphen/>
        <w:t>in agreement to an extent.</w:t>
      </w:r>
    </w:p>
    <w:p>
      <w:pPr>
        <w:pStyle w:val="ySubsection"/>
      </w:pPr>
      <w:r>
        <w:tab/>
        <w:t>(9)</w:t>
      </w:r>
      <w:r>
        <w:tab/>
        <w:t>For the purposes of subclause (8), section 91T(2) to (4), and any regulations made for the purposes of section 91T(2)(c), (3)(c) or (5), apply, with any necessary modifications, as if the agreement were a concessional farm</w:t>
      </w:r>
      <w:r>
        <w:noBreakHyphen/>
        <w:t>in transaction.</w:t>
      </w:r>
    </w:p>
    <w:p>
      <w:pPr>
        <w:pStyle w:val="ySubsection"/>
      </w:pPr>
      <w:r>
        <w:tab/>
        <w:t>(10)</w:t>
      </w:r>
      <w:r>
        <w:tab/>
        <w:t>If an agreement ceases to be, or is taken not to be to an extent, a deemed section 13 farm</w:t>
      </w:r>
      <w:r>
        <w:noBreakHyphen/>
        <w:t>in agreement under subclause (7) or (8), section 91T(7) to (10) apply, with any necessary modifications, in relation to the agreement as they apply in relation to an agreement referred to in section 91T(6).</w:t>
      </w:r>
    </w:p>
    <w:p>
      <w:pPr>
        <w:pStyle w:val="yFootnotesection"/>
      </w:pPr>
      <w:r>
        <w:tab/>
        <w:t>[Clause 65 inserted: No. 37 of 2022 s. 14.]</w:t>
      </w:r>
    </w:p>
    <w:p>
      <w:pPr>
        <w:pStyle w:val="yHeading4"/>
      </w:pPr>
      <w:bookmarkStart w:id="2015" w:name="_Toc161401027"/>
      <w:bookmarkStart w:id="2016" w:name="_Toc161401685"/>
      <w:bookmarkStart w:id="2017" w:name="_Toc154754169"/>
      <w:r>
        <w:t>Subdivision 4 — Ongoing application of Act in relation to section 13 farm</w:t>
      </w:r>
      <w:r>
        <w:noBreakHyphen/>
        <w:t>in agreements</w:t>
      </w:r>
      <w:bookmarkEnd w:id="2015"/>
      <w:bookmarkEnd w:id="2016"/>
      <w:bookmarkEnd w:id="2017"/>
    </w:p>
    <w:p>
      <w:pPr>
        <w:pStyle w:val="yFootnoteheading"/>
        <w:keepNext/>
      </w:pPr>
      <w:r>
        <w:tab/>
        <w:t>[Heading inserted: No. 37 of 2022 s. 14.]</w:t>
      </w:r>
    </w:p>
    <w:p>
      <w:pPr>
        <w:pStyle w:val="yHeading5"/>
      </w:pPr>
      <w:bookmarkStart w:id="2018" w:name="_Toc161401686"/>
      <w:bookmarkStart w:id="2019" w:name="_Toc154754170"/>
      <w:r>
        <w:rPr>
          <w:rStyle w:val="CharSClsNo"/>
        </w:rPr>
        <w:t>66</w:t>
      </w:r>
      <w:r>
        <w:t>.</w:t>
      </w:r>
      <w:r>
        <w:tab/>
        <w:t>Act to apply in relation to section 13 farm</w:t>
      </w:r>
      <w:r>
        <w:noBreakHyphen/>
        <w:t>in agreements as if sections 4 to 13 of amending Act not enacted</w:t>
      </w:r>
      <w:bookmarkEnd w:id="2018"/>
      <w:bookmarkEnd w:id="2019"/>
    </w:p>
    <w:p>
      <w:pPr>
        <w:pStyle w:val="ySubsection"/>
      </w:pPr>
      <w:r>
        <w:tab/>
      </w:r>
      <w:r>
        <w:tab/>
        <w:t>On and after amendment day, this Act applies to section 13 farm</w:t>
      </w:r>
      <w:r>
        <w:noBreakHyphen/>
        <w:t>in agreements, and dutiable transactions under section 13 farm</w:t>
      </w:r>
      <w:r>
        <w:noBreakHyphen/>
        <w:t>in agreements, as if sections 4 to 13 of the amending Act had not been enacted (subject to the other provisions of this Division where relevant).</w:t>
      </w:r>
    </w:p>
    <w:p>
      <w:pPr>
        <w:pStyle w:val="yFootnotesection"/>
      </w:pPr>
      <w:r>
        <w:tab/>
        <w:t>[Clause 66 inserted: No. 37 of 2022 s. 14.]</w:t>
      </w:r>
    </w:p>
    <w:p>
      <w:pPr>
        <w:pStyle w:val="yHeading4"/>
      </w:pPr>
      <w:bookmarkStart w:id="2020" w:name="_Toc161401029"/>
      <w:bookmarkStart w:id="2021" w:name="_Toc161401687"/>
      <w:bookmarkStart w:id="2022" w:name="_Toc154754171"/>
      <w:r>
        <w:t>Subdivision 5</w:t>
      </w:r>
      <w:r>
        <w:rPr>
          <w:b w:val="0"/>
        </w:rPr>
        <w:t> — </w:t>
      </w:r>
      <w:r>
        <w:t>Modifications of section 13</w:t>
      </w:r>
      <w:bookmarkEnd w:id="2020"/>
      <w:bookmarkEnd w:id="2021"/>
      <w:bookmarkEnd w:id="2022"/>
    </w:p>
    <w:p>
      <w:pPr>
        <w:pStyle w:val="yFootnoteheading"/>
        <w:keepNext/>
      </w:pPr>
      <w:r>
        <w:tab/>
        <w:t>[Heading inserted: No. 37 of 2022 s. 14.]</w:t>
      </w:r>
    </w:p>
    <w:p>
      <w:pPr>
        <w:pStyle w:val="yHeading5"/>
      </w:pPr>
      <w:bookmarkStart w:id="2023" w:name="_Toc161401688"/>
      <w:bookmarkStart w:id="2024" w:name="_Toc154754172"/>
      <w:r>
        <w:rPr>
          <w:rStyle w:val="CharSClsNo"/>
        </w:rPr>
        <w:t>67</w:t>
      </w:r>
      <w:r>
        <w:t>.</w:t>
      </w:r>
      <w:r>
        <w:tab/>
        <w:t>Restriction on activities regarded as exploration or development for purposes of section 13(2)</w:t>
      </w:r>
      <w:bookmarkEnd w:id="2023"/>
      <w:bookmarkEnd w:id="2024"/>
    </w:p>
    <w:p>
      <w:pPr>
        <w:pStyle w:val="ySubsection"/>
      </w:pPr>
      <w:r>
        <w:tab/>
        <w:t>(1)</w:t>
      </w:r>
      <w:r>
        <w:tab/>
        <w:t>For the purposes of this Act, subsection (2) of section 13 is taken to have applied during the second pre</w:t>
      </w:r>
      <w:r>
        <w:noBreakHyphen/>
        <w:t>amendment period, and applies on and after amendment day under clause 66, subject to subclause (2).</w:t>
      </w:r>
    </w:p>
    <w:p>
      <w:pPr>
        <w:pStyle w:val="ySubsection"/>
        <w:keepNext/>
        <w:keepLines/>
      </w:pPr>
      <w:r>
        <w:tab/>
        <w:t>(2)</w:t>
      </w:r>
      <w:r>
        <w:tab/>
        <w:t>In subsection (2) of section 13, in relation to an agreement made during the second pre</w:t>
      </w:r>
      <w:r>
        <w:noBreakHyphen/>
        <w:t xml:space="preserve">amendment period, the reference to exploration or development only includes development to the extent that it is carried out solely — </w:t>
      </w:r>
    </w:p>
    <w:p>
      <w:pPr>
        <w:pStyle w:val="yIndenta"/>
      </w:pPr>
      <w:r>
        <w:tab/>
        <w:t>(a)</w:t>
      </w:r>
      <w:r>
        <w:tab/>
        <w:t>for the purpose of facilitating exploration; or</w:t>
      </w:r>
    </w:p>
    <w:p>
      <w:pPr>
        <w:pStyle w:val="yIndenta"/>
      </w:pPr>
      <w:r>
        <w:tab/>
        <w:t>(b)</w:t>
      </w:r>
      <w:r>
        <w:tab/>
        <w:t>otherwise incidentally to exploration.</w:t>
      </w:r>
    </w:p>
    <w:p>
      <w:pPr>
        <w:pStyle w:val="yFootnotesection"/>
      </w:pPr>
      <w:r>
        <w:tab/>
        <w:t>[Clause 67 inserted: No. 37 of 2022 s. 14.]</w:t>
      </w:r>
    </w:p>
    <w:p>
      <w:pPr>
        <w:pStyle w:val="yHeading5"/>
      </w:pPr>
      <w:bookmarkStart w:id="2025" w:name="_Toc161401689"/>
      <w:bookmarkStart w:id="2026" w:name="_Toc154754173"/>
      <w:r>
        <w:rPr>
          <w:rStyle w:val="CharSClsNo"/>
        </w:rPr>
        <w:t>68</w:t>
      </w:r>
      <w:r>
        <w:t>.</w:t>
      </w:r>
      <w:r>
        <w:tab/>
        <w:t>Commissioner may allow expenditure on administrative costs to be regarded as expenditure on exploration or development for purposes of section 13(2)</w:t>
      </w:r>
      <w:bookmarkEnd w:id="2025"/>
      <w:bookmarkEnd w:id="2026"/>
    </w:p>
    <w:p>
      <w:pPr>
        <w:pStyle w:val="ySubsection"/>
      </w:pPr>
      <w:r>
        <w:tab/>
        <w:t>(1)</w:t>
      </w:r>
      <w:r>
        <w:tab/>
        <w:t>For the purposes of this Act, subsection (2) of section 13 is taken to have applied during the first pre</w:t>
      </w:r>
      <w:r>
        <w:noBreakHyphen/>
        <w:t>amendment period, and applies on and after amendment day under clause 66, subject to subclause (2).</w:t>
      </w:r>
    </w:p>
    <w:p>
      <w:pPr>
        <w:pStyle w:val="ySubsection"/>
      </w:pPr>
      <w:r>
        <w:tab/>
        <w:t>(2)</w:t>
      </w:r>
      <w:r>
        <w:tab/>
        <w:t>The Commissioner may, in relation to an agreement made during the first pre</w:t>
      </w:r>
      <w:r>
        <w:noBreakHyphen/>
        <w:t>amendment period, allow expenditure on administrative costs that would not otherwise be regarded as expenditure on exploration or development for the purposes of subsection (2) of section 13 to be so regarded, subject to any limits or other conditions imposed by the Commissioner.</w:t>
      </w:r>
    </w:p>
    <w:p>
      <w:pPr>
        <w:pStyle w:val="yFootnotesection"/>
      </w:pPr>
      <w:r>
        <w:tab/>
        <w:t>[Clause 68 inserted: No. 37 of 2022 s. 14.]</w:t>
      </w:r>
    </w:p>
    <w:p>
      <w:pPr>
        <w:pStyle w:val="yHeading4"/>
      </w:pPr>
      <w:bookmarkStart w:id="2027" w:name="_Toc161401032"/>
      <w:bookmarkStart w:id="2028" w:name="_Toc161401690"/>
      <w:bookmarkStart w:id="2029" w:name="_Toc154754174"/>
      <w:r>
        <w:t>Subdivision 6</w:t>
      </w:r>
      <w:r>
        <w:rPr>
          <w:b w:val="0"/>
        </w:rPr>
        <w:t> — </w:t>
      </w:r>
      <w:r>
        <w:t>Duty chargeable in relation to section 13 farm</w:t>
      </w:r>
      <w:r>
        <w:noBreakHyphen/>
        <w:t>in agreements</w:t>
      </w:r>
      <w:bookmarkEnd w:id="2027"/>
      <w:bookmarkEnd w:id="2028"/>
      <w:bookmarkEnd w:id="2029"/>
    </w:p>
    <w:p>
      <w:pPr>
        <w:pStyle w:val="yFootnoteheading"/>
        <w:keepNext/>
      </w:pPr>
      <w:r>
        <w:tab/>
        <w:t>[Heading inserted: No. 37 of 2022 s. 14.]</w:t>
      </w:r>
    </w:p>
    <w:p>
      <w:pPr>
        <w:pStyle w:val="yHeading5"/>
      </w:pPr>
      <w:bookmarkStart w:id="2030" w:name="_Toc161401691"/>
      <w:bookmarkStart w:id="2031" w:name="_Toc154754175"/>
      <w:r>
        <w:rPr>
          <w:rStyle w:val="CharSClsNo"/>
        </w:rPr>
        <w:t>69</w:t>
      </w:r>
      <w:r>
        <w:t>.</w:t>
      </w:r>
      <w:r>
        <w:tab/>
        <w:t>Application of Schedule 1 to deemed section 13 farm</w:t>
      </w:r>
      <w:r>
        <w:noBreakHyphen/>
        <w:t>in agreements</w:t>
      </w:r>
      <w:bookmarkEnd w:id="2030"/>
      <w:bookmarkEnd w:id="2031"/>
    </w:p>
    <w:p>
      <w:pPr>
        <w:pStyle w:val="ySubsection"/>
      </w:pPr>
      <w:r>
        <w:tab/>
      </w:r>
      <w:r>
        <w:tab/>
        <w:t>For the purposes of this Act, in relation to a deemed section 13 farm</w:t>
      </w:r>
      <w:r>
        <w:noBreakHyphen/>
        <w:t>in agreement, Schedule 1 is taken to have applied during the first pre</w:t>
      </w:r>
      <w:r>
        <w:noBreakHyphen/>
        <w:t>amendment period, and applies on and after amendment day under clause 66, as if, in the item for section 11(1)(j) column 4, the reference to the person referred to in section 13(1)(b) were to the farmee as defined in section 91L(1)(b).</w:t>
      </w:r>
    </w:p>
    <w:p>
      <w:pPr>
        <w:pStyle w:val="yFootnotesection"/>
      </w:pPr>
      <w:r>
        <w:tab/>
        <w:t>[Clause 69 inserted: No. 37 of 2022 s. 14.]</w:t>
      </w:r>
    </w:p>
    <w:p>
      <w:pPr>
        <w:pStyle w:val="yHeading5"/>
      </w:pPr>
      <w:bookmarkStart w:id="2032" w:name="_Toc161401692"/>
      <w:bookmarkStart w:id="2033" w:name="_Toc154754176"/>
      <w:r>
        <w:rPr>
          <w:rStyle w:val="CharSClsNo"/>
        </w:rPr>
        <w:t>70</w:t>
      </w:r>
      <w:r>
        <w:t>.</w:t>
      </w:r>
      <w:r>
        <w:tab/>
        <w:t>Section 13 farm</w:t>
      </w:r>
      <w:r>
        <w:noBreakHyphen/>
        <w:t>in agreements: modified rules relating to charging of duty</w:t>
      </w:r>
      <w:bookmarkEnd w:id="2032"/>
      <w:bookmarkEnd w:id="2033"/>
    </w:p>
    <w:p>
      <w:pPr>
        <w:pStyle w:val="ySubsection"/>
        <w:keepNext/>
      </w:pPr>
      <w:r>
        <w:tab/>
        <w:t>(1)</w:t>
      </w:r>
      <w:r>
        <w:tab/>
        <w:t xml:space="preserve">In this clause — </w:t>
      </w:r>
    </w:p>
    <w:p>
      <w:pPr>
        <w:pStyle w:val="yDefstart"/>
      </w:pPr>
      <w:r>
        <w:tab/>
      </w:r>
      <w:r>
        <w:rPr>
          <w:rStyle w:val="CharDefText"/>
        </w:rPr>
        <w:t>section 135</w:t>
      </w:r>
      <w:r>
        <w:t xml:space="preserve"> means section 135 as in force from time to time before amendment day.</w:t>
      </w:r>
    </w:p>
    <w:p>
      <w:pPr>
        <w:pStyle w:val="ySubsection"/>
      </w:pPr>
      <w:r>
        <w:tab/>
        <w:t>(2)</w:t>
      </w:r>
      <w:r>
        <w:tab/>
        <w:t>For the purposes of this Act, in relation to section 13 farm</w:t>
      </w:r>
      <w:r>
        <w:noBreakHyphen/>
        <w:t>in agreements, section 135 is taken to have applied during the first pre</w:t>
      </w:r>
      <w:r>
        <w:noBreakHyphen/>
        <w:t>amendment period, and applies on and after amendment day under clause 66, subject to subclauses (3) to (9).</w:t>
      </w:r>
    </w:p>
    <w:p>
      <w:pPr>
        <w:pStyle w:val="ySubsection"/>
      </w:pPr>
      <w:r>
        <w:tab/>
        <w:t>(3)</w:t>
      </w:r>
      <w:r>
        <w:tab/>
        <w:t>For the purposes of subsection (3) of section 135, the exploration amount is the section 13 exploration amount.</w:t>
      </w:r>
    </w:p>
    <w:p>
      <w:pPr>
        <w:pStyle w:val="ySubsection"/>
      </w:pPr>
      <w:r>
        <w:tab/>
        <w:t>(4)</w:t>
      </w:r>
      <w:r>
        <w:tab/>
        <w:t xml:space="preserve">Subclause (5) applies if — </w:t>
      </w:r>
    </w:p>
    <w:p>
      <w:pPr>
        <w:pStyle w:val="yIndenta"/>
      </w:pPr>
      <w:r>
        <w:tab/>
        <w:t>(a)</w:t>
      </w:r>
      <w:r>
        <w:tab/>
        <w:t>an agreement contains 2 or more section 13 farm</w:t>
      </w:r>
      <w:r>
        <w:noBreakHyphen/>
        <w:t>in agreements that are dutiable transactions; and</w:t>
      </w:r>
    </w:p>
    <w:p>
      <w:pPr>
        <w:pStyle w:val="yIndenta"/>
      </w:pPr>
      <w:r>
        <w:tab/>
        <w:t>(b)</w:t>
      </w:r>
      <w:r>
        <w:tab/>
        <w:t>apart from subclause (5), nominal duty would be chargeable on all of the section 13 farm</w:t>
      </w:r>
      <w:r>
        <w:noBreakHyphen/>
        <w:t>in agreements contained in the agreement that are dutiable transactions.</w:t>
      </w:r>
    </w:p>
    <w:p>
      <w:pPr>
        <w:pStyle w:val="ySubsection"/>
      </w:pPr>
      <w:r>
        <w:tab/>
        <w:t>(5)</w:t>
      </w:r>
      <w:r>
        <w:tab/>
        <w:t>Nominal duty is chargeable on all of the section 13 farm</w:t>
      </w:r>
      <w:r>
        <w:noBreakHyphen/>
        <w:t>in agreements taken together as if they were a single dutiable transaction.</w:t>
      </w:r>
    </w:p>
    <w:p>
      <w:pPr>
        <w:pStyle w:val="ySubsection"/>
      </w:pPr>
      <w:r>
        <w:tab/>
        <w:t>(6)</w:t>
      </w:r>
      <w:r>
        <w:tab/>
        <w:t>Duty is not chargeable on a section 13 farm</w:t>
      </w:r>
      <w:r>
        <w:noBreakHyphen/>
        <w:t xml:space="preserve">in agreement if — </w:t>
      </w:r>
    </w:p>
    <w:p>
      <w:pPr>
        <w:pStyle w:val="yIndenta"/>
      </w:pPr>
      <w:r>
        <w:tab/>
        <w:t>(a)</w:t>
      </w:r>
      <w:r>
        <w:tab/>
        <w:t>apart from this subclause, the section 13 farm</w:t>
      </w:r>
      <w:r>
        <w:noBreakHyphen/>
        <w:t>in agreement would be chargeable with nominal duty; and</w:t>
      </w:r>
    </w:p>
    <w:p>
      <w:pPr>
        <w:pStyle w:val="yIndenta"/>
      </w:pPr>
      <w:r>
        <w:tab/>
        <w:t>(b)</w:t>
      </w:r>
      <w:r>
        <w:tab/>
        <w:t>the section 13 farm</w:t>
      </w:r>
      <w:r>
        <w:noBreakHyphen/>
        <w:t>in agreement is contained in an agreement that also contains 1 or more other section 13 farm</w:t>
      </w:r>
      <w:r>
        <w:noBreakHyphen/>
        <w:t>in agreements on which duty is chargeable at the general rate of duty.</w:t>
      </w:r>
    </w:p>
    <w:p>
      <w:pPr>
        <w:pStyle w:val="ySubsection"/>
      </w:pPr>
      <w:r>
        <w:tab/>
        <w:t>(7)</w:t>
      </w:r>
      <w:r>
        <w:tab/>
        <w:t>If an agreement contains 2 or more section 13 farm</w:t>
      </w:r>
      <w:r>
        <w:noBreakHyphen/>
        <w:t>in agreements on which duty is chargeable at the general rate of duty, the amount of duty chargeable on each of those section 13 farm</w:t>
      </w:r>
      <w:r>
        <w:noBreakHyphen/>
        <w:t xml:space="preserve">in agreements must be determined as follows — </w:t>
      </w:r>
    </w:p>
    <w:p>
      <w:pPr>
        <w:pStyle w:val="yIndenta"/>
      </w:pPr>
      <w:r>
        <w:tab/>
        <w:t>(a)</w:t>
      </w:r>
      <w:r>
        <w:tab/>
        <w:t>first, aggregate the dutiable values of the section 13 farm</w:t>
      </w:r>
      <w:r>
        <w:noBreakHyphen/>
        <w:t>in agreements;</w:t>
      </w:r>
    </w:p>
    <w:p>
      <w:pPr>
        <w:pStyle w:val="yIndenta"/>
      </w:pPr>
      <w:r>
        <w:tab/>
        <w:t>(b)</w:t>
      </w:r>
      <w:r>
        <w:tab/>
        <w:t>second, apply the general rate of duty to the aggregate dutiable value;</w:t>
      </w:r>
    </w:p>
    <w:p>
      <w:pPr>
        <w:pStyle w:val="yIndenta"/>
      </w:pPr>
      <w:r>
        <w:tab/>
        <w:t>(c)</w:t>
      </w:r>
      <w:r>
        <w:tab/>
        <w:t>third, apportion the resulting amount of duty between the section 13 farm</w:t>
      </w:r>
      <w:r>
        <w:noBreakHyphen/>
        <w:t>in agreements in the way determined by the Commissioner.</w:t>
      </w:r>
    </w:p>
    <w:p>
      <w:pPr>
        <w:pStyle w:val="ySubsection"/>
      </w:pPr>
      <w:r>
        <w:tab/>
        <w:t>(8)</w:t>
      </w:r>
      <w:r>
        <w:tab/>
        <w:t>If an agreement contains 2 or more section 13 farm</w:t>
      </w:r>
      <w:r>
        <w:noBreakHyphen/>
        <w:t>in agreements and the Commissioner is, at any time, reassessing the duty chargeable on any of the section 13 farm</w:t>
      </w:r>
      <w:r>
        <w:noBreakHyphen/>
        <w:t>in agreements, the Commissioner must also reassess the duty chargeable on any of the other section 13 farm</w:t>
      </w:r>
      <w:r>
        <w:noBreakHyphen/>
        <w:t>in agreements as necessary for the purpose of applying subclause (5), (6) or (7).</w:t>
      </w:r>
    </w:p>
    <w:p>
      <w:pPr>
        <w:pStyle w:val="ySubsection"/>
      </w:pPr>
      <w:r>
        <w:tab/>
        <w:t>(9)</w:t>
      </w:r>
      <w:r>
        <w:tab/>
        <w:t>The limitations as to time in the Taxation Administration Act section 17 do not apply in respect of a reassessment under subclause (8).</w:t>
      </w:r>
    </w:p>
    <w:p>
      <w:pPr>
        <w:pStyle w:val="yFootnotesection"/>
      </w:pPr>
      <w:r>
        <w:tab/>
        <w:t>[Clause 70 inserted: No. 37 of 2022 s. 14.]</w:t>
      </w:r>
    </w:p>
    <w:p>
      <w:pPr>
        <w:pStyle w:val="yHeading5"/>
      </w:pPr>
      <w:bookmarkStart w:id="2034" w:name="_Toc161401693"/>
      <w:bookmarkStart w:id="2035" w:name="_Toc154754177"/>
      <w:r>
        <w:rPr>
          <w:rStyle w:val="CharSClsNo"/>
        </w:rPr>
        <w:t>71</w:t>
      </w:r>
      <w:r>
        <w:t>.</w:t>
      </w:r>
      <w:r>
        <w:tab/>
        <w:t>Changes to consideration</w:t>
      </w:r>
      <w:bookmarkEnd w:id="2034"/>
      <w:bookmarkEnd w:id="2035"/>
    </w:p>
    <w:p>
      <w:pPr>
        <w:pStyle w:val="ySubsection"/>
      </w:pPr>
      <w:r>
        <w:tab/>
        <w:t>(1)</w:t>
      </w:r>
      <w:r>
        <w:tab/>
        <w:t xml:space="preserve">In this clause — </w:t>
      </w:r>
    </w:p>
    <w:p>
      <w:pPr>
        <w:pStyle w:val="yDefstart"/>
      </w:pPr>
      <w:r>
        <w:tab/>
      </w:r>
      <w:r>
        <w:rPr>
          <w:rStyle w:val="CharDefText"/>
        </w:rPr>
        <w:t>consideration</w:t>
      </w:r>
      <w:r>
        <w:t xml:space="preserve"> does not include the section 13 exploration amount;</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Subsection"/>
      </w:pPr>
      <w:r>
        <w:tab/>
        <w:t>(2)</w:t>
      </w:r>
      <w:r>
        <w:tab/>
        <w:t>In relation to section 13 farm</w:t>
      </w:r>
      <w:r>
        <w:noBreakHyphen/>
        <w:t>in agreements that are made during the second pre</w:t>
      </w:r>
      <w:r>
        <w:noBreakHyphen/>
        <w:t>amendment period or that are deemed section 13 farm</w:t>
      </w:r>
      <w:r>
        <w:noBreakHyphen/>
        <w:t>in agreements under clause 65(2)(b), this Act is taken to have applied during the second pre</w:t>
      </w:r>
      <w:r>
        <w:noBreakHyphen/>
        <w:t>amendment period, and applies on and after amendment day under clause 66, subject to subclauses (3) to (11).</w:t>
      </w:r>
    </w:p>
    <w:p>
      <w:pPr>
        <w:pStyle w:val="ySubsection"/>
      </w:pPr>
      <w:r>
        <w:tab/>
        <w:t>(3)</w:t>
      </w:r>
      <w:r>
        <w:tab/>
        <w:t>Subclause (5) applies to a section 13 farm</w:t>
      </w:r>
      <w:r>
        <w:noBreakHyphen/>
        <w:t>in agreement if, before the section 13 farm</w:t>
      </w:r>
      <w:r>
        <w:noBreakHyphen/>
        <w:t>in agreement is completed, the consideration for the section 13 farm</w:t>
      </w:r>
      <w:r>
        <w:noBreakHyphen/>
        <w:t>in agreement is increased or reduced.</w:t>
      </w:r>
    </w:p>
    <w:p>
      <w:pPr>
        <w:pStyle w:val="ySubsection"/>
      </w:pPr>
      <w:r>
        <w:tab/>
        <w:t>(4)</w:t>
      </w:r>
      <w:r>
        <w:tab/>
        <w:t>For the purposes of subclause (3), a section 13 farm</w:t>
      </w:r>
      <w:r>
        <w:noBreakHyphen/>
        <w:t xml:space="preserve">in agreement is </w:t>
      </w:r>
      <w:r>
        <w:rPr>
          <w:rStyle w:val="CharDefText"/>
        </w:rPr>
        <w:t>completed</w:t>
      </w:r>
      <w:r>
        <w:t xml:space="preserve"> when — </w:t>
      </w:r>
    </w:p>
    <w:p>
      <w:pPr>
        <w:pStyle w:val="yIndenta"/>
      </w:pPr>
      <w:r>
        <w:tab/>
        <w:t>(a)</w:t>
      </w:r>
      <w:r>
        <w:tab/>
        <w:t>in the case of an actual section 13 farm</w:t>
      </w:r>
      <w:r>
        <w:noBreakHyphen/>
        <w:t>in agreement, after the section 13 exploration requirement is fulfilled, the mining tenement, or the derivative mining right, becomes held as referred to in subsection (1)(d) of section 13; or</w:t>
      </w:r>
    </w:p>
    <w:p>
      <w:pPr>
        <w:pStyle w:val="yIndenta"/>
      </w:pPr>
      <w:r>
        <w:tab/>
        <w:t>(b)</w:t>
      </w:r>
      <w:r>
        <w:tab/>
        <w:t>in the case of a deemed section 13 farm</w:t>
      </w:r>
      <w:r>
        <w:noBreakHyphen/>
        <w:t>in agreement, the agreement is completed in accordance with section 91Q(2).</w:t>
      </w:r>
    </w:p>
    <w:p>
      <w:pPr>
        <w:pStyle w:val="ySubsection"/>
      </w:pPr>
      <w:r>
        <w:tab/>
        <w:t>(5)</w:t>
      </w:r>
      <w:r>
        <w:tab/>
        <w:t>The Commissioner must assess or reassess the duty chargeable on the section 13 farm</w:t>
      </w:r>
      <w:r>
        <w:noBreakHyphen/>
        <w:t>in agreement on the basis of the increased or reduced consideration.</w:t>
      </w:r>
    </w:p>
    <w:p>
      <w:pPr>
        <w:pStyle w:val="ySubsection"/>
      </w:pPr>
      <w:r>
        <w:tab/>
        <w:t>(6)</w:t>
      </w:r>
      <w:r>
        <w:tab/>
        <w:t>However, if it is reduced consideration, the Commissioner does not have to reassess the duty unless the taxpayer makes an application for the reassessment.</w:t>
      </w:r>
    </w:p>
    <w:p>
      <w:pPr>
        <w:pStyle w:val="ySubsection"/>
      </w:pPr>
      <w:r>
        <w:tab/>
        <w:t>(7)</w:t>
      </w:r>
      <w:r>
        <w:tab/>
        <w:t>If there is increased consideration after the section 13 farm</w:t>
      </w:r>
      <w:r>
        <w:noBreakHyphen/>
        <w:t xml:space="preserve">in agreement is duty endorsed, section 31(5) applies — </w:t>
      </w:r>
    </w:p>
    <w:p>
      <w:pPr>
        <w:pStyle w:val="yIndenta"/>
      </w:pPr>
      <w:r>
        <w:tab/>
        <w:t>(a)</w:t>
      </w:r>
      <w:r>
        <w:tab/>
        <w:t>as if the reference to 2 months after the day on which consideration under the transaction is increased were, if later, to 2 months after amendment day; and</w:t>
      </w:r>
    </w:p>
    <w:p>
      <w:pPr>
        <w:pStyle w:val="yIndenta"/>
      </w:pPr>
      <w:r>
        <w:tab/>
        <w:t>(b)</w:t>
      </w:r>
      <w:r>
        <w:tab/>
        <w:t>with any other necessary modifications.</w:t>
      </w:r>
    </w:p>
    <w:p>
      <w:pPr>
        <w:pStyle w:val="ySubsection"/>
      </w:pPr>
      <w:r>
        <w:tab/>
        <w:t>(8)</w:t>
      </w:r>
      <w:r>
        <w:tab/>
        <w:t>Duty is chargeable on a reassessment under subclause (5) in relation to a section 13 farm</w:t>
      </w:r>
      <w:r>
        <w:noBreakHyphen/>
        <w:t>in agreement at the same rate and using the same thresholds that applied when liability for duty on the section 13 farm</w:t>
      </w:r>
      <w:r>
        <w:noBreakHyphen/>
        <w:t>in agreement initially arose.</w:t>
      </w:r>
    </w:p>
    <w:p>
      <w:pPr>
        <w:pStyle w:val="ySubsection"/>
      </w:pPr>
      <w:r>
        <w:tab/>
        <w:t>(9)</w:t>
      </w:r>
      <w:r>
        <w:tab/>
        <w:t>Subclause (5) does not apply in a case where a taxpayer may apply for a reassessment because of subclause (10).</w:t>
      </w:r>
    </w:p>
    <w:p>
      <w:pPr>
        <w:pStyle w:val="ySubsection"/>
      </w:pPr>
      <w:r>
        <w:tab/>
        <w:t>(10)</w:t>
      </w:r>
      <w:r>
        <w:tab/>
        <w:t>If any part of the consideration for a section 13 farm</w:t>
      </w:r>
      <w:r>
        <w:noBreakHyphen/>
        <w:t>in agreement is dependent on the happening of a future event, or on a future event not happening, section 32(1) and (3) apply, with any necessary modifications, as if references to an agreement for the transfer of dutiable property were to the section 13 farm</w:t>
      </w:r>
      <w:r>
        <w:noBreakHyphen/>
        <w:t>in agreement.</w:t>
      </w:r>
    </w:p>
    <w:p>
      <w:pPr>
        <w:pStyle w:val="ySubsection"/>
      </w:pPr>
      <w:r>
        <w:tab/>
        <w:t>(11)</w:t>
      </w:r>
      <w:r>
        <w:tab/>
        <w:t xml:space="preserve">For the purposes of subclause (10), the Taxation Administration Act section 17 applies as if — </w:t>
      </w:r>
    </w:p>
    <w:p>
      <w:pPr>
        <w:pStyle w:val="yIndenta"/>
      </w:pPr>
      <w:r>
        <w:tab/>
        <w:t>(a)</w:t>
      </w:r>
      <w:r>
        <w:tab/>
        <w:t xml:space="preserve">despite subsection (1) of that section, a person is not entitled to apply for a reassessment after the latest of the following — </w:t>
      </w:r>
    </w:p>
    <w:p>
      <w:pPr>
        <w:pStyle w:val="yIndenti0"/>
      </w:pPr>
      <w:r>
        <w:tab/>
        <w:t>(i)</w:t>
      </w:r>
      <w:r>
        <w:tab/>
        <w:t>5 years after the day on which the section 13 farm</w:t>
      </w:r>
      <w:r>
        <w:noBreakHyphen/>
        <w:t>in agreement was made;</w:t>
      </w:r>
    </w:p>
    <w:p>
      <w:pPr>
        <w:pStyle w:val="yIndenti0"/>
      </w:pPr>
      <w:r>
        <w:tab/>
        <w:t>(ii)</w:t>
      </w:r>
      <w:r>
        <w:tab/>
        <w:t>12 months after the day on which the requirements of section 32(1)(b) and (c) (as applied under subclause (10)) were fulfilled;</w:t>
      </w:r>
    </w:p>
    <w:p>
      <w:pPr>
        <w:pStyle w:val="yIndenti0"/>
      </w:pPr>
      <w:r>
        <w:tab/>
        <w:t>(iii)</w:t>
      </w:r>
      <w:r>
        <w:tab/>
        <w:t>12 months after amendment day;</w:t>
      </w:r>
    </w:p>
    <w:p>
      <w:pPr>
        <w:pStyle w:val="yIndenta"/>
      </w:pPr>
      <w:r>
        <w:tab/>
      </w:r>
      <w:r>
        <w:tab/>
        <w:t>and</w:t>
      </w:r>
    </w:p>
    <w:p>
      <w:pPr>
        <w:pStyle w:val="yIndenta"/>
      </w:pPr>
      <w:r>
        <w:tab/>
        <w:t>(b)</w:t>
      </w:r>
      <w:r>
        <w:tab/>
        <w:t>despite subsection (4) of that section, the Commissioner may only make a reassessment on an application if the application was made within that time.</w:t>
      </w:r>
    </w:p>
    <w:p>
      <w:pPr>
        <w:pStyle w:val="yFootnotesection"/>
      </w:pPr>
      <w:r>
        <w:tab/>
        <w:t>[Clause 71 inserted: No. 37 of 2022 s. 14.]</w:t>
      </w:r>
    </w:p>
    <w:p>
      <w:pPr>
        <w:pStyle w:val="yHeading5"/>
      </w:pPr>
      <w:bookmarkStart w:id="2036" w:name="_Toc161401694"/>
      <w:bookmarkStart w:id="2037" w:name="_Toc154754178"/>
      <w:r>
        <w:rPr>
          <w:rStyle w:val="CharSClsNo"/>
        </w:rPr>
        <w:t>72</w:t>
      </w:r>
      <w:r>
        <w:t>.</w:t>
      </w:r>
      <w:r>
        <w:tab/>
        <w:t>No double duty: exploration amount</w:t>
      </w:r>
      <w:bookmarkEnd w:id="2036"/>
      <w:bookmarkEnd w:id="2037"/>
    </w:p>
    <w:p>
      <w:pPr>
        <w:pStyle w:val="ySubsection"/>
      </w:pPr>
      <w:r>
        <w:tab/>
        <w:t>(1)</w:t>
      </w:r>
      <w:r>
        <w:tab/>
        <w:t>This Act is taken to have applied during the first pre</w:t>
      </w:r>
      <w:r>
        <w:noBreakHyphen/>
        <w:t>amendment period, and applies on and after amendment day under clause 66, subject to subclause (2).</w:t>
      </w:r>
    </w:p>
    <w:p>
      <w:pPr>
        <w:pStyle w:val="ySubsection"/>
      </w:pPr>
      <w:r>
        <w:tab/>
        <w:t>(2)</w:t>
      </w:r>
      <w:r>
        <w:tab/>
        <w:t>In paragraph (b) of section 42(15), in relation to a section 13 farm</w:t>
      </w:r>
      <w:r>
        <w:noBreakHyphen/>
        <w:t>in agreement, the reference to the exploration amount under the agreement having been expended is a reference to the section 13 exploration requirement for the agreement having been fulfilled.</w:t>
      </w:r>
    </w:p>
    <w:p>
      <w:pPr>
        <w:pStyle w:val="yFootnotesection"/>
      </w:pPr>
      <w:r>
        <w:tab/>
        <w:t>[Clause 72 inserted: No. 37 of 2022 s. 14.]</w:t>
      </w:r>
    </w:p>
    <w:p>
      <w:pPr>
        <w:pStyle w:val="yHeading5"/>
      </w:pPr>
      <w:bookmarkStart w:id="2038" w:name="_Toc161401695"/>
      <w:bookmarkStart w:id="2039" w:name="_Toc154754179"/>
      <w:r>
        <w:rPr>
          <w:rStyle w:val="CharSClsNo"/>
        </w:rPr>
        <w:t>73</w:t>
      </w:r>
      <w:r>
        <w:t>.</w:t>
      </w:r>
      <w:r>
        <w:tab/>
        <w:t>No double duty: mining tenements</w:t>
      </w:r>
      <w:bookmarkEnd w:id="2038"/>
      <w:bookmarkEnd w:id="2039"/>
    </w:p>
    <w:p>
      <w:pPr>
        <w:pStyle w:val="ySubsection"/>
      </w:pPr>
      <w:r>
        <w:tab/>
        <w:t>(1)</w:t>
      </w:r>
      <w:r>
        <w:tab/>
        <w:t xml:space="preserve">In this clause — </w:t>
      </w:r>
    </w:p>
    <w:p>
      <w:pPr>
        <w:pStyle w:val="yDefstart"/>
      </w:pPr>
      <w:r>
        <w:tab/>
      </w:r>
      <w:r>
        <w:rPr>
          <w:rStyle w:val="CharDefText"/>
        </w:rPr>
        <w:t>replacement mining tenement</w:t>
      </w:r>
      <w:r>
        <w:t xml:space="preserve"> — </w:t>
      </w:r>
    </w:p>
    <w:p>
      <w:pPr>
        <w:pStyle w:val="yDefpara"/>
      </w:pPr>
      <w:r>
        <w:tab/>
        <w:t>(a)</w:t>
      </w:r>
      <w:r>
        <w:tab/>
        <w:t>in relation to an actual section 13 farm</w:t>
      </w:r>
      <w:r>
        <w:noBreakHyphen/>
        <w:t xml:space="preserve">in agreement, means a mining tenement — </w:t>
      </w:r>
    </w:p>
    <w:p>
      <w:pPr>
        <w:pStyle w:val="yDefsubpara"/>
      </w:pPr>
      <w:r>
        <w:tab/>
        <w:t>(i)</w:t>
      </w:r>
      <w:r>
        <w:tab/>
        <w:t>that is granted, after the making of the actual section 13 farm</w:t>
      </w:r>
      <w:r>
        <w:noBreakHyphen/>
        <w:t>in agreement, to replace (wholly or partly) the mining tenement referred to in subsection (1)(a) of section 13 or an earlier replacement mining tenement; and</w:t>
      </w:r>
    </w:p>
    <w:p>
      <w:pPr>
        <w:pStyle w:val="yDefsubpara"/>
      </w:pPr>
      <w:r>
        <w:tab/>
        <w:t>(ii)</w:t>
      </w:r>
      <w:r>
        <w:tab/>
        <w:t>that relates only to the land, or to a part of the land, the subject of the mining tenement that is replaced; and</w:t>
      </w:r>
    </w:p>
    <w:p>
      <w:pPr>
        <w:pStyle w:val="yDefsubpara"/>
        <w:keepNext/>
      </w:pPr>
      <w:r>
        <w:tab/>
        <w:t>(iii)</w:t>
      </w:r>
      <w:r>
        <w:tab/>
        <w:t>of which the owner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91M(6).</w:t>
      </w:r>
    </w:p>
    <w:p>
      <w:pPr>
        <w:pStyle w:val="ySubsection"/>
      </w:pPr>
      <w:r>
        <w:tab/>
        <w:t>(2)</w:t>
      </w:r>
      <w:r>
        <w:tab/>
        <w:t>This Act is taken to have applied during the first pre</w:t>
      </w:r>
      <w:r>
        <w:noBreakHyphen/>
        <w:t>amendment period, and applies on and after amendment day under clause 66, subject to subclauses (3) and (4).</w:t>
      </w:r>
    </w:p>
    <w:p>
      <w:pPr>
        <w:pStyle w:val="ySubsection"/>
      </w:pPr>
      <w:r>
        <w:tab/>
        <w:t>(3)</w:t>
      </w:r>
      <w:r>
        <w:tab/>
        <w:t xml:space="preserve">Duty is not chargeable on a transfer of, or an agreement for the transfer of, an interest in a mining tenement (the </w:t>
      </w:r>
      <w:r>
        <w:rPr>
          <w:rStyle w:val="CharDefText"/>
        </w:rPr>
        <w:t>affected mining tenement</w:t>
      </w:r>
      <w:r>
        <w:t xml:space="preserve">) if — </w:t>
      </w:r>
    </w:p>
    <w:p>
      <w:pPr>
        <w:pStyle w:val="yIndenta"/>
      </w:pPr>
      <w:r>
        <w:tab/>
        <w:t>(a)</w:t>
      </w:r>
      <w:r>
        <w:tab/>
        <w:t>the affected mining tenement is a replacement mining tenement in relation to a section 13 farm</w:t>
      </w:r>
      <w:r>
        <w:noBreakHyphen/>
        <w:t>in agreement; and</w:t>
      </w:r>
    </w:p>
    <w:p>
      <w:pPr>
        <w:pStyle w:val="yIndenta"/>
      </w:pPr>
      <w:r>
        <w:tab/>
        <w:t>(b)</w:t>
      </w:r>
      <w:r>
        <w:tab/>
        <w:t xml:space="preserve">the transfer or agreement — </w:t>
      </w:r>
    </w:p>
    <w:p>
      <w:pPr>
        <w:pStyle w:val="yIndenti0"/>
      </w:pPr>
      <w:r>
        <w:tab/>
        <w:t>(i)</w:t>
      </w:r>
      <w:r>
        <w:tab/>
        <w:t>is in lieu of a transfer of, or an agreement for the transfer of, an interest in a mining tenement that, had it occurred, would have been under the section 13 farm</w:t>
      </w:r>
      <w:r>
        <w:noBreakHyphen/>
        <w:t>in agreement; and</w:t>
      </w:r>
    </w:p>
    <w:p>
      <w:pPr>
        <w:pStyle w:val="yIndenti0"/>
      </w:pPr>
      <w:r>
        <w:tab/>
        <w:t>(ii)</w:t>
      </w:r>
      <w:r>
        <w:tab/>
        <w:t>would be a transfer or agreement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(4)</w:t>
      </w:r>
      <w:r>
        <w:tab/>
        <w:t>The requirement of paragraph (a) of section 42(15), or of subclause (3)(c), does not have to be met if the section 13 farm</w:t>
      </w:r>
      <w:r>
        <w:noBreakHyphen/>
        <w:t>in agreement concerned is not duty endorsed because of the application of section 91DA to the section 13 farm</w:t>
      </w:r>
      <w:r>
        <w:noBreakHyphen/>
        <w:t>in agreement.</w:t>
      </w:r>
    </w:p>
    <w:p>
      <w:pPr>
        <w:pStyle w:val="ySubsection"/>
      </w:pPr>
      <w:r>
        <w:tab/>
        <w:t>(5)</w:t>
      </w:r>
      <w:r>
        <w:tab/>
        <w:t>This Act is taken to have applied during the second pre</w:t>
      </w:r>
      <w:r>
        <w:noBreakHyphen/>
        <w:t>amendment period, and applies on and after amendment day under clause 66, subject to subclauses (6) to (8).</w:t>
      </w:r>
    </w:p>
    <w:p>
      <w:pPr>
        <w:pStyle w:val="ySubsection"/>
      </w:pPr>
      <w:r>
        <w:tab/>
        <w:t>(6)</w:t>
      </w:r>
      <w:r>
        <w:tab/>
        <w:t xml:space="preserve">Duty is chargeable on a transfer of, or an agreement for the transfer of, an interest in a mining tenement to which section 42(15) or subclause (3) would otherwise apply if — </w:t>
      </w:r>
    </w:p>
    <w:p>
      <w:pPr>
        <w:pStyle w:val="yIndenta"/>
      </w:pPr>
      <w:r>
        <w:tab/>
        <w:t>(a)</w:t>
      </w:r>
      <w:r>
        <w:tab/>
        <w:t>there is, or will be, consideration for the transfer or agreement;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(7)</w:t>
      </w:r>
      <w:r>
        <w:tab/>
        <w:t xml:space="preserve">For the purposes of subclause (6), the dutiable value of the transfer or agreement is — </w:t>
      </w:r>
    </w:p>
    <w:p>
      <w:pPr>
        <w:pStyle w:val="yIndenta"/>
      </w:pPr>
      <w:r>
        <w:tab/>
        <w:t>(a)</w:t>
      </w:r>
      <w:r>
        <w:tab/>
        <w:t>if the section 13 farm</w:t>
      </w:r>
      <w:r>
        <w:noBreakHyphen/>
        <w:t>in agreement concerned is not duty endorsed as referred to in subclause (4) — the consideration for the transfer or agreement;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(8)</w:t>
      </w:r>
      <w:r>
        <w:tab/>
        <w:t>For the purposes of subclauses (6) and (7), the section 13 exploration amount for the section 13 farm</w:t>
      </w:r>
      <w:r>
        <w:noBreakHyphen/>
        <w:t>in agreement concerned is taken not to be consideration for the transfer or agreement.</w:t>
      </w:r>
    </w:p>
    <w:p>
      <w:pPr>
        <w:pStyle w:val="yFootnotesection"/>
      </w:pPr>
      <w:r>
        <w:tab/>
        <w:t>[Clause 73 inserted: No. 37 of 2022 s. 14.]</w:t>
      </w:r>
    </w:p>
    <w:p>
      <w:pPr>
        <w:pStyle w:val="yHeading5"/>
      </w:pPr>
      <w:bookmarkStart w:id="2040" w:name="_Toc161401696"/>
      <w:bookmarkStart w:id="2041" w:name="_Toc154754180"/>
      <w:r>
        <w:rPr>
          <w:rStyle w:val="CharSClsNo"/>
        </w:rPr>
        <w:t>74</w:t>
      </w:r>
      <w:r>
        <w:t>.</w:t>
      </w:r>
      <w:r>
        <w:tab/>
        <w:t>No double duty: derivative mining rights</w:t>
      </w:r>
      <w:bookmarkEnd w:id="2040"/>
      <w:bookmarkEnd w:id="2041"/>
    </w:p>
    <w:p>
      <w:pPr>
        <w:pStyle w:val="ySubsection"/>
      </w:pPr>
      <w:r>
        <w:tab/>
        <w:t>(1)</w:t>
      </w:r>
      <w:r>
        <w:tab/>
        <w:t xml:space="preserve">In this clause — </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Defstart"/>
      </w:pPr>
      <w:r>
        <w:tab/>
      </w:r>
      <w:r>
        <w:rPr>
          <w:rStyle w:val="CharDefText"/>
        </w:rPr>
        <w:t>replacement derivative mining right</w:t>
      </w:r>
      <w:r>
        <w:t xml:space="preserve"> — </w:t>
      </w:r>
    </w:p>
    <w:p>
      <w:pPr>
        <w:pStyle w:val="yDefpara"/>
      </w:pPr>
      <w:r>
        <w:tab/>
        <w:t>(a)</w:t>
      </w:r>
      <w:r>
        <w:tab/>
        <w:t>in relation to an actual section 13 farm</w:t>
      </w:r>
      <w:r>
        <w:noBreakHyphen/>
        <w:t xml:space="preserve">in agreement, means a derivative mining right — </w:t>
      </w:r>
    </w:p>
    <w:p>
      <w:pPr>
        <w:pStyle w:val="yDefsubpara"/>
      </w:pPr>
      <w:r>
        <w:tab/>
        <w:t>(i)</w:t>
      </w:r>
      <w:r>
        <w:tab/>
        <w:t>that is granted, after the making of the section 13 farm</w:t>
      </w:r>
      <w:r>
        <w:noBreakHyphen/>
        <w:t>in agreement, to replace (wholly or partly) the derivative mining right referred to in subsection (1)(a) of section 13 or an earlier replacement derivative mining right; and</w:t>
      </w:r>
    </w:p>
    <w:p>
      <w:pPr>
        <w:pStyle w:val="yDefsubpara"/>
      </w:pPr>
      <w:r>
        <w:tab/>
        <w:t>(ii)</w:t>
      </w:r>
      <w:r>
        <w:tab/>
        <w:t>that relates only to the land, or to a part of the land, the subject of the derivative mining right that is replaced; and</w:t>
      </w:r>
    </w:p>
    <w:p>
      <w:pPr>
        <w:pStyle w:val="yDefsubpara"/>
      </w:pPr>
      <w:r>
        <w:tab/>
        <w:t>(iii)</w:t>
      </w:r>
      <w:r>
        <w:tab/>
        <w:t>subject to subclause (2), that does not authorise any mining beyond the mining authorised by the derivative mining right that is replaced; and</w:t>
      </w:r>
    </w:p>
    <w:p>
      <w:pPr>
        <w:pStyle w:val="yDefsubpara"/>
      </w:pPr>
      <w:r>
        <w:tab/>
        <w:t>(iv)</w:t>
      </w:r>
      <w:r>
        <w:tab/>
        <w:t>of which the person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91M(7) and (8);</w:t>
      </w:r>
    </w:p>
    <w:p>
      <w:pPr>
        <w:pStyle w:val="yDefstart"/>
      </w:pPr>
      <w:r>
        <w:tab/>
      </w:r>
      <w:r>
        <w:rPr>
          <w:rStyle w:val="CharDefText"/>
        </w:rPr>
        <w:t>replacement mining tenement</w:t>
      </w:r>
      <w:r>
        <w:t xml:space="preserve"> has the meaning given in clause 73(1).</w:t>
      </w:r>
    </w:p>
    <w:p>
      <w:pPr>
        <w:pStyle w:val="ySubsection"/>
      </w:pPr>
      <w:r>
        <w:tab/>
        <w:t>(2)</w:t>
      </w:r>
      <w:r>
        <w:tab/>
        <w:t xml:space="preserve">The requirement in paragraph (a)(iii) of the definition of </w:t>
      </w:r>
      <w:r>
        <w:rPr>
          <w:b/>
          <w:i/>
        </w:rPr>
        <w:t>replacement derivative mining right</w:t>
      </w:r>
      <w:r>
        <w:t xml:space="preserve"> in subclause (1) does not have to be met if — </w:t>
      </w:r>
    </w:p>
    <w:p>
      <w:pPr>
        <w:pStyle w:val="y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yIndenta"/>
      </w:pPr>
      <w:r>
        <w:tab/>
        <w:t>(b)</w:t>
      </w:r>
      <w:r>
        <w:tab/>
        <w:t>the new mining tenement authorises mining beyond the mining authorised by the previous mining tenement; and</w:t>
      </w:r>
    </w:p>
    <w:p>
      <w:pPr>
        <w:pStyle w:val="yIndenta"/>
      </w:pPr>
      <w:r>
        <w:tab/>
        <w:t>(c)</w:t>
      </w:r>
      <w:r>
        <w:tab/>
        <w:t>the derivative mining right only authorises mining for minerals for which mining is authorised by the derivative mining right that is replaced.</w:t>
      </w:r>
    </w:p>
    <w:p>
      <w:pPr>
        <w:pStyle w:val="ySubsection"/>
      </w:pPr>
      <w:r>
        <w:tab/>
        <w:t>(3)</w:t>
      </w:r>
      <w:r>
        <w:tab/>
        <w:t>This Act is taken to have applied during the period beginning on 13 June 2019 and ending on the day before amendment day, and applies on and after amendment day under clause 66, subject to subclauses (4) to (11).</w:t>
      </w:r>
    </w:p>
    <w:p>
      <w:pPr>
        <w:pStyle w:val="ySubsection"/>
      </w:pPr>
      <w:r>
        <w:tab/>
        <w:t>(4)</w:t>
      </w:r>
      <w:r>
        <w:tab/>
        <w:t>Duty is not chargeable on a dutiable transaction under a section 13 farm</w:t>
      </w:r>
      <w:r>
        <w:noBreakHyphen/>
        <w:t xml:space="preserve">in agreement if — </w:t>
      </w:r>
    </w:p>
    <w:p>
      <w:pPr>
        <w:pStyle w:val="yIndenta"/>
      </w:pPr>
      <w:r>
        <w:tab/>
        <w:t>(a)</w:t>
      </w:r>
      <w:r>
        <w:tab/>
        <w:t>the dutiable transaction involves a derivative mining right; and</w:t>
      </w:r>
    </w:p>
    <w:p>
      <w:pPr>
        <w:pStyle w:val="yIndenta"/>
      </w:pPr>
      <w:r>
        <w:tab/>
        <w:t>(b)</w:t>
      </w:r>
      <w:r>
        <w:tab/>
        <w:t>the section 13 farm</w:t>
      </w:r>
      <w:r>
        <w:noBreakHyphen/>
        <w:t>in agreement is duty endorsed; and</w:t>
      </w:r>
    </w:p>
    <w:p>
      <w:pPr>
        <w:pStyle w:val="yIndenta"/>
      </w:pPr>
      <w:r>
        <w:tab/>
        <w:t>(c)</w:t>
      </w:r>
      <w:r>
        <w:tab/>
        <w:t>the section 13 exploration requirement for the section 13 farm</w:t>
      </w:r>
      <w:r>
        <w:noBreakHyphen/>
        <w:t>in agreement has been fulfilled.</w:t>
      </w:r>
    </w:p>
    <w:p>
      <w:pPr>
        <w:pStyle w:val="ySubsection"/>
      </w:pPr>
      <w:r>
        <w:tab/>
        <w:t>(5)</w:t>
      </w:r>
      <w:r>
        <w:tab/>
        <w:t xml:space="preserve">Duty is not chargeable on a dutiable transaction involving a derivative mining right if — </w:t>
      </w:r>
    </w:p>
    <w:p>
      <w:pPr>
        <w:pStyle w:val="yIndenta"/>
      </w:pPr>
      <w:r>
        <w:tab/>
        <w:t>(a)</w:t>
      </w:r>
      <w:r>
        <w:tab/>
        <w:t xml:space="preserve">the derivative mining right relates to a mining tenement (the </w:t>
      </w:r>
      <w:r>
        <w:rPr>
          <w:rStyle w:val="CharDefText"/>
        </w:rPr>
        <w:t>affected mining tenement</w:t>
      </w:r>
      <w:r>
        <w:t>) that is a replacement mining tenement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(6)</w:t>
      </w:r>
      <w:r>
        <w:tab/>
        <w:t xml:space="preserve">Duty is not chargeable on a dutiable transaction involving a derivative mining right (the </w:t>
      </w:r>
      <w:r>
        <w:rPr>
          <w:rStyle w:val="CharDefText"/>
        </w:rPr>
        <w:t>affected derivative mining right</w:t>
      </w:r>
      <w:r>
        <w:t xml:space="preserve">) if — </w:t>
      </w:r>
    </w:p>
    <w:p>
      <w:pPr>
        <w:pStyle w:val="yIndenta"/>
      </w:pPr>
      <w:r>
        <w:tab/>
        <w:t>(a)</w:t>
      </w:r>
      <w:r>
        <w:tab/>
        <w:t>the affected derivative mining right is a replacement derivative mining right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derivative mining right is a replacement derivative mining right or a replacement derivative mining right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(7)</w:t>
      </w:r>
      <w:r>
        <w:tab/>
        <w:t>In subclauses (5)(b)(i) and (6)(b)(i), references to a dutiable transaction include a transaction that would be a dutiable transaction but for the application of section 91DA to the transaction.</w:t>
      </w:r>
    </w:p>
    <w:p>
      <w:pPr>
        <w:pStyle w:val="ySubsection"/>
      </w:pPr>
      <w:r>
        <w:tab/>
        <w:t>(8)</w:t>
      </w:r>
      <w:r>
        <w:tab/>
        <w:t>The requirement of subclause (4)(b), (5)(c) or (6)(c) does not have to be met if the section 13 farm</w:t>
      </w:r>
      <w:r>
        <w:noBreakHyphen/>
        <w:t>in agreement is not duty endorsed because of the application of section 91DA to the section 13 farm</w:t>
      </w:r>
      <w:r>
        <w:noBreakHyphen/>
        <w:t>in agreement.</w:t>
      </w:r>
    </w:p>
    <w:p>
      <w:pPr>
        <w:pStyle w:val="ySubsection"/>
      </w:pPr>
      <w:r>
        <w:tab/>
        <w:t>(9)</w:t>
      </w:r>
      <w:r>
        <w:tab/>
        <w:t xml:space="preserve">Duty is chargeable on a dutiable transaction to which subclause (4), (5) or (6) would otherwise apply if — </w:t>
      </w:r>
    </w:p>
    <w:p>
      <w:pPr>
        <w:pStyle w:val="yIndenta"/>
      </w:pPr>
      <w:r>
        <w:tab/>
        <w:t>(a)</w:t>
      </w:r>
      <w:r>
        <w:tab/>
        <w:t>there is, or will be, consideration for the dutiable transaction;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(10)</w:t>
      </w:r>
      <w:r>
        <w:tab/>
        <w:t xml:space="preserve">For the purposes of subclause (9), the dutiable value of the dutiable transaction is — </w:t>
      </w:r>
    </w:p>
    <w:p>
      <w:pPr>
        <w:pStyle w:val="yIndenta"/>
      </w:pPr>
      <w:r>
        <w:tab/>
        <w:t>(a)</w:t>
      </w:r>
      <w:r>
        <w:tab/>
        <w:t>if the section 13 farm</w:t>
      </w:r>
      <w:r>
        <w:noBreakHyphen/>
        <w:t>in agreement concerned is not duty endorsed as referred to in subclause (8) — the consideration for the dutiable transaction;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(11)</w:t>
      </w:r>
      <w:r>
        <w:tab/>
        <w:t>For the purposes of subclauses (9) and (10), the section 13 exploration amount for the section 13 farm</w:t>
      </w:r>
      <w:r>
        <w:noBreakHyphen/>
        <w:t>in agreement concerned is taken not to be consideration for the dutiable transaction.</w:t>
      </w:r>
    </w:p>
    <w:p>
      <w:pPr>
        <w:pStyle w:val="yFootnotesection"/>
      </w:pPr>
      <w:r>
        <w:tab/>
        <w:t>[Clause 74 inserted: No. 37 of 2022 s. 14.]</w:t>
      </w:r>
    </w:p>
    <w:p>
      <w:pPr>
        <w:pStyle w:val="yHeading3"/>
        <w:rPr>
          <w:ins w:id="2042" w:author="Master Repository Process" w:date="2025-06-09T09:56:00Z"/>
        </w:rPr>
      </w:pPr>
      <w:bookmarkStart w:id="2043" w:name="_Toc161401039"/>
      <w:bookmarkStart w:id="2044" w:name="_Toc161401697"/>
      <w:ins w:id="2045" w:author="Master Repository Process" w:date="2025-06-09T09:56:00Z">
        <w:r>
          <w:rPr>
            <w:rStyle w:val="CharSDivNo"/>
          </w:rPr>
          <w:t>Division 12</w:t>
        </w:r>
        <w:r>
          <w:t> — </w:t>
        </w:r>
        <w:r>
          <w:rPr>
            <w:rStyle w:val="CharSDivText"/>
          </w:rPr>
          <w:t xml:space="preserve">Provisions for </w:t>
        </w:r>
        <w:r>
          <w:rPr>
            <w:rStyle w:val="CharSDivText"/>
            <w:i/>
          </w:rPr>
          <w:t>Duties Amendment (Off</w:t>
        </w:r>
        <w:r>
          <w:rPr>
            <w:rStyle w:val="CharSDivText"/>
            <w:i/>
          </w:rPr>
          <w:noBreakHyphen/>
          <w:t>the</w:t>
        </w:r>
        <w:r>
          <w:rPr>
            <w:rStyle w:val="CharSDivText"/>
            <w:i/>
          </w:rPr>
          <w:noBreakHyphen/>
          <w:t>Plan Concession and Foreign Persons Exemptions) Act 2023</w:t>
        </w:r>
        <w:bookmarkEnd w:id="2043"/>
        <w:bookmarkEnd w:id="2044"/>
      </w:ins>
    </w:p>
    <w:p>
      <w:pPr>
        <w:pStyle w:val="yFootnoteheading"/>
        <w:keepNext/>
        <w:rPr>
          <w:ins w:id="2046" w:author="Master Repository Process" w:date="2025-06-09T09:56:00Z"/>
        </w:rPr>
      </w:pPr>
      <w:ins w:id="2047" w:author="Master Repository Process" w:date="2025-06-09T09:56:00Z">
        <w:r>
          <w:tab/>
          <w:t>[Heading inserted: No. 29 of 2023 s. 9.]</w:t>
        </w:r>
      </w:ins>
    </w:p>
    <w:p>
      <w:pPr>
        <w:pStyle w:val="yHeading5"/>
        <w:rPr>
          <w:ins w:id="2048" w:author="Master Repository Process" w:date="2025-06-09T09:56:00Z"/>
        </w:rPr>
      </w:pPr>
      <w:bookmarkStart w:id="2049" w:name="_Toc161401698"/>
      <w:ins w:id="2050" w:author="Master Repository Process" w:date="2025-06-09T09:56:00Z">
        <w:r>
          <w:rPr>
            <w:rStyle w:val="CharSClsNo"/>
          </w:rPr>
          <w:t>75</w:t>
        </w:r>
        <w:r>
          <w:t>.</w:t>
        </w:r>
        <w:r>
          <w:tab/>
          <w:t>Terms used</w:t>
        </w:r>
        <w:bookmarkEnd w:id="2049"/>
      </w:ins>
    </w:p>
    <w:p>
      <w:pPr>
        <w:pStyle w:val="ySubsection"/>
        <w:rPr>
          <w:ins w:id="2051" w:author="Master Repository Process" w:date="2025-06-09T09:56:00Z"/>
        </w:rPr>
      </w:pPr>
      <w:ins w:id="2052" w:author="Master Repository Process" w:date="2025-06-09T09:56:00Z">
        <w:r>
          <w:tab/>
        </w:r>
        <w:r>
          <w:tab/>
          <w:t xml:space="preserve">In this Division — </w:t>
        </w:r>
      </w:ins>
    </w:p>
    <w:p>
      <w:pPr>
        <w:pStyle w:val="yDefstart"/>
        <w:rPr>
          <w:ins w:id="2053" w:author="Master Repository Process" w:date="2025-06-09T09:56:00Z"/>
        </w:rPr>
      </w:pPr>
      <w:ins w:id="2054" w:author="Master Repository Process" w:date="2025-06-09T09:56:00Z">
        <w:r>
          <w:tab/>
        </w:r>
        <w:r>
          <w:rPr>
            <w:rStyle w:val="CharDefText"/>
          </w:rPr>
          <w:t>commencement day</w:t>
        </w:r>
        <w:r>
          <w:t xml:space="preserve"> means the day on which the </w:t>
        </w:r>
        <w:r>
          <w:rPr>
            <w:i/>
          </w:rPr>
          <w:t>Duties Amendment (Off</w:t>
        </w:r>
        <w:r>
          <w:rPr>
            <w:i/>
          </w:rPr>
          <w:noBreakHyphen/>
          <w:t>the</w:t>
        </w:r>
        <w:r>
          <w:rPr>
            <w:i/>
          </w:rPr>
          <w:noBreakHyphen/>
          <w:t>Plan Concession and Foreign Persons Exemptions) Act 2023</w:t>
        </w:r>
        <w:r>
          <w:t xml:space="preserve"> section 3 comes into operation.</w:t>
        </w:r>
      </w:ins>
    </w:p>
    <w:p>
      <w:pPr>
        <w:pStyle w:val="yFootnotesection"/>
        <w:rPr>
          <w:ins w:id="2055" w:author="Master Repository Process" w:date="2025-06-09T09:56:00Z"/>
        </w:rPr>
      </w:pPr>
      <w:ins w:id="2056" w:author="Master Repository Process" w:date="2025-06-09T09:56:00Z">
        <w:r>
          <w:tab/>
          <w:t>[Clause 75 inserted: No. 29 of 2023 s. 9.]</w:t>
        </w:r>
      </w:ins>
    </w:p>
    <w:p>
      <w:pPr>
        <w:pStyle w:val="yHeading5"/>
        <w:rPr>
          <w:ins w:id="2057" w:author="Master Repository Process" w:date="2025-06-09T09:56:00Z"/>
        </w:rPr>
      </w:pPr>
      <w:bookmarkStart w:id="2058" w:name="_Toc161401699"/>
      <w:ins w:id="2059" w:author="Master Repository Process" w:date="2025-06-09T09:56:00Z">
        <w:r>
          <w:rPr>
            <w:rStyle w:val="CharSClsNo"/>
          </w:rPr>
          <w:t>76</w:t>
        </w:r>
        <w:r>
          <w:t>.</w:t>
        </w:r>
        <w:r>
          <w:tab/>
          <w:t>Provisions relating to amendments to Chapter 3A</w:t>
        </w:r>
        <w:bookmarkEnd w:id="2058"/>
      </w:ins>
    </w:p>
    <w:p>
      <w:pPr>
        <w:pStyle w:val="ySubsection"/>
        <w:rPr>
          <w:ins w:id="2060" w:author="Master Repository Process" w:date="2025-06-09T09:56:00Z"/>
        </w:rPr>
      </w:pPr>
      <w:ins w:id="2061" w:author="Master Repository Process" w:date="2025-06-09T09:56:00Z">
        <w:r>
          <w:tab/>
          <w:t>(1)</w:t>
        </w:r>
        <w:r>
          <w:tab/>
          <w:t xml:space="preserve">In this clause — </w:t>
        </w:r>
      </w:ins>
    </w:p>
    <w:p>
      <w:pPr>
        <w:pStyle w:val="yDefstart"/>
        <w:rPr>
          <w:ins w:id="2062" w:author="Master Repository Process" w:date="2025-06-09T09:56:00Z"/>
        </w:rPr>
      </w:pPr>
      <w:ins w:id="2063" w:author="Master Repository Process" w:date="2025-06-09T09:56:00Z">
        <w:r>
          <w:tab/>
        </w:r>
        <w:r>
          <w:rPr>
            <w:rStyle w:val="CharDefText"/>
          </w:rPr>
          <w:t>amended exemption provisions</w:t>
        </w:r>
        <w:r>
          <w:t xml:space="preserve"> means sections 205ZA, 205ZB, 205ZO and 205ZP, as amended by the </w:t>
        </w:r>
        <w:r>
          <w:rPr>
            <w:i/>
          </w:rPr>
          <w:t>Duties Amendment (Off</w:t>
        </w:r>
        <w:r>
          <w:rPr>
            <w:i/>
          </w:rPr>
          <w:noBreakHyphen/>
          <w:t>the</w:t>
        </w:r>
        <w:r>
          <w:rPr>
            <w:i/>
          </w:rPr>
          <w:noBreakHyphen/>
          <w:t xml:space="preserve">Plan Concession and Foreign Persons Exemptions) Act 2023 </w:t>
        </w:r>
        <w:r>
          <w:t>sections 4 to 7;</w:t>
        </w:r>
      </w:ins>
    </w:p>
    <w:p>
      <w:pPr>
        <w:pStyle w:val="yDefstart"/>
        <w:rPr>
          <w:ins w:id="2064" w:author="Master Repository Process" w:date="2025-06-09T09:56:00Z"/>
        </w:rPr>
      </w:pPr>
      <w:ins w:id="2065" w:author="Master Repository Process" w:date="2025-06-09T09:56:00Z">
        <w:r>
          <w:tab/>
        </w:r>
        <w:r>
          <w:rPr>
            <w:rStyle w:val="CharDefText"/>
          </w:rPr>
          <w:t>relevant exempt transaction or acquisition</w:t>
        </w:r>
        <w:r>
          <w:t xml:space="preserve"> means a foreign dutiable transaction or an acquisition that meets the requirements for an exemption under an amended exemption provision if the transaction or acquisition occurs — </w:t>
        </w:r>
      </w:ins>
    </w:p>
    <w:p>
      <w:pPr>
        <w:pStyle w:val="yDefpara"/>
        <w:rPr>
          <w:ins w:id="2066" w:author="Master Repository Process" w:date="2025-06-09T09:56:00Z"/>
        </w:rPr>
      </w:pPr>
      <w:ins w:id="2067" w:author="Master Repository Process" w:date="2025-06-09T09:56:00Z">
        <w:r>
          <w:tab/>
          <w:t>(a)</w:t>
        </w:r>
        <w:r>
          <w:tab/>
          <w:t>on or after 1 January 2023; or</w:t>
        </w:r>
      </w:ins>
    </w:p>
    <w:p>
      <w:pPr>
        <w:pStyle w:val="yDefpara"/>
        <w:rPr>
          <w:ins w:id="2068" w:author="Master Repository Process" w:date="2025-06-09T09:56:00Z"/>
        </w:rPr>
      </w:pPr>
      <w:ins w:id="2069" w:author="Master Repository Process" w:date="2025-06-09T09:56:00Z">
        <w:r>
          <w:tab/>
          <w:t>(b)</w:t>
        </w:r>
        <w:r>
          <w:tab/>
          <w:t xml:space="preserve">before 1 January 2023 if — </w:t>
        </w:r>
      </w:ins>
    </w:p>
    <w:p>
      <w:pPr>
        <w:pStyle w:val="yDefsubpara"/>
        <w:rPr>
          <w:ins w:id="2070" w:author="Master Repository Process" w:date="2025-06-09T09:56:00Z"/>
        </w:rPr>
      </w:pPr>
      <w:ins w:id="2071" w:author="Master Repository Process" w:date="2025-06-09T09:56:00Z">
        <w:r>
          <w:tab/>
          <w:t>(i)</w:t>
        </w:r>
        <w:r>
          <w:tab/>
          <w:t>in the case of a transaction to which section 205ZA applies — the requirement in section 205ZA(2)(c) becomes satisfied on or after that day; or</w:t>
        </w:r>
      </w:ins>
    </w:p>
    <w:p>
      <w:pPr>
        <w:pStyle w:val="yDefsubpara"/>
        <w:rPr>
          <w:ins w:id="2072" w:author="Master Repository Process" w:date="2025-06-09T09:56:00Z"/>
        </w:rPr>
      </w:pPr>
      <w:ins w:id="2073" w:author="Master Repository Process" w:date="2025-06-09T09:56:00Z">
        <w:r>
          <w:tab/>
          <w:t>(ii)</w:t>
        </w:r>
        <w:r>
          <w:tab/>
          <w:t>in the case of a transaction to which section 205ZB applies — the requirement in section 205ZB(2)(c) becomes satisfied on or after that day; or</w:t>
        </w:r>
      </w:ins>
    </w:p>
    <w:p>
      <w:pPr>
        <w:pStyle w:val="yDefsubpara"/>
        <w:rPr>
          <w:ins w:id="2074" w:author="Master Repository Process" w:date="2025-06-09T09:56:00Z"/>
        </w:rPr>
      </w:pPr>
      <w:ins w:id="2075" w:author="Master Repository Process" w:date="2025-06-09T09:56:00Z">
        <w:r>
          <w:tab/>
          <w:t>(iii)</w:t>
        </w:r>
        <w:r>
          <w:tab/>
          <w:t>in the case of an acquisition to which section 205ZO applies — the requirement in section 205ZO(1)(c) becomes satisfied on or after that day; or</w:t>
        </w:r>
      </w:ins>
    </w:p>
    <w:p>
      <w:pPr>
        <w:pStyle w:val="yDefsubpara"/>
        <w:rPr>
          <w:ins w:id="2076" w:author="Master Repository Process" w:date="2025-06-09T09:56:00Z"/>
        </w:rPr>
      </w:pPr>
      <w:ins w:id="2077" w:author="Master Repository Process" w:date="2025-06-09T09:56:00Z">
        <w:r>
          <w:tab/>
          <w:t>(iv)</w:t>
        </w:r>
        <w:r>
          <w:tab/>
          <w:t>in the case of an acquisition to which section 205ZP applies — the requirement in section 205ZP(1)(c) becomes satisfied on or after that day.</w:t>
        </w:r>
      </w:ins>
    </w:p>
    <w:p>
      <w:pPr>
        <w:pStyle w:val="ySubsection"/>
        <w:rPr>
          <w:ins w:id="2078" w:author="Master Repository Process" w:date="2025-06-09T09:56:00Z"/>
        </w:rPr>
      </w:pPr>
      <w:ins w:id="2079" w:author="Master Repository Process" w:date="2025-06-09T09:56:00Z">
        <w:r>
          <w:tab/>
          <w:t>(2)</w:t>
        </w:r>
        <w:r>
          <w:tab/>
          <w:t>The amended exemption provisions apply to the imposition of duty on a relevant exempt transaction or acquisition, even if the transaction or acquisition occurred before commencement day.</w:t>
        </w:r>
      </w:ins>
    </w:p>
    <w:p>
      <w:pPr>
        <w:pStyle w:val="ySubsection"/>
        <w:rPr>
          <w:ins w:id="2080" w:author="Master Repository Process" w:date="2025-06-09T09:56:00Z"/>
        </w:rPr>
      </w:pPr>
      <w:ins w:id="2081" w:author="Master Repository Process" w:date="2025-06-09T09:56:00Z">
        <w:r>
          <w:tab/>
          <w:t>(3)</w:t>
        </w:r>
        <w:r>
          <w:tab/>
          <w:t>If an assessment of duty payable on a relevant transaction or acquisition was made before commencement day, the Commissioner may, on application or on the Commissioner’s own initiative, reassess the duty payable on the transaction or acquisition in accordance with the amended exemption provisions.</w:t>
        </w:r>
      </w:ins>
    </w:p>
    <w:p>
      <w:pPr>
        <w:pStyle w:val="ySubsection"/>
        <w:rPr>
          <w:ins w:id="2082" w:author="Master Repository Process" w:date="2025-06-09T09:56:00Z"/>
        </w:rPr>
      </w:pPr>
      <w:ins w:id="2083" w:author="Master Repository Process" w:date="2025-06-09T09:56:00Z">
        <w:r>
          <w:tab/>
          <w:t>(4)</w:t>
        </w:r>
        <w:r>
          <w:tab/>
          <w:t xml:space="preserve">Despite whichever of sections 205ZA(5), 205ZB(3), 205ZO(4) and 205ZP(2) is applicable, an application for reassessment referred to in subclause (3) may be made in the approved form on or before the later of the following — </w:t>
        </w:r>
      </w:ins>
    </w:p>
    <w:p>
      <w:pPr>
        <w:pStyle w:val="yIndenta"/>
        <w:rPr>
          <w:ins w:id="2084" w:author="Master Repository Process" w:date="2025-06-09T09:56:00Z"/>
        </w:rPr>
      </w:pPr>
      <w:ins w:id="2085" w:author="Master Repository Process" w:date="2025-06-09T09:56:00Z">
        <w:r>
          <w:tab/>
          <w:t>(a)</w:t>
        </w:r>
        <w:r>
          <w:tab/>
          <w:t>the day on or before which the application would, but for this subclause, be required to be made under section 205ZA(5), 205ZB(3), 205ZO(4) or 205ZP(2) (whichever is applicable);</w:t>
        </w:r>
      </w:ins>
    </w:p>
    <w:p>
      <w:pPr>
        <w:pStyle w:val="yIndenta"/>
        <w:rPr>
          <w:ins w:id="2086" w:author="Master Repository Process" w:date="2025-06-09T09:56:00Z"/>
        </w:rPr>
      </w:pPr>
      <w:ins w:id="2087" w:author="Master Repository Process" w:date="2025-06-09T09:56:00Z">
        <w:r>
          <w:tab/>
          <w:t>(b)</w:t>
        </w:r>
        <w:r>
          <w:tab/>
          <w:t>the last day of the period of 12 months beginning on commencement day.</w:t>
        </w:r>
      </w:ins>
    </w:p>
    <w:p>
      <w:pPr>
        <w:pStyle w:val="ySubsection"/>
        <w:rPr>
          <w:ins w:id="2088" w:author="Master Repository Process" w:date="2025-06-09T09:56:00Z"/>
        </w:rPr>
      </w:pPr>
      <w:ins w:id="2089" w:author="Master Repository Process" w:date="2025-06-09T09:56:00Z">
        <w:r>
          <w:tab/>
          <w:t>(5)</w:t>
        </w:r>
        <w:r>
          <w:tab/>
          <w:t>Subclauses (3) and (4) apply despite the Taxation Administration Act section 17.</w:t>
        </w:r>
      </w:ins>
    </w:p>
    <w:p>
      <w:pPr>
        <w:pStyle w:val="ySubsection"/>
        <w:rPr>
          <w:ins w:id="2090" w:author="Master Repository Process" w:date="2025-06-09T09:56:00Z"/>
        </w:rPr>
      </w:pPr>
      <w:ins w:id="2091" w:author="Master Repository Process" w:date="2025-06-09T09:56:00Z">
        <w:r>
          <w:tab/>
          <w:t>(6)</w:t>
        </w:r>
        <w:r>
          <w:tab/>
          <w:t>For the purposes of this clause, when an acquisition occurs is to be determined under section 176 as applied by section 205ZE(1).</w:t>
        </w:r>
      </w:ins>
    </w:p>
    <w:p>
      <w:pPr>
        <w:pStyle w:val="yFootnotesection"/>
        <w:rPr>
          <w:ins w:id="2092" w:author="Master Repository Process" w:date="2025-06-09T09:56:00Z"/>
        </w:rPr>
      </w:pPr>
      <w:ins w:id="2093" w:author="Master Repository Process" w:date="2025-06-09T09:56:00Z">
        <w:r>
          <w:tab/>
          <w:t>[Clause 76 inserted: No. 29 of 2023 s. 9.]</w:t>
        </w:r>
      </w:ins>
    </w:p>
    <w:p>
      <w:pPr>
        <w:pStyle w:val="yHeading5"/>
        <w:rPr>
          <w:ins w:id="2094" w:author="Master Repository Process" w:date="2025-06-09T09:56:00Z"/>
        </w:rPr>
      </w:pPr>
      <w:bookmarkStart w:id="2095" w:name="_Toc161401700"/>
      <w:ins w:id="2096" w:author="Master Repository Process" w:date="2025-06-09T09:56:00Z">
        <w:r>
          <w:rPr>
            <w:rStyle w:val="CharSClsNo"/>
          </w:rPr>
          <w:t>77</w:t>
        </w:r>
        <w:r>
          <w:t>.</w:t>
        </w:r>
        <w:r>
          <w:tab/>
          <w:t>Provisions relating to Chapter 6A</w:t>
        </w:r>
        <w:bookmarkEnd w:id="2095"/>
      </w:ins>
    </w:p>
    <w:p>
      <w:pPr>
        <w:pStyle w:val="ySubsection"/>
        <w:rPr>
          <w:ins w:id="2097" w:author="Master Repository Process" w:date="2025-06-09T09:56:00Z"/>
        </w:rPr>
      </w:pPr>
      <w:ins w:id="2098" w:author="Master Repository Process" w:date="2025-06-09T09:56:00Z">
        <w:r>
          <w:tab/>
          <w:t>(1)</w:t>
        </w:r>
        <w:r>
          <w:tab/>
          <w:t>If a term used in this clause is given a meaning in section 266E, it has the same meaning in this clause.</w:t>
        </w:r>
      </w:ins>
    </w:p>
    <w:p>
      <w:pPr>
        <w:pStyle w:val="ySubsection"/>
        <w:rPr>
          <w:ins w:id="2099" w:author="Master Repository Process" w:date="2025-06-09T09:56:00Z"/>
        </w:rPr>
      </w:pPr>
      <w:ins w:id="2100" w:author="Master Repository Process" w:date="2025-06-09T09:56:00Z">
        <w:r>
          <w:tab/>
          <w:t>(2)</w:t>
        </w:r>
        <w:r>
          <w:tab/>
          <w:t>Chapter 6A applies to the imposition of duty on a concessional pre</w:t>
        </w:r>
        <w:r>
          <w:noBreakHyphen/>
          <w:t>construction agreement even if the agreement was entered into in the period beginning on 23 October 2019 and ending immediately before commencement day.</w:t>
        </w:r>
      </w:ins>
    </w:p>
    <w:p>
      <w:pPr>
        <w:pStyle w:val="PermNoteHeading"/>
        <w:rPr>
          <w:ins w:id="2101" w:author="Master Repository Process" w:date="2025-06-09T09:56:00Z"/>
        </w:rPr>
      </w:pPr>
      <w:ins w:id="2102" w:author="Master Repository Process" w:date="2025-06-09T09:56:00Z">
        <w:r>
          <w:tab/>
          <w:t>Notes for this subclause:</w:t>
        </w:r>
      </w:ins>
    </w:p>
    <w:p>
      <w:pPr>
        <w:pStyle w:val="PermNoteText"/>
        <w:rPr>
          <w:ins w:id="2103" w:author="Master Repository Process" w:date="2025-06-09T09:56:00Z"/>
        </w:rPr>
      </w:pPr>
      <w:ins w:id="2104" w:author="Master Repository Process" w:date="2025-06-09T09:56:00Z">
        <w:r>
          <w:tab/>
          <w:t>1.</w:t>
        </w:r>
        <w:r>
          <w:tab/>
          <w:t>An agreement entered into before 23 October 2019 is not a concessional pre</w:t>
        </w:r>
        <w:r>
          <w:noBreakHyphen/>
          <w:t>construction agreement under section 266F.</w:t>
        </w:r>
      </w:ins>
    </w:p>
    <w:p>
      <w:pPr>
        <w:pStyle w:val="PermNoteText"/>
        <w:keepNext/>
        <w:rPr>
          <w:ins w:id="2105" w:author="Master Repository Process" w:date="2025-06-09T09:56:00Z"/>
        </w:rPr>
      </w:pPr>
      <w:ins w:id="2106" w:author="Master Repository Process" w:date="2025-06-09T09:56:00Z">
        <w:r>
          <w:tab/>
          <w:t>2.</w:t>
        </w:r>
        <w:r>
          <w:tab/>
          <w:t>Under section 266F(3), certain agreements are excluded from being concessional pre</w:t>
        </w:r>
        <w:r>
          <w:noBreakHyphen/>
          <w:t xml:space="preserve">construction agreements, including — </w:t>
        </w:r>
      </w:ins>
    </w:p>
    <w:p>
      <w:pPr>
        <w:pStyle w:val="PermNotePara"/>
        <w:rPr>
          <w:ins w:id="2107" w:author="Master Repository Process" w:date="2025-06-09T09:56:00Z"/>
        </w:rPr>
      </w:pPr>
      <w:ins w:id="2108" w:author="Master Repository Process" w:date="2025-06-09T09:56:00Z">
        <w:r>
          <w:tab/>
          <w:t>(a)</w:t>
        </w:r>
        <w:r>
          <w:tab/>
          <w:t>agreements in relation to which a rebate has been paid under the Off</w:t>
        </w:r>
        <w:r>
          <w:noBreakHyphen/>
          <w:t>the</w:t>
        </w:r>
        <w:r>
          <w:noBreakHyphen/>
          <w:t>Plan Duty Rebate Scheme (see section 266F(3)(a)); and</w:t>
        </w:r>
      </w:ins>
    </w:p>
    <w:p>
      <w:pPr>
        <w:pStyle w:val="PermNotePara"/>
        <w:rPr>
          <w:ins w:id="2109" w:author="Master Repository Process" w:date="2025-06-09T09:56:00Z"/>
        </w:rPr>
      </w:pPr>
      <w:ins w:id="2110" w:author="Master Repository Process" w:date="2025-06-09T09:56:00Z">
        <w:r>
          <w:tab/>
          <w:t>(b)</w:t>
        </w:r>
        <w:r>
          <w:tab/>
          <w:t>agreements that were not eligible for a rebate under the Off</w:t>
        </w:r>
        <w:r>
          <w:noBreakHyphen/>
          <w:t>the</w:t>
        </w:r>
        <w:r>
          <w:noBreakHyphen/>
          <w:t>Plan Duty Rebate Scheme where development for the relevant subdivision of land is completed before 31 August 2023 (see section 266F(3)(b)).</w:t>
        </w:r>
      </w:ins>
    </w:p>
    <w:p>
      <w:pPr>
        <w:pStyle w:val="ySubsection"/>
        <w:rPr>
          <w:ins w:id="2111" w:author="Master Repository Process" w:date="2025-06-09T09:56:00Z"/>
        </w:rPr>
      </w:pPr>
      <w:ins w:id="2112" w:author="Master Repository Process" w:date="2025-06-09T09:56:00Z">
        <w:r>
          <w:tab/>
          <w:t>(3)</w:t>
        </w:r>
        <w:r>
          <w:tab/>
          <w:t>Chapter 6A applies to the imposition of duty on a concessional under construction agreement even if the agreement was entered into in the period beginning on 31 August 2023 and ending immediately before commencement day.</w:t>
        </w:r>
      </w:ins>
    </w:p>
    <w:p>
      <w:pPr>
        <w:pStyle w:val="PermNoteHeading"/>
        <w:rPr>
          <w:ins w:id="2113" w:author="Master Repository Process" w:date="2025-06-09T09:56:00Z"/>
        </w:rPr>
      </w:pPr>
      <w:ins w:id="2114" w:author="Master Repository Process" w:date="2025-06-09T09:56:00Z">
        <w:r>
          <w:tab/>
          <w:t>Note for this subclause:</w:t>
        </w:r>
      </w:ins>
    </w:p>
    <w:p>
      <w:pPr>
        <w:pStyle w:val="PermNoteText"/>
        <w:rPr>
          <w:ins w:id="2115" w:author="Master Repository Process" w:date="2025-06-09T09:56:00Z"/>
        </w:rPr>
      </w:pPr>
      <w:ins w:id="2116" w:author="Master Repository Process" w:date="2025-06-09T09:56:00Z">
        <w:r>
          <w:tab/>
        </w:r>
        <w:r>
          <w:tab/>
          <w:t>An agreement entered into before 31 August 2023 is not a concessional under construction agreement under section 266FA.</w:t>
        </w:r>
      </w:ins>
    </w:p>
    <w:p>
      <w:pPr>
        <w:pStyle w:val="ySubsection"/>
        <w:rPr>
          <w:ins w:id="2117" w:author="Master Repository Process" w:date="2025-06-09T09:56:00Z"/>
        </w:rPr>
      </w:pPr>
      <w:ins w:id="2118" w:author="Master Repository Process" w:date="2025-06-09T09:56:00Z">
        <w:r>
          <w:tab/>
          <w:t>(4)</w:t>
        </w:r>
        <w:r>
          <w:tab/>
          <w:t>If an assessment of duty payable on a concessional off</w:t>
        </w:r>
        <w:r>
          <w:noBreakHyphen/>
          <w:t>the</w:t>
        </w:r>
        <w:r>
          <w:noBreakHyphen/>
          <w:t>plan agreement was made before commencement day, the Commissioner may, on application or on the Commissioner’s own initiative, reassess the duty payable on the agreement in accordance with Chapter 6A.</w:t>
        </w:r>
      </w:ins>
    </w:p>
    <w:p>
      <w:pPr>
        <w:pStyle w:val="ySubsection"/>
        <w:rPr>
          <w:ins w:id="2119" w:author="Master Repository Process" w:date="2025-06-09T09:56:00Z"/>
        </w:rPr>
      </w:pPr>
      <w:ins w:id="2120" w:author="Master Repository Process" w:date="2025-06-09T09:56:00Z">
        <w:r>
          <w:tab/>
          <w:t>(5)</w:t>
        </w:r>
        <w:r>
          <w:tab/>
          <w:t xml:space="preserve">Despite section 266O, an application for reassessment referred to in subclause (4) may be made in the approved form on or before the later of the following — </w:t>
        </w:r>
      </w:ins>
    </w:p>
    <w:p>
      <w:pPr>
        <w:pStyle w:val="yIndenta"/>
        <w:rPr>
          <w:ins w:id="2121" w:author="Master Repository Process" w:date="2025-06-09T09:56:00Z"/>
        </w:rPr>
      </w:pPr>
      <w:ins w:id="2122" w:author="Master Repository Process" w:date="2025-06-09T09:56:00Z">
        <w:r>
          <w:tab/>
          <w:t>(a)</w:t>
        </w:r>
        <w:r>
          <w:tab/>
          <w:t>the last day of the period that applies under section 266O(1);</w:t>
        </w:r>
      </w:ins>
    </w:p>
    <w:p>
      <w:pPr>
        <w:pStyle w:val="yIndenta"/>
        <w:rPr>
          <w:ins w:id="2123" w:author="Master Repository Process" w:date="2025-06-09T09:56:00Z"/>
        </w:rPr>
      </w:pPr>
      <w:ins w:id="2124" w:author="Master Repository Process" w:date="2025-06-09T09:56:00Z">
        <w:r>
          <w:tab/>
          <w:t>(b)</w:t>
        </w:r>
        <w:r>
          <w:tab/>
          <w:t>the last day of the period of 12 months beginning on commencement day.</w:t>
        </w:r>
      </w:ins>
    </w:p>
    <w:p>
      <w:pPr>
        <w:pStyle w:val="ySubsection"/>
        <w:rPr>
          <w:ins w:id="2125" w:author="Master Repository Process" w:date="2025-06-09T09:56:00Z"/>
        </w:rPr>
      </w:pPr>
      <w:ins w:id="2126" w:author="Master Repository Process" w:date="2025-06-09T09:56:00Z">
        <w:r>
          <w:tab/>
          <w:t>(6)</w:t>
        </w:r>
        <w:r>
          <w:tab/>
          <w:t>Subclauses (4) and (5) apply despite the Taxation Administration Act section 17.</w:t>
        </w:r>
      </w:ins>
    </w:p>
    <w:p>
      <w:pPr>
        <w:pStyle w:val="yFootnotesection"/>
        <w:rPr>
          <w:ins w:id="2127" w:author="Master Repository Process" w:date="2025-06-09T09:56:00Z"/>
        </w:rPr>
      </w:pPr>
      <w:ins w:id="2128" w:author="Master Repository Process" w:date="2025-06-09T09:56:00Z">
        <w:r>
          <w:tab/>
          <w:t>[Clause 77 inserted: No. 29 of 2023 s. 9.]</w:t>
        </w:r>
      </w:ins>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81" w:right="2410" w:bottom="3544" w:left="2410" w:header="720" w:footer="3544" w:gutter="0"/>
          <w:cols w:space="720"/>
          <w:docGrid w:linePitch="326"/>
        </w:sectPr>
      </w:pPr>
    </w:p>
    <w:p>
      <w:pPr>
        <w:pStyle w:val="nHeading2"/>
      </w:pPr>
      <w:bookmarkStart w:id="2129" w:name="_Toc161401043"/>
      <w:bookmarkStart w:id="2130" w:name="_Toc161401701"/>
      <w:bookmarkStart w:id="2131" w:name="_Toc154754181"/>
      <w:r>
        <w:t>Notes</w:t>
      </w:r>
      <w:bookmarkEnd w:id="2129"/>
      <w:bookmarkEnd w:id="2130"/>
      <w:bookmarkEnd w:id="2131"/>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32" w:name="_Toc161401702"/>
      <w:bookmarkStart w:id="2133" w:name="_Toc154754182"/>
      <w:r>
        <w:t>Compilation table</w:t>
      </w:r>
      <w:bookmarkEnd w:id="2132"/>
      <w:bookmarkEnd w:id="213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rPr>
                <w:snapToGrid w:val="0"/>
              </w:rPr>
              <w:t>1 May 2020 (see s. 2(b) and SL 2020/39 cl. 2)</w:t>
            </w:r>
          </w:p>
        </w:tc>
      </w:tr>
      <w:tr>
        <w:tc>
          <w:tcPr>
            <w:tcW w:w="2268" w:type="dxa"/>
            <w:tcBorders>
              <w:top w:val="nil"/>
              <w:bottom w:val="nil"/>
              <w:right w:val="nil"/>
            </w:tcBorders>
          </w:tcPr>
          <w:p>
            <w:pPr>
              <w:pStyle w:val="nTable"/>
              <w:spacing w:after="40"/>
              <w:rPr>
                <w:i/>
              </w:rPr>
            </w:pPr>
            <w:r>
              <w:rPr>
                <w:i/>
              </w:rPr>
              <w:t>Community Titles Act 2018</w:t>
            </w:r>
            <w:r>
              <w:t xml:space="preserve"> Pt. 14 Div. 6</w:t>
            </w:r>
          </w:p>
        </w:tc>
        <w:tc>
          <w:tcPr>
            <w:tcW w:w="1134" w:type="dxa"/>
            <w:tcBorders>
              <w:top w:val="nil"/>
              <w:left w:val="nil"/>
              <w:bottom w:val="nil"/>
              <w:right w:val="nil"/>
            </w:tcBorders>
          </w:tcPr>
          <w:p>
            <w:pPr>
              <w:pStyle w:val="nTable"/>
              <w:spacing w:after="40"/>
            </w:pPr>
            <w:r>
              <w:t>32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t>30 Jun 2021 (see s. 2(b) and SL 2021/69 cl. 2)</w:t>
            </w:r>
          </w:p>
        </w:tc>
      </w:tr>
      <w:tr>
        <w:tc>
          <w:tcPr>
            <w:tcW w:w="2268" w:type="dxa"/>
            <w:tcBorders>
              <w:top w:val="nil"/>
              <w:bottom w:val="nil"/>
              <w:right w:val="nil"/>
            </w:tcBorders>
          </w:tcPr>
          <w:p>
            <w:pPr>
              <w:pStyle w:val="nTable"/>
              <w:spacing w:after="40"/>
            </w:pPr>
            <w:r>
              <w:rPr>
                <w:i/>
              </w:rPr>
              <w:t>Duties Amendment Act 2022</w:t>
            </w:r>
          </w:p>
        </w:tc>
        <w:tc>
          <w:tcPr>
            <w:tcW w:w="1134" w:type="dxa"/>
            <w:tcBorders>
              <w:top w:val="nil"/>
              <w:left w:val="nil"/>
              <w:bottom w:val="nil"/>
              <w:right w:val="nil"/>
            </w:tcBorders>
          </w:tcPr>
          <w:p>
            <w:pPr>
              <w:pStyle w:val="nTable"/>
              <w:spacing w:after="40"/>
            </w:pPr>
            <w:r>
              <w:t>16 of 2022</w:t>
            </w:r>
          </w:p>
        </w:tc>
        <w:tc>
          <w:tcPr>
            <w:tcW w:w="1134" w:type="dxa"/>
            <w:tcBorders>
              <w:top w:val="nil"/>
              <w:left w:val="nil"/>
              <w:bottom w:val="nil"/>
              <w:right w:val="nil"/>
            </w:tcBorders>
          </w:tcPr>
          <w:p>
            <w:pPr>
              <w:pStyle w:val="nTable"/>
              <w:spacing w:after="40"/>
            </w:pPr>
            <w:r>
              <w:t>27 May 2022</w:t>
            </w:r>
          </w:p>
        </w:tc>
        <w:tc>
          <w:tcPr>
            <w:tcW w:w="2552" w:type="dxa"/>
            <w:tcBorders>
              <w:top w:val="nil"/>
              <w:left w:val="nil"/>
              <w:bottom w:val="nil"/>
            </w:tcBorders>
          </w:tcPr>
          <w:p>
            <w:pPr>
              <w:pStyle w:val="nTable"/>
              <w:spacing w:after="40"/>
            </w:pPr>
            <w:r>
              <w:t>Pt. 4: deemed to have come into operation on 13 Jun 2019 (see s. 2(c));</w:t>
            </w:r>
            <w:r>
              <w:br/>
              <w:t>Pt. 1: 27 May 2022 (see s. 2(a));</w:t>
            </w:r>
            <w:r>
              <w:br/>
              <w:t>Act other than Pt. 1, 3 and 4: 28 May 2022 (see s. 2(d));</w:t>
            </w:r>
            <w:r>
              <w:br/>
              <w:t>Pt. 3: 1 Jul 2022 (see s. 2(b))</w:t>
            </w:r>
          </w:p>
        </w:tc>
      </w:tr>
      <w:tr>
        <w:tc>
          <w:tcPr>
            <w:tcW w:w="2268" w:type="dxa"/>
            <w:tcBorders>
              <w:top w:val="nil"/>
              <w:bottom w:val="nil"/>
              <w:right w:val="nil"/>
            </w:tcBorders>
          </w:tcPr>
          <w:p>
            <w:pPr>
              <w:pStyle w:val="nTable"/>
              <w:spacing w:after="40"/>
              <w:rPr>
                <w:i/>
              </w:rPr>
            </w:pPr>
            <w:r>
              <w:rPr>
                <w:i/>
              </w:rPr>
              <w:t>Family Court Amendment Act 2022</w:t>
            </w:r>
            <w:r>
              <w:t xml:space="preserve"> Pt. 4</w:t>
            </w:r>
          </w:p>
        </w:tc>
        <w:tc>
          <w:tcPr>
            <w:tcW w:w="1134" w:type="dxa"/>
            <w:tcBorders>
              <w:top w:val="nil"/>
              <w:left w:val="nil"/>
              <w:bottom w:val="nil"/>
              <w:right w:val="nil"/>
            </w:tcBorders>
          </w:tcPr>
          <w:p>
            <w:pPr>
              <w:pStyle w:val="nTable"/>
              <w:spacing w:after="40"/>
            </w:pPr>
            <w:r>
              <w:t>28 of 2022</w:t>
            </w:r>
          </w:p>
        </w:tc>
        <w:tc>
          <w:tcPr>
            <w:tcW w:w="1134" w:type="dxa"/>
            <w:tcBorders>
              <w:top w:val="nil"/>
              <w:left w:val="nil"/>
              <w:bottom w:val="nil"/>
              <w:right w:val="nil"/>
            </w:tcBorders>
          </w:tcPr>
          <w:p>
            <w:pPr>
              <w:pStyle w:val="nTable"/>
              <w:spacing w:after="40"/>
            </w:pPr>
            <w:r>
              <w:t>31 Aug 2022</w:t>
            </w:r>
          </w:p>
        </w:tc>
        <w:tc>
          <w:tcPr>
            <w:tcW w:w="2552" w:type="dxa"/>
            <w:tcBorders>
              <w:top w:val="nil"/>
              <w:left w:val="nil"/>
              <w:bottom w:val="nil"/>
            </w:tcBorders>
          </w:tcPr>
          <w:p>
            <w:pPr>
              <w:pStyle w:val="nTable"/>
              <w:spacing w:after="40"/>
            </w:pPr>
            <w:r>
              <w:t>Pt. 4 (other than Div. 3): 1 Sep 2022 (see s. 2(b));</w:t>
            </w:r>
            <w:r>
              <w:br/>
              <w:t>Pt. 4 Div. 3: 28 Sep 2022 (see s. 2(c) and SL 2022/159 cl. 2)</w:t>
            </w:r>
          </w:p>
        </w:tc>
      </w:tr>
      <w:tr>
        <w:tc>
          <w:tcPr>
            <w:tcW w:w="2268" w:type="dxa"/>
            <w:tcBorders>
              <w:top w:val="nil"/>
              <w:bottom w:val="nil"/>
              <w:right w:val="nil"/>
            </w:tcBorders>
          </w:tcPr>
          <w:p>
            <w:pPr>
              <w:pStyle w:val="nTable"/>
              <w:spacing w:after="40"/>
              <w:rPr>
                <w:i/>
              </w:rPr>
            </w:pPr>
            <w:r>
              <w:rPr>
                <w:i/>
              </w:rPr>
              <w:t>Duties Amendment (Farm-in Agreements) Act 2022</w:t>
            </w:r>
          </w:p>
        </w:tc>
        <w:tc>
          <w:tcPr>
            <w:tcW w:w="1134" w:type="dxa"/>
            <w:tcBorders>
              <w:top w:val="nil"/>
              <w:left w:val="nil"/>
              <w:bottom w:val="nil"/>
              <w:right w:val="nil"/>
            </w:tcBorders>
          </w:tcPr>
          <w:p>
            <w:pPr>
              <w:pStyle w:val="nTable"/>
              <w:spacing w:after="40"/>
            </w:pPr>
            <w:r>
              <w:t>37 of 2022</w:t>
            </w:r>
          </w:p>
        </w:tc>
        <w:tc>
          <w:tcPr>
            <w:tcW w:w="1134" w:type="dxa"/>
            <w:tcBorders>
              <w:top w:val="nil"/>
              <w:left w:val="nil"/>
              <w:bottom w:val="nil"/>
              <w:right w:val="nil"/>
            </w:tcBorders>
          </w:tcPr>
          <w:p>
            <w:pPr>
              <w:pStyle w:val="nTable"/>
              <w:spacing w:after="40"/>
            </w:pPr>
            <w:r>
              <w:t>1 Nov 2022</w:t>
            </w:r>
          </w:p>
        </w:tc>
        <w:tc>
          <w:tcPr>
            <w:tcW w:w="2552" w:type="dxa"/>
            <w:tcBorders>
              <w:top w:val="nil"/>
              <w:left w:val="nil"/>
              <w:bottom w:val="nil"/>
            </w:tcBorders>
          </w:tcPr>
          <w:p>
            <w:pPr>
              <w:pStyle w:val="nTable"/>
              <w:spacing w:after="40"/>
            </w:pPr>
            <w:r>
              <w:t>s. 1 and 2: 1 Nov 2022 (see 2(a));</w:t>
            </w:r>
            <w:r>
              <w:br/>
              <w:t>Act other than s. 1 and 2: 2 Nov 2022 (see s. 2(b))</w:t>
            </w:r>
          </w:p>
        </w:tc>
      </w:tr>
      <w:tr>
        <w:tc>
          <w:tcPr>
            <w:tcW w:w="2268" w:type="dxa"/>
            <w:tcBorders>
              <w:top w:val="nil"/>
              <w:bottom w:val="nil"/>
              <w:right w:val="nil"/>
            </w:tcBorders>
          </w:tcPr>
          <w:p>
            <w:pPr>
              <w:pStyle w:val="nTable"/>
              <w:spacing w:after="40"/>
              <w:rPr>
                <w:snapToGrid w:val="0"/>
              </w:rPr>
            </w:pPr>
            <w:r>
              <w:rPr>
                <w:i/>
                <w:snapToGrid w:val="0"/>
              </w:rPr>
              <w:t>Land and Public Works Legislation Amendment Act 2023</w:t>
            </w:r>
            <w:r>
              <w:rPr>
                <w:snapToGrid w:val="0"/>
              </w:rPr>
              <w:t xml:space="preserve"> Pt. 4 Div. 3</w:t>
            </w:r>
          </w:p>
        </w:tc>
        <w:tc>
          <w:tcPr>
            <w:tcW w:w="1134" w:type="dxa"/>
            <w:tcBorders>
              <w:top w:val="nil"/>
              <w:left w:val="nil"/>
              <w:bottom w:val="nil"/>
              <w:right w:val="nil"/>
            </w:tcBorders>
          </w:tcPr>
          <w:p>
            <w:pPr>
              <w:pStyle w:val="nTable"/>
              <w:spacing w:after="40"/>
            </w:pPr>
            <w:r>
              <w:t>4 of 2023</w:t>
            </w:r>
          </w:p>
        </w:tc>
        <w:tc>
          <w:tcPr>
            <w:tcW w:w="1134" w:type="dxa"/>
            <w:tcBorders>
              <w:top w:val="nil"/>
              <w:left w:val="nil"/>
              <w:bottom w:val="nil"/>
              <w:right w:val="nil"/>
            </w:tcBorders>
          </w:tcPr>
          <w:p>
            <w:pPr>
              <w:pStyle w:val="nTable"/>
              <w:spacing w:after="40"/>
            </w:pPr>
            <w:r>
              <w:t>24 Mar 2023</w:t>
            </w:r>
          </w:p>
        </w:tc>
        <w:tc>
          <w:tcPr>
            <w:tcW w:w="2552" w:type="dxa"/>
            <w:tcBorders>
              <w:top w:val="nil"/>
              <w:left w:val="nil"/>
              <w:bottom w:val="nil"/>
            </w:tcBorders>
          </w:tcPr>
          <w:p>
            <w:pPr>
              <w:pStyle w:val="nTable"/>
              <w:spacing w:after="40"/>
              <w:rPr>
                <w:snapToGrid w:val="0"/>
              </w:rPr>
            </w:pPr>
            <w:r>
              <w:rPr>
                <w:snapToGrid w:val="0"/>
              </w:rPr>
              <w:t>10 Aug 2023 (see s. 2(b) and SL 2023/132 cl. 2)</w:t>
            </w:r>
          </w:p>
        </w:tc>
      </w:tr>
      <w:tr>
        <w:trPr>
          <w:ins w:id="2134" w:author="Master Repository Process" w:date="2025-06-09T09:56:00Z"/>
        </w:trPr>
        <w:tc>
          <w:tcPr>
            <w:tcW w:w="2268" w:type="dxa"/>
            <w:tcBorders>
              <w:top w:val="nil"/>
              <w:bottom w:val="single" w:sz="4" w:space="0" w:color="auto"/>
              <w:right w:val="nil"/>
            </w:tcBorders>
          </w:tcPr>
          <w:p>
            <w:pPr>
              <w:pStyle w:val="nTable"/>
              <w:spacing w:after="40"/>
              <w:rPr>
                <w:ins w:id="2135" w:author="Master Repository Process" w:date="2025-06-09T09:56:00Z"/>
                <w:i/>
                <w:snapToGrid w:val="0"/>
              </w:rPr>
            </w:pPr>
            <w:ins w:id="2136" w:author="Master Repository Process" w:date="2025-06-09T09:56:00Z">
              <w:r>
                <w:rPr>
                  <w:i/>
                  <w:snapToGrid w:val="0"/>
                </w:rPr>
                <w:t>Duties Amendment (Off</w:t>
              </w:r>
              <w:r>
                <w:rPr>
                  <w:i/>
                  <w:snapToGrid w:val="0"/>
                </w:rPr>
                <w:noBreakHyphen/>
                <w:t>the</w:t>
              </w:r>
              <w:r>
                <w:rPr>
                  <w:i/>
                  <w:snapToGrid w:val="0"/>
                </w:rPr>
                <w:noBreakHyphen/>
                <w:t>Plan Concession and Foreign Persons Exemptions) Act 2023</w:t>
              </w:r>
            </w:ins>
          </w:p>
        </w:tc>
        <w:tc>
          <w:tcPr>
            <w:tcW w:w="1134" w:type="dxa"/>
            <w:tcBorders>
              <w:top w:val="nil"/>
              <w:left w:val="nil"/>
              <w:bottom w:val="single" w:sz="4" w:space="0" w:color="auto"/>
              <w:right w:val="nil"/>
            </w:tcBorders>
          </w:tcPr>
          <w:p>
            <w:pPr>
              <w:pStyle w:val="nTable"/>
              <w:spacing w:after="40"/>
              <w:rPr>
                <w:ins w:id="2137" w:author="Master Repository Process" w:date="2025-06-09T09:56:00Z"/>
              </w:rPr>
            </w:pPr>
            <w:ins w:id="2138" w:author="Master Repository Process" w:date="2025-06-09T09:56:00Z">
              <w:r>
                <w:t>29 of 2023</w:t>
              </w:r>
            </w:ins>
          </w:p>
        </w:tc>
        <w:tc>
          <w:tcPr>
            <w:tcW w:w="1134" w:type="dxa"/>
            <w:tcBorders>
              <w:top w:val="nil"/>
              <w:left w:val="nil"/>
              <w:bottom w:val="single" w:sz="4" w:space="0" w:color="auto"/>
              <w:right w:val="nil"/>
            </w:tcBorders>
          </w:tcPr>
          <w:p>
            <w:pPr>
              <w:pStyle w:val="nTable"/>
              <w:spacing w:after="40"/>
              <w:rPr>
                <w:ins w:id="2139" w:author="Master Repository Process" w:date="2025-06-09T09:56:00Z"/>
              </w:rPr>
            </w:pPr>
            <w:ins w:id="2140" w:author="Master Repository Process" w:date="2025-06-09T09:56:00Z">
              <w:r>
                <w:t>28 Nov 2023</w:t>
              </w:r>
            </w:ins>
          </w:p>
        </w:tc>
        <w:tc>
          <w:tcPr>
            <w:tcW w:w="2552" w:type="dxa"/>
            <w:tcBorders>
              <w:top w:val="nil"/>
              <w:left w:val="nil"/>
              <w:bottom w:val="single" w:sz="4" w:space="0" w:color="auto"/>
            </w:tcBorders>
          </w:tcPr>
          <w:p>
            <w:pPr>
              <w:pStyle w:val="nTable"/>
              <w:spacing w:after="40"/>
              <w:rPr>
                <w:ins w:id="2141" w:author="Master Repository Process" w:date="2025-06-09T09:56:00Z"/>
                <w:snapToGrid w:val="0"/>
              </w:rPr>
            </w:pPr>
            <w:ins w:id="2142" w:author="Master Repository Process" w:date="2025-06-09T09:56:00Z">
              <w:r>
                <w:t>s. 1 and 2: 28 Nov 2023 (see 2(a));</w:t>
              </w:r>
              <w:r>
                <w:br/>
                <w:t>Act other than s. 1 and 2: 29 Nov 2023 (see s. 2(b))</w:t>
              </w:r>
            </w:ins>
          </w:p>
        </w:tc>
      </w:tr>
    </w:tbl>
    <w:p>
      <w:pPr>
        <w:pStyle w:val="nHeading3"/>
      </w:pPr>
      <w:bookmarkStart w:id="2143" w:name="_Toc161401703"/>
      <w:bookmarkStart w:id="2144" w:name="_Toc154754183"/>
      <w:r>
        <w:t>Uncommenced provisions table</w:t>
      </w:r>
      <w:bookmarkEnd w:id="2143"/>
      <w:bookmarkEnd w:id="214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nil"/>
              <w:right w:val="nil"/>
            </w:tcBorders>
          </w:tcPr>
          <w:p>
            <w:pPr>
              <w:pStyle w:val="nTable"/>
              <w:spacing w:after="40"/>
            </w:pPr>
            <w:r>
              <w:t>53 of 2016</w:t>
            </w:r>
          </w:p>
        </w:tc>
        <w:tc>
          <w:tcPr>
            <w:tcW w:w="1134" w:type="dxa"/>
            <w:tcBorders>
              <w:top w:val="single" w:sz="8" w:space="0" w:color="auto"/>
              <w:left w:val="nil"/>
              <w:bottom w:val="nil"/>
              <w:right w:val="nil"/>
            </w:tcBorders>
          </w:tcPr>
          <w:p>
            <w:pPr>
              <w:pStyle w:val="nTable"/>
              <w:spacing w:after="40"/>
            </w:pPr>
            <w:r>
              <w:t>29 Nov 2016</w:t>
            </w:r>
          </w:p>
        </w:tc>
        <w:tc>
          <w:tcPr>
            <w:tcW w:w="2552" w:type="dxa"/>
            <w:tcBorders>
              <w:top w:val="single" w:sz="8" w:space="0" w:color="auto"/>
              <w:left w:val="nil"/>
              <w:bottom w:val="nil"/>
            </w:tcBorders>
          </w:tcPr>
          <w:p>
            <w:pPr>
              <w:pStyle w:val="nTable"/>
              <w:spacing w:after="40"/>
              <w:rPr>
                <w:snapToGrid w:val="0"/>
              </w:rPr>
            </w:pPr>
            <w:r>
              <w:rPr>
                <w:snapToGrid w:val="0"/>
              </w:rPr>
              <w:t>To be proclaimed (see s. 2(b))</w:t>
            </w:r>
          </w:p>
        </w:tc>
      </w:tr>
      <w:tr>
        <w:tc>
          <w:tcPr>
            <w:tcW w:w="2268" w:type="dxa"/>
            <w:tcBorders>
              <w:top w:val="nil"/>
              <w:bottom w:val="single" w:sz="4" w:space="0" w:color="auto"/>
              <w:right w:val="nil"/>
            </w:tcBorders>
          </w:tcPr>
          <w:p>
            <w:pPr>
              <w:pStyle w:val="nTable"/>
              <w:spacing w:after="40"/>
              <w:rPr>
                <w:iCs/>
                <w:snapToGrid w:val="0"/>
              </w:rPr>
            </w:pPr>
            <w:r>
              <w:rPr>
                <w:i/>
                <w:snapToGrid w:val="0"/>
              </w:rPr>
              <w:t>Workers Compensation and Injury Management Act 2023</w:t>
            </w:r>
            <w:r>
              <w:rPr>
                <w:iCs/>
                <w:snapToGrid w:val="0"/>
              </w:rPr>
              <w:t xml:space="preserve"> s. 709</w:t>
            </w:r>
          </w:p>
        </w:tc>
        <w:tc>
          <w:tcPr>
            <w:tcW w:w="1134" w:type="dxa"/>
            <w:tcBorders>
              <w:top w:val="nil"/>
              <w:left w:val="nil"/>
              <w:bottom w:val="single" w:sz="4" w:space="0" w:color="auto"/>
              <w:right w:val="nil"/>
            </w:tcBorders>
          </w:tcPr>
          <w:p>
            <w:pPr>
              <w:pStyle w:val="nTable"/>
              <w:spacing w:after="40"/>
            </w:pPr>
            <w:r>
              <w:t>21 of 2023</w:t>
            </w:r>
          </w:p>
        </w:tc>
        <w:tc>
          <w:tcPr>
            <w:tcW w:w="1134" w:type="dxa"/>
            <w:tcBorders>
              <w:top w:val="nil"/>
              <w:left w:val="nil"/>
              <w:bottom w:val="single" w:sz="4" w:space="0" w:color="auto"/>
              <w:right w:val="nil"/>
            </w:tcBorders>
          </w:tcPr>
          <w:p>
            <w:pPr>
              <w:pStyle w:val="nTable"/>
              <w:spacing w:after="40"/>
              <w:rPr>
                <w:highlight w:val="yellow"/>
              </w:rPr>
            </w:pPr>
            <w:r>
              <w:t>24 Oct 2023</w:t>
            </w:r>
          </w:p>
        </w:tc>
        <w:tc>
          <w:tcPr>
            <w:tcW w:w="2552" w:type="dxa"/>
            <w:tcBorders>
              <w:top w:val="nil"/>
              <w:left w:val="nil"/>
              <w:bottom w:val="single" w:sz="4" w:space="0" w:color="auto"/>
            </w:tcBorders>
          </w:tcPr>
          <w:p>
            <w:pPr>
              <w:pStyle w:val="nTable"/>
              <w:spacing w:after="40"/>
              <w:rPr>
                <w:snapToGrid w:val="0"/>
              </w:rPr>
            </w:pPr>
            <w:del w:id="2145" w:author="Master Repository Process" w:date="2025-06-09T09:56:00Z">
              <w:r>
                <w:rPr>
                  <w:snapToGrid w:val="0"/>
                </w:rPr>
                <w:delText>To be proclaimed</w:delText>
              </w:r>
            </w:del>
            <w:ins w:id="2146" w:author="Master Repository Process" w:date="2025-06-09T09:56:00Z">
              <w:r>
                <w:rPr>
                  <w:noProof/>
                </w:rPr>
                <w:t>1 Jul 2024</w:t>
              </w:r>
            </w:ins>
            <w:r>
              <w:rPr>
                <w:snapToGrid w:val="0"/>
              </w:rPr>
              <w:t xml:space="preserve"> (see s. 2(d</w:t>
            </w:r>
            <w:del w:id="2147" w:author="Master Repository Process" w:date="2025-06-09T09:56:00Z">
              <w:r>
                <w:rPr>
                  <w:snapToGrid w:val="0"/>
                </w:rPr>
                <w:delText>))</w:delText>
              </w:r>
            </w:del>
            <w:ins w:id="2148" w:author="Master Repository Process" w:date="2025-06-09T09:56:00Z">
              <w:r>
                <w:rPr>
                  <w:snapToGrid w:val="0"/>
                </w:rPr>
                <w:t>)</w:t>
              </w:r>
              <w:r>
                <w:rPr>
                  <w:noProof/>
                </w:rPr>
                <w:t xml:space="preserve"> and SL 2024/34 cl. 2</w:t>
              </w:r>
              <w:r>
                <w:rPr>
                  <w:snapToGrid w:val="0"/>
                </w:rPr>
                <w:t>)</w:t>
              </w:r>
            </w:ins>
          </w:p>
        </w:tc>
      </w:tr>
    </w:tbl>
    <w:p>
      <w:pPr>
        <w:pStyle w:val="nHeading3"/>
      </w:pPr>
      <w:bookmarkStart w:id="2149" w:name="_Toc161401704"/>
      <w:bookmarkStart w:id="2150" w:name="_Toc154754184"/>
      <w:r>
        <w:t>Other notes</w:t>
      </w:r>
      <w:bookmarkEnd w:id="2149"/>
      <w:bookmarkEnd w:id="2150"/>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p>
    <w:p>
      <w:pPr>
        <w:pStyle w:val="nNote"/>
        <w:keepNext/>
      </w:pPr>
      <w:r>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r>
        <w:rPr>
          <w:snapToGrid w:val="0"/>
          <w:vertAlign w:val="superscript"/>
        </w:rPr>
        <w:t>7</w:t>
      </w:r>
      <w:r>
        <w:rPr>
          <w:snapToGrid w:val="0"/>
        </w:rPr>
        <w:tab/>
        <w:t xml:space="preserve">This clause is deemed to have come into operation on 13 Jun 2019 (see the </w:t>
      </w:r>
      <w:r>
        <w:rPr>
          <w:i/>
          <w:snapToGrid w:val="0"/>
        </w:rPr>
        <w:t>Duties Amendment Act 2022</w:t>
      </w:r>
      <w:r>
        <w:rPr>
          <w:snapToGrid w:val="0"/>
        </w:rPr>
        <w:t xml:space="preserve"> s. 2(c) and Pt. 4).</w:t>
      </w:r>
    </w:p>
    <w:p/>
    <w:p>
      <w:pPr>
        <w:sectPr>
          <w:headerReference w:type="even" r:id="rId32"/>
          <w:headerReference w:type="default" r:id="rId3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818" w:name="Schedule"/>
    <w:bookmarkEnd w:id="18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51" w:name="Compilation"/>
    <w:bookmarkEnd w:id="215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52" w:name="Coversheet"/>
    <w:bookmarkEnd w:id="21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62252"/>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 w:name="WAFER_20220830090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30090840_GUID" w:val="f1899116-2d1e-4141-8c70-ff5eb629ca86"/>
    <w:docVar w:name="WAFER_20220920093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3012_GUID" w:val="338da48e-2595-43ce-b299-1cc2e73dfd46"/>
    <w:docVar w:name="WAFER_20221101093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3432_GUID" w:val="233ff7ce-c9df-489d-8e20-3d2b725c48ce"/>
    <w:docVar w:name="WAFER_20221101095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5535_GUID" w:val="2fe0d031-05c5-4d93-8020-c3bfacafc189"/>
    <w:docVar w:name="WAFER_20230324115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15848_GUID" w:val="54710fa7-fec0-46d5-980f-70bfe78fab1d"/>
    <w:docVar w:name="WAFER_20230809115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15346_GUID" w:val="75111f6a-0994-4ab1-82b7-0e6c505d9724"/>
    <w:docVar w:name="WAFER_20231019133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33340_GUID" w:val="9fda48f3-f115-468d-a511-cb9858c7ede0"/>
    <w:docVar w:name="WAFER_2023112808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8084608_GUID" w:val="62f97a45-3ddf-4242-8585-abb5b6b3a57e"/>
    <w:docVar w:name="WAFER_20231222094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129_GUID" w:val="ec10e064-9d5c-4449-af5e-5bb715f88491"/>
    <w:docVar w:name="WAFER_20240314162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252_GUID" w:val="c0a1f7b2-5e95-41a4-bf93-8eb4314a3d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9" Type="http://schemas.openxmlformats.org/officeDocument/2006/relationships/footer" Target="footer9.xml"/><Relationship Id="rId21" Type="http://schemas.openxmlformats.org/officeDocument/2006/relationships/header" Target="header4.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image" Target="media/image8.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83873-56AD-4625-8A0E-5C5749AAD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108131</Words>
  <Characters>529842</Characters>
  <Application>Microsoft Office Word</Application>
  <DocSecurity>0</DocSecurity>
  <Lines>13943</Lines>
  <Paragraphs>7505</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630468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03-r0-01 - 03-s0-03</dc:title>
  <dc:subject/>
  <dc:creator/>
  <cp:keywords/>
  <dc:description/>
  <cp:lastModifiedBy>Master Repository Process</cp:lastModifiedBy>
  <cp:revision>2</cp:revision>
  <cp:lastPrinted>2021-06-24T01:24:00Z</cp:lastPrinted>
  <dcterms:created xsi:type="dcterms:W3CDTF">2025-06-09T01:53:00Z</dcterms:created>
  <dcterms:modified xsi:type="dcterms:W3CDTF">2025-06-09T01:56:00Z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20231129</vt:lpwstr>
  </property>
  <property fmtid="{D5CDD505-2E9C-101B-9397-08002B2CF9AE}" pid="9" name="CommencementYear">
    <vt:lpwstr>2023</vt:lpwstr>
  </property>
  <property fmtid="{D5CDD505-2E9C-101B-9397-08002B2CF9AE}" pid="10" name="FromSuffix">
    <vt:lpwstr>03-r0-01</vt:lpwstr>
  </property>
  <property fmtid="{D5CDD505-2E9C-101B-9397-08002B2CF9AE}" pid="11" name="FromAsAtDate">
    <vt:lpwstr>24 Oct 2023</vt:lpwstr>
  </property>
  <property fmtid="{D5CDD505-2E9C-101B-9397-08002B2CF9AE}" pid="12" name="ToSuffix">
    <vt:lpwstr>03-s0-03</vt:lpwstr>
  </property>
  <property fmtid="{D5CDD505-2E9C-101B-9397-08002B2CF9AE}" pid="13" name="ToAsAtDate">
    <vt:lpwstr>29 Nov 2023</vt:lpwstr>
  </property>
</Properties>
</file>