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08 Dec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bCs/>
        </w:rPr>
      </w:pPr>
      <w:r>
        <w:rPr>
          <w:bCs/>
        </w:rPr>
        <w:lastRenderedPageBreak/>
        <w:t xml:space="preserve">Health Practitioner Regulation National Law </w:t>
      </w:r>
      <w:del w:id="1" w:author="Master Repository Process" w:date="2025-06-16T11:38:00Z">
        <w:r>
          <w:rPr>
            <w:bCs/>
          </w:rPr>
          <w:delText>(WA)</w:delText>
        </w:r>
      </w:del>
      <w:ins w:id="2" w:author="Master Repository Process" w:date="2025-06-16T11:38:00Z">
        <w:r>
          <w:rPr>
            <w:bCs/>
          </w:rPr>
          <w:t>Application</w:t>
        </w:r>
      </w:ins>
      <w:r>
        <w:rPr>
          <w:bCs/>
        </w:rPr>
        <w:t xml:space="preserve"> Act </w:t>
      </w:r>
      <w:del w:id="3" w:author="Master Repository Process" w:date="2025-06-16T11:38:00Z">
        <w:r>
          <w:rPr>
            <w:bCs/>
          </w:rPr>
          <w:delText>2010</w:delText>
        </w:r>
      </w:del>
      <w:ins w:id="4" w:author="Master Repository Process" w:date="2025-06-16T11:38:00Z">
        <w:r>
          <w:rPr>
            <w:bCs/>
          </w:rPr>
          <w:t>2024</w:t>
        </w:r>
      </w:ins>
    </w:p>
    <w:p>
      <w:pPr>
        <w:pStyle w:val="NameofActReg"/>
      </w:pPr>
      <w:r>
        <w:rPr>
          <w:bCs/>
        </w:rPr>
        <w:t>Health Practitioner Regulation National Law Regulation 2018</w:t>
      </w:r>
    </w:p>
    <w:p>
      <w:pPr>
        <w:pStyle w:val="Heading2"/>
        <w:pageBreakBefore w:val="0"/>
      </w:pPr>
      <w:bookmarkStart w:id="5" w:name="_Toc152828839"/>
      <w:bookmarkStart w:id="6" w:name="_Toc152829946"/>
      <w:bookmarkStart w:id="7" w:name="_Toc152833176"/>
      <w:bookmarkStart w:id="8" w:name="_Toc167799826"/>
      <w:bookmarkStart w:id="9" w:name="_Toc167799913"/>
      <w:bookmarkStart w:id="10" w:name="_Toc126234331"/>
      <w:bookmarkStart w:id="11" w:name="_Toc126236033"/>
      <w:bookmarkStart w:id="12" w:name="_Toc126238836"/>
      <w:bookmarkStart w:id="13" w:name="_Toc126239259"/>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p>
    <w:p>
      <w:pPr>
        <w:pStyle w:val="Heading5"/>
      </w:pPr>
      <w:bookmarkStart w:id="14" w:name="_Toc167799914"/>
      <w:bookmarkStart w:id="15" w:name="_Toc126239260"/>
      <w:r>
        <w:rPr>
          <w:rStyle w:val="CharSectno"/>
        </w:rPr>
        <w:t>1</w:t>
      </w:r>
      <w:r>
        <w:t>.</w:t>
      </w:r>
      <w:r>
        <w:tab/>
        <w:t>Short title</w:t>
      </w:r>
      <w:bookmarkEnd w:id="14"/>
      <w:bookmarkEnd w:id="15"/>
    </w:p>
    <w:p>
      <w:pPr>
        <w:pStyle w:val="Subsection"/>
      </w:pPr>
      <w:r>
        <w:tab/>
      </w:r>
      <w:r>
        <w:tab/>
        <w:t xml:space="preserve">This Regulation may be cited as the </w:t>
      </w:r>
      <w:r>
        <w:rPr>
          <w:i/>
        </w:rPr>
        <w:t>Health Practitioner Regulation National Law Regulation 2018</w:t>
      </w:r>
      <w:ins w:id="16" w:author="Master Repository Process" w:date="2025-06-16T11:38:00Z">
        <w:r>
          <w:rPr>
            <w:iCs/>
          </w:rPr>
          <w:t> </w:t>
        </w:r>
        <w:r>
          <w:rPr>
            <w:iCs/>
            <w:vertAlign w:val="superscript"/>
          </w:rPr>
          <w:t>1</w:t>
        </w:r>
      </w:ins>
      <w:r>
        <w:t>.</w:t>
      </w:r>
    </w:p>
    <w:p>
      <w:pPr>
        <w:pStyle w:val="Heading5"/>
      </w:pPr>
      <w:bookmarkStart w:id="17" w:name="_Toc167799915"/>
      <w:bookmarkStart w:id="18" w:name="_Toc126239261"/>
      <w:r>
        <w:rPr>
          <w:rStyle w:val="CharSectno"/>
        </w:rPr>
        <w:t>2</w:t>
      </w:r>
      <w:r>
        <w:t>.</w:t>
      </w:r>
      <w:r>
        <w:tab/>
        <w:t>Commencement</w:t>
      </w:r>
      <w:bookmarkEnd w:id="17"/>
      <w:bookmarkEnd w:id="18"/>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 xml:space="preserve">for Western Australia — on the day this Regulation is published in the </w:t>
      </w:r>
      <w:r>
        <w:rPr>
          <w:i/>
          <w:iCs/>
        </w:rPr>
        <w:t>Gazette</w:t>
      </w:r>
      <w:r>
        <w:t>; and</w:t>
      </w:r>
    </w:p>
    <w:p>
      <w:pPr>
        <w:pStyle w:val="Indenta"/>
      </w:pPr>
      <w:r>
        <w:tab/>
        <w:t>(b)</w:t>
      </w:r>
      <w:r>
        <w:tab/>
        <w:t>for all other participating jurisdictions — on the day this Regulation is published by the Victorian Government Printer.</w:t>
      </w:r>
    </w:p>
    <w:p>
      <w:pPr>
        <w:pStyle w:val="Heading5"/>
      </w:pPr>
      <w:bookmarkStart w:id="19" w:name="_Toc167799916"/>
      <w:bookmarkStart w:id="20" w:name="_Toc126239262"/>
      <w:r>
        <w:rPr>
          <w:rStyle w:val="CharSectno"/>
        </w:rPr>
        <w:t>3</w:t>
      </w:r>
      <w:r>
        <w:t>.</w:t>
      </w:r>
      <w:r>
        <w:tab/>
        <w:t>Definitions</w:t>
      </w:r>
      <w:bookmarkEnd w:id="19"/>
      <w:bookmarkEnd w:id="20"/>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21" w:name="_Toc152828843"/>
      <w:bookmarkStart w:id="22" w:name="_Toc152829950"/>
      <w:bookmarkStart w:id="23" w:name="_Toc152833180"/>
      <w:bookmarkStart w:id="24" w:name="_Toc167799830"/>
      <w:bookmarkStart w:id="25" w:name="_Toc167799917"/>
      <w:bookmarkStart w:id="26" w:name="_Toc126234335"/>
      <w:bookmarkStart w:id="27" w:name="_Toc126236037"/>
      <w:bookmarkStart w:id="28" w:name="_Toc126238840"/>
      <w:bookmarkStart w:id="29" w:name="_Toc126239263"/>
      <w:r>
        <w:rPr>
          <w:rStyle w:val="CharPartNo"/>
        </w:rPr>
        <w:t>Part 2</w:t>
      </w:r>
      <w:r>
        <w:rPr>
          <w:rStyle w:val="CharDivNo"/>
        </w:rPr>
        <w:t> </w:t>
      </w:r>
      <w:r>
        <w:t>—</w:t>
      </w:r>
      <w:r>
        <w:rPr>
          <w:rStyle w:val="CharDivText"/>
        </w:rPr>
        <w:t> </w:t>
      </w:r>
      <w:r>
        <w:rPr>
          <w:rStyle w:val="CharPartText"/>
        </w:rPr>
        <w:t>National Boards and registers</w:t>
      </w:r>
      <w:bookmarkEnd w:id="21"/>
      <w:bookmarkEnd w:id="22"/>
      <w:bookmarkEnd w:id="23"/>
      <w:bookmarkEnd w:id="24"/>
      <w:bookmarkEnd w:id="25"/>
      <w:bookmarkEnd w:id="26"/>
      <w:bookmarkEnd w:id="27"/>
      <w:bookmarkEnd w:id="28"/>
      <w:bookmarkEnd w:id="29"/>
      <w:r>
        <w:t xml:space="preserve"> </w:t>
      </w:r>
    </w:p>
    <w:p>
      <w:pPr>
        <w:pStyle w:val="Heading5"/>
        <w:rPr>
          <w:snapToGrid w:val="0"/>
        </w:rPr>
      </w:pPr>
      <w:bookmarkStart w:id="30" w:name="_Toc167799918"/>
      <w:bookmarkStart w:id="31" w:name="_Toc126239264"/>
      <w:r>
        <w:rPr>
          <w:rStyle w:val="CharSectno"/>
        </w:rPr>
        <w:t>4</w:t>
      </w:r>
      <w:r>
        <w:t>.</w:t>
      </w:r>
      <w:r>
        <w:rPr>
          <w:snapToGrid w:val="0"/>
        </w:rPr>
        <w:tab/>
        <w:t>National Boards for health professions</w:t>
      </w:r>
      <w:bookmarkEnd w:id="30"/>
      <w:bookmarkEnd w:id="31"/>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32" w:name="_Toc167799919"/>
      <w:bookmarkStart w:id="33" w:name="_Toc126239265"/>
      <w:r>
        <w:rPr>
          <w:rStyle w:val="CharSectno"/>
        </w:rPr>
        <w:t>5</w:t>
      </w:r>
      <w:r>
        <w:t>.</w:t>
      </w:r>
      <w:r>
        <w:tab/>
        <w:t>National Boards required to keep public national registers</w:t>
      </w:r>
      <w:bookmarkEnd w:id="32"/>
      <w:bookmarkEnd w:id="33"/>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34" w:name="_Toc152828846"/>
      <w:bookmarkStart w:id="35" w:name="_Toc152829953"/>
      <w:bookmarkStart w:id="36" w:name="_Toc152833183"/>
      <w:bookmarkStart w:id="37" w:name="_Toc167799833"/>
      <w:bookmarkStart w:id="38" w:name="_Toc167799920"/>
      <w:bookmarkStart w:id="39" w:name="_Toc126234338"/>
      <w:bookmarkStart w:id="40" w:name="_Toc126236040"/>
      <w:bookmarkStart w:id="41" w:name="_Toc126238843"/>
      <w:bookmarkStart w:id="42" w:name="_Toc126239266"/>
      <w:r>
        <w:rPr>
          <w:rStyle w:val="CharPartNo"/>
        </w:rPr>
        <w:t>Part 3</w:t>
      </w:r>
      <w:r>
        <w:rPr>
          <w:rStyle w:val="CharDivNo"/>
        </w:rPr>
        <w:t> </w:t>
      </w:r>
      <w:r>
        <w:t>—</w:t>
      </w:r>
      <w:r>
        <w:rPr>
          <w:rStyle w:val="CharDivText"/>
        </w:rPr>
        <w:t> </w:t>
      </w:r>
      <w:r>
        <w:rPr>
          <w:rStyle w:val="CharPartText"/>
        </w:rPr>
        <w:t>Application of AIC Act</w:t>
      </w:r>
      <w:bookmarkEnd w:id="34"/>
      <w:bookmarkEnd w:id="35"/>
      <w:bookmarkEnd w:id="36"/>
      <w:bookmarkEnd w:id="37"/>
      <w:bookmarkEnd w:id="38"/>
      <w:bookmarkEnd w:id="39"/>
      <w:bookmarkEnd w:id="40"/>
      <w:bookmarkEnd w:id="41"/>
      <w:bookmarkEnd w:id="42"/>
    </w:p>
    <w:p>
      <w:pPr>
        <w:pStyle w:val="Heading5"/>
      </w:pPr>
      <w:bookmarkStart w:id="43" w:name="_Toc167799921"/>
      <w:bookmarkStart w:id="44" w:name="_Toc126239267"/>
      <w:r>
        <w:rPr>
          <w:rStyle w:val="CharSectno"/>
        </w:rPr>
        <w:t>6</w:t>
      </w:r>
      <w:r>
        <w:t>.</w:t>
      </w:r>
      <w:r>
        <w:tab/>
        <w:t>Application of AIC Act</w:t>
      </w:r>
      <w:bookmarkEnd w:id="43"/>
      <w:bookmarkEnd w:id="44"/>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45" w:name="_Toc167799922"/>
      <w:bookmarkStart w:id="46" w:name="_Toc126239268"/>
      <w:r>
        <w:rPr>
          <w:rStyle w:val="CharSectno"/>
        </w:rPr>
        <w:t>7</w:t>
      </w:r>
      <w:r>
        <w:t>.</w:t>
      </w:r>
      <w:r>
        <w:tab/>
        <w:t>References in AIC Act to particular terms</w:t>
      </w:r>
      <w:bookmarkEnd w:id="45"/>
      <w:bookmarkEnd w:id="46"/>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47" w:name="_Toc167799923"/>
      <w:bookmarkStart w:id="48" w:name="_Toc126239269"/>
      <w:r>
        <w:rPr>
          <w:rStyle w:val="CharSectno"/>
        </w:rPr>
        <w:t>8</w:t>
      </w:r>
      <w:r>
        <w:t>.</w:t>
      </w:r>
      <w:r>
        <w:tab/>
        <w:t>Modifications relating to appointment of National Health Practitioner Privacy Commissioner and staff</w:t>
      </w:r>
      <w:bookmarkEnd w:id="47"/>
      <w:bookmarkEnd w:id="48"/>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49" w:name="_Toc167799924"/>
      <w:bookmarkStart w:id="50" w:name="_Toc126239270"/>
      <w:r>
        <w:rPr>
          <w:rStyle w:val="CharSectno"/>
        </w:rPr>
        <w:t>9</w:t>
      </w:r>
      <w:r>
        <w:t>.</w:t>
      </w:r>
      <w:r>
        <w:tab/>
        <w:t>Modifications about financial matters</w:t>
      </w:r>
      <w:bookmarkEnd w:id="49"/>
      <w:bookmarkEnd w:id="50"/>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1" w:name="_Toc167799925"/>
      <w:bookmarkStart w:id="52" w:name="_Toc126239271"/>
      <w:r>
        <w:rPr>
          <w:rStyle w:val="CharSectno"/>
        </w:rPr>
        <w:t>10</w:t>
      </w:r>
      <w:r>
        <w:t>.</w:t>
      </w:r>
      <w:r>
        <w:tab/>
        <w:t>Modifications about annual report</w:t>
      </w:r>
      <w:bookmarkEnd w:id="51"/>
      <w:bookmarkEnd w:id="52"/>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3" w:name="_Toc167799926"/>
      <w:bookmarkStart w:id="54" w:name="_Toc126239272"/>
      <w:r>
        <w:rPr>
          <w:rStyle w:val="CharSectno"/>
        </w:rPr>
        <w:t>11</w:t>
      </w:r>
      <w:r>
        <w:t>.</w:t>
      </w:r>
      <w:r>
        <w:tab/>
        <w:t>Miscellaneous modifications</w:t>
      </w:r>
      <w:bookmarkEnd w:id="53"/>
      <w:bookmarkEnd w:id="54"/>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55" w:name="_Toc167799927"/>
      <w:bookmarkStart w:id="56" w:name="_Toc126239273"/>
      <w:r>
        <w:rPr>
          <w:rStyle w:val="CharSectno"/>
        </w:rPr>
        <w:t>12</w:t>
      </w:r>
      <w:r>
        <w:t>.</w:t>
      </w:r>
      <w:r>
        <w:tab/>
        <w:t>Regulations</w:t>
      </w:r>
      <w:bookmarkEnd w:id="55"/>
      <w:bookmarkEnd w:id="56"/>
      <w:r>
        <w:t xml:space="preserve"> </w:t>
      </w:r>
    </w:p>
    <w:p>
      <w:pPr>
        <w:pStyle w:val="Subsection"/>
      </w:pPr>
      <w:r>
        <w:tab/>
      </w:r>
      <w:r>
        <w:tab/>
        <w:t>The Regulations made under the AIC Act do not apply.</w:t>
      </w:r>
    </w:p>
    <w:p>
      <w:pPr>
        <w:pStyle w:val="Heading2"/>
      </w:pPr>
      <w:bookmarkStart w:id="57" w:name="_Toc152828854"/>
      <w:bookmarkStart w:id="58" w:name="_Toc152829961"/>
      <w:bookmarkStart w:id="59" w:name="_Toc152833191"/>
      <w:bookmarkStart w:id="60" w:name="_Toc167799841"/>
      <w:bookmarkStart w:id="61" w:name="_Toc167799928"/>
      <w:bookmarkStart w:id="62" w:name="_Toc126234346"/>
      <w:bookmarkStart w:id="63" w:name="_Toc126236048"/>
      <w:bookmarkStart w:id="64" w:name="_Toc126238851"/>
      <w:bookmarkStart w:id="65" w:name="_Toc126239274"/>
      <w:r>
        <w:rPr>
          <w:rStyle w:val="CharPartNo"/>
        </w:rPr>
        <w:t>Part 4</w:t>
      </w:r>
      <w:r>
        <w:rPr>
          <w:rStyle w:val="CharDivNo"/>
        </w:rPr>
        <w:t> </w:t>
      </w:r>
      <w:r>
        <w:t>—</w:t>
      </w:r>
      <w:r>
        <w:rPr>
          <w:rStyle w:val="CharDivText"/>
        </w:rPr>
        <w:t> </w:t>
      </w:r>
      <w:r>
        <w:rPr>
          <w:rStyle w:val="CharPartText"/>
        </w:rPr>
        <w:t>Application of FOI Act</w:t>
      </w:r>
      <w:bookmarkEnd w:id="57"/>
      <w:bookmarkEnd w:id="58"/>
      <w:bookmarkEnd w:id="59"/>
      <w:bookmarkEnd w:id="60"/>
      <w:bookmarkEnd w:id="61"/>
      <w:bookmarkEnd w:id="62"/>
      <w:bookmarkEnd w:id="63"/>
      <w:bookmarkEnd w:id="64"/>
      <w:bookmarkEnd w:id="65"/>
    </w:p>
    <w:p>
      <w:pPr>
        <w:pStyle w:val="Heading5"/>
      </w:pPr>
      <w:bookmarkStart w:id="66" w:name="_Toc167799929"/>
      <w:bookmarkStart w:id="67" w:name="_Toc126239275"/>
      <w:r>
        <w:rPr>
          <w:rStyle w:val="CharSectno"/>
        </w:rPr>
        <w:t>13</w:t>
      </w:r>
      <w:r>
        <w:t>.</w:t>
      </w:r>
      <w:r>
        <w:tab/>
        <w:t>Application of FOI Act</w:t>
      </w:r>
      <w:bookmarkEnd w:id="66"/>
      <w:bookmarkEnd w:id="67"/>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68" w:name="_Toc167799930"/>
      <w:bookmarkStart w:id="69" w:name="_Toc126239276"/>
      <w:r>
        <w:rPr>
          <w:rStyle w:val="CharSectno"/>
        </w:rPr>
        <w:t>14</w:t>
      </w:r>
      <w:r>
        <w:t>.</w:t>
      </w:r>
      <w:r>
        <w:tab/>
        <w:t>References in FOI Act to particular terms</w:t>
      </w:r>
      <w:bookmarkEnd w:id="68"/>
      <w:bookmarkEnd w:id="69"/>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70" w:name="_Toc167799931"/>
      <w:bookmarkStart w:id="71" w:name="_Toc126239277"/>
      <w:r>
        <w:rPr>
          <w:rStyle w:val="CharSectno"/>
        </w:rPr>
        <w:t>15</w:t>
      </w:r>
      <w:r>
        <w:t>.</w:t>
      </w:r>
      <w:r>
        <w:tab/>
        <w:t>Modifications relating to National Agency and National Boards</w:t>
      </w:r>
      <w:bookmarkEnd w:id="70"/>
      <w:bookmarkEnd w:id="71"/>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72" w:name="_Toc167799932"/>
      <w:bookmarkStart w:id="73" w:name="_Toc126239278"/>
      <w:r>
        <w:rPr>
          <w:rStyle w:val="CharSectno"/>
        </w:rPr>
        <w:t>16</w:t>
      </w:r>
      <w:r>
        <w:t>.</w:t>
      </w:r>
      <w:r>
        <w:tab/>
        <w:t>Modifications relating to reports prepared by National  Health Practitioner Privacy Commissioner</w:t>
      </w:r>
      <w:bookmarkEnd w:id="72"/>
      <w:bookmarkEnd w:id="73"/>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74" w:name="_Toc167799933"/>
      <w:bookmarkStart w:id="75" w:name="_Toc126239279"/>
      <w:r>
        <w:rPr>
          <w:rStyle w:val="CharSectno"/>
        </w:rPr>
        <w:t>17</w:t>
      </w:r>
      <w:r>
        <w:t>.</w:t>
      </w:r>
      <w:r>
        <w:tab/>
        <w:t>Modifications relating to Administrative Appeals Tribunal</w:t>
      </w:r>
      <w:bookmarkEnd w:id="74"/>
      <w:bookmarkEnd w:id="75"/>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76" w:name="_Toc167799934"/>
      <w:bookmarkStart w:id="77" w:name="_Toc126239280"/>
      <w:r>
        <w:rPr>
          <w:rStyle w:val="CharSectno"/>
        </w:rPr>
        <w:t>18</w:t>
      </w:r>
      <w:r>
        <w:t>.</w:t>
      </w:r>
      <w:r>
        <w:tab/>
        <w:t>Modifications relating to Part VII of the FOI Act</w:t>
      </w:r>
      <w:bookmarkEnd w:id="76"/>
      <w:bookmarkEnd w:id="77"/>
      <w:r>
        <w:t xml:space="preserve"> </w:t>
      </w:r>
    </w:p>
    <w:p>
      <w:pPr>
        <w:pStyle w:val="Subsection"/>
      </w:pPr>
      <w:r>
        <w:tab/>
      </w:r>
      <w:r>
        <w:tab/>
        <w:t xml:space="preserve">The FOI Act applies as if it were modified to provide that Part VII of the Act commences on 1 February 2019. </w:t>
      </w:r>
    </w:p>
    <w:p>
      <w:pPr>
        <w:pStyle w:val="Heading5"/>
      </w:pPr>
      <w:bookmarkStart w:id="78" w:name="_Toc167799935"/>
      <w:bookmarkStart w:id="79" w:name="_Toc126239281"/>
      <w:r>
        <w:rPr>
          <w:rStyle w:val="CharSectno"/>
        </w:rPr>
        <w:t>19</w:t>
      </w:r>
      <w:r>
        <w:t>.</w:t>
      </w:r>
      <w:r>
        <w:tab/>
        <w:t>Miscellaneous modifications</w:t>
      </w:r>
      <w:bookmarkEnd w:id="78"/>
      <w:bookmarkEnd w:id="79"/>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80" w:name="_Toc167799936"/>
      <w:bookmarkStart w:id="81" w:name="_Toc126239282"/>
      <w:r>
        <w:rPr>
          <w:rStyle w:val="CharSectno"/>
        </w:rPr>
        <w:t>20</w:t>
      </w:r>
      <w:r>
        <w:t>.</w:t>
      </w:r>
      <w:r>
        <w:tab/>
        <w:t>Regulations</w:t>
      </w:r>
      <w:bookmarkEnd w:id="80"/>
      <w:bookmarkEnd w:id="81"/>
      <w:r>
        <w:t xml:space="preserve"> </w:t>
      </w:r>
    </w:p>
    <w:p>
      <w:pPr>
        <w:pStyle w:val="Subsection"/>
      </w:pPr>
      <w:r>
        <w:tab/>
      </w:r>
      <w:r>
        <w:tab/>
        <w:t xml:space="preserve">The Regulations made under the FOI Act, other than the provisions providing for fees and charges, do not apply. </w:t>
      </w:r>
    </w:p>
    <w:p>
      <w:pPr>
        <w:pStyle w:val="Heading5"/>
      </w:pPr>
      <w:bookmarkStart w:id="82" w:name="_Toc167799937"/>
      <w:bookmarkStart w:id="83" w:name="_Toc126239283"/>
      <w:r>
        <w:rPr>
          <w:rStyle w:val="CharSectno"/>
        </w:rPr>
        <w:t>21</w:t>
      </w:r>
      <w:r>
        <w:t>.</w:t>
      </w:r>
      <w:r>
        <w:tab/>
        <w:t>Transitional provision for existing right of review by Administrative Appeals Tribunal</w:t>
      </w:r>
      <w:bookmarkEnd w:id="82"/>
      <w:bookmarkEnd w:id="83"/>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84" w:name="_Toc167799938"/>
      <w:bookmarkStart w:id="85" w:name="_Toc126239284"/>
      <w:r>
        <w:rPr>
          <w:rStyle w:val="CharSectno"/>
        </w:rPr>
        <w:t>22</w:t>
      </w:r>
      <w:r>
        <w:t>.</w:t>
      </w:r>
      <w:r>
        <w:tab/>
        <w:t>Transitional provision for current obligation to publish information</w:t>
      </w:r>
      <w:bookmarkEnd w:id="84"/>
      <w:bookmarkEnd w:id="85"/>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86" w:name="_Toc152828865"/>
      <w:bookmarkStart w:id="87" w:name="_Toc152829972"/>
      <w:bookmarkStart w:id="88" w:name="_Toc152833202"/>
      <w:bookmarkStart w:id="89" w:name="_Toc167799852"/>
      <w:bookmarkStart w:id="90" w:name="_Toc167799939"/>
      <w:bookmarkStart w:id="91" w:name="_Toc126234357"/>
      <w:bookmarkStart w:id="92" w:name="_Toc126236059"/>
      <w:bookmarkStart w:id="93" w:name="_Toc126238862"/>
      <w:bookmarkStart w:id="94" w:name="_Toc126239285"/>
      <w:r>
        <w:rPr>
          <w:rStyle w:val="CharPartNo"/>
        </w:rPr>
        <w:t>Part 5</w:t>
      </w:r>
      <w:r>
        <w:rPr>
          <w:rStyle w:val="CharDivNo"/>
        </w:rPr>
        <w:t> </w:t>
      </w:r>
      <w:r>
        <w:t>—</w:t>
      </w:r>
      <w:r>
        <w:rPr>
          <w:rStyle w:val="CharDivText"/>
        </w:rPr>
        <w:t> </w:t>
      </w:r>
      <w:r>
        <w:rPr>
          <w:rStyle w:val="CharPartText"/>
        </w:rPr>
        <w:t>Application of Ombudsman Act</w:t>
      </w:r>
      <w:bookmarkEnd w:id="86"/>
      <w:bookmarkEnd w:id="87"/>
      <w:bookmarkEnd w:id="88"/>
      <w:bookmarkEnd w:id="89"/>
      <w:bookmarkEnd w:id="90"/>
      <w:bookmarkEnd w:id="91"/>
      <w:bookmarkEnd w:id="92"/>
      <w:bookmarkEnd w:id="93"/>
      <w:bookmarkEnd w:id="94"/>
    </w:p>
    <w:p>
      <w:pPr>
        <w:pStyle w:val="Heading5"/>
      </w:pPr>
      <w:bookmarkStart w:id="95" w:name="_Toc167799940"/>
      <w:bookmarkStart w:id="96" w:name="_Toc126239286"/>
      <w:r>
        <w:rPr>
          <w:rStyle w:val="CharSectno"/>
        </w:rPr>
        <w:t>23</w:t>
      </w:r>
      <w:r>
        <w:t>.</w:t>
      </w:r>
      <w:r>
        <w:tab/>
        <w:t>Who is an agency service provider</w:t>
      </w:r>
      <w:bookmarkEnd w:id="95"/>
      <w:bookmarkEnd w:id="96"/>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97" w:name="_Toc167799941"/>
      <w:bookmarkStart w:id="98" w:name="_Toc126239287"/>
      <w:r>
        <w:rPr>
          <w:rStyle w:val="CharSectno"/>
        </w:rPr>
        <w:t>24</w:t>
      </w:r>
      <w:r>
        <w:t>.</w:t>
      </w:r>
      <w:r>
        <w:tab/>
        <w:t>Application of Ombudsman Act</w:t>
      </w:r>
      <w:bookmarkEnd w:id="97"/>
      <w:bookmarkEnd w:id="98"/>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99" w:name="_Toc167799942"/>
      <w:bookmarkStart w:id="100" w:name="_Toc126239288"/>
      <w:r>
        <w:rPr>
          <w:rStyle w:val="CharSectno"/>
        </w:rPr>
        <w:t>25</w:t>
      </w:r>
      <w:r>
        <w:t>.</w:t>
      </w:r>
      <w:r>
        <w:tab/>
        <w:t>References in Ombudsman Act to particular terms</w:t>
      </w:r>
      <w:bookmarkEnd w:id="99"/>
      <w:bookmarkEnd w:id="100"/>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101" w:name="_Toc167799943"/>
      <w:bookmarkStart w:id="102" w:name="_Toc126239289"/>
      <w:r>
        <w:rPr>
          <w:rStyle w:val="CharSectno"/>
        </w:rPr>
        <w:t>26</w:t>
      </w:r>
      <w:r>
        <w:t>.</w:t>
      </w:r>
      <w:r>
        <w:tab/>
        <w:t>Modifications relating to National Agency and National Boards</w:t>
      </w:r>
      <w:bookmarkEnd w:id="101"/>
      <w:bookmarkEnd w:id="102"/>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103" w:name="_Toc167799944"/>
      <w:bookmarkStart w:id="104" w:name="_Toc126239290"/>
      <w:r>
        <w:rPr>
          <w:rStyle w:val="CharSectno"/>
        </w:rPr>
        <w:t>27</w:t>
      </w:r>
      <w:r>
        <w:t>.</w:t>
      </w:r>
      <w:r>
        <w:tab/>
        <w:t>Modifications relating to appointment of National Health Practitioner Ombudsman and staff</w:t>
      </w:r>
      <w:bookmarkEnd w:id="103"/>
      <w:bookmarkEnd w:id="104"/>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105" w:name="_Toc167799945"/>
      <w:bookmarkStart w:id="106" w:name="_Toc126239291"/>
      <w:r>
        <w:rPr>
          <w:rStyle w:val="CharSectno"/>
        </w:rPr>
        <w:t>28</w:t>
      </w:r>
      <w:r>
        <w:t>.</w:t>
      </w:r>
      <w:r>
        <w:tab/>
        <w:t>Modifications about financial matters</w:t>
      </w:r>
      <w:bookmarkEnd w:id="105"/>
      <w:bookmarkEnd w:id="106"/>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7" w:name="_Toc167799946"/>
      <w:bookmarkStart w:id="108" w:name="_Toc126239292"/>
      <w:r>
        <w:rPr>
          <w:rStyle w:val="CharSectno"/>
        </w:rPr>
        <w:t>29</w:t>
      </w:r>
      <w:r>
        <w:t>.</w:t>
      </w:r>
      <w:r>
        <w:tab/>
        <w:t>Modifications about annual report</w:t>
      </w:r>
      <w:bookmarkEnd w:id="107"/>
      <w:bookmarkEnd w:id="108"/>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109" w:name="_Toc167799947"/>
      <w:bookmarkStart w:id="110" w:name="_Toc126239293"/>
      <w:r>
        <w:rPr>
          <w:rStyle w:val="CharSectno"/>
        </w:rPr>
        <w:t>30</w:t>
      </w:r>
      <w:r>
        <w:t>.</w:t>
      </w:r>
      <w:r>
        <w:tab/>
        <w:t>Miscellaneous modifications</w:t>
      </w:r>
      <w:bookmarkEnd w:id="109"/>
      <w:bookmarkEnd w:id="110"/>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111" w:name="_Toc167799948"/>
      <w:bookmarkStart w:id="112" w:name="_Toc126239294"/>
      <w:r>
        <w:rPr>
          <w:rStyle w:val="CharSectno"/>
        </w:rPr>
        <w:t>31</w:t>
      </w:r>
      <w:r>
        <w:t>.</w:t>
      </w:r>
      <w:r>
        <w:tab/>
        <w:t>Regulations</w:t>
      </w:r>
      <w:bookmarkEnd w:id="111"/>
      <w:bookmarkEnd w:id="112"/>
      <w:r>
        <w:t xml:space="preserve"> </w:t>
      </w:r>
    </w:p>
    <w:p>
      <w:pPr>
        <w:pStyle w:val="Subsection"/>
      </w:pPr>
      <w:r>
        <w:tab/>
      </w:r>
      <w:r>
        <w:tab/>
        <w:t>The Regulations made under the Ombudsman Act, other than provisions providing for witness expenses, do not apply.</w:t>
      </w:r>
    </w:p>
    <w:p>
      <w:pPr>
        <w:pStyle w:val="Heading2"/>
      </w:pPr>
      <w:bookmarkStart w:id="113" w:name="_Toc152828875"/>
      <w:bookmarkStart w:id="114" w:name="_Toc152829982"/>
      <w:bookmarkStart w:id="115" w:name="_Toc152833212"/>
      <w:bookmarkStart w:id="116" w:name="_Toc167799862"/>
      <w:bookmarkStart w:id="117" w:name="_Toc167799949"/>
      <w:bookmarkStart w:id="118" w:name="_Toc126234367"/>
      <w:bookmarkStart w:id="119" w:name="_Toc126236069"/>
      <w:bookmarkStart w:id="120" w:name="_Toc126238872"/>
      <w:bookmarkStart w:id="121" w:name="_Toc126239295"/>
      <w:r>
        <w:rPr>
          <w:rStyle w:val="CharPartNo"/>
        </w:rPr>
        <w:t>Part 6</w:t>
      </w:r>
      <w:r>
        <w:rPr>
          <w:rStyle w:val="CharDivNo"/>
        </w:rPr>
        <w:t> </w:t>
      </w:r>
      <w:r>
        <w:t>—</w:t>
      </w:r>
      <w:r>
        <w:rPr>
          <w:rStyle w:val="CharDivText"/>
        </w:rPr>
        <w:t> </w:t>
      </w:r>
      <w:r>
        <w:rPr>
          <w:rStyle w:val="CharPartText"/>
        </w:rPr>
        <w:t>Application of Privacy Act</w:t>
      </w:r>
      <w:bookmarkEnd w:id="113"/>
      <w:bookmarkEnd w:id="114"/>
      <w:bookmarkEnd w:id="115"/>
      <w:bookmarkEnd w:id="116"/>
      <w:bookmarkEnd w:id="117"/>
      <w:bookmarkEnd w:id="118"/>
      <w:bookmarkEnd w:id="119"/>
      <w:bookmarkEnd w:id="120"/>
      <w:bookmarkEnd w:id="121"/>
    </w:p>
    <w:p>
      <w:pPr>
        <w:pStyle w:val="Heading5"/>
      </w:pPr>
      <w:bookmarkStart w:id="122" w:name="_Toc167799950"/>
      <w:bookmarkStart w:id="123" w:name="_Toc126239296"/>
      <w:r>
        <w:rPr>
          <w:rStyle w:val="CharSectno"/>
        </w:rPr>
        <w:t>32</w:t>
      </w:r>
      <w:r>
        <w:t>.</w:t>
      </w:r>
      <w:r>
        <w:tab/>
        <w:t>Who is a contracted service provider</w:t>
      </w:r>
      <w:bookmarkEnd w:id="122"/>
      <w:bookmarkEnd w:id="123"/>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24" w:name="_Toc167799951"/>
      <w:bookmarkStart w:id="125" w:name="_Toc126239297"/>
      <w:r>
        <w:rPr>
          <w:rStyle w:val="CharSectno"/>
        </w:rPr>
        <w:t>33</w:t>
      </w:r>
      <w:r>
        <w:t>.</w:t>
      </w:r>
      <w:r>
        <w:tab/>
        <w:t>Application of Privacy Act</w:t>
      </w:r>
      <w:bookmarkEnd w:id="124"/>
      <w:bookmarkEnd w:id="125"/>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26" w:name="_Toc167799952"/>
      <w:bookmarkStart w:id="127" w:name="_Toc126239298"/>
      <w:r>
        <w:rPr>
          <w:rStyle w:val="CharSectno"/>
        </w:rPr>
        <w:t>34</w:t>
      </w:r>
      <w:r>
        <w:t>.</w:t>
      </w:r>
      <w:r>
        <w:tab/>
        <w:t>References in Privacy Act to particular terms</w:t>
      </w:r>
      <w:bookmarkEnd w:id="126"/>
      <w:bookmarkEnd w:id="127"/>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28" w:name="_Toc167799953"/>
      <w:bookmarkStart w:id="129" w:name="_Toc126239299"/>
      <w:r>
        <w:rPr>
          <w:rStyle w:val="CharSectno"/>
        </w:rPr>
        <w:t>35</w:t>
      </w:r>
      <w:r>
        <w:t>.</w:t>
      </w:r>
      <w:r>
        <w:tab/>
        <w:t>Modifications relating to National Agency and National Boards</w:t>
      </w:r>
      <w:bookmarkEnd w:id="128"/>
      <w:bookmarkEnd w:id="129"/>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130" w:name="_Toc167799954"/>
      <w:bookmarkStart w:id="131" w:name="_Toc126239300"/>
      <w:r>
        <w:rPr>
          <w:rStyle w:val="CharSectno"/>
        </w:rPr>
        <w:t>36</w:t>
      </w:r>
      <w:r>
        <w:t>.</w:t>
      </w:r>
      <w:r>
        <w:tab/>
        <w:t>Modifications about financial matters</w:t>
      </w:r>
      <w:bookmarkEnd w:id="130"/>
      <w:bookmarkEnd w:id="131"/>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32" w:name="_Toc167799955"/>
      <w:bookmarkStart w:id="133" w:name="_Toc126239301"/>
      <w:r>
        <w:rPr>
          <w:rStyle w:val="CharSectno"/>
        </w:rPr>
        <w:t>37</w:t>
      </w:r>
      <w:r>
        <w:t>.</w:t>
      </w:r>
      <w:r>
        <w:tab/>
        <w:t>Modifications about public interest determinations</w:t>
      </w:r>
      <w:bookmarkEnd w:id="132"/>
      <w:bookmarkEnd w:id="133"/>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134" w:name="_Toc167799956"/>
      <w:bookmarkStart w:id="135" w:name="_Toc126239302"/>
      <w:r>
        <w:rPr>
          <w:rStyle w:val="CharSectno"/>
        </w:rPr>
        <w:t>38</w:t>
      </w:r>
      <w:r>
        <w:t>.</w:t>
      </w:r>
      <w:r>
        <w:tab/>
        <w:t>Miscellaneous modifications</w:t>
      </w:r>
      <w:bookmarkEnd w:id="134"/>
      <w:bookmarkEnd w:id="135"/>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136" w:name="_Toc167799957"/>
      <w:bookmarkStart w:id="137" w:name="_Toc126239303"/>
      <w:r>
        <w:rPr>
          <w:rStyle w:val="CharSectno"/>
        </w:rPr>
        <w:t>39</w:t>
      </w:r>
      <w:r>
        <w:t>.</w:t>
      </w:r>
      <w:r>
        <w:tab/>
        <w:t>Regulations</w:t>
      </w:r>
      <w:bookmarkEnd w:id="136"/>
      <w:bookmarkEnd w:id="137"/>
    </w:p>
    <w:p>
      <w:pPr>
        <w:pStyle w:val="Subsection"/>
      </w:pPr>
      <w:r>
        <w:tab/>
      </w:r>
      <w:r>
        <w:tab/>
        <w:t>The Regulations made under the Privacy Act do not apply.</w:t>
      </w:r>
    </w:p>
    <w:p>
      <w:pPr>
        <w:pStyle w:val="Heading2"/>
      </w:pPr>
      <w:bookmarkStart w:id="138" w:name="_Toc152828884"/>
      <w:bookmarkStart w:id="139" w:name="_Toc152829991"/>
      <w:bookmarkStart w:id="140" w:name="_Toc152833221"/>
      <w:bookmarkStart w:id="141" w:name="_Toc167799871"/>
      <w:bookmarkStart w:id="142" w:name="_Toc167799958"/>
      <w:bookmarkStart w:id="143" w:name="_Toc126234376"/>
      <w:bookmarkStart w:id="144" w:name="_Toc126236078"/>
      <w:bookmarkStart w:id="145" w:name="_Toc126238881"/>
      <w:bookmarkStart w:id="146" w:name="_Toc126239304"/>
      <w:r>
        <w:rPr>
          <w:rStyle w:val="CharPartNo"/>
        </w:rPr>
        <w:t>Part 7</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bookmarkEnd w:id="145"/>
      <w:bookmarkEnd w:id="146"/>
    </w:p>
    <w:p>
      <w:pPr>
        <w:pStyle w:val="Heading5"/>
      </w:pPr>
      <w:bookmarkStart w:id="147" w:name="_Toc167799959"/>
      <w:bookmarkStart w:id="148" w:name="_Toc126239305"/>
      <w:r>
        <w:rPr>
          <w:rStyle w:val="CharSectno"/>
        </w:rPr>
        <w:t>40</w:t>
      </w:r>
      <w:r>
        <w:t>.</w:t>
      </w:r>
      <w:r>
        <w:tab/>
        <w:t>Transition period in relation to professional indemnity insurance arrangements for midwives practising private midwifery</w:t>
      </w:r>
      <w:bookmarkEnd w:id="147"/>
      <w:bookmarkEnd w:id="148"/>
    </w:p>
    <w:p>
      <w:pPr>
        <w:pStyle w:val="Subsection"/>
      </w:pPr>
      <w:r>
        <w:tab/>
      </w:r>
      <w:r>
        <w:tab/>
        <w:t xml:space="preserve">For the purposes of section 284(3)(b) of the Law, the transition period ends on </w:t>
      </w:r>
      <w:del w:id="149" w:author="Master Repository Process" w:date="2025-06-16T11:38:00Z">
        <w:r>
          <w:delText>31 December 2023</w:delText>
        </w:r>
      </w:del>
      <w:ins w:id="150" w:author="Master Repository Process" w:date="2025-06-16T11:38:00Z">
        <w:r>
          <w:t>1 July 2025</w:t>
        </w:r>
      </w:ins>
      <w:r>
        <w:t>.</w:t>
      </w:r>
    </w:p>
    <w:p>
      <w:pPr>
        <w:pStyle w:val="Footnotesection"/>
      </w:pPr>
      <w:r>
        <w:tab/>
        <w:t>[Section 40 amended: Gazette 17 Dec 2019 p. 4364; 13 Dec 2021 p. 5490</w:t>
      </w:r>
      <w:ins w:id="151" w:author="Master Repository Process" w:date="2025-06-16T11:38:00Z">
        <w:r>
          <w:t>; SL 2023/189 r. 4</w:t>
        </w:r>
      </w:ins>
      <w:r>
        <w:t>.]</w:t>
      </w:r>
    </w:p>
    <w:p>
      <w:pPr>
        <w:pStyle w:val="Heading5"/>
      </w:pPr>
      <w:bookmarkStart w:id="152" w:name="_Toc167799960"/>
      <w:bookmarkStart w:id="153" w:name="_Toc126239306"/>
      <w:r>
        <w:rPr>
          <w:rStyle w:val="CharSectno"/>
        </w:rPr>
        <w:t>41</w:t>
      </w:r>
      <w:r>
        <w:t>.</w:t>
      </w:r>
      <w:r>
        <w:tab/>
        <w:t>Prescribed participation day for registration in paramedicine</w:t>
      </w:r>
      <w:bookmarkEnd w:id="152"/>
      <w:bookmarkEnd w:id="153"/>
    </w:p>
    <w:p>
      <w:pPr>
        <w:pStyle w:val="Subsection"/>
      </w:pPr>
      <w:r>
        <w:tab/>
      </w:r>
      <w:r>
        <w:tab/>
        <w:t xml:space="preserve">For the purposes of section 306 of the Law, definition participation day, the prescribed participation day is 1 December 2018. </w:t>
      </w:r>
    </w:p>
    <w:p>
      <w:pPr>
        <w:pStyle w:val="Heading5"/>
      </w:pPr>
      <w:bookmarkStart w:id="154" w:name="_Toc167799961"/>
      <w:bookmarkStart w:id="155" w:name="_Toc126239307"/>
      <w:bookmarkStart w:id="156" w:name="_Toc126234379"/>
      <w:r>
        <w:rPr>
          <w:rStyle w:val="CharSectno"/>
        </w:rPr>
        <w:t>41A</w:t>
      </w:r>
      <w:r>
        <w:t>.</w:t>
      </w:r>
      <w:r>
        <w:tab/>
        <w:t>Prescribed qualification for general registration in paramedicine</w:t>
      </w:r>
      <w:bookmarkEnd w:id="154"/>
      <w:bookmarkEnd w:id="155"/>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157" w:name="_Toc152828888"/>
      <w:bookmarkStart w:id="158" w:name="_Toc152829995"/>
      <w:bookmarkStart w:id="159" w:name="_Toc152833225"/>
      <w:bookmarkStart w:id="160" w:name="_Toc167799875"/>
      <w:bookmarkStart w:id="161" w:name="_Toc167799962"/>
      <w:bookmarkStart w:id="162" w:name="_Toc126236082"/>
      <w:bookmarkStart w:id="163" w:name="_Toc126238885"/>
      <w:bookmarkStart w:id="164" w:name="_Toc126239308"/>
      <w:r>
        <w:rPr>
          <w:rStyle w:val="CharPartNo"/>
        </w:rPr>
        <w:t>Part 8</w:t>
      </w:r>
      <w:r>
        <w:t> — </w:t>
      </w:r>
      <w:r>
        <w:rPr>
          <w:rStyle w:val="CharPartText"/>
        </w:rPr>
        <w:t>Transitional and repeal</w:t>
      </w:r>
      <w:bookmarkEnd w:id="157"/>
      <w:bookmarkEnd w:id="158"/>
      <w:bookmarkEnd w:id="159"/>
      <w:bookmarkEnd w:id="160"/>
      <w:bookmarkEnd w:id="161"/>
      <w:bookmarkEnd w:id="156"/>
      <w:bookmarkEnd w:id="162"/>
      <w:bookmarkEnd w:id="163"/>
      <w:bookmarkEnd w:id="164"/>
    </w:p>
    <w:p>
      <w:pPr>
        <w:pStyle w:val="Heading3"/>
      </w:pPr>
      <w:bookmarkStart w:id="165" w:name="_Toc152828889"/>
      <w:bookmarkStart w:id="166" w:name="_Toc152829996"/>
      <w:bookmarkStart w:id="167" w:name="_Toc152833226"/>
      <w:bookmarkStart w:id="168" w:name="_Toc167799876"/>
      <w:bookmarkStart w:id="169" w:name="_Toc167799963"/>
      <w:bookmarkStart w:id="170" w:name="_Toc126234380"/>
      <w:bookmarkStart w:id="171" w:name="_Toc126236083"/>
      <w:bookmarkStart w:id="172" w:name="_Toc126238886"/>
      <w:bookmarkStart w:id="173" w:name="_Toc126239309"/>
      <w:r>
        <w:rPr>
          <w:rStyle w:val="CharDivNo"/>
        </w:rPr>
        <w:t>Division 1</w:t>
      </w:r>
      <w:r>
        <w:t> — </w:t>
      </w:r>
      <w:r>
        <w:rPr>
          <w:rStyle w:val="CharDivText"/>
        </w:rPr>
        <w:t>Repeal</w:t>
      </w:r>
      <w:bookmarkEnd w:id="165"/>
      <w:bookmarkEnd w:id="166"/>
      <w:bookmarkEnd w:id="167"/>
      <w:bookmarkEnd w:id="168"/>
      <w:bookmarkEnd w:id="169"/>
      <w:bookmarkEnd w:id="170"/>
      <w:bookmarkEnd w:id="171"/>
      <w:bookmarkEnd w:id="172"/>
      <w:bookmarkEnd w:id="173"/>
    </w:p>
    <w:p>
      <w:pPr>
        <w:pStyle w:val="Heading5"/>
      </w:pPr>
      <w:bookmarkStart w:id="174" w:name="_Toc167799964"/>
      <w:bookmarkStart w:id="175" w:name="_Toc126239310"/>
      <w:r>
        <w:rPr>
          <w:rStyle w:val="CharSectno"/>
        </w:rPr>
        <w:t>42</w:t>
      </w:r>
      <w:r>
        <w:t>.</w:t>
      </w:r>
      <w:r>
        <w:tab/>
        <w:t>Regulations repealed</w:t>
      </w:r>
      <w:bookmarkEnd w:id="174"/>
      <w:bookmarkEnd w:id="175"/>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76" w:name="_Toc152828891"/>
      <w:bookmarkStart w:id="177" w:name="_Toc152829998"/>
      <w:bookmarkStart w:id="178" w:name="_Toc152833228"/>
      <w:bookmarkStart w:id="179" w:name="_Toc167799878"/>
      <w:bookmarkStart w:id="180" w:name="_Toc167799965"/>
      <w:bookmarkStart w:id="181" w:name="_Toc126234382"/>
      <w:bookmarkStart w:id="182" w:name="_Toc126236085"/>
      <w:bookmarkStart w:id="183" w:name="_Toc126238888"/>
      <w:bookmarkStart w:id="184" w:name="_Toc126239311"/>
      <w:r>
        <w:rPr>
          <w:rStyle w:val="CharDivNo"/>
        </w:rPr>
        <w:t>Division 2</w:t>
      </w:r>
      <w:r>
        <w:t> — </w:t>
      </w:r>
      <w:r>
        <w:rPr>
          <w:rStyle w:val="CharDivText"/>
        </w:rPr>
        <w:t>Transitional provisions</w:t>
      </w:r>
      <w:bookmarkEnd w:id="176"/>
      <w:bookmarkEnd w:id="177"/>
      <w:bookmarkEnd w:id="178"/>
      <w:bookmarkEnd w:id="179"/>
      <w:bookmarkEnd w:id="180"/>
      <w:bookmarkEnd w:id="181"/>
      <w:bookmarkEnd w:id="182"/>
      <w:bookmarkEnd w:id="183"/>
      <w:bookmarkEnd w:id="184"/>
    </w:p>
    <w:p>
      <w:pPr>
        <w:pStyle w:val="Heading5"/>
      </w:pPr>
      <w:bookmarkStart w:id="185" w:name="_Toc167799966"/>
      <w:bookmarkStart w:id="186" w:name="_Toc126239312"/>
      <w:r>
        <w:rPr>
          <w:rStyle w:val="CharSectno"/>
        </w:rPr>
        <w:t>43</w:t>
      </w:r>
      <w:r>
        <w:t>.</w:t>
      </w:r>
      <w:r>
        <w:tab/>
        <w:t>Definitions for Division</w:t>
      </w:r>
      <w:bookmarkEnd w:id="185"/>
      <w:bookmarkEnd w:id="186"/>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87" w:name="_Toc167799967"/>
      <w:bookmarkStart w:id="188" w:name="_Toc126239313"/>
      <w:r>
        <w:rPr>
          <w:rStyle w:val="CharSectno"/>
        </w:rPr>
        <w:t>44</w:t>
      </w:r>
      <w:r>
        <w:t>.</w:t>
      </w:r>
      <w:r>
        <w:tab/>
        <w:t>Transitional provision for continued Boards</w:t>
      </w:r>
      <w:bookmarkEnd w:id="187"/>
      <w:bookmarkEnd w:id="188"/>
    </w:p>
    <w:p>
      <w:pPr>
        <w:pStyle w:val="Subsection"/>
        <w:keepNext/>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89" w:name="_Toc167799968"/>
      <w:bookmarkStart w:id="190" w:name="_Toc126239314"/>
      <w:r>
        <w:rPr>
          <w:rStyle w:val="CharSectno"/>
        </w:rPr>
        <w:t>45</w:t>
      </w:r>
      <w:r>
        <w:t>.</w:t>
      </w:r>
      <w:r>
        <w:tab/>
        <w:t>Continuation of existing appointment and employment of National Health Practitioner Privacy Commissioner</w:t>
      </w:r>
      <w:bookmarkEnd w:id="189"/>
      <w:bookmarkEnd w:id="190"/>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91" w:name="_Toc167799969"/>
      <w:bookmarkStart w:id="192" w:name="_Toc126239315"/>
      <w:r>
        <w:rPr>
          <w:rStyle w:val="CharSectno"/>
        </w:rPr>
        <w:t>46</w:t>
      </w:r>
      <w:r>
        <w:t>.</w:t>
      </w:r>
      <w:r>
        <w:tab/>
        <w:t>Continuation of existing appointment and employment of National Health Practitioner Ombudsman</w:t>
      </w:r>
      <w:bookmarkEnd w:id="191"/>
      <w:bookmarkEnd w:id="192"/>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93" w:name="_Toc167799970"/>
      <w:bookmarkStart w:id="194" w:name="_Toc126239316"/>
      <w:r>
        <w:rPr>
          <w:rStyle w:val="CharSectno"/>
        </w:rPr>
        <w:t>47</w:t>
      </w:r>
      <w:r>
        <w:t>.</w:t>
      </w:r>
      <w:r>
        <w:tab/>
        <w:t>Acting Commissioner under the Privacy Act</w:t>
      </w:r>
      <w:bookmarkEnd w:id="193"/>
      <w:bookmarkEnd w:id="194"/>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95" w:name="_Toc167799971"/>
      <w:bookmarkStart w:id="196" w:name="_Toc126239317"/>
      <w:r>
        <w:rPr>
          <w:rStyle w:val="CharSectno"/>
        </w:rPr>
        <w:t>48</w:t>
      </w:r>
      <w:r>
        <w:t>.</w:t>
      </w:r>
      <w:r>
        <w:tab/>
        <w:t>Applications for access to a document</w:t>
      </w:r>
      <w:bookmarkEnd w:id="195"/>
      <w:bookmarkEnd w:id="196"/>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97" w:name="_Toc167799972"/>
      <w:bookmarkStart w:id="198" w:name="_Toc126239318"/>
      <w:r>
        <w:rPr>
          <w:rStyle w:val="CharSectno"/>
        </w:rPr>
        <w:t>49</w:t>
      </w:r>
      <w:r>
        <w:t>.</w:t>
      </w:r>
      <w:r>
        <w:tab/>
        <w:t>Applications for internal review of access refusal decision</w:t>
      </w:r>
      <w:bookmarkEnd w:id="197"/>
      <w:bookmarkEnd w:id="198"/>
    </w:p>
    <w:p>
      <w:pPr>
        <w:pStyle w:val="Subsection"/>
        <w:keepNext/>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99" w:name="_Toc152828899"/>
      <w:bookmarkStart w:id="200" w:name="_Toc152830006"/>
      <w:bookmarkStart w:id="201" w:name="_Toc152833236"/>
      <w:bookmarkStart w:id="202" w:name="_Toc167799886"/>
      <w:bookmarkStart w:id="203" w:name="_Toc167799973"/>
      <w:bookmarkStart w:id="204" w:name="_Toc126234390"/>
      <w:bookmarkStart w:id="205" w:name="_Toc126236093"/>
      <w:bookmarkStart w:id="206" w:name="_Toc126238896"/>
      <w:bookmarkStart w:id="207" w:name="_Toc126239319"/>
      <w:r>
        <w:t>Notes</w:t>
      </w:r>
      <w:bookmarkEnd w:id="199"/>
      <w:bookmarkEnd w:id="200"/>
      <w:bookmarkEnd w:id="201"/>
      <w:bookmarkEnd w:id="202"/>
      <w:bookmarkEnd w:id="203"/>
      <w:bookmarkEnd w:id="204"/>
      <w:bookmarkEnd w:id="205"/>
      <w:bookmarkEnd w:id="206"/>
      <w:bookmarkEnd w:id="207"/>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208" w:name="_Toc167799974"/>
      <w:bookmarkStart w:id="209" w:name="_Toc126239320"/>
      <w:r>
        <w:t>Compilation table</w:t>
      </w:r>
      <w:bookmarkEnd w:id="208"/>
      <w:bookmarkEnd w:id="2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vertAlign w:val="superscript"/>
              </w:rPr>
            </w:pPr>
            <w:r>
              <w:rPr>
                <w:i/>
                <w:noProof/>
              </w:rPr>
              <w:t>Health Practitioner Regulation National Law Regulation 2018</w:t>
            </w:r>
            <w:ins w:id="210" w:author="Master Repository Process" w:date="2025-06-16T11:38:00Z">
              <w:r>
                <w:rPr>
                  <w:iCs/>
                  <w:noProof/>
                </w:rPr>
                <w:t> </w:t>
              </w:r>
              <w:r>
                <w:rPr>
                  <w:iCs/>
                  <w:noProof/>
                  <w:vertAlign w:val="superscript"/>
                </w:rPr>
                <w:t>1</w:t>
              </w:r>
            </w:ins>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c>
          <w:tcPr>
            <w:tcW w:w="3118" w:type="dxa"/>
            <w:tcBorders>
              <w:top w:val="nil"/>
              <w:bottom w:val="nil"/>
            </w:tcBorders>
          </w:tcPr>
          <w:p>
            <w:pPr>
              <w:pStyle w:val="nTable"/>
              <w:spacing w:after="40"/>
              <w:rPr>
                <w:i/>
                <w:noProof/>
              </w:rPr>
            </w:pPr>
            <w:r>
              <w:rPr>
                <w:i/>
                <w:noProof/>
              </w:rPr>
              <w:t>Health Practitioner Regulation National Law Amendment Regulation 2022</w:t>
            </w:r>
          </w:p>
        </w:tc>
        <w:tc>
          <w:tcPr>
            <w:tcW w:w="1276" w:type="dxa"/>
            <w:tcBorders>
              <w:top w:val="nil"/>
              <w:bottom w:val="nil"/>
            </w:tcBorders>
          </w:tcPr>
          <w:p>
            <w:pPr>
              <w:pStyle w:val="nTable"/>
              <w:spacing w:after="40"/>
            </w:pPr>
            <w:r>
              <w:t>2 Feb 2023 p. 111</w:t>
            </w:r>
            <w:r>
              <w:noBreakHyphen/>
              <w:t>17</w:t>
            </w:r>
          </w:p>
        </w:tc>
        <w:tc>
          <w:tcPr>
            <w:tcW w:w="2693" w:type="dxa"/>
            <w:tcBorders>
              <w:top w:val="nil"/>
              <w:bottom w:val="nil"/>
            </w:tcBorders>
          </w:tcPr>
          <w:p>
            <w:pPr>
              <w:pStyle w:val="nTable"/>
              <w:spacing w:after="40"/>
            </w:pPr>
            <w:r>
              <w:t>3 Feb 2023 (see r. </w:t>
            </w:r>
            <w:del w:id="211" w:author="Master Repository Process" w:date="2025-06-16T11:38:00Z">
              <w:r>
                <w:delText>2a</w:delText>
              </w:r>
            </w:del>
            <w:ins w:id="212" w:author="Master Repository Process" w:date="2025-06-16T11:38:00Z">
              <w:r>
                <w:t>2(a</w:t>
              </w:r>
            </w:ins>
            <w:r>
              <w:t>))</w:t>
            </w:r>
          </w:p>
        </w:tc>
      </w:tr>
      <w:tr>
        <w:tc>
          <w:tcPr>
            <w:tcW w:w="3118" w:type="dxa"/>
            <w:tcBorders>
              <w:top w:val="nil"/>
              <w:bottom w:val="nil"/>
            </w:tcBorders>
          </w:tcPr>
          <w:p>
            <w:pPr>
              <w:pStyle w:val="nTable"/>
              <w:spacing w:after="40"/>
              <w:rPr>
                <w:i/>
                <w:noProof/>
              </w:rPr>
            </w:pPr>
            <w:r>
              <w:rPr>
                <w:i/>
                <w:noProof/>
              </w:rPr>
              <w:t>Health Practitioner Regulation National Law Amendment (Paramedicine Qualification) Regulation 2022</w:t>
            </w:r>
          </w:p>
        </w:tc>
        <w:tc>
          <w:tcPr>
            <w:tcW w:w="1276" w:type="dxa"/>
            <w:tcBorders>
              <w:top w:val="nil"/>
              <w:bottom w:val="nil"/>
            </w:tcBorders>
          </w:tcPr>
          <w:p>
            <w:pPr>
              <w:pStyle w:val="nTable"/>
              <w:spacing w:after="40"/>
            </w:pPr>
            <w:r>
              <w:t>2 Feb 2023 p. 119</w:t>
            </w:r>
            <w:r>
              <w:noBreakHyphen/>
              <w:t>23</w:t>
            </w:r>
          </w:p>
        </w:tc>
        <w:tc>
          <w:tcPr>
            <w:tcW w:w="2693" w:type="dxa"/>
            <w:tcBorders>
              <w:top w:val="nil"/>
              <w:bottom w:val="nil"/>
            </w:tcBorders>
          </w:tcPr>
          <w:p>
            <w:pPr>
              <w:pStyle w:val="nTable"/>
              <w:spacing w:after="40"/>
            </w:pPr>
            <w:r>
              <w:t>3 Feb 2023 (see r. </w:t>
            </w:r>
            <w:del w:id="213" w:author="Master Repository Process" w:date="2025-06-16T11:38:00Z">
              <w:r>
                <w:delText>2a</w:delText>
              </w:r>
            </w:del>
            <w:ins w:id="214" w:author="Master Repository Process" w:date="2025-06-16T11:38:00Z">
              <w:r>
                <w:t>2(a</w:t>
              </w:r>
            </w:ins>
            <w:r>
              <w:t>))</w:t>
            </w:r>
          </w:p>
        </w:tc>
      </w:tr>
      <w:tr>
        <w:trPr>
          <w:ins w:id="215" w:author="Master Repository Process" w:date="2025-06-16T11:38:00Z"/>
        </w:trPr>
        <w:tc>
          <w:tcPr>
            <w:tcW w:w="3118" w:type="dxa"/>
            <w:tcBorders>
              <w:top w:val="nil"/>
              <w:bottom w:val="single" w:sz="4" w:space="0" w:color="auto"/>
            </w:tcBorders>
          </w:tcPr>
          <w:p>
            <w:pPr>
              <w:pStyle w:val="nTable"/>
              <w:spacing w:after="40"/>
              <w:rPr>
                <w:ins w:id="216" w:author="Master Repository Process" w:date="2025-06-16T11:38:00Z"/>
                <w:i/>
                <w:noProof/>
              </w:rPr>
            </w:pPr>
            <w:ins w:id="217" w:author="Master Repository Process" w:date="2025-06-16T11:38:00Z">
              <w:r>
                <w:rPr>
                  <w:i/>
                  <w:noProof/>
                </w:rPr>
                <w:t>Health Practitioner Regulation National Law Amendment (Professional Indemnity Insurance) Regulation 2023</w:t>
              </w:r>
            </w:ins>
          </w:p>
        </w:tc>
        <w:tc>
          <w:tcPr>
            <w:tcW w:w="1276" w:type="dxa"/>
            <w:tcBorders>
              <w:top w:val="nil"/>
              <w:bottom w:val="single" w:sz="4" w:space="0" w:color="auto"/>
            </w:tcBorders>
          </w:tcPr>
          <w:p>
            <w:pPr>
              <w:pStyle w:val="nTable"/>
              <w:spacing w:after="40"/>
              <w:rPr>
                <w:ins w:id="218" w:author="Master Repository Process" w:date="2025-06-16T11:38:00Z"/>
              </w:rPr>
            </w:pPr>
            <w:ins w:id="219" w:author="Master Repository Process" w:date="2025-06-16T11:38:00Z">
              <w:r>
                <w:t>SL 2023/189 7 Dec 2023</w:t>
              </w:r>
            </w:ins>
          </w:p>
        </w:tc>
        <w:tc>
          <w:tcPr>
            <w:tcW w:w="2693" w:type="dxa"/>
            <w:tcBorders>
              <w:top w:val="nil"/>
              <w:bottom w:val="single" w:sz="4" w:space="0" w:color="auto"/>
            </w:tcBorders>
          </w:tcPr>
          <w:p>
            <w:pPr>
              <w:pStyle w:val="nTable"/>
              <w:spacing w:after="40"/>
              <w:rPr>
                <w:ins w:id="220" w:author="Master Repository Process" w:date="2025-06-16T11:38:00Z"/>
              </w:rPr>
            </w:pPr>
            <w:ins w:id="221" w:author="Master Repository Process" w:date="2025-06-16T11:38:00Z">
              <w:r>
                <w:t>8 Dec 2023 (see r. 2(a))</w:t>
              </w:r>
            </w:ins>
          </w:p>
        </w:tc>
      </w:tr>
    </w:tbl>
    <w:p>
      <w:pPr>
        <w:rPr>
          <w:del w:id="222" w:author="Master Repository Process" w:date="2025-06-16T11:38:00Z"/>
        </w:rPr>
      </w:pPr>
      <w:bookmarkStart w:id="223" w:name="_Toc167799975"/>
    </w:p>
    <w:p>
      <w:pPr>
        <w:rPr>
          <w:del w:id="224" w:author="Master Repository Process" w:date="2025-06-16T11:38: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225" w:author="Master Repository Process" w:date="2025-06-16T11:38:00Z"/>
        </w:rPr>
      </w:pPr>
      <w:ins w:id="226" w:author="Master Repository Process" w:date="2025-06-16T11:38:00Z">
        <w:r>
          <w:t>Other notes</w:t>
        </w:r>
        <w:bookmarkEnd w:id="223"/>
      </w:ins>
    </w:p>
    <w:p>
      <w:pPr>
        <w:pStyle w:val="nNote"/>
        <w:rPr>
          <w:ins w:id="227" w:author="Master Repository Process" w:date="2025-06-16T11:38:00Z"/>
        </w:rPr>
      </w:pPr>
      <w:ins w:id="228" w:author="Master Repository Process" w:date="2025-06-16T11:38:00Z">
        <w:r>
          <w:rPr>
            <w:vertAlign w:val="superscript"/>
          </w:rPr>
          <w:t>1</w:t>
        </w:r>
        <w:r>
          <w:tab/>
          <w:t xml:space="preserve">This regulation applies in Western Australia under the </w:t>
        </w:r>
        <w:r>
          <w:rPr>
            <w:i/>
            <w:iCs/>
          </w:rPr>
          <w:t>Health Practitioner Regulation National Law Application Act 2024</w:t>
        </w:r>
        <w:r>
          <w:t xml:space="preserve"> Part 2 Division 2.  Under section 43 of that Act they operate as a continuation of the </w:t>
        </w:r>
        <w:r>
          <w:rPr>
            <w:i/>
            <w:iCs/>
          </w:rPr>
          <w:t>Health Practitioner Regulation National Law Regulation 2018</w:t>
        </w:r>
        <w:r>
          <w:t>.</w:t>
        </w:r>
      </w:ins>
    </w:p>
    <w:p>
      <w:pPr>
        <w:pStyle w:val="nNote"/>
        <w:rPr>
          <w:ins w:id="229" w:author="Master Repository Process" w:date="2025-06-16T11:38:00Z"/>
        </w:rPr>
      </w:pPr>
    </w:p>
    <w:p>
      <w:pPr>
        <w:rPr>
          <w:ins w:id="230" w:author="Master Repository Process" w:date="2025-06-16T11:38:00Z"/>
        </w:rPr>
        <w:sectPr>
          <w:headerReference w:type="even" r:id="rId24"/>
          <w:headerReference w:type="default" r:id="rId25"/>
          <w:pgSz w:w="11907" w:h="16840" w:code="9"/>
          <w:pgMar w:top="2376" w:right="2404" w:bottom="3544" w:left="2404" w:header="720" w:footer="3544" w:gutter="0"/>
          <w:cols w:space="720"/>
          <w:noEndnote/>
          <w:docGrid w:linePitch="326"/>
        </w:sectPr>
      </w:pPr>
    </w:p>
    <w:p>
      <w:ins w:id="232" w:author="Master Repository Process" w:date="2025-06-16T11: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3" w:author="Master Repository Process" w:date="2025-06-16T11:38:00Z"/>
                                  <w:sz w:val="16"/>
                                </w:rPr>
                              </w:pPr>
                              <w:ins w:id="234" w:author="Master Repository Process" w:date="2025-06-16T11: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5" w:author="Master Repository Process" w:date="2025-06-16T11:38:00Z"/>
                                  <w:sz w:val="16"/>
                                </w:rPr>
                              </w:pPr>
                              <w:ins w:id="236" w:author="Master Repository Process" w:date="2025-06-16T11: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7" w:author="Master Repository Process" w:date="2025-06-16T11:38:00Z"/>
                                  <w:sz w:val="16"/>
                                </w:rPr>
                              </w:pPr>
                              <w:ins w:id="238" w:author="Master Repository Process" w:date="2025-06-16T11: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9" w:author="Master Repository Process" w:date="2025-06-16T11:38:00Z"/>
                                  <w:rFonts w:ascii="Arial" w:hAnsi="Arial" w:cs="Arial"/>
                                  <w:sz w:val="12"/>
                                </w:rPr>
                              </w:pPr>
                              <w:ins w:id="240" w:author="Master Repository Process" w:date="2025-06-16T11: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41" w:author="Master Repository Process" w:date="2025-06-16T11:38:00Z"/>
                            <w:sz w:val="16"/>
                          </w:rPr>
                        </w:pPr>
                        <w:ins w:id="242" w:author="Master Repository Process" w:date="2025-06-16T11: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3" w:author="Master Repository Process" w:date="2025-06-16T11:38:00Z"/>
                            <w:sz w:val="16"/>
                          </w:rPr>
                        </w:pPr>
                        <w:ins w:id="244" w:author="Master Repository Process" w:date="2025-06-16T11: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5" w:author="Master Repository Process" w:date="2025-06-16T11:38:00Z"/>
                            <w:sz w:val="16"/>
                          </w:rPr>
                        </w:pPr>
                        <w:ins w:id="246" w:author="Master Repository Process" w:date="2025-06-16T11: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7" w:author="Master Repository Process" w:date="2025-06-16T11:38:00Z"/>
                            <w:rFonts w:ascii="Arial" w:hAnsi="Arial" w:cs="Arial"/>
                            <w:sz w:val="12"/>
                          </w:rPr>
                        </w:pPr>
                        <w:ins w:id="248" w:author="Master Repository Process" w:date="2025-06-16T11: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7196</Words>
  <Characters>38573</Characters>
  <Application>Microsoft Office Word</Application>
  <DocSecurity>0</DocSecurity>
  <Lines>1134</Lines>
  <Paragraphs>626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00-d0-00 - 00-e0-01</dc:title>
  <dc:subject/>
  <dc:creator/>
  <cp:keywords/>
  <dc:description/>
  <cp:lastModifiedBy>Master Repository Process</cp:lastModifiedBy>
  <cp:revision>2</cp:revision>
  <cp:lastPrinted>2018-11-30T07:45:00Z</cp:lastPrinted>
  <dcterms:created xsi:type="dcterms:W3CDTF">2025-06-16T03:38:00Z</dcterms:created>
  <dcterms:modified xsi:type="dcterms:W3CDTF">2025-06-16T03:38:00Z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20231208</vt:lpwstr>
  </property>
  <property fmtid="{D5CDD505-2E9C-101B-9397-08002B2CF9AE}" pid="4" name="CommencementYear">
    <vt:lpwstr>2023</vt:lpwstr>
  </property>
  <property fmtid="{D5CDD505-2E9C-101B-9397-08002B2CF9AE}" pid="5" name="Official">
    <vt:lpwstr/>
  </property>
  <property fmtid="{D5CDD505-2E9C-101B-9397-08002B2CF9AE}" pid="6" name="FromSuffix">
    <vt:lpwstr>00-d0-00</vt:lpwstr>
  </property>
  <property fmtid="{D5CDD505-2E9C-101B-9397-08002B2CF9AE}" pid="7" name="FromAsAtDate">
    <vt:lpwstr>03 Feb 2023</vt:lpwstr>
  </property>
  <property fmtid="{D5CDD505-2E9C-101B-9397-08002B2CF9AE}" pid="8" name="ToSuffix">
    <vt:lpwstr>00-e0-01</vt:lpwstr>
  </property>
  <property fmtid="{D5CDD505-2E9C-101B-9397-08002B2CF9AE}" pid="9" name="ToAsAtDate">
    <vt:lpwstr>08 Dec 2023</vt:lpwstr>
  </property>
</Properties>
</file>