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2023</w:t>
      </w:r>
      <w:r>
        <w:fldChar w:fldCharType="end"/>
      </w:r>
      <w:r>
        <w:t xml:space="preserve">, </w:t>
      </w:r>
      <w:r>
        <w:fldChar w:fldCharType="begin"/>
      </w:r>
      <w:r>
        <w:instrText xml:space="preserve"> DocProperty FromSuffix </w:instrText>
      </w:r>
      <w:r>
        <w:fldChar w:fldCharType="separate"/>
      </w:r>
      <w:r>
        <w:t>06-x0-01</w:t>
      </w:r>
      <w:r>
        <w:fldChar w:fldCharType="end"/>
      </w:r>
      <w:r>
        <w:t>] and [</w:t>
      </w:r>
      <w:r>
        <w:fldChar w:fldCharType="begin"/>
      </w:r>
      <w:r>
        <w:instrText xml:space="preserve"> DocProperty ToAsAtDate</w:instrText>
      </w:r>
      <w:r>
        <w:fldChar w:fldCharType="separate"/>
      </w:r>
      <w:r>
        <w:t>01 Jan 2024</w:t>
      </w:r>
      <w:r>
        <w:fldChar w:fldCharType="end"/>
      </w:r>
      <w:r>
        <w:t xml:space="preserve">, </w:t>
      </w:r>
      <w:r>
        <w:fldChar w:fldCharType="begin"/>
      </w:r>
      <w:r>
        <w:instrText xml:space="preserve"> DocProperty ToSuffix</w:instrText>
      </w:r>
      <w:r>
        <w:fldChar w:fldCharType="separate"/>
      </w:r>
      <w:r>
        <w:t>06-y0-00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rFonts w:ascii="Times" w:hAnsi="Times"/>
          <w:snapToGrid w:val="0"/>
        </w:rPr>
      </w:pPr>
      <w:r>
        <w:rPr>
          <w:snapToGrid w:val="0"/>
        </w:rPr>
        <w:lastRenderedPageBreak/>
        <w:t>Gaming and Wagering Commission Act 1987</w:t>
      </w:r>
    </w:p>
    <w:p>
      <w:pPr>
        <w:pStyle w:val="NameofActReg"/>
      </w:pPr>
      <w:r>
        <w:t>Gaming and Wagering Commission Regulations 1988</w:t>
      </w:r>
    </w:p>
    <w:p>
      <w:pPr>
        <w:pStyle w:val="Heading2"/>
        <w:pageBreakBefore w:val="0"/>
        <w:spacing w:before="240" w:after="240"/>
      </w:pPr>
      <w:bookmarkStart w:id="1" w:name="_Toc153979712"/>
      <w:bookmarkStart w:id="2" w:name="_Toc154049756"/>
      <w:bookmarkStart w:id="3" w:name="_Toc154067926"/>
      <w:bookmarkStart w:id="4" w:name="_Toc15508153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154067927"/>
      <w:bookmarkStart w:id="6" w:name="_Toc155081531"/>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w:t>
      </w:r>
    </w:p>
    <w:p>
      <w:pPr>
        <w:pStyle w:val="Footnotesection"/>
      </w:pPr>
      <w:r>
        <w:tab/>
        <w:t>[Regulation 1 amended: Gazette 30 Jan 2004 p. 415.]</w:t>
      </w:r>
    </w:p>
    <w:p>
      <w:pPr>
        <w:pStyle w:val="Heading5"/>
        <w:rPr>
          <w:snapToGrid w:val="0"/>
        </w:rPr>
      </w:pPr>
      <w:bookmarkStart w:id="7" w:name="_Toc154067928"/>
      <w:bookmarkStart w:id="8" w:name="_Toc155081532"/>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9" w:name="_Toc154067929"/>
      <w:bookmarkStart w:id="10" w:name="_Toc155081533"/>
      <w:r>
        <w:rPr>
          <w:rStyle w:val="CharSectno"/>
        </w:rPr>
        <w:t>3</w:t>
      </w:r>
      <w:r>
        <w:rPr>
          <w:snapToGrid w:val="0"/>
        </w:rPr>
        <w:t>.</w:t>
      </w:r>
      <w:r>
        <w:rPr>
          <w:snapToGrid w:val="0"/>
        </w:rPr>
        <w:tab/>
        <w:t>Interpretation; compliance with forms</w:t>
      </w:r>
      <w:bookmarkEnd w:id="9"/>
      <w:bookmarkEnd w:id="10"/>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lastRenderedPageBreak/>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Gazette 30 Jan 2004 p. 415.]</w:t>
      </w:r>
    </w:p>
    <w:p>
      <w:pPr>
        <w:pStyle w:val="Heading5"/>
      </w:pPr>
      <w:bookmarkStart w:id="11" w:name="_Toc154067930"/>
      <w:bookmarkStart w:id="12" w:name="_Toc155081534"/>
      <w:r>
        <w:rPr>
          <w:rStyle w:val="CharSectno"/>
        </w:rPr>
        <w:t>4A</w:t>
      </w:r>
      <w:r>
        <w:t>.</w:t>
      </w:r>
      <w:r>
        <w:tab/>
        <w:t>Notes in the text</w:t>
      </w:r>
      <w:bookmarkEnd w:id="11"/>
      <w:bookmarkEnd w:id="12"/>
    </w:p>
    <w:p>
      <w:pPr>
        <w:pStyle w:val="Subsection"/>
      </w:pPr>
      <w:r>
        <w:tab/>
      </w:r>
      <w:r>
        <w:tab/>
        <w:t>A note included in these regulations (other than in a form in Schedule 3) is explanatory and is not part of these regulations.</w:t>
      </w:r>
    </w:p>
    <w:p>
      <w:pPr>
        <w:pStyle w:val="Footnotesection"/>
      </w:pPr>
      <w:r>
        <w:tab/>
        <w:t>[Regulation 4A inserted: Gazette 12 Aug 2011 p. 3249.]</w:t>
      </w:r>
    </w:p>
    <w:p>
      <w:pPr>
        <w:pStyle w:val="Heading5"/>
        <w:rPr>
          <w:snapToGrid w:val="0"/>
        </w:rPr>
      </w:pPr>
      <w:bookmarkStart w:id="13" w:name="_Toc154067931"/>
      <w:bookmarkStart w:id="14" w:name="_Toc155081535"/>
      <w:r>
        <w:rPr>
          <w:rStyle w:val="CharSectno"/>
        </w:rPr>
        <w:t>4</w:t>
      </w:r>
      <w:r>
        <w:rPr>
          <w:snapToGrid w:val="0"/>
        </w:rPr>
        <w:t>.</w:t>
      </w:r>
      <w:r>
        <w:rPr>
          <w:snapToGrid w:val="0"/>
        </w:rPr>
        <w:tab/>
        <w:t>Prescribed fees</w:t>
      </w:r>
      <w:bookmarkEnd w:id="13"/>
      <w:bookmarkEnd w:id="14"/>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Gazette 27 Mar 1992 p. 1370; 30 Oct 2009 p. 4316.]</w:t>
      </w:r>
    </w:p>
    <w:p>
      <w:pPr>
        <w:pStyle w:val="Heading2"/>
      </w:pPr>
      <w:bookmarkStart w:id="15" w:name="_Toc153979718"/>
      <w:bookmarkStart w:id="16" w:name="_Toc154049762"/>
      <w:bookmarkStart w:id="17" w:name="_Toc154067932"/>
      <w:bookmarkStart w:id="18" w:name="_Toc155081536"/>
      <w:r>
        <w:rPr>
          <w:rStyle w:val="CharPartNo"/>
        </w:rPr>
        <w:lastRenderedPageBreak/>
        <w:t>Part 2</w:t>
      </w:r>
      <w:r>
        <w:rPr>
          <w:rStyle w:val="CharDivNo"/>
        </w:rPr>
        <w:t> </w:t>
      </w:r>
      <w:r>
        <w:t>—</w:t>
      </w:r>
      <w:r>
        <w:rPr>
          <w:rStyle w:val="CharDivText"/>
        </w:rPr>
        <w:t> </w:t>
      </w:r>
      <w:r>
        <w:rPr>
          <w:rStyle w:val="CharPartText"/>
        </w:rPr>
        <w:t>Enforcement</w:t>
      </w:r>
      <w:bookmarkEnd w:id="15"/>
      <w:bookmarkEnd w:id="16"/>
      <w:bookmarkEnd w:id="17"/>
      <w:bookmarkEnd w:id="18"/>
    </w:p>
    <w:p>
      <w:pPr>
        <w:pStyle w:val="Heading5"/>
        <w:rPr>
          <w:snapToGrid w:val="0"/>
        </w:rPr>
      </w:pPr>
      <w:bookmarkStart w:id="19" w:name="_Toc154067933"/>
      <w:bookmarkStart w:id="20" w:name="_Toc155081537"/>
      <w:r>
        <w:rPr>
          <w:rStyle w:val="CharSectno"/>
        </w:rPr>
        <w:t>5</w:t>
      </w:r>
      <w:r>
        <w:rPr>
          <w:snapToGrid w:val="0"/>
        </w:rPr>
        <w:t>.</w:t>
      </w:r>
      <w:r>
        <w:rPr>
          <w:snapToGrid w:val="0"/>
        </w:rPr>
        <w:tab/>
        <w:t>Forfeiture, offences prescribed (Act s. 32(2))</w:t>
      </w:r>
      <w:bookmarkEnd w:id="19"/>
      <w:bookmarkEnd w:id="20"/>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Gazette 26 May 1989 p. 1548; 30 Jan 2004 p. 415.]</w:t>
      </w:r>
    </w:p>
    <w:p>
      <w:pPr>
        <w:pStyle w:val="Heading5"/>
        <w:rPr>
          <w:snapToGrid w:val="0"/>
        </w:rPr>
      </w:pPr>
      <w:bookmarkStart w:id="21" w:name="_Toc154067934"/>
      <w:bookmarkStart w:id="22" w:name="_Toc155081538"/>
      <w:r>
        <w:rPr>
          <w:rStyle w:val="CharSectno"/>
        </w:rPr>
        <w:t>6</w:t>
      </w:r>
      <w:r>
        <w:rPr>
          <w:snapToGrid w:val="0"/>
        </w:rPr>
        <w:t>.</w:t>
      </w:r>
      <w:r>
        <w:rPr>
          <w:snapToGrid w:val="0"/>
        </w:rPr>
        <w:tab/>
        <w:t>Modified penalties and infringement notices (Act s. 36(1))</w:t>
      </w:r>
      <w:bookmarkEnd w:id="21"/>
      <w:bookmarkEnd w:id="22"/>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23" w:name="_Toc154067935"/>
      <w:bookmarkStart w:id="24" w:name="_Toc155081539"/>
      <w:r>
        <w:rPr>
          <w:rStyle w:val="CharSectno"/>
        </w:rPr>
        <w:t>6A</w:t>
      </w:r>
      <w:r>
        <w:rPr>
          <w:snapToGrid w:val="0"/>
        </w:rPr>
        <w:t>.</w:t>
      </w:r>
      <w:r>
        <w:rPr>
          <w:snapToGrid w:val="0"/>
        </w:rPr>
        <w:tab/>
        <w:t>Warrant, form of (Act s. 25)</w:t>
      </w:r>
      <w:bookmarkEnd w:id="23"/>
      <w:bookmarkEnd w:id="24"/>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Gazette 7 Oct 1988 p. 4106.]</w:t>
      </w:r>
    </w:p>
    <w:p>
      <w:pPr>
        <w:pStyle w:val="Heading2"/>
      </w:pPr>
      <w:bookmarkStart w:id="25" w:name="_Toc153979722"/>
      <w:bookmarkStart w:id="26" w:name="_Toc154049766"/>
      <w:bookmarkStart w:id="27" w:name="_Toc154067936"/>
      <w:bookmarkStart w:id="28" w:name="_Toc155081540"/>
      <w:r>
        <w:rPr>
          <w:rStyle w:val="CharPartNo"/>
        </w:rPr>
        <w:t>Part 3</w:t>
      </w:r>
      <w:r>
        <w:rPr>
          <w:rStyle w:val="CharDivNo"/>
        </w:rPr>
        <w:t> </w:t>
      </w:r>
      <w:r>
        <w:t>—</w:t>
      </w:r>
      <w:r>
        <w:rPr>
          <w:rStyle w:val="CharDivText"/>
        </w:rPr>
        <w:t> </w:t>
      </w:r>
      <w:r>
        <w:rPr>
          <w:rStyle w:val="CharPartText"/>
        </w:rPr>
        <w:t>The register</w:t>
      </w:r>
      <w:bookmarkEnd w:id="25"/>
      <w:bookmarkEnd w:id="26"/>
      <w:bookmarkEnd w:id="27"/>
      <w:bookmarkEnd w:id="28"/>
    </w:p>
    <w:p>
      <w:pPr>
        <w:pStyle w:val="Heading5"/>
        <w:rPr>
          <w:snapToGrid w:val="0"/>
        </w:rPr>
      </w:pPr>
      <w:bookmarkStart w:id="29" w:name="_Toc154067937"/>
      <w:bookmarkStart w:id="30" w:name="_Toc155081541"/>
      <w:r>
        <w:rPr>
          <w:rStyle w:val="CharSectno"/>
        </w:rPr>
        <w:t>7</w:t>
      </w:r>
      <w:r>
        <w:rPr>
          <w:snapToGrid w:val="0"/>
        </w:rPr>
        <w:t>.</w:t>
      </w:r>
      <w:r>
        <w:rPr>
          <w:snapToGrid w:val="0"/>
        </w:rPr>
        <w:tab/>
        <w:t>Manner of recording and search fees prescribed (Act s. 50)</w:t>
      </w:r>
      <w:bookmarkEnd w:id="29"/>
      <w:bookmarkEnd w:id="30"/>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31" w:name="_Toc153979724"/>
      <w:bookmarkStart w:id="32" w:name="_Toc154049768"/>
      <w:bookmarkStart w:id="33" w:name="_Toc154067938"/>
      <w:bookmarkStart w:id="34" w:name="_Toc155081542"/>
      <w:r>
        <w:rPr>
          <w:rStyle w:val="CharPartNo"/>
        </w:rPr>
        <w:t>Part 4</w:t>
      </w:r>
      <w:r>
        <w:t> — </w:t>
      </w:r>
      <w:r>
        <w:rPr>
          <w:rStyle w:val="CharPartText"/>
        </w:rPr>
        <w:t>Permitted gaming</w:t>
      </w:r>
      <w:bookmarkEnd w:id="31"/>
      <w:bookmarkEnd w:id="32"/>
      <w:bookmarkEnd w:id="33"/>
      <w:bookmarkEnd w:id="34"/>
    </w:p>
    <w:p>
      <w:pPr>
        <w:pStyle w:val="Heading3"/>
        <w:spacing w:before="220"/>
      </w:pPr>
      <w:bookmarkStart w:id="35" w:name="_Toc153979725"/>
      <w:bookmarkStart w:id="36" w:name="_Toc154049769"/>
      <w:bookmarkStart w:id="37" w:name="_Toc154067939"/>
      <w:bookmarkStart w:id="38" w:name="_Toc155081543"/>
      <w:r>
        <w:rPr>
          <w:rStyle w:val="CharDivNo"/>
        </w:rPr>
        <w:t>Division 1</w:t>
      </w:r>
      <w:r>
        <w:rPr>
          <w:snapToGrid w:val="0"/>
        </w:rPr>
        <w:t> — </w:t>
      </w:r>
      <w:r>
        <w:rPr>
          <w:rStyle w:val="CharDivText"/>
        </w:rPr>
        <w:t>Gaming generally</w:t>
      </w:r>
      <w:bookmarkEnd w:id="35"/>
      <w:bookmarkEnd w:id="36"/>
      <w:bookmarkEnd w:id="37"/>
      <w:bookmarkEnd w:id="38"/>
    </w:p>
    <w:p>
      <w:pPr>
        <w:pStyle w:val="Heading5"/>
      </w:pPr>
      <w:bookmarkStart w:id="39" w:name="_Toc154067940"/>
      <w:bookmarkStart w:id="40" w:name="_Toc155081544"/>
      <w:r>
        <w:rPr>
          <w:rStyle w:val="CharSectno"/>
        </w:rPr>
        <w:t>8A</w:t>
      </w:r>
      <w:r>
        <w:t>.</w:t>
      </w:r>
      <w:r>
        <w:tab/>
        <w:t>Gaming on cruise ships</w:t>
      </w:r>
      <w:bookmarkEnd w:id="39"/>
      <w:bookmarkEnd w:id="40"/>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tab/>
        <w:t>(b)</w:t>
      </w:r>
      <w:r>
        <w:tab/>
        <w:t>the gaming is operated only as an ancillary service on the cruise ship.</w:t>
      </w:r>
    </w:p>
    <w:p>
      <w:pPr>
        <w:pStyle w:val="Footnotesection"/>
      </w:pPr>
      <w:r>
        <w:tab/>
        <w:t>[Regulation 8A inserted: Gazette 26 May 2017 p. 2633.]</w:t>
      </w:r>
    </w:p>
    <w:p>
      <w:pPr>
        <w:pStyle w:val="Heading5"/>
        <w:rPr>
          <w:snapToGrid w:val="0"/>
        </w:rPr>
      </w:pPr>
      <w:bookmarkStart w:id="41" w:name="_Toc154067941"/>
      <w:bookmarkStart w:id="42" w:name="_Toc155081545"/>
      <w:r>
        <w:rPr>
          <w:rStyle w:val="CharSectno"/>
        </w:rPr>
        <w:t>8</w:t>
      </w:r>
      <w:r>
        <w:rPr>
          <w:snapToGrid w:val="0"/>
        </w:rPr>
        <w:t>.</w:t>
      </w:r>
      <w:r>
        <w:rPr>
          <w:snapToGrid w:val="0"/>
        </w:rPr>
        <w:tab/>
        <w:t>Gaming permits, form and conditions of (Act s. 47(1)(a) or (b))</w:t>
      </w:r>
      <w:bookmarkEnd w:id="41"/>
      <w:bookmarkEnd w:id="42"/>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43" w:name="_Toc154067942"/>
      <w:bookmarkStart w:id="44" w:name="_Toc155081546"/>
      <w:r>
        <w:rPr>
          <w:rStyle w:val="CharSectno"/>
        </w:rPr>
        <w:t>9</w:t>
      </w:r>
      <w:r>
        <w:rPr>
          <w:snapToGrid w:val="0"/>
        </w:rPr>
        <w:t>.</w:t>
      </w:r>
      <w:r>
        <w:rPr>
          <w:snapToGrid w:val="0"/>
        </w:rPr>
        <w:tab/>
        <w:t>Gaming permits, application for</w:t>
      </w:r>
      <w:bookmarkEnd w:id="43"/>
      <w:bookmarkEnd w:id="44"/>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1</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Gazette 30 Jan 2004 p. 415; 18 May 2004 p. 1572.]</w:t>
      </w:r>
    </w:p>
    <w:p>
      <w:pPr>
        <w:pStyle w:val="Heading5"/>
        <w:rPr>
          <w:snapToGrid w:val="0"/>
        </w:rPr>
      </w:pPr>
      <w:bookmarkStart w:id="45" w:name="_Toc154067943"/>
      <w:bookmarkStart w:id="46" w:name="_Toc155081547"/>
      <w:r>
        <w:rPr>
          <w:rStyle w:val="CharSectno"/>
        </w:rPr>
        <w:t>10</w:t>
      </w:r>
      <w:r>
        <w:rPr>
          <w:snapToGrid w:val="0"/>
        </w:rPr>
        <w:t>.</w:t>
      </w:r>
      <w:r>
        <w:rPr>
          <w:snapToGrid w:val="0"/>
        </w:rPr>
        <w:tab/>
        <w:t>Approval to use premises, application for (Act s. 55)</w:t>
      </w:r>
      <w:bookmarkEnd w:id="45"/>
      <w:bookmarkEnd w:id="46"/>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Gazette 30 Jan 2004 p. 415.]</w:t>
      </w:r>
    </w:p>
    <w:p>
      <w:pPr>
        <w:pStyle w:val="Heading5"/>
        <w:rPr>
          <w:snapToGrid w:val="0"/>
        </w:rPr>
      </w:pPr>
      <w:bookmarkStart w:id="47" w:name="_Toc154067944"/>
      <w:bookmarkStart w:id="48" w:name="_Toc155081548"/>
      <w:r>
        <w:rPr>
          <w:rStyle w:val="CharSectno"/>
        </w:rPr>
        <w:t>11</w:t>
      </w:r>
      <w:r>
        <w:rPr>
          <w:snapToGrid w:val="0"/>
        </w:rPr>
        <w:t>.</w:t>
      </w:r>
      <w:r>
        <w:rPr>
          <w:snapToGrid w:val="0"/>
        </w:rPr>
        <w:tab/>
        <w:t>Renewals etc., applications for (Act s. 56)</w:t>
      </w:r>
      <w:bookmarkEnd w:id="47"/>
      <w:bookmarkEnd w:id="48"/>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49" w:name="_Toc154067945"/>
      <w:bookmarkStart w:id="50" w:name="_Toc155081549"/>
      <w:r>
        <w:rPr>
          <w:rStyle w:val="CharSectno"/>
        </w:rPr>
        <w:t>12</w:t>
      </w:r>
      <w:r>
        <w:rPr>
          <w:snapToGrid w:val="0"/>
        </w:rPr>
        <w:t>.</w:t>
      </w:r>
      <w:r>
        <w:rPr>
          <w:snapToGrid w:val="0"/>
        </w:rPr>
        <w:tab/>
        <w:t>Financial statements, permit holders to provide etc.</w:t>
      </w:r>
      <w:bookmarkEnd w:id="49"/>
      <w:bookmarkEnd w:id="50"/>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Gazette 28 Jun 1996 p. 3099; 16 May 1997 p. 2393.]</w:t>
      </w:r>
    </w:p>
    <w:p>
      <w:pPr>
        <w:pStyle w:val="Heading5"/>
        <w:rPr>
          <w:snapToGrid w:val="0"/>
        </w:rPr>
      </w:pPr>
      <w:bookmarkStart w:id="51" w:name="_Toc154067946"/>
      <w:bookmarkStart w:id="52" w:name="_Toc155081550"/>
      <w:r>
        <w:rPr>
          <w:rStyle w:val="CharSectno"/>
        </w:rPr>
        <w:t>13</w:t>
      </w:r>
      <w:r>
        <w:rPr>
          <w:snapToGrid w:val="0"/>
        </w:rPr>
        <w:t>.</w:t>
      </w:r>
      <w:r>
        <w:rPr>
          <w:snapToGrid w:val="0"/>
        </w:rPr>
        <w:tab/>
        <w:t>No permit required if gaming etc. deemed permitted</w:t>
      </w:r>
      <w:bookmarkEnd w:id="51"/>
      <w:bookmarkEnd w:id="52"/>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Gazette 30 Jan 2004 p. 415.]</w:t>
      </w:r>
    </w:p>
    <w:p>
      <w:pPr>
        <w:pStyle w:val="Heading5"/>
        <w:spacing w:before="180"/>
      </w:pPr>
      <w:bookmarkStart w:id="53" w:name="_Toc154067947"/>
      <w:bookmarkStart w:id="54" w:name="_Toc155081551"/>
      <w:r>
        <w:rPr>
          <w:rStyle w:val="CharSectno"/>
        </w:rPr>
        <w:t>13A</w:t>
      </w:r>
      <w:r>
        <w:t>.</w:t>
      </w:r>
      <w:r>
        <w:tab/>
        <w:t>Conviction of license holder etc., holders to notify Commission</w:t>
      </w:r>
      <w:bookmarkEnd w:id="53"/>
      <w:bookmarkEnd w:id="54"/>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Gazette 30 Jan 2004 p. 402.]</w:t>
      </w:r>
    </w:p>
    <w:p>
      <w:pPr>
        <w:pStyle w:val="Heading3"/>
        <w:spacing w:before="200"/>
      </w:pPr>
      <w:bookmarkStart w:id="55" w:name="_Toc153979734"/>
      <w:bookmarkStart w:id="56" w:name="_Toc154049778"/>
      <w:bookmarkStart w:id="57" w:name="_Toc154067948"/>
      <w:bookmarkStart w:id="58" w:name="_Toc155081552"/>
      <w:r>
        <w:rPr>
          <w:rStyle w:val="CharDivNo"/>
        </w:rPr>
        <w:t>Division 2</w:t>
      </w:r>
      <w:r>
        <w:t> — </w:t>
      </w:r>
      <w:r>
        <w:rPr>
          <w:rStyle w:val="CharDivText"/>
        </w:rPr>
        <w:t>Continuing lotteries</w:t>
      </w:r>
      <w:bookmarkEnd w:id="55"/>
      <w:bookmarkEnd w:id="56"/>
      <w:bookmarkEnd w:id="57"/>
      <w:bookmarkEnd w:id="58"/>
    </w:p>
    <w:p>
      <w:pPr>
        <w:pStyle w:val="Footnoteheading"/>
        <w:keepNext/>
      </w:pPr>
      <w:r>
        <w:tab/>
        <w:t>[Heading inserted: Gazette 23 Jun 2000 p. 3206]</w:t>
      </w:r>
    </w:p>
    <w:p>
      <w:pPr>
        <w:pStyle w:val="Heading5"/>
        <w:keepLines w:val="0"/>
        <w:spacing w:before="240"/>
      </w:pPr>
      <w:bookmarkStart w:id="59" w:name="_Toc154067949"/>
      <w:bookmarkStart w:id="60" w:name="_Toc155081553"/>
      <w:r>
        <w:rPr>
          <w:rStyle w:val="CharSectno"/>
        </w:rPr>
        <w:t>14</w:t>
      </w:r>
      <w:r>
        <w:t>.</w:t>
      </w:r>
      <w:r>
        <w:tab/>
        <w:t>Maximum number of tickets prescribed (Act s. 104L(1))</w:t>
      </w:r>
      <w:bookmarkEnd w:id="59"/>
      <w:bookmarkEnd w:id="60"/>
    </w:p>
    <w:p>
      <w:pPr>
        <w:pStyle w:val="Subsection"/>
        <w:spacing w:before="180"/>
      </w:pPr>
      <w:r>
        <w:tab/>
      </w:r>
      <w:r>
        <w:tab/>
        <w:t>For the purposes of section 104L(1) of the Act the maximum number of tickets that may be in one batch shall be 5 000.</w:t>
      </w:r>
    </w:p>
    <w:p>
      <w:pPr>
        <w:pStyle w:val="Footnotesection"/>
      </w:pPr>
      <w:r>
        <w:tab/>
        <w:t>[Regulation 14 inserted: Gazette 23 Jun 2000 p. 3206.]</w:t>
      </w:r>
    </w:p>
    <w:p>
      <w:pPr>
        <w:pStyle w:val="Heading5"/>
        <w:spacing w:before="240"/>
      </w:pPr>
      <w:bookmarkStart w:id="61" w:name="_Toc154067950"/>
      <w:bookmarkStart w:id="62" w:name="_Toc155081554"/>
      <w:r>
        <w:rPr>
          <w:rStyle w:val="CharSectno"/>
        </w:rPr>
        <w:t>15</w:t>
      </w:r>
      <w:r>
        <w:t>.</w:t>
      </w:r>
      <w:r>
        <w:tab/>
        <w:t>Records to be kept by licensed suppliers for Act Part V Div. 7</w:t>
      </w:r>
      <w:bookmarkEnd w:id="61"/>
      <w:bookmarkEnd w:id="62"/>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Gazette 23 Jun 2000 p. 3207</w:t>
      </w:r>
      <w:r>
        <w:noBreakHyphen/>
        <w:t>8. ]</w:t>
      </w:r>
    </w:p>
    <w:p>
      <w:pPr>
        <w:pStyle w:val="Heading3"/>
      </w:pPr>
      <w:bookmarkStart w:id="63" w:name="_Toc153979737"/>
      <w:bookmarkStart w:id="64" w:name="_Toc154049781"/>
      <w:bookmarkStart w:id="65" w:name="_Toc154067951"/>
      <w:bookmarkStart w:id="66" w:name="_Toc155081555"/>
      <w:r>
        <w:rPr>
          <w:rStyle w:val="CharDivNo"/>
        </w:rPr>
        <w:t>Division 3</w:t>
      </w:r>
      <w:r>
        <w:rPr>
          <w:snapToGrid w:val="0"/>
        </w:rPr>
        <w:t> — </w:t>
      </w:r>
      <w:r>
        <w:rPr>
          <w:rStyle w:val="CharDivText"/>
        </w:rPr>
        <w:t>Permitted two</w:t>
      </w:r>
      <w:r>
        <w:rPr>
          <w:rStyle w:val="CharDivText"/>
        </w:rPr>
        <w:noBreakHyphen/>
        <w:t>up</w:t>
      </w:r>
      <w:bookmarkEnd w:id="63"/>
      <w:bookmarkEnd w:id="64"/>
      <w:bookmarkEnd w:id="65"/>
      <w:bookmarkEnd w:id="66"/>
    </w:p>
    <w:p>
      <w:pPr>
        <w:pStyle w:val="Heading5"/>
        <w:spacing w:before="240"/>
        <w:rPr>
          <w:snapToGrid w:val="0"/>
        </w:rPr>
      </w:pPr>
      <w:bookmarkStart w:id="67" w:name="_Toc154067952"/>
      <w:bookmarkStart w:id="68" w:name="_Toc155081556"/>
      <w:r>
        <w:rPr>
          <w:rStyle w:val="CharSectno"/>
        </w:rPr>
        <w:t>16</w:t>
      </w:r>
      <w:r>
        <w:rPr>
          <w:snapToGrid w:val="0"/>
        </w:rPr>
        <w:t>.</w:t>
      </w:r>
      <w:r>
        <w:rPr>
          <w:snapToGrid w:val="0"/>
        </w:rPr>
        <w:tab/>
        <w:t>Financial information to be provided about games</w:t>
      </w:r>
      <w:bookmarkEnd w:id="67"/>
      <w:bookmarkEnd w:id="68"/>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Gazette 28 Jun 1996 p. 3099; 16 May 1997 p. 2393; 1 Dec 2015 p. 4824.]</w:t>
      </w:r>
    </w:p>
    <w:p>
      <w:pPr>
        <w:pStyle w:val="Heading5"/>
        <w:rPr>
          <w:snapToGrid w:val="0"/>
        </w:rPr>
      </w:pPr>
      <w:bookmarkStart w:id="69" w:name="_Toc154067953"/>
      <w:bookmarkStart w:id="70" w:name="_Toc155081557"/>
      <w:r>
        <w:rPr>
          <w:rStyle w:val="CharSectno"/>
        </w:rPr>
        <w:t>17</w:t>
      </w:r>
      <w:r>
        <w:rPr>
          <w:snapToGrid w:val="0"/>
        </w:rPr>
        <w:t>.</w:t>
      </w:r>
      <w:r>
        <w:rPr>
          <w:snapToGrid w:val="0"/>
        </w:rPr>
        <w:tab/>
        <w:t>Suspending permit for game</w:t>
      </w:r>
      <w:bookmarkEnd w:id="69"/>
      <w:bookmarkEnd w:id="70"/>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71" w:name="_Toc154067954"/>
      <w:bookmarkStart w:id="72" w:name="_Toc155081558"/>
      <w:r>
        <w:rPr>
          <w:rStyle w:val="CharSectno"/>
        </w:rPr>
        <w:t>17A</w:t>
      </w:r>
      <w:r>
        <w:t>.</w:t>
      </w:r>
      <w:r>
        <w:tab/>
        <w:t>Prescribed gaming equipment (Act s. 84(1))</w:t>
      </w:r>
      <w:bookmarkEnd w:id="71"/>
      <w:bookmarkEnd w:id="72"/>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Gazette 30 Jan 2004 p. 402.]</w:t>
      </w:r>
    </w:p>
    <w:p>
      <w:pPr>
        <w:pStyle w:val="Heading3"/>
        <w:keepLines/>
      </w:pPr>
      <w:bookmarkStart w:id="73" w:name="_Toc153979741"/>
      <w:bookmarkStart w:id="74" w:name="_Toc154049785"/>
      <w:bookmarkStart w:id="75" w:name="_Toc154067955"/>
      <w:bookmarkStart w:id="76" w:name="_Toc155081559"/>
      <w:r>
        <w:rPr>
          <w:rStyle w:val="CharDivNo"/>
        </w:rPr>
        <w:t>Division 4</w:t>
      </w:r>
      <w:r>
        <w:rPr>
          <w:snapToGrid w:val="0"/>
        </w:rPr>
        <w:t> — </w:t>
      </w:r>
      <w:r>
        <w:rPr>
          <w:rStyle w:val="CharDivText"/>
        </w:rPr>
        <w:t>Gaming machines and other equipment</w:t>
      </w:r>
      <w:bookmarkEnd w:id="73"/>
      <w:bookmarkEnd w:id="74"/>
      <w:bookmarkEnd w:id="75"/>
      <w:bookmarkEnd w:id="76"/>
    </w:p>
    <w:p>
      <w:pPr>
        <w:pStyle w:val="Heading5"/>
        <w:rPr>
          <w:snapToGrid w:val="0"/>
        </w:rPr>
      </w:pPr>
      <w:bookmarkStart w:id="77" w:name="_Toc154067956"/>
      <w:bookmarkStart w:id="78" w:name="_Toc155081560"/>
      <w:r>
        <w:rPr>
          <w:rStyle w:val="CharSectno"/>
        </w:rPr>
        <w:t>18</w:t>
      </w:r>
      <w:r>
        <w:rPr>
          <w:snapToGrid w:val="0"/>
        </w:rPr>
        <w:t>.</w:t>
      </w:r>
      <w:r>
        <w:rPr>
          <w:snapToGrid w:val="0"/>
        </w:rPr>
        <w:tab/>
        <w:t>Records etc. to be kept etc. by persons renting equipment from others</w:t>
      </w:r>
      <w:bookmarkEnd w:id="77"/>
      <w:bookmarkEnd w:id="78"/>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79" w:name="_Toc154067957"/>
      <w:bookmarkStart w:id="80" w:name="_Toc155081561"/>
      <w:r>
        <w:rPr>
          <w:rStyle w:val="CharSectno"/>
        </w:rPr>
        <w:t>18A</w:t>
      </w:r>
      <w:r>
        <w:rPr>
          <w:snapToGrid w:val="0"/>
        </w:rPr>
        <w:t>.</w:t>
      </w:r>
      <w:r>
        <w:rPr>
          <w:snapToGrid w:val="0"/>
        </w:rPr>
        <w:tab/>
        <w:t>Skilltester, Merchandiser and similar machines, possession etc. of</w:t>
      </w:r>
      <w:bookmarkEnd w:id="79"/>
      <w:bookmarkEnd w:id="80"/>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Gazette 22 Oct 1993 p. 5805</w:t>
      </w:r>
      <w:r>
        <w:noBreakHyphen/>
        <w:t>6; amended: Gazette 22 Apr 1994 p. 1710; 30 Jan 2004 p. 415.]</w:t>
      </w:r>
    </w:p>
    <w:p>
      <w:pPr>
        <w:pStyle w:val="Heading5"/>
        <w:rPr>
          <w:snapToGrid w:val="0"/>
        </w:rPr>
      </w:pPr>
      <w:bookmarkStart w:id="81" w:name="_Toc154067958"/>
      <w:bookmarkStart w:id="82" w:name="_Toc155081562"/>
      <w:r>
        <w:rPr>
          <w:rStyle w:val="CharSectno"/>
        </w:rPr>
        <w:t>18AA</w:t>
      </w:r>
      <w:r>
        <w:rPr>
          <w:snapToGrid w:val="0"/>
        </w:rPr>
        <w:t>.</w:t>
      </w:r>
      <w:r>
        <w:rPr>
          <w:snapToGrid w:val="0"/>
        </w:rPr>
        <w:tab/>
        <w:t>Video lottery terminals, possession etc. of</w:t>
      </w:r>
      <w:bookmarkEnd w:id="81"/>
      <w:bookmarkEnd w:id="82"/>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keepNext/>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2</w:t>
      </w:r>
      <w:r>
        <w:t>.</w:t>
      </w:r>
    </w:p>
    <w:p>
      <w:pPr>
        <w:pStyle w:val="Footnotesection"/>
      </w:pPr>
      <w:r>
        <w:tab/>
        <w:t>[Regulation 18AA inserted: Gazette 15 Dec 1995 p. 6124</w:t>
      </w:r>
      <w:r>
        <w:noBreakHyphen/>
        <w:t>5; amended: Gazette 28 Jun 1996 p. 3099; 23 Jun 2000 p. 3208.]</w:t>
      </w:r>
    </w:p>
    <w:p>
      <w:pPr>
        <w:pStyle w:val="Heading5"/>
        <w:rPr>
          <w:snapToGrid w:val="0"/>
        </w:rPr>
      </w:pPr>
      <w:bookmarkStart w:id="83" w:name="_Toc154067959"/>
      <w:bookmarkStart w:id="84" w:name="_Toc155081563"/>
      <w:r>
        <w:rPr>
          <w:rStyle w:val="CharSectno"/>
        </w:rPr>
        <w:t>18B</w:t>
      </w:r>
      <w:r>
        <w:rPr>
          <w:snapToGrid w:val="0"/>
        </w:rPr>
        <w:t>.</w:t>
      </w:r>
      <w:r>
        <w:rPr>
          <w:snapToGrid w:val="0"/>
        </w:rPr>
        <w:tab/>
        <w:t>Machines that dispense vouchers, possession etc. of</w:t>
      </w:r>
      <w:bookmarkEnd w:id="83"/>
      <w:bookmarkEnd w:id="84"/>
    </w:p>
    <w:p>
      <w:pPr>
        <w:pStyle w:val="Subsection"/>
        <w:keepLines/>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keepLines/>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keepNext/>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keepNext/>
        <w:rPr>
          <w:snapToGrid w:val="0"/>
        </w:rPr>
      </w:pPr>
      <w:r>
        <w:rPr>
          <w:snapToGrid w:val="0"/>
        </w:rPr>
        <w:tab/>
        <w:t>(7)</w:t>
      </w:r>
      <w:r>
        <w:rPr>
          <w:snapToGrid w:val="0"/>
        </w:rPr>
        <w:tab/>
        <w:t>In this regulation —</w:t>
      </w:r>
    </w:p>
    <w:p>
      <w:pPr>
        <w:pStyle w:val="Defstart"/>
        <w:keepNext/>
      </w:pPr>
      <w:r>
        <w:rPr>
          <w:b/>
        </w:rPr>
        <w:tab/>
      </w:r>
      <w:r>
        <w:rPr>
          <w:rStyle w:val="CharDefText"/>
        </w:rPr>
        <w:t>amusement parlour</w:t>
      </w:r>
      <w:r>
        <w:t xml:space="preserve"> means premises where —</w:t>
      </w:r>
    </w:p>
    <w:p>
      <w:pPr>
        <w:pStyle w:val="Defpara"/>
        <w:keepNext/>
      </w:pPr>
      <w:r>
        <w:tab/>
        <w:t>(a)</w:t>
      </w:r>
      <w:r>
        <w:tab/>
        <w:t>video machines and other games of chance are played; and</w:t>
      </w:r>
    </w:p>
    <w:p>
      <w:pPr>
        <w:pStyle w:val="Defpara"/>
        <w:keepNext/>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Gazette 22 Oct 1993 p. 5806; amended: Gazette 22 Apr 1994 p. 1710; 6 Jan 1995 p. 27</w:t>
      </w:r>
      <w:r>
        <w:noBreakHyphen/>
        <w:t>8; 15 Dec 1995 p. 6125; 30 Jan 2004 p. 416.]</w:t>
      </w:r>
    </w:p>
    <w:p>
      <w:pPr>
        <w:pStyle w:val="Heading5"/>
      </w:pPr>
      <w:bookmarkStart w:id="85" w:name="_Toc154067960"/>
      <w:bookmarkStart w:id="86" w:name="_Toc155081564"/>
      <w:r>
        <w:rPr>
          <w:rStyle w:val="CharSectno"/>
        </w:rPr>
        <w:t>18C</w:t>
      </w:r>
      <w:r>
        <w:t>.</w:t>
      </w:r>
      <w:r>
        <w:tab/>
        <w:t>Possession of certain gaming machines on cruise ships</w:t>
      </w:r>
      <w:bookmarkEnd w:id="85"/>
      <w:bookmarkEnd w:id="86"/>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keepNext/>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(Western Australia) and throughout the outer adjacent area for the State under the </w:t>
      </w:r>
      <w:r>
        <w:rPr>
          <w:i/>
        </w:rPr>
        <w:t>Crimes at Sea Act 2000</w:t>
      </w:r>
      <w:r>
        <w:t xml:space="preserve"> (Commonwealth).</w:t>
      </w:r>
    </w:p>
    <w:p>
      <w:pPr>
        <w:pStyle w:val="Footnotesection"/>
      </w:pPr>
      <w:r>
        <w:tab/>
        <w:t>[Regulation 18C inserted: Gazette 12 Aug 2011 p. 3249-50; amended: Gazette 26 May 2017 p. 2633.]</w:t>
      </w:r>
    </w:p>
    <w:p>
      <w:pPr>
        <w:pStyle w:val="Heading3"/>
      </w:pPr>
      <w:bookmarkStart w:id="87" w:name="_Toc153979747"/>
      <w:bookmarkStart w:id="88" w:name="_Toc154049791"/>
      <w:bookmarkStart w:id="89" w:name="_Toc154067961"/>
      <w:bookmarkStart w:id="90" w:name="_Toc155081565"/>
      <w:r>
        <w:rPr>
          <w:rStyle w:val="CharDivNo"/>
        </w:rPr>
        <w:t>Division 5</w:t>
      </w:r>
      <w:r>
        <w:rPr>
          <w:snapToGrid w:val="0"/>
        </w:rPr>
        <w:t> — </w:t>
      </w:r>
      <w:r>
        <w:rPr>
          <w:rStyle w:val="CharDivText"/>
        </w:rPr>
        <w:t>Permitted bingo</w:t>
      </w:r>
      <w:bookmarkEnd w:id="87"/>
      <w:bookmarkEnd w:id="88"/>
      <w:bookmarkEnd w:id="89"/>
      <w:bookmarkEnd w:id="90"/>
    </w:p>
    <w:p>
      <w:pPr>
        <w:pStyle w:val="Heading5"/>
        <w:rPr>
          <w:snapToGrid w:val="0"/>
        </w:rPr>
      </w:pPr>
      <w:bookmarkStart w:id="91" w:name="_Toc154067962"/>
      <w:bookmarkStart w:id="92" w:name="_Toc155081566"/>
      <w:r>
        <w:rPr>
          <w:rStyle w:val="CharSectno"/>
        </w:rPr>
        <w:t>19</w:t>
      </w:r>
      <w:r>
        <w:rPr>
          <w:snapToGrid w:val="0"/>
        </w:rPr>
        <w:t>.</w:t>
      </w:r>
      <w:r>
        <w:rPr>
          <w:snapToGrid w:val="0"/>
        </w:rPr>
        <w:tab/>
        <w:t>Rules for conducting bingo; rules to be displayed</w:t>
      </w:r>
      <w:bookmarkEnd w:id="91"/>
      <w:bookmarkEnd w:id="92"/>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93" w:name="_Toc154067963"/>
      <w:bookmarkStart w:id="94" w:name="_Toc155081567"/>
      <w:r>
        <w:rPr>
          <w:rStyle w:val="CharSectno"/>
        </w:rPr>
        <w:t>20</w:t>
      </w:r>
      <w:r>
        <w:rPr>
          <w:snapToGrid w:val="0"/>
        </w:rPr>
        <w:t>.</w:t>
      </w:r>
      <w:r>
        <w:rPr>
          <w:snapToGrid w:val="0"/>
        </w:rPr>
        <w:tab/>
        <w:t>Bingo for senior citizens’ clubs, no fees payable for</w:t>
      </w:r>
      <w:bookmarkEnd w:id="93"/>
      <w:bookmarkEnd w:id="94"/>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95" w:name="_Toc154067964"/>
      <w:bookmarkStart w:id="96" w:name="_Toc155081568"/>
      <w:r>
        <w:rPr>
          <w:rStyle w:val="CharSectno"/>
        </w:rPr>
        <w:t>21</w:t>
      </w:r>
      <w:r>
        <w:rPr>
          <w:snapToGrid w:val="0"/>
        </w:rPr>
        <w:t>.</w:t>
      </w:r>
      <w:r>
        <w:rPr>
          <w:snapToGrid w:val="0"/>
        </w:rPr>
        <w:tab/>
        <w:t>Percentage of receipts to be paid to Commission</w:t>
      </w:r>
      <w:bookmarkEnd w:id="95"/>
      <w:bookmarkEnd w:id="96"/>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Gazette 28 Jun 1996 p. 3099.]</w:t>
      </w:r>
    </w:p>
    <w:p>
      <w:pPr>
        <w:pStyle w:val="Heading5"/>
        <w:rPr>
          <w:snapToGrid w:val="0"/>
        </w:rPr>
      </w:pPr>
      <w:bookmarkStart w:id="97" w:name="_Toc154067965"/>
      <w:bookmarkStart w:id="98" w:name="_Toc155081569"/>
      <w:r>
        <w:rPr>
          <w:rStyle w:val="CharSectno"/>
        </w:rPr>
        <w:t>21A</w:t>
      </w:r>
      <w:r>
        <w:rPr>
          <w:snapToGrid w:val="0"/>
        </w:rPr>
        <w:t>.</w:t>
      </w:r>
      <w:r>
        <w:rPr>
          <w:snapToGrid w:val="0"/>
        </w:rPr>
        <w:tab/>
        <w:t>Times and number of sessions</w:t>
      </w:r>
      <w:bookmarkEnd w:id="97"/>
      <w:bookmarkEnd w:id="98"/>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Gazette 21 May 1993 p. 2520; amended: Gazette 30 Jul 2002 p. 3530.]</w:t>
      </w:r>
    </w:p>
    <w:p>
      <w:pPr>
        <w:pStyle w:val="Heading5"/>
        <w:rPr>
          <w:snapToGrid w:val="0"/>
        </w:rPr>
      </w:pPr>
      <w:bookmarkStart w:id="99" w:name="_Toc154067966"/>
      <w:bookmarkStart w:id="100" w:name="_Toc155081570"/>
      <w:r>
        <w:rPr>
          <w:rStyle w:val="CharSectno"/>
        </w:rPr>
        <w:t>22</w:t>
      </w:r>
      <w:r>
        <w:rPr>
          <w:snapToGrid w:val="0"/>
        </w:rPr>
        <w:t>.</w:t>
      </w:r>
      <w:r>
        <w:rPr>
          <w:snapToGrid w:val="0"/>
        </w:rPr>
        <w:tab/>
        <w:t>Sessions of bingo</w:t>
      </w:r>
      <w:bookmarkEnd w:id="99"/>
      <w:bookmarkEnd w:id="100"/>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keepNext/>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keepNext/>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Gazette 6 Apr 1990 p. 1768; 21 May 1993 p. 2520; 22 Aug 2006 p. 3465.]</w:t>
      </w:r>
    </w:p>
    <w:p>
      <w:pPr>
        <w:pStyle w:val="Heading5"/>
        <w:rPr>
          <w:snapToGrid w:val="0"/>
        </w:rPr>
      </w:pPr>
      <w:bookmarkStart w:id="101" w:name="_Toc154067967"/>
      <w:bookmarkStart w:id="102" w:name="_Toc155081571"/>
      <w:r>
        <w:rPr>
          <w:rStyle w:val="CharSectno"/>
        </w:rPr>
        <w:t>23</w:t>
      </w:r>
      <w:r>
        <w:rPr>
          <w:snapToGrid w:val="0"/>
        </w:rPr>
        <w:t>.</w:t>
      </w:r>
      <w:r>
        <w:rPr>
          <w:snapToGrid w:val="0"/>
        </w:rPr>
        <w:tab/>
        <w:t>Controllers of sessions, appointment and duties of</w:t>
      </w:r>
      <w:bookmarkEnd w:id="101"/>
      <w:bookmarkEnd w:id="102"/>
    </w:p>
    <w:p>
      <w:pPr>
        <w:pStyle w:val="Subsection"/>
      </w:pPr>
      <w:r>
        <w:tab/>
        <w:t>(1A)</w:t>
      </w:r>
      <w:r>
        <w:tab/>
        <w:t xml:space="preserve">In this regulation — </w:t>
      </w:r>
    </w:p>
    <w:p>
      <w:pPr>
        <w:pStyle w:val="Defstart"/>
      </w:pPr>
      <w:r>
        <w:tab/>
      </w:r>
      <w:r>
        <w:rPr>
          <w:rStyle w:val="CharDefText"/>
        </w:rPr>
        <w:t>approved electronic bingo equipment</w:t>
      </w:r>
      <w:r>
        <w:t xml:space="preserve"> means gaming equipment approved by the Commission for use in conducting bingo by electronic means.</w:t>
      </w:r>
    </w:p>
    <w:p>
      <w:pPr>
        <w:pStyle w:val="Subsection"/>
        <w:spacing w:before="120"/>
        <w:rPr>
          <w:snapToGrid w:val="0"/>
        </w:rPr>
      </w:pPr>
      <w:r>
        <w:rPr>
          <w:snapToGrid w:val="0"/>
        </w:rPr>
        <w:tab/>
        <w:t>(1)</w:t>
      </w:r>
      <w:r>
        <w:rPr>
          <w:snapToGrid w:val="0"/>
        </w:rPr>
        <w:tab/>
        <w:t xml:space="preserve">Each session of bingo </w:t>
      </w:r>
      <w:r>
        <w:t>must</w:t>
      </w:r>
      <w:r>
        <w:rPr>
          <w:snapToGrid w:val="0"/>
        </w:rPr>
        <w:t xml:space="preserve">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keepNext/>
        <w:rPr>
          <w:snapToGrid w:val="0"/>
        </w:rPr>
      </w:pPr>
      <w:r>
        <w:rPr>
          <w:snapToGrid w:val="0"/>
        </w:rPr>
        <w:tab/>
        <w:t>(2)</w:t>
      </w:r>
      <w:r>
        <w:rPr>
          <w:snapToGrid w:val="0"/>
        </w:rPr>
        <w:tab/>
        <w:t xml:space="preserve">The person appointed by the permit holder under subregulation (1)(a) </w:t>
      </w:r>
      <w:r>
        <w:t>for a session of bingo must —</w:t>
      </w:r>
    </w:p>
    <w:p>
      <w:pPr>
        <w:pStyle w:val="Indenta"/>
        <w:keepNext/>
        <w:rPr>
          <w:snapToGrid w:val="0"/>
        </w:rPr>
      </w:pPr>
      <w:r>
        <w:rPr>
          <w:snapToGrid w:val="0"/>
        </w:rPr>
        <w:tab/>
        <w:t>(a)</w:t>
      </w:r>
      <w:r>
        <w:rPr>
          <w:snapToGrid w:val="0"/>
        </w:rPr>
        <w:tab/>
        <w:t xml:space="preserve">in respect of </w:t>
      </w:r>
      <w:r>
        <w:t>the session</w:t>
      </w:r>
      <w:r>
        <w:rPr>
          <w:snapToGrid w:val="0"/>
        </w:rPr>
        <w:t xml:space="preserve"> keep, or cause to be kept, an accurate record of —</w:t>
      </w:r>
    </w:p>
    <w:p>
      <w:pPr>
        <w:pStyle w:val="Indenti"/>
        <w:keepNext/>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pPr>
      <w:r>
        <w:tab/>
        <w:t>(b)</w:t>
      </w:r>
      <w:r>
        <w:tab/>
        <w:t>if the session has more than 100 participants — provide not less than 2 spotters for the session, who must not participate in the session; and</w:t>
      </w:r>
    </w:p>
    <w:p>
      <w:pPr>
        <w:pStyle w:val="Indenta"/>
        <w:keepNext/>
      </w:pPr>
      <w:r>
        <w:tab/>
        <w:t>(c)</w:t>
      </w:r>
      <w:r>
        <w:tab/>
        <w:t xml:space="preserve">at the conclusion of each game in the session, cause the winning card numbers to be — </w:t>
      </w:r>
    </w:p>
    <w:p>
      <w:pPr>
        <w:pStyle w:val="Indenti"/>
        <w:keepNext/>
      </w:pPr>
      <w:r>
        <w:tab/>
        <w:t>(i)</w:t>
      </w:r>
      <w:r>
        <w:tab/>
        <w:t>called back and checked with the drawn numbers by 2 unsuccessful players in the game; or</w:t>
      </w:r>
    </w:p>
    <w:p>
      <w:pPr>
        <w:pStyle w:val="Indenti"/>
      </w:pPr>
      <w:r>
        <w:tab/>
        <w:t>(ii)</w:t>
      </w:r>
      <w:r>
        <w:tab/>
        <w:t>displayed to each player by means of approved electronic bingo equipment;</w:t>
      </w:r>
    </w:p>
    <w:p>
      <w:pPr>
        <w:pStyle w:val="Indenta"/>
      </w:pPr>
      <w:r>
        <w:tab/>
      </w:r>
      <w:r>
        <w:tab/>
        <w:t>and</w:t>
      </w:r>
    </w:p>
    <w:p>
      <w:pPr>
        <w:pStyle w:val="Indenta"/>
        <w:keepNext/>
      </w:pPr>
      <w:r>
        <w:tab/>
        <w:t>(d)</w:t>
      </w:r>
      <w:r>
        <w:tab/>
        <w:t>ensure that each player participates in no more than 1 call back under paragraph (c)(i) in the session.</w:t>
      </w:r>
    </w:p>
    <w:p>
      <w:pPr>
        <w:pStyle w:val="Footnotesection"/>
      </w:pPr>
      <w:r>
        <w:tab/>
        <w:t>[Regulation 23 amended: Gazette 6 Apr 1990 p. 1768; SL 2020/10 r. 4.]</w:t>
      </w:r>
    </w:p>
    <w:p>
      <w:pPr>
        <w:pStyle w:val="Heading5"/>
        <w:rPr>
          <w:snapToGrid w:val="0"/>
        </w:rPr>
      </w:pPr>
      <w:bookmarkStart w:id="103" w:name="_Toc154067968"/>
      <w:bookmarkStart w:id="104" w:name="_Toc155081572"/>
      <w:r>
        <w:rPr>
          <w:rStyle w:val="CharSectno"/>
        </w:rPr>
        <w:t>23A</w:t>
      </w:r>
      <w:r>
        <w:rPr>
          <w:snapToGrid w:val="0"/>
        </w:rPr>
        <w:t>.</w:t>
      </w:r>
      <w:r>
        <w:rPr>
          <w:snapToGrid w:val="0"/>
        </w:rPr>
        <w:tab/>
        <w:t>Advertising value of prizes prohibited</w:t>
      </w:r>
      <w:bookmarkEnd w:id="103"/>
      <w:bookmarkEnd w:id="104"/>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keepNext/>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Gazette 27 Feb 1991 p. 5068; amended: Gazette 22 Aug 2006 p. 3465</w:t>
      </w:r>
      <w:r>
        <w:noBreakHyphen/>
        <w:t>6.]</w:t>
      </w:r>
    </w:p>
    <w:p>
      <w:pPr>
        <w:pStyle w:val="Heading5"/>
        <w:rPr>
          <w:snapToGrid w:val="0"/>
        </w:rPr>
      </w:pPr>
      <w:bookmarkStart w:id="105" w:name="_Toc154067969"/>
      <w:bookmarkStart w:id="106" w:name="_Toc155081573"/>
      <w:r>
        <w:rPr>
          <w:rStyle w:val="CharSectno"/>
        </w:rPr>
        <w:t>24</w:t>
      </w:r>
      <w:r>
        <w:rPr>
          <w:snapToGrid w:val="0"/>
        </w:rPr>
        <w:t>.</w:t>
      </w:r>
      <w:r>
        <w:rPr>
          <w:snapToGrid w:val="0"/>
        </w:rPr>
        <w:tab/>
        <w:t>Prizes, permitted value of</w:t>
      </w:r>
      <w:bookmarkEnd w:id="105"/>
      <w:bookmarkEnd w:id="106"/>
    </w:p>
    <w:p>
      <w:pPr>
        <w:pStyle w:val="Subsection"/>
        <w:keepNext/>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rPr>
          <w:tblHeader/>
        </w:trPr>
        <w:tc>
          <w:tcPr>
            <w:tcW w:w="2400" w:type="dxa"/>
            <w:tcBorders>
              <w:top w:val="single" w:sz="4" w:space="0" w:color="auto"/>
              <w:bottom w:val="single" w:sz="4" w:space="0" w:color="auto"/>
            </w:tcBorders>
          </w:tcPr>
          <w:p>
            <w:pPr>
              <w:pStyle w:val="TableNAm"/>
              <w:keepNext/>
              <w:rPr>
                <w:b/>
                <w:bCs/>
                <w:szCs w:val="24"/>
              </w:rPr>
            </w:pPr>
            <w:r>
              <w:rPr>
                <w:b/>
                <w:bCs/>
                <w:szCs w:val="24"/>
              </w:rPr>
              <w:t>Gross receipts</w:t>
            </w:r>
          </w:p>
        </w:tc>
        <w:tc>
          <w:tcPr>
            <w:tcW w:w="2040" w:type="dxa"/>
            <w:tcBorders>
              <w:top w:val="single" w:sz="4" w:space="0" w:color="auto"/>
              <w:bottom w:val="single" w:sz="4" w:space="0" w:color="auto"/>
            </w:tcBorders>
          </w:tcPr>
          <w:p>
            <w:pPr>
              <w:pStyle w:val="TableNAm"/>
              <w:keepNext/>
              <w:rPr>
                <w:b/>
                <w:bCs/>
                <w:szCs w:val="24"/>
              </w:rPr>
            </w:pPr>
            <w:r>
              <w:rPr>
                <w:b/>
                <w:bCs/>
                <w:szCs w:val="24"/>
              </w:rPr>
              <w:t>Total of prizes</w:t>
            </w:r>
          </w:p>
        </w:tc>
        <w:tc>
          <w:tcPr>
            <w:tcW w:w="1680" w:type="dxa"/>
            <w:tcBorders>
              <w:top w:val="single" w:sz="4" w:space="0" w:color="auto"/>
              <w:bottom w:val="single" w:sz="4" w:space="0" w:color="auto"/>
            </w:tcBorders>
          </w:tcPr>
          <w:p>
            <w:pPr>
              <w:pStyle w:val="TableNAm"/>
              <w:keepNext/>
              <w:rPr>
                <w:b/>
                <w:bCs/>
                <w:szCs w:val="24"/>
              </w:rPr>
            </w:pPr>
            <w:r>
              <w:rPr>
                <w:b/>
                <w:bCs/>
                <w:szCs w:val="24"/>
              </w:rPr>
              <w:t>Permitted variation</w:t>
            </w:r>
          </w:p>
        </w:tc>
      </w:tr>
      <w:tr>
        <w:tc>
          <w:tcPr>
            <w:tcW w:w="2400" w:type="dxa"/>
            <w:tcBorders>
              <w:top w:val="single" w:sz="4" w:space="0" w:color="auto"/>
            </w:tcBorders>
          </w:tcPr>
          <w:p>
            <w:pPr>
              <w:pStyle w:val="TableNAm"/>
              <w:keepNext/>
              <w:rPr>
                <w:szCs w:val="24"/>
              </w:rPr>
            </w:pPr>
            <w:r>
              <w:rPr>
                <w:szCs w:val="24"/>
              </w:rPr>
              <w:t>$5 000 and under</w:t>
            </w:r>
          </w:p>
        </w:tc>
        <w:tc>
          <w:tcPr>
            <w:tcW w:w="2040" w:type="dxa"/>
            <w:tcBorders>
              <w:top w:val="single" w:sz="4" w:space="0" w:color="auto"/>
            </w:tcBorders>
          </w:tcPr>
          <w:p>
            <w:pPr>
              <w:pStyle w:val="TableNAm"/>
              <w:keepNext/>
              <w:rPr>
                <w:szCs w:val="24"/>
              </w:rPr>
            </w:pPr>
            <w:r>
              <w:rPr>
                <w:szCs w:val="24"/>
              </w:rPr>
              <w:t>no limit</w:t>
            </w:r>
          </w:p>
        </w:tc>
        <w:tc>
          <w:tcPr>
            <w:tcW w:w="1680" w:type="dxa"/>
            <w:tcBorders>
              <w:top w:val="single" w:sz="4" w:space="0" w:color="auto"/>
            </w:tcBorders>
          </w:tcPr>
          <w:p>
            <w:pPr>
              <w:pStyle w:val="TableNAm"/>
              <w:keepNext/>
              <w:rPr>
                <w:szCs w:val="24"/>
              </w:rPr>
            </w:pPr>
            <w:r>
              <w:rPr>
                <w:szCs w:val="24"/>
              </w:rPr>
              <w:t>—</w:t>
            </w:r>
          </w:p>
        </w:tc>
      </w:tr>
      <w:tr>
        <w:tc>
          <w:tcPr>
            <w:tcW w:w="2400" w:type="dxa"/>
            <w:tcBorders>
              <w:bottom w:val="single" w:sz="4" w:space="0" w:color="auto"/>
            </w:tcBorders>
          </w:tcPr>
          <w:p>
            <w:pPr>
              <w:pStyle w:val="TableNAm"/>
              <w:keepNext/>
              <w:rPr>
                <w:szCs w:val="24"/>
              </w:rPr>
            </w:pPr>
            <w:r>
              <w:t>Over $5 000</w:t>
            </w:r>
          </w:p>
        </w:tc>
        <w:tc>
          <w:tcPr>
            <w:tcW w:w="2040" w:type="dxa"/>
            <w:tcBorders>
              <w:bottom w:val="single" w:sz="4" w:space="0" w:color="auto"/>
            </w:tcBorders>
          </w:tcPr>
          <w:p>
            <w:pPr>
              <w:pStyle w:val="TableNAm"/>
              <w:keepNext/>
              <w:rPr>
                <w:szCs w:val="24"/>
              </w:rPr>
            </w:pPr>
            <w:r>
              <w:rPr>
                <w:szCs w:val="24"/>
              </w:rPr>
              <w:t>60%</w:t>
            </w:r>
          </w:p>
        </w:tc>
        <w:tc>
          <w:tcPr>
            <w:tcW w:w="1680" w:type="dxa"/>
            <w:tcBorders>
              <w:bottom w:val="single" w:sz="4" w:space="0" w:color="auto"/>
            </w:tcBorders>
          </w:tcPr>
          <w:p>
            <w:pPr>
              <w:pStyle w:val="TableNAm"/>
              <w:keepNext/>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Gazette 15 Feb 1994 p. 552; 22 Aug 2006 p. 3466; 11 Jul 2017 p. 3834.]</w:t>
      </w:r>
    </w:p>
    <w:p>
      <w:pPr>
        <w:pStyle w:val="Heading5"/>
        <w:rPr>
          <w:snapToGrid w:val="0"/>
        </w:rPr>
      </w:pPr>
      <w:bookmarkStart w:id="107" w:name="_Toc154067970"/>
      <w:bookmarkStart w:id="108" w:name="_Toc155081574"/>
      <w:r>
        <w:rPr>
          <w:rStyle w:val="CharSectno"/>
        </w:rPr>
        <w:t>25</w:t>
      </w:r>
      <w:r>
        <w:rPr>
          <w:snapToGrid w:val="0"/>
        </w:rPr>
        <w:t>.</w:t>
      </w:r>
      <w:r>
        <w:rPr>
          <w:snapToGrid w:val="0"/>
        </w:rPr>
        <w:tab/>
        <w:t>Expenses, maximum and calculation of</w:t>
      </w:r>
      <w:bookmarkEnd w:id="107"/>
      <w:bookmarkEnd w:id="108"/>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keepNext/>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keepNext/>
        <w:spacing w:before="60"/>
      </w:pPr>
      <w:r>
        <w:tab/>
        <w:t>(b)</w:t>
      </w:r>
      <w:r>
        <w:tab/>
        <w:t>any part of that prize is funded from sources other than receipts from that session of bingo,</w:t>
      </w:r>
    </w:p>
    <w:p>
      <w:pPr>
        <w:pStyle w:val="Subsection"/>
        <w:keepNext/>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Gazette 6 Apr 1990 p. 1768; amended: Gazette 22 Aug 2006 p. 3466</w:t>
      </w:r>
      <w:r>
        <w:noBreakHyphen/>
        <w:t>7.]</w:t>
      </w:r>
    </w:p>
    <w:p>
      <w:pPr>
        <w:pStyle w:val="Heading5"/>
        <w:rPr>
          <w:snapToGrid w:val="0"/>
        </w:rPr>
      </w:pPr>
      <w:bookmarkStart w:id="109" w:name="_Toc154067971"/>
      <w:bookmarkStart w:id="110" w:name="_Toc155081575"/>
      <w:r>
        <w:rPr>
          <w:rStyle w:val="CharSectno"/>
        </w:rPr>
        <w:t>26</w:t>
      </w:r>
      <w:r>
        <w:rPr>
          <w:snapToGrid w:val="0"/>
        </w:rPr>
        <w:t>.</w:t>
      </w:r>
      <w:r>
        <w:rPr>
          <w:snapToGrid w:val="0"/>
        </w:rPr>
        <w:tab/>
        <w:t>Playing other games of chance at bingo premises</w:t>
      </w:r>
      <w:bookmarkEnd w:id="109"/>
      <w:bookmarkEnd w:id="110"/>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keepNext/>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Gazette 6 Apr 1990 p. 1768</w:t>
      </w:r>
      <w:r>
        <w:noBreakHyphen/>
        <w:t>9; amended: Gazette 22 Aug 2006 p. 3467.]</w:t>
      </w:r>
    </w:p>
    <w:p>
      <w:pPr>
        <w:pStyle w:val="Heading3"/>
      </w:pPr>
      <w:bookmarkStart w:id="111" w:name="_Toc153979758"/>
      <w:bookmarkStart w:id="112" w:name="_Toc154049802"/>
      <w:bookmarkStart w:id="113" w:name="_Toc154067972"/>
      <w:bookmarkStart w:id="114" w:name="_Toc155081576"/>
      <w:r>
        <w:rPr>
          <w:rStyle w:val="CharDivNo"/>
        </w:rPr>
        <w:t>Division 6</w:t>
      </w:r>
      <w:r>
        <w:rPr>
          <w:snapToGrid w:val="0"/>
        </w:rPr>
        <w:t> — </w:t>
      </w:r>
      <w:r>
        <w:rPr>
          <w:rStyle w:val="CharDivText"/>
        </w:rPr>
        <w:t>Lotteries, etc.</w:t>
      </w:r>
      <w:bookmarkEnd w:id="111"/>
      <w:bookmarkEnd w:id="112"/>
      <w:bookmarkEnd w:id="113"/>
      <w:bookmarkEnd w:id="114"/>
    </w:p>
    <w:p>
      <w:pPr>
        <w:pStyle w:val="Heading4"/>
        <w:spacing w:before="220"/>
        <w:rPr>
          <w:snapToGrid w:val="0"/>
        </w:rPr>
      </w:pPr>
      <w:bookmarkStart w:id="115" w:name="_Toc153979759"/>
      <w:bookmarkStart w:id="116" w:name="_Toc154049803"/>
      <w:bookmarkStart w:id="117" w:name="_Toc154067973"/>
      <w:bookmarkStart w:id="118" w:name="_Toc155081577"/>
      <w:r>
        <w:rPr>
          <w:snapToGrid w:val="0"/>
        </w:rPr>
        <w:t>Subdivision 1 — Standard lotteries</w:t>
      </w:r>
      <w:bookmarkEnd w:id="115"/>
      <w:bookmarkEnd w:id="116"/>
      <w:bookmarkEnd w:id="117"/>
      <w:bookmarkEnd w:id="118"/>
    </w:p>
    <w:p>
      <w:pPr>
        <w:pStyle w:val="Footnoteheading"/>
      </w:pPr>
      <w:r>
        <w:tab/>
        <w:t>[Heading amended: Gazette 6 Sep 2016 p. 3833.]</w:t>
      </w:r>
    </w:p>
    <w:p>
      <w:pPr>
        <w:pStyle w:val="Heading5"/>
        <w:rPr>
          <w:snapToGrid w:val="0"/>
        </w:rPr>
      </w:pPr>
      <w:bookmarkStart w:id="119" w:name="_Toc154067974"/>
      <w:bookmarkStart w:id="120" w:name="_Toc155081578"/>
      <w:r>
        <w:rPr>
          <w:rStyle w:val="CharSectno"/>
        </w:rPr>
        <w:t>27</w:t>
      </w:r>
      <w:r>
        <w:rPr>
          <w:snapToGrid w:val="0"/>
        </w:rPr>
        <w:t>.</w:t>
      </w:r>
      <w:r>
        <w:rPr>
          <w:snapToGrid w:val="0"/>
        </w:rPr>
        <w:tab/>
        <w:t>Rules for conducting standard lottery</w:t>
      </w:r>
      <w:bookmarkEnd w:id="119"/>
      <w:bookmarkEnd w:id="120"/>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121" w:name="_Toc154067975"/>
      <w:bookmarkStart w:id="122" w:name="_Toc155081579"/>
      <w:r>
        <w:rPr>
          <w:rStyle w:val="CharSectno"/>
        </w:rPr>
        <w:t>28</w:t>
      </w:r>
      <w:r>
        <w:rPr>
          <w:snapToGrid w:val="0"/>
        </w:rPr>
        <w:t>.</w:t>
      </w:r>
      <w:r>
        <w:rPr>
          <w:snapToGrid w:val="0"/>
        </w:rPr>
        <w:tab/>
        <w:t>Conditions relating to standard lottery</w:t>
      </w:r>
      <w:bookmarkEnd w:id="121"/>
      <w:bookmarkEnd w:id="122"/>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keepNext/>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Gazette 11 May 1993 p. 2397.]</w:t>
      </w:r>
    </w:p>
    <w:p>
      <w:pPr>
        <w:pStyle w:val="Ednotesection"/>
      </w:pPr>
      <w:r>
        <w:t>[</w:t>
      </w:r>
      <w:r>
        <w:rPr>
          <w:b/>
        </w:rPr>
        <w:t>28A, 28B.</w:t>
      </w:r>
      <w:r>
        <w:tab/>
        <w:t>Deleted: Gazette 6 Jul 1993 p. 3312.]</w:t>
      </w:r>
    </w:p>
    <w:p>
      <w:pPr>
        <w:pStyle w:val="Heading5"/>
        <w:rPr>
          <w:snapToGrid w:val="0"/>
        </w:rPr>
      </w:pPr>
      <w:bookmarkStart w:id="123" w:name="_Toc154067976"/>
      <w:bookmarkStart w:id="124" w:name="_Toc155081580"/>
      <w:r>
        <w:rPr>
          <w:rStyle w:val="CharSectno"/>
        </w:rPr>
        <w:t>28C</w:t>
      </w:r>
      <w:r>
        <w:rPr>
          <w:snapToGrid w:val="0"/>
        </w:rPr>
        <w:t>.</w:t>
      </w:r>
      <w:r>
        <w:rPr>
          <w:snapToGrid w:val="0"/>
        </w:rPr>
        <w:tab/>
        <w:t>Lottery tickets etc. not to be sent etc. to persons for sale etc. without their consent</w:t>
      </w:r>
      <w:bookmarkEnd w:id="123"/>
      <w:bookmarkEnd w:id="124"/>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Gazette 11 May 1993 p. 2398.]</w:t>
      </w:r>
    </w:p>
    <w:p>
      <w:pPr>
        <w:pStyle w:val="Heading5"/>
        <w:rPr>
          <w:snapToGrid w:val="0"/>
        </w:rPr>
      </w:pPr>
      <w:bookmarkStart w:id="125" w:name="_Toc154067977"/>
      <w:bookmarkStart w:id="126" w:name="_Toc155081581"/>
      <w:r>
        <w:rPr>
          <w:rStyle w:val="CharSectno"/>
        </w:rPr>
        <w:t>29</w:t>
      </w:r>
      <w:r>
        <w:rPr>
          <w:snapToGrid w:val="0"/>
        </w:rPr>
        <w:t>.</w:t>
      </w:r>
      <w:r>
        <w:rPr>
          <w:snapToGrid w:val="0"/>
        </w:rPr>
        <w:tab/>
        <w:t>When standard lottery must be drawn</w:t>
      </w:r>
      <w:bookmarkEnd w:id="125"/>
      <w:bookmarkEnd w:id="126"/>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Gazette 11 May 1993 p. 2398; amended: Gazette 23 Feb 1996 p. 674.]</w:t>
      </w:r>
    </w:p>
    <w:p>
      <w:pPr>
        <w:pStyle w:val="Heading5"/>
        <w:rPr>
          <w:snapToGrid w:val="0"/>
        </w:rPr>
      </w:pPr>
      <w:bookmarkStart w:id="127" w:name="_Toc154067978"/>
      <w:bookmarkStart w:id="128" w:name="_Toc155081582"/>
      <w:r>
        <w:rPr>
          <w:rStyle w:val="CharSectno"/>
        </w:rPr>
        <w:t>30</w:t>
      </w:r>
      <w:r>
        <w:rPr>
          <w:snapToGrid w:val="0"/>
        </w:rPr>
        <w:t>.</w:t>
      </w:r>
      <w:r>
        <w:rPr>
          <w:snapToGrid w:val="0"/>
        </w:rPr>
        <w:tab/>
        <w:t>Unclaimed prizes in standard lotteries</w:t>
      </w:r>
      <w:bookmarkEnd w:id="127"/>
      <w:bookmarkEnd w:id="128"/>
    </w:p>
    <w:p>
      <w:pPr>
        <w:pStyle w:val="Subsection"/>
        <w:keepNext/>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keepNext/>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29" w:name="_Toc154067979"/>
      <w:bookmarkStart w:id="130" w:name="_Toc155081583"/>
      <w:r>
        <w:rPr>
          <w:rStyle w:val="CharSectno"/>
        </w:rPr>
        <w:t>30A</w:t>
      </w:r>
      <w:r>
        <w:rPr>
          <w:snapToGrid w:val="0"/>
        </w:rPr>
        <w:t>.</w:t>
      </w:r>
      <w:r>
        <w:rPr>
          <w:snapToGrid w:val="0"/>
        </w:rPr>
        <w:tab/>
        <w:t>Prizes from donor organizations</w:t>
      </w:r>
      <w:bookmarkEnd w:id="129"/>
      <w:bookmarkEnd w:id="130"/>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Gazette 27 Sep 1991 p. 5069.]</w:t>
      </w:r>
    </w:p>
    <w:p>
      <w:pPr>
        <w:pStyle w:val="Heading5"/>
        <w:rPr>
          <w:snapToGrid w:val="0"/>
        </w:rPr>
      </w:pPr>
      <w:bookmarkStart w:id="131" w:name="_Toc154067980"/>
      <w:bookmarkStart w:id="132" w:name="_Toc155081584"/>
      <w:r>
        <w:rPr>
          <w:rStyle w:val="CharSectno"/>
        </w:rPr>
        <w:t>30B</w:t>
      </w:r>
      <w:r>
        <w:rPr>
          <w:snapToGrid w:val="0"/>
        </w:rPr>
        <w:t>.</w:t>
      </w:r>
      <w:r>
        <w:rPr>
          <w:snapToGrid w:val="0"/>
        </w:rPr>
        <w:tab/>
        <w:t>Body not to buy ticket etc. in its own lottery</w:t>
      </w:r>
      <w:bookmarkEnd w:id="131"/>
      <w:bookmarkEnd w:id="132"/>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Gazette 11 May 1993 p. 2398.]</w:t>
      </w:r>
    </w:p>
    <w:p>
      <w:pPr>
        <w:pStyle w:val="Heading5"/>
        <w:rPr>
          <w:snapToGrid w:val="0"/>
        </w:rPr>
      </w:pPr>
      <w:bookmarkStart w:id="133" w:name="_Toc154067981"/>
      <w:bookmarkStart w:id="134" w:name="_Toc155081585"/>
      <w:r>
        <w:rPr>
          <w:rStyle w:val="CharSectno"/>
        </w:rPr>
        <w:t>31</w:t>
      </w:r>
      <w:r>
        <w:rPr>
          <w:snapToGrid w:val="0"/>
        </w:rPr>
        <w:t>.</w:t>
      </w:r>
      <w:r>
        <w:rPr>
          <w:snapToGrid w:val="0"/>
        </w:rPr>
        <w:tab/>
        <w:t>Small private lotteries (Act s. 103)</w:t>
      </w:r>
      <w:bookmarkEnd w:id="133"/>
      <w:bookmarkEnd w:id="134"/>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Gazette 16 May 1997 p. 2393; 22 Aug 2006 p. 3467</w:t>
      </w:r>
      <w:r>
        <w:noBreakHyphen/>
        <w:t>8.]</w:t>
      </w:r>
    </w:p>
    <w:p>
      <w:pPr>
        <w:pStyle w:val="Heading4"/>
        <w:rPr>
          <w:snapToGrid w:val="0"/>
        </w:rPr>
      </w:pPr>
      <w:bookmarkStart w:id="135" w:name="_Toc153979768"/>
      <w:bookmarkStart w:id="136" w:name="_Toc154049812"/>
      <w:bookmarkStart w:id="137" w:name="_Toc154067982"/>
      <w:bookmarkStart w:id="138" w:name="_Toc155081586"/>
      <w:r>
        <w:rPr>
          <w:snapToGrid w:val="0"/>
        </w:rPr>
        <w:t>Subdivision 2 — Continuing lotteries</w:t>
      </w:r>
      <w:bookmarkEnd w:id="135"/>
      <w:bookmarkEnd w:id="136"/>
      <w:bookmarkEnd w:id="137"/>
      <w:bookmarkEnd w:id="138"/>
    </w:p>
    <w:p>
      <w:pPr>
        <w:pStyle w:val="Footnoteheading"/>
        <w:keepNext/>
      </w:pPr>
      <w:r>
        <w:tab/>
        <w:t>[Heading amended: Gazette 6 Sep 2016 p. 3833.]</w:t>
      </w:r>
    </w:p>
    <w:p>
      <w:pPr>
        <w:pStyle w:val="Heading5"/>
        <w:rPr>
          <w:snapToGrid w:val="0"/>
        </w:rPr>
      </w:pPr>
      <w:bookmarkStart w:id="139" w:name="_Toc154067983"/>
      <w:bookmarkStart w:id="140" w:name="_Toc155081587"/>
      <w:r>
        <w:rPr>
          <w:rStyle w:val="CharSectno"/>
        </w:rPr>
        <w:t>32</w:t>
      </w:r>
      <w:r>
        <w:rPr>
          <w:snapToGrid w:val="0"/>
        </w:rPr>
        <w:t>.</w:t>
      </w:r>
      <w:r>
        <w:rPr>
          <w:snapToGrid w:val="0"/>
        </w:rPr>
        <w:tab/>
        <w:t>Rules for conducting continuing lotteries</w:t>
      </w:r>
      <w:bookmarkEnd w:id="139"/>
      <w:bookmarkEnd w:id="140"/>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41" w:name="_Toc154067984"/>
      <w:bookmarkStart w:id="142" w:name="_Toc155081588"/>
      <w:r>
        <w:rPr>
          <w:rStyle w:val="CharSectno"/>
        </w:rPr>
        <w:t>33</w:t>
      </w:r>
      <w:r>
        <w:rPr>
          <w:snapToGrid w:val="0"/>
        </w:rPr>
        <w:t>.</w:t>
      </w:r>
      <w:r>
        <w:rPr>
          <w:snapToGrid w:val="0"/>
        </w:rPr>
        <w:tab/>
        <w:t>Conditions relating to continuing lottery</w:t>
      </w:r>
      <w:bookmarkEnd w:id="141"/>
      <w:bookmarkEnd w:id="142"/>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Gazette 1 Dec 2015 p. 4824.]</w:t>
      </w:r>
    </w:p>
    <w:p>
      <w:pPr>
        <w:pStyle w:val="Heading5"/>
        <w:rPr>
          <w:snapToGrid w:val="0"/>
        </w:rPr>
      </w:pPr>
      <w:bookmarkStart w:id="143" w:name="_Toc154067985"/>
      <w:bookmarkStart w:id="144" w:name="_Toc155081589"/>
      <w:r>
        <w:rPr>
          <w:rStyle w:val="CharSectno"/>
        </w:rPr>
        <w:t>34</w:t>
      </w:r>
      <w:r>
        <w:rPr>
          <w:snapToGrid w:val="0"/>
        </w:rPr>
        <w:t>.</w:t>
      </w:r>
      <w:r>
        <w:rPr>
          <w:snapToGrid w:val="0"/>
        </w:rPr>
        <w:tab/>
        <w:t>Vending machines for continuing lotteries, location of and conditions as to (Act s. 105(2))</w:t>
      </w:r>
      <w:bookmarkEnd w:id="143"/>
      <w:bookmarkEnd w:id="144"/>
    </w:p>
    <w:p>
      <w:pPr>
        <w:pStyle w:val="Subsection"/>
        <w:keepNext/>
      </w:pPr>
      <w:r>
        <w:tab/>
        <w:t>(1)</w:t>
      </w:r>
      <w:r>
        <w:tab/>
        <w:t>For the purposes of section 105(2), the following premises are premises of a prescribed kind —</w:t>
      </w:r>
    </w:p>
    <w:p>
      <w:pPr>
        <w:pStyle w:val="Indenta"/>
        <w:keepNext/>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Gazette 4 Aug 1998 p. 3989; 21 Dec 2001 p. 6551.]</w:t>
      </w:r>
    </w:p>
    <w:p>
      <w:pPr>
        <w:pStyle w:val="Heading5"/>
        <w:rPr>
          <w:snapToGrid w:val="0"/>
        </w:rPr>
      </w:pPr>
      <w:bookmarkStart w:id="145" w:name="_Toc154067986"/>
      <w:bookmarkStart w:id="146" w:name="_Toc155081590"/>
      <w:r>
        <w:rPr>
          <w:rStyle w:val="CharSectno"/>
        </w:rPr>
        <w:t>35</w:t>
      </w:r>
      <w:r>
        <w:rPr>
          <w:snapToGrid w:val="0"/>
        </w:rPr>
        <w:t>.</w:t>
      </w:r>
      <w:r>
        <w:rPr>
          <w:snapToGrid w:val="0"/>
        </w:rPr>
        <w:tab/>
        <w:t>Accounts etc. of continuing lottery to be available for inspection</w:t>
      </w:r>
      <w:bookmarkEnd w:id="145"/>
      <w:bookmarkEnd w:id="146"/>
    </w:p>
    <w:p>
      <w:pPr>
        <w:pStyle w:val="Subsection"/>
        <w:keepNext/>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Gazette 16 May 1997 p. 2393.]</w:t>
      </w:r>
    </w:p>
    <w:p>
      <w:pPr>
        <w:pStyle w:val="Heading5"/>
        <w:rPr>
          <w:snapToGrid w:val="0"/>
        </w:rPr>
      </w:pPr>
      <w:bookmarkStart w:id="147" w:name="_Toc154067987"/>
      <w:bookmarkStart w:id="148" w:name="_Toc155081591"/>
      <w:r>
        <w:rPr>
          <w:rStyle w:val="CharSectno"/>
        </w:rPr>
        <w:t>36</w:t>
      </w:r>
      <w:r>
        <w:rPr>
          <w:snapToGrid w:val="0"/>
        </w:rPr>
        <w:t>.</w:t>
      </w:r>
      <w:r>
        <w:rPr>
          <w:snapToGrid w:val="0"/>
        </w:rPr>
        <w:tab/>
        <w:t>Distribution of benefit</w:t>
      </w:r>
      <w:bookmarkEnd w:id="147"/>
      <w:bookmarkEnd w:id="148"/>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149" w:name="_Toc153979774"/>
      <w:bookmarkStart w:id="150" w:name="_Toc154049818"/>
      <w:bookmarkStart w:id="151" w:name="_Toc154067988"/>
      <w:bookmarkStart w:id="152" w:name="_Toc155081592"/>
      <w:r>
        <w:t>Subdivision 3 — Trade promotion lotteries</w:t>
      </w:r>
      <w:bookmarkEnd w:id="149"/>
      <w:bookmarkEnd w:id="150"/>
      <w:bookmarkEnd w:id="151"/>
      <w:bookmarkEnd w:id="152"/>
    </w:p>
    <w:p>
      <w:pPr>
        <w:pStyle w:val="Footnoteheading"/>
        <w:keepNext/>
      </w:pPr>
      <w:r>
        <w:tab/>
        <w:t>[Heading inserted: Gazette 6 Sep 2016 p. 3831.]</w:t>
      </w:r>
    </w:p>
    <w:p>
      <w:pPr>
        <w:pStyle w:val="Heading5"/>
        <w:keepLines w:val="0"/>
      </w:pPr>
      <w:bookmarkStart w:id="153" w:name="_Toc154067989"/>
      <w:bookmarkStart w:id="154" w:name="_Toc155081593"/>
      <w:r>
        <w:rPr>
          <w:rStyle w:val="CharSectno"/>
        </w:rPr>
        <w:t>36A</w:t>
      </w:r>
      <w:r>
        <w:t>.</w:t>
      </w:r>
      <w:r>
        <w:tab/>
        <w:t>Prescribed conditions for trade promotion lottery (Act s. 102)</w:t>
      </w:r>
      <w:bookmarkEnd w:id="153"/>
      <w:bookmarkEnd w:id="154"/>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Gazette 6 Sep 2016 p. 3831-2.]</w:t>
      </w:r>
    </w:p>
    <w:p>
      <w:pPr>
        <w:pStyle w:val="Heading4"/>
        <w:rPr>
          <w:snapToGrid w:val="0"/>
        </w:rPr>
      </w:pPr>
      <w:bookmarkStart w:id="155" w:name="_Toc153979776"/>
      <w:bookmarkStart w:id="156" w:name="_Toc154049820"/>
      <w:bookmarkStart w:id="157" w:name="_Toc154067990"/>
      <w:bookmarkStart w:id="158" w:name="_Toc155081594"/>
      <w:r>
        <w:rPr>
          <w:snapToGrid w:val="0"/>
        </w:rPr>
        <w:t>Subdivision 4 — Lotteries generally</w:t>
      </w:r>
      <w:bookmarkEnd w:id="155"/>
      <w:bookmarkEnd w:id="156"/>
      <w:bookmarkEnd w:id="157"/>
      <w:bookmarkEnd w:id="158"/>
    </w:p>
    <w:p>
      <w:pPr>
        <w:pStyle w:val="Footnoteheading"/>
        <w:keepNext/>
      </w:pPr>
      <w:r>
        <w:tab/>
        <w:t>[Heading amended: Gazette 6 Sep 2016 p. 3833.]</w:t>
      </w:r>
    </w:p>
    <w:p>
      <w:pPr>
        <w:pStyle w:val="Heading5"/>
        <w:rPr>
          <w:snapToGrid w:val="0"/>
        </w:rPr>
      </w:pPr>
      <w:bookmarkStart w:id="159" w:name="_Toc154067991"/>
      <w:bookmarkStart w:id="160" w:name="_Toc155081595"/>
      <w:r>
        <w:rPr>
          <w:rStyle w:val="CharSectno"/>
        </w:rPr>
        <w:t>37</w:t>
      </w:r>
      <w:r>
        <w:rPr>
          <w:snapToGrid w:val="0"/>
        </w:rPr>
        <w:t>.</w:t>
      </w:r>
      <w:r>
        <w:rPr>
          <w:snapToGrid w:val="0"/>
        </w:rPr>
        <w:tab/>
        <w:t>Account book, form of (Act s. 104(3)(a))</w:t>
      </w:r>
      <w:bookmarkEnd w:id="159"/>
      <w:bookmarkEnd w:id="160"/>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161" w:name="_Toc154067992"/>
      <w:bookmarkStart w:id="162" w:name="_Toc155081596"/>
      <w:r>
        <w:rPr>
          <w:rStyle w:val="CharSectno"/>
        </w:rPr>
        <w:t>38</w:t>
      </w:r>
      <w:r>
        <w:rPr>
          <w:snapToGrid w:val="0"/>
        </w:rPr>
        <w:t>.</w:t>
      </w:r>
      <w:r>
        <w:rPr>
          <w:snapToGrid w:val="0"/>
        </w:rPr>
        <w:tab/>
        <w:t>Prohibition as to private gain etc.</w:t>
      </w:r>
      <w:bookmarkEnd w:id="161"/>
      <w:bookmarkEnd w:id="162"/>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163" w:name="_Toc154067993"/>
      <w:bookmarkStart w:id="164" w:name="_Toc155081597"/>
      <w:r>
        <w:rPr>
          <w:rStyle w:val="CharSectno"/>
        </w:rPr>
        <w:t>38A</w:t>
      </w:r>
      <w:r>
        <w:rPr>
          <w:snapToGrid w:val="0"/>
        </w:rPr>
        <w:t>.</w:t>
      </w:r>
      <w:r>
        <w:rPr>
          <w:snapToGrid w:val="0"/>
        </w:rPr>
        <w:tab/>
        <w:t>Offences related to permitted lotteries</w:t>
      </w:r>
      <w:bookmarkEnd w:id="163"/>
      <w:bookmarkEnd w:id="164"/>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keepNext/>
        <w:rPr>
          <w:snapToGrid w:val="0"/>
        </w:rPr>
      </w:pPr>
      <w:r>
        <w:rPr>
          <w:snapToGrid w:val="0"/>
        </w:rPr>
        <w:tab/>
      </w:r>
      <w:r>
        <w:rPr>
          <w:snapToGrid w:val="0"/>
        </w:rPr>
        <w:tab/>
        <w:t>commits an offence.</w:t>
      </w:r>
    </w:p>
    <w:p>
      <w:pPr>
        <w:pStyle w:val="Penstart"/>
        <w:keepNext/>
        <w:rPr>
          <w:snapToGrid w:val="0"/>
        </w:rPr>
      </w:pPr>
      <w:r>
        <w:rPr>
          <w:snapToGrid w:val="0"/>
        </w:rPr>
        <w:tab/>
        <w:t>Penalty: $500.</w:t>
      </w:r>
    </w:p>
    <w:p>
      <w:pPr>
        <w:pStyle w:val="Footnotesection"/>
      </w:pPr>
      <w:r>
        <w:tab/>
        <w:t>[Regulation 38A inserted: Gazette 11 May 1993 p. 2398.]</w:t>
      </w:r>
    </w:p>
    <w:p>
      <w:pPr>
        <w:pStyle w:val="Heading4"/>
        <w:rPr>
          <w:snapToGrid w:val="0"/>
        </w:rPr>
      </w:pPr>
      <w:bookmarkStart w:id="165" w:name="_Toc153979780"/>
      <w:bookmarkStart w:id="166" w:name="_Toc154049824"/>
      <w:bookmarkStart w:id="167" w:name="_Toc154067994"/>
      <w:bookmarkStart w:id="168" w:name="_Toc155081598"/>
      <w:r>
        <w:rPr>
          <w:snapToGrid w:val="0"/>
        </w:rPr>
        <w:t>Subdivision 5 — Amusements, etc.</w:t>
      </w:r>
      <w:bookmarkEnd w:id="165"/>
      <w:bookmarkEnd w:id="166"/>
      <w:bookmarkEnd w:id="167"/>
      <w:bookmarkEnd w:id="168"/>
    </w:p>
    <w:p>
      <w:pPr>
        <w:pStyle w:val="Footnoteheading"/>
      </w:pPr>
      <w:r>
        <w:tab/>
        <w:t>[Heading amended: Gazette 6 Sep 2016 p. 3833.]</w:t>
      </w:r>
    </w:p>
    <w:p>
      <w:pPr>
        <w:pStyle w:val="Heading5"/>
        <w:rPr>
          <w:snapToGrid w:val="0"/>
        </w:rPr>
      </w:pPr>
      <w:bookmarkStart w:id="169" w:name="_Toc154067995"/>
      <w:bookmarkStart w:id="170" w:name="_Toc155081599"/>
      <w:r>
        <w:rPr>
          <w:rStyle w:val="CharSectno"/>
        </w:rPr>
        <w:t>39</w:t>
      </w:r>
      <w:r>
        <w:rPr>
          <w:snapToGrid w:val="0"/>
        </w:rPr>
        <w:t>.</w:t>
      </w:r>
      <w:r>
        <w:rPr>
          <w:snapToGrid w:val="0"/>
        </w:rPr>
        <w:tab/>
        <w:t>Amusements with prizes at agricultural shows etc., matters prescribed for (Act s. 107(4))</w:t>
      </w:r>
      <w:bookmarkEnd w:id="169"/>
      <w:bookmarkEnd w:id="170"/>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 xml:space="preserve">the amount paid for a chance to win a prize shall not exceed </w:t>
      </w:r>
      <w:r>
        <w:t>$10; and</w:t>
      </w:r>
    </w:p>
    <w:p>
      <w:pPr>
        <w:pStyle w:val="Indenta"/>
        <w:rPr>
          <w:snapToGrid w:val="0"/>
        </w:rPr>
      </w:pPr>
      <w:r>
        <w:rPr>
          <w:snapToGrid w:val="0"/>
        </w:rPr>
        <w:tab/>
        <w:t>(b)</w:t>
      </w:r>
      <w:r>
        <w:rPr>
          <w:snapToGrid w:val="0"/>
        </w:rPr>
        <w:tab/>
        <w:t xml:space="preserve">no money prize shall be distributed or offered of an amount exceeding </w:t>
      </w:r>
      <w:r>
        <w:t>$100.</w:t>
      </w:r>
    </w:p>
    <w:p>
      <w:pPr>
        <w:pStyle w:val="Footnotesection"/>
      </w:pPr>
      <w:r>
        <w:tab/>
        <w:t>[Regulation 39 amended: Gazette 8 Feb 1991 p. 651; 2 Mar 2018 p. 672.]</w:t>
      </w:r>
    </w:p>
    <w:p>
      <w:pPr>
        <w:pStyle w:val="Heading5"/>
        <w:rPr>
          <w:snapToGrid w:val="0"/>
        </w:rPr>
      </w:pPr>
      <w:bookmarkStart w:id="171" w:name="_Toc154067996"/>
      <w:bookmarkStart w:id="172" w:name="_Toc155081600"/>
      <w:r>
        <w:rPr>
          <w:rStyle w:val="CharSectno"/>
        </w:rPr>
        <w:t>39A</w:t>
      </w:r>
      <w:r>
        <w:rPr>
          <w:snapToGrid w:val="0"/>
        </w:rPr>
        <w:t>.</w:t>
      </w:r>
      <w:r>
        <w:rPr>
          <w:snapToGrid w:val="0"/>
        </w:rPr>
        <w:tab/>
        <w:t>Amusements with prizes at sporting events etc., matters prescribed for (Act s. 107(1))</w:t>
      </w:r>
      <w:bookmarkEnd w:id="171"/>
      <w:bookmarkEnd w:id="172"/>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Gazette 30 Apr 1993 p. 2282</w:t>
      </w:r>
      <w:r>
        <w:noBreakHyphen/>
        <w:t>3.]</w:t>
      </w:r>
    </w:p>
    <w:p>
      <w:pPr>
        <w:pStyle w:val="Heading5"/>
        <w:rPr>
          <w:snapToGrid w:val="0"/>
        </w:rPr>
      </w:pPr>
      <w:bookmarkStart w:id="173" w:name="_Toc154067997"/>
      <w:bookmarkStart w:id="174" w:name="_Toc155081601"/>
      <w:r>
        <w:rPr>
          <w:rStyle w:val="CharSectno"/>
        </w:rPr>
        <w:t>40</w:t>
      </w:r>
      <w:r>
        <w:rPr>
          <w:snapToGrid w:val="0"/>
        </w:rPr>
        <w:t>.</w:t>
      </w:r>
      <w:r>
        <w:rPr>
          <w:snapToGrid w:val="0"/>
        </w:rPr>
        <w:tab/>
        <w:t>Minor fund raising activities (Act s. 108)</w:t>
      </w:r>
      <w:bookmarkEnd w:id="173"/>
      <w:bookmarkEnd w:id="174"/>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Gazette 23 Jun 2000 p. 3208.]</w:t>
      </w:r>
    </w:p>
    <w:p>
      <w:pPr>
        <w:pStyle w:val="Heading5"/>
      </w:pPr>
      <w:bookmarkStart w:id="175" w:name="_Toc154067998"/>
      <w:bookmarkStart w:id="176" w:name="_Toc155081602"/>
      <w:r>
        <w:rPr>
          <w:rStyle w:val="CharSectno"/>
        </w:rPr>
        <w:t>40A</w:t>
      </w:r>
      <w:r>
        <w:t>.</w:t>
      </w:r>
      <w:r>
        <w:tab/>
        <w:t>Football tipping competitions (Act s. 108)</w:t>
      </w:r>
      <w:bookmarkEnd w:id="175"/>
      <w:bookmarkEnd w:id="176"/>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Gazette 15 Mar 2002 p. 1313.]</w:t>
      </w:r>
    </w:p>
    <w:p>
      <w:pPr>
        <w:pStyle w:val="Heading2"/>
      </w:pPr>
      <w:bookmarkStart w:id="177" w:name="_Toc153979785"/>
      <w:bookmarkStart w:id="178" w:name="_Toc154049829"/>
      <w:bookmarkStart w:id="179" w:name="_Toc154067999"/>
      <w:bookmarkStart w:id="180" w:name="_Toc155081603"/>
      <w:r>
        <w:rPr>
          <w:rStyle w:val="CharPartNo"/>
        </w:rPr>
        <w:t>Part 5</w:t>
      </w:r>
      <w:r>
        <w:rPr>
          <w:rStyle w:val="CharDivText"/>
        </w:rPr>
        <w:t> </w:t>
      </w:r>
      <w:r>
        <w:t>—</w:t>
      </w:r>
      <w:r>
        <w:rPr>
          <w:rStyle w:val="CharDivNo"/>
        </w:rPr>
        <w:t xml:space="preserve"> </w:t>
      </w:r>
      <w:r>
        <w:rPr>
          <w:rStyle w:val="CharPartText"/>
        </w:rPr>
        <w:t>Miscellaneous</w:t>
      </w:r>
      <w:bookmarkEnd w:id="177"/>
      <w:bookmarkEnd w:id="178"/>
      <w:bookmarkEnd w:id="179"/>
      <w:bookmarkEnd w:id="180"/>
    </w:p>
    <w:p>
      <w:pPr>
        <w:pStyle w:val="Footnoteheading"/>
      </w:pPr>
      <w:r>
        <w:tab/>
        <w:t>[Heading inserted: Gazette 4 Aug 1998 p. 3989.]</w:t>
      </w:r>
    </w:p>
    <w:p>
      <w:pPr>
        <w:pStyle w:val="Heading5"/>
      </w:pPr>
      <w:bookmarkStart w:id="181" w:name="_Toc154068000"/>
      <w:bookmarkStart w:id="182" w:name="_Toc155081604"/>
      <w:r>
        <w:rPr>
          <w:rStyle w:val="CharSectno"/>
        </w:rPr>
        <w:t>41</w:t>
      </w:r>
      <w:r>
        <w:t>.</w:t>
      </w:r>
      <w:r>
        <w:tab/>
        <w:t>Premises where amusement machines are permitted (Act s. 39(2)(e))</w:t>
      </w:r>
      <w:bookmarkEnd w:id="181"/>
      <w:bookmarkEnd w:id="182"/>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Gazette 4 Aug 1998 p. 3989.]</w:t>
      </w:r>
    </w:p>
    <w:p>
      <w:pPr>
        <w:pStyle w:val="Heading5"/>
      </w:pPr>
      <w:bookmarkStart w:id="183" w:name="_Toc154068001"/>
      <w:bookmarkStart w:id="184" w:name="_Toc155081605"/>
      <w:r>
        <w:rPr>
          <w:rStyle w:val="CharSectno"/>
        </w:rPr>
        <w:t>42</w:t>
      </w:r>
      <w:r>
        <w:t>.</w:t>
      </w:r>
      <w:r>
        <w:tab/>
        <w:t>Unclaimed winnings (Act s. 109B(1))</w:t>
      </w:r>
      <w:bookmarkEnd w:id="183"/>
      <w:bookmarkEnd w:id="184"/>
    </w:p>
    <w:p>
      <w:pPr>
        <w:pStyle w:val="Subsection"/>
      </w:pPr>
      <w:r>
        <w:tab/>
      </w:r>
      <w:r>
        <w:tab/>
        <w:t>For the purposes of section 109B(1)(a) and (b), the prescribed amount is 99 cents.</w:t>
      </w:r>
    </w:p>
    <w:p>
      <w:pPr>
        <w:pStyle w:val="Footnotesection"/>
      </w:pPr>
      <w:r>
        <w:tab/>
        <w:t>[Regulation 42 inserted: Gazette 4 Aug 1998 p. 3989.]</w:t>
      </w:r>
    </w:p>
    <w:p>
      <w:pPr>
        <w:pStyle w:val="Heading5"/>
      </w:pPr>
      <w:bookmarkStart w:id="185" w:name="_Toc154068002"/>
      <w:bookmarkStart w:id="186" w:name="_Toc155081606"/>
      <w:r>
        <w:rPr>
          <w:rStyle w:val="CharSectno"/>
        </w:rPr>
        <w:t>43</w:t>
      </w:r>
      <w:r>
        <w:t>.</w:t>
      </w:r>
      <w:r>
        <w:tab/>
        <w:t>Certain advertisements and inducements prohibited</w:t>
      </w:r>
      <w:bookmarkEnd w:id="185"/>
      <w:bookmarkEnd w:id="186"/>
    </w:p>
    <w:p>
      <w:pPr>
        <w:pStyle w:val="Subsection"/>
      </w:pPr>
      <w:r>
        <w:tab/>
        <w:t>(1)</w:t>
      </w:r>
      <w:r>
        <w:tab/>
        <w:t xml:space="preserve">In this regulation — </w:t>
      </w:r>
    </w:p>
    <w:p>
      <w:pPr>
        <w:pStyle w:val="Defstart"/>
      </w:pPr>
      <w:r>
        <w:tab/>
      </w:r>
      <w:r>
        <w:rPr>
          <w:rStyle w:val="CharDefText"/>
        </w:rPr>
        <w:t>gambling advertisement</w:t>
      </w:r>
      <w:r>
        <w:t xml:space="preserve"> means an advertisement that — </w:t>
      </w:r>
    </w:p>
    <w:p>
      <w:pPr>
        <w:pStyle w:val="Defpara"/>
      </w:pPr>
      <w:r>
        <w:tab/>
        <w:t>(a)</w:t>
      </w:r>
      <w:r>
        <w:tab/>
        <w:t>conveys, or is likely to be understood as conveying, the existence in this State or elsewhere of a gambling operator; and</w:t>
      </w:r>
    </w:p>
    <w:p>
      <w:pPr>
        <w:pStyle w:val="Defpara"/>
      </w:pPr>
      <w:r>
        <w:tab/>
        <w:t>(b)</w:t>
      </w:r>
      <w:r>
        <w:tab/>
        <w:t>gives publicity to, or otherwise promotes or is intended to promote, participation in gambling;</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A person must not publish, or cause to be published, in this State a gambling advertisement that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a gambling operator will be successful; or</w:t>
      </w:r>
    </w:p>
    <w:p>
      <w:pPr>
        <w:pStyle w:val="Indenta"/>
      </w:pPr>
      <w:r>
        <w:tab/>
        <w:t>(e)</w:t>
      </w:r>
      <w:r>
        <w:tab/>
        <w:t>offers a benefit, consideration or reward in return for a person —</w:t>
      </w:r>
    </w:p>
    <w:p>
      <w:pPr>
        <w:pStyle w:val="Indenti"/>
      </w:pPr>
      <w:r>
        <w:tab/>
        <w:t>(i)</w:t>
      </w:r>
      <w:r>
        <w:tab/>
        <w:t>participating in gambling; or</w:t>
      </w:r>
    </w:p>
    <w:p>
      <w:pPr>
        <w:pStyle w:val="Indenti"/>
      </w:pPr>
      <w:r>
        <w:tab/>
        <w:t>(ii)</w:t>
      </w:r>
      <w:r>
        <w:tab/>
        <w:t>continuing to gamble; or</w:t>
      </w:r>
    </w:p>
    <w:p>
      <w:pPr>
        <w:pStyle w:val="Indenti"/>
      </w:pPr>
      <w:r>
        <w:tab/>
        <w:t>(iii)</w:t>
      </w:r>
      <w:r>
        <w:tab/>
        <w:t xml:space="preserve">opening a betting account with a gambling operator; or </w:t>
      </w:r>
    </w:p>
    <w:p>
      <w:pPr>
        <w:pStyle w:val="Indenti"/>
      </w:pPr>
      <w:r>
        <w:tab/>
        <w:t>(iv)</w:t>
      </w:r>
      <w:r>
        <w:tab/>
        <w:t>referring another person to open a betting account with a gambling operator;</w:t>
      </w:r>
    </w:p>
    <w:p>
      <w:pPr>
        <w:pStyle w:val="Indenta"/>
      </w:pPr>
      <w:r>
        <w:tab/>
      </w:r>
      <w:r>
        <w:tab/>
        <w:t>or</w:t>
      </w:r>
    </w:p>
    <w:p>
      <w:pPr>
        <w:pStyle w:val="Indenta"/>
      </w:pPr>
      <w:r>
        <w:tab/>
        <w:t>(f)</w:t>
      </w:r>
      <w:r>
        <w:tab/>
        <w:t>contains an express or implied inducement for a person to contact a gambling operator other than in relation to food, accommodation or other non</w:t>
      </w:r>
      <w:r>
        <w:noBreakHyphen/>
        <w:t>gambling goods or services provided by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for this subregulation: a fine of $1 000.</w:t>
      </w:r>
    </w:p>
    <w:p>
      <w:pPr>
        <w:pStyle w:val="Subsection"/>
      </w:pPr>
      <w:r>
        <w:tab/>
        <w:t>(3)</w:t>
      </w:r>
      <w:r>
        <w:tab/>
        <w:t xml:space="preserve">Subregulation (2)(a) to (g) does not apply to a person who publishes, or causes to be published, a gambling advertisement if the person — </w:t>
      </w:r>
    </w:p>
    <w:p>
      <w:pPr>
        <w:pStyle w:val="Indenta"/>
      </w:pPr>
      <w:r>
        <w:tab/>
        <w:t>(a)</w:t>
      </w:r>
      <w:r>
        <w:tab/>
        <w:t>is not the gambling operator to which the advertisement relates; and</w:t>
      </w:r>
    </w:p>
    <w:p>
      <w:pPr>
        <w:pStyle w:val="Indenta"/>
      </w:pPr>
      <w:r>
        <w:tab/>
        <w:t>(b)</w:t>
      </w:r>
      <w:r>
        <w:tab/>
        <w:t>has written approval to publish the advertisement from the gambling operator to which the advertisement relates.</w:t>
      </w:r>
    </w:p>
    <w:p>
      <w:pPr>
        <w:pStyle w:val="Subsection"/>
      </w:pPr>
      <w:r>
        <w:tab/>
        <w:t>(4)</w:t>
      </w:r>
      <w:r>
        <w:tab/>
        <w:t xml:space="preserve">Subregulation (2)(e)(i) and (ii)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w:t>
      </w:r>
    </w:p>
    <w:p>
      <w:pPr>
        <w:pStyle w:val="Subsection"/>
      </w:pPr>
      <w:r>
        <w:tab/>
        <w:t>(5)</w:t>
      </w:r>
      <w:r>
        <w:tab/>
        <w:t xml:space="preserve">Subregulation (2)(e)(i) and (ii) and (f) does not apply to a gambling advertisement if — </w:t>
      </w:r>
    </w:p>
    <w:p>
      <w:pPr>
        <w:pStyle w:val="Indenta"/>
      </w:pPr>
      <w:r>
        <w:tab/>
        <w:t>(a)</w:t>
      </w:r>
      <w:r>
        <w:tab/>
        <w:t>it is published by the gambling operator to which the advertisement relates; and</w:t>
      </w:r>
    </w:p>
    <w:p>
      <w:pPr>
        <w:pStyle w:val="Indenta"/>
        <w:keepNext/>
      </w:pPr>
      <w:r>
        <w:tab/>
        <w:t>(b)</w:t>
      </w:r>
      <w:r>
        <w:tab/>
        <w:t xml:space="preserve">it is published only by sending it to persons who — </w:t>
      </w:r>
    </w:p>
    <w:p>
      <w:pPr>
        <w:pStyle w:val="Indenti"/>
      </w:pPr>
      <w:r>
        <w:tab/>
        <w:t>(i)</w:t>
      </w:r>
      <w:r>
        <w:tab/>
        <w:t>are existing customers of the gambling operator; and</w:t>
      </w:r>
    </w:p>
    <w:p>
      <w:pPr>
        <w:pStyle w:val="Indenti"/>
      </w:pPr>
      <w:r>
        <w:tab/>
        <w:t>(ii)</w:t>
      </w:r>
      <w:r>
        <w:tab/>
        <w:t>have consented to the gambling operator sending gambling advertisements to them;</w:t>
      </w:r>
    </w:p>
    <w:p>
      <w:pPr>
        <w:pStyle w:val="Indenta"/>
      </w:pPr>
      <w:r>
        <w:tab/>
      </w:r>
      <w:r>
        <w:tab/>
        <w:t>and</w:t>
      </w:r>
    </w:p>
    <w:p>
      <w:pPr>
        <w:pStyle w:val="Indenta"/>
      </w:pPr>
      <w:r>
        <w:tab/>
        <w:t>(c)</w:t>
      </w:r>
      <w:r>
        <w:tab/>
        <w:t>it includes instructions on how a person can withdraw their consent to, or otherwise stop, the gambling operator sending gambling advertisements to them.</w:t>
      </w:r>
    </w:p>
    <w:p>
      <w:pPr>
        <w:pStyle w:val="Subsection"/>
      </w:pPr>
      <w:r>
        <w:tab/>
        <w:t>(6)</w:t>
      </w:r>
      <w:r>
        <w:tab/>
        <w:t xml:space="preserve">A gambling operator who publishes, or causes to be published, a gambling advertisement in this State must ensure that — </w:t>
      </w:r>
    </w:p>
    <w:p>
      <w:pPr>
        <w:pStyle w:val="Indenta"/>
      </w:pPr>
      <w:r>
        <w:tab/>
        <w:t>(a)</w:t>
      </w:r>
      <w:r>
        <w:tab/>
        <w:t>if it is published in audio or audio</w:t>
      </w:r>
      <w:r>
        <w:noBreakHyphen/>
        <w:t xml:space="preserve">visual form, it clearly and audibly includes — </w:t>
      </w:r>
    </w:p>
    <w:p>
      <w:pPr>
        <w:pStyle w:val="Indenti"/>
      </w:pPr>
      <w:r>
        <w:tab/>
        <w:t>(i)</w:t>
      </w:r>
      <w:r>
        <w:tab/>
        <w:t>the telephone number of the national problem gambling helpline or details of the national problem on</w:t>
      </w:r>
      <w:r>
        <w:noBreakHyphen/>
        <w:t>line counselling website; and</w:t>
      </w:r>
    </w:p>
    <w:p>
      <w:pPr>
        <w:pStyle w:val="Indenti"/>
      </w:pPr>
      <w:r>
        <w:tab/>
        <w:t>(ii)</w:t>
      </w:r>
      <w:r>
        <w:tab/>
        <w:t>the words “gamble responsibly” or a similar responsible gambling message;</w:t>
      </w:r>
    </w:p>
    <w:p>
      <w:pPr>
        <w:pStyle w:val="Indenta"/>
      </w:pPr>
      <w:r>
        <w:tab/>
      </w:r>
      <w:r>
        <w:tab/>
        <w:t>or</w:t>
      </w:r>
    </w:p>
    <w:p>
      <w:pPr>
        <w:pStyle w:val="Indenta"/>
      </w:pPr>
      <w:r>
        <w:tab/>
        <w:t>(b)</w:t>
      </w:r>
      <w:r>
        <w:tab/>
        <w:t>in any other case, it prominently displays the telephone number of the national problem gambling helpline and details of the national problem on</w:t>
      </w:r>
      <w:r>
        <w:noBreakHyphen/>
        <w:t>line counselling website.</w:t>
      </w:r>
    </w:p>
    <w:p>
      <w:pPr>
        <w:pStyle w:val="Penstart"/>
      </w:pPr>
      <w:r>
        <w:tab/>
        <w:t>Penalty for this subregulation: a fine of $1 000.</w:t>
      </w:r>
    </w:p>
    <w:p>
      <w:pPr>
        <w:pStyle w:val="Subsection"/>
      </w:pPr>
      <w:r>
        <w:tab/>
        <w:t>(7)</w:t>
      </w:r>
      <w:r>
        <w:tab/>
        <w:t xml:space="preserve">A person must not offer or provide, or cause to be offered or provided, to another person (the </w:t>
      </w:r>
      <w:r>
        <w:rPr>
          <w:rStyle w:val="CharDefText"/>
        </w:rPr>
        <w:t>second person</w:t>
      </w:r>
      <w:r>
        <w:t xml:space="preserve">) a benefit, consideration or reward in return for the second person — </w:t>
      </w:r>
    </w:p>
    <w:p>
      <w:pPr>
        <w:pStyle w:val="Indenta"/>
      </w:pPr>
      <w:r>
        <w:tab/>
        <w:t>(a)</w:t>
      </w:r>
      <w:r>
        <w:tab/>
        <w:t>participating in gambling; or</w:t>
      </w:r>
    </w:p>
    <w:p>
      <w:pPr>
        <w:pStyle w:val="Indenta"/>
      </w:pPr>
      <w:r>
        <w:tab/>
        <w:t>(b)</w:t>
      </w:r>
      <w:r>
        <w:tab/>
        <w:t>continuing to gamble; or</w:t>
      </w:r>
    </w:p>
    <w:p>
      <w:pPr>
        <w:pStyle w:val="Indenta"/>
      </w:pPr>
      <w:r>
        <w:tab/>
        <w:t>(c)</w:t>
      </w:r>
      <w:r>
        <w:tab/>
        <w:t>opening a betting account with a gambling operator; or</w:t>
      </w:r>
    </w:p>
    <w:p>
      <w:pPr>
        <w:pStyle w:val="Indenta"/>
      </w:pPr>
      <w:r>
        <w:tab/>
        <w:t>(d)</w:t>
      </w:r>
      <w:r>
        <w:tab/>
        <w:t>referring another person to open a betting account with a gambling operator.</w:t>
      </w:r>
    </w:p>
    <w:p>
      <w:pPr>
        <w:pStyle w:val="Penstart"/>
      </w:pPr>
      <w:r>
        <w:tab/>
        <w:t>Penalty for this subregulation: a fine of $1 000.</w:t>
      </w:r>
    </w:p>
    <w:p>
      <w:pPr>
        <w:pStyle w:val="Subsection"/>
        <w:keepNext/>
      </w:pPr>
      <w:r>
        <w:tab/>
        <w:t>(8)</w:t>
      </w:r>
      <w:r>
        <w:tab/>
        <w:t xml:space="preserve">Subregulation (7)(a) and (b)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 or</w:t>
      </w:r>
    </w:p>
    <w:p>
      <w:pPr>
        <w:pStyle w:val="Indenta"/>
      </w:pPr>
      <w:r>
        <w:tab/>
        <w:t>(c)</w:t>
      </w:r>
      <w:r>
        <w:tab/>
        <w:t>it is offered or provided to a person who is an existing customer of a gambling operator in return for participating in gambling, or continuing to gamble, with the gambling operator.</w:t>
      </w:r>
    </w:p>
    <w:p>
      <w:pPr>
        <w:pStyle w:val="Footnotesection"/>
      </w:pPr>
      <w:r>
        <w:tab/>
        <w:t>[Regulation 43 inserted: Gazette 8 Jan 2010 p. 17</w:t>
      </w:r>
      <w:r>
        <w:noBreakHyphen/>
        <w:t>19; amended: Gazette 31 May 2019 p. 1718</w:t>
      </w:r>
      <w:r>
        <w:noBreakHyphen/>
        <w:t>20.]</w:t>
      </w:r>
    </w:p>
    <w:p>
      <w:pPr>
        <w:pStyle w:val="Heading5"/>
      </w:pPr>
      <w:bookmarkStart w:id="187" w:name="_Toc154068003"/>
      <w:bookmarkStart w:id="188" w:name="_Toc155081607"/>
      <w:r>
        <w:rPr>
          <w:rStyle w:val="CharSectno"/>
        </w:rPr>
        <w:t>44</w:t>
      </w:r>
      <w:r>
        <w:t>.</w:t>
      </w:r>
      <w:r>
        <w:tab/>
        <w:t>Prescribed interval (Act s. 110B(4)(b))</w:t>
      </w:r>
      <w:bookmarkEnd w:id="187"/>
      <w:bookmarkEnd w:id="188"/>
    </w:p>
    <w:p>
      <w:pPr>
        <w:pStyle w:val="Subsection"/>
      </w:pPr>
      <w:r>
        <w:tab/>
      </w:r>
      <w:r>
        <w:tab/>
        <w:t>For the purposes of section 110B(4)(b) of the Act, the prescribed interval is one month.</w:t>
      </w:r>
    </w:p>
    <w:p>
      <w:pPr>
        <w:pStyle w:val="Footnotesection"/>
      </w:pPr>
      <w:r>
        <w:tab/>
        <w:t>[Regulation 44 inserted: Gazette 8 Jan 2010 p. 19.]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189" w:name="_Toc148012903"/>
      <w:bookmarkStart w:id="190" w:name="_Toc148012989"/>
      <w:bookmarkStart w:id="191" w:name="_Toc148013138"/>
      <w:bookmarkStart w:id="192" w:name="_Toc148435723"/>
      <w:bookmarkStart w:id="193" w:name="_Toc154049834"/>
      <w:bookmarkStart w:id="194" w:name="_Toc154068004"/>
      <w:bookmarkStart w:id="195" w:name="_Toc155081608"/>
      <w:bookmarkStart w:id="196" w:name="_Toc153979790"/>
      <w:r>
        <w:rPr>
          <w:rStyle w:val="CharSchNo"/>
        </w:rPr>
        <w:t>Schedule 1</w:t>
      </w:r>
      <w:r>
        <w:rPr>
          <w:rStyle w:val="CharSDivNo"/>
        </w:rPr>
        <w:t> </w:t>
      </w:r>
      <w:r>
        <w:t>—</w:t>
      </w:r>
      <w:r>
        <w:rPr>
          <w:rStyle w:val="CharSDivText"/>
        </w:rPr>
        <w:t> </w:t>
      </w:r>
      <w:r>
        <w:rPr>
          <w:rStyle w:val="CharSchText"/>
        </w:rPr>
        <w:t>Prescribed fees</w:t>
      </w:r>
      <w:bookmarkEnd w:id="189"/>
      <w:bookmarkEnd w:id="190"/>
      <w:bookmarkEnd w:id="191"/>
      <w:bookmarkEnd w:id="192"/>
      <w:bookmarkEnd w:id="193"/>
      <w:bookmarkEnd w:id="194"/>
      <w:bookmarkEnd w:id="195"/>
    </w:p>
    <w:p>
      <w:pPr>
        <w:pStyle w:val="yShoulderClause"/>
      </w:pPr>
      <w:r>
        <w:t>[r. 4]</w:t>
      </w:r>
    </w:p>
    <w:p>
      <w:pPr>
        <w:pStyle w:val="yFootnoteheading"/>
        <w:spacing w:after="60"/>
      </w:pPr>
      <w:r>
        <w:tab/>
        <w:t>[Heading inserted: SL </w:t>
      </w:r>
      <w:del w:id="197" w:author="Master Repository Process" w:date="2025-05-29T14:29:00Z">
        <w:r>
          <w:delText>2022/144</w:delText>
        </w:r>
      </w:del>
      <w:ins w:id="198" w:author="Master Repository Process" w:date="2025-05-29T14:29:00Z">
        <w:r>
          <w:t>2023/156</w:t>
        </w:r>
      </w:ins>
      <w:r>
        <w:t xml:space="preserve"> r. 10.]</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noWrap/>
          </w:tcPr>
          <w:p>
            <w:pPr>
              <w:pStyle w:val="yTableNAm"/>
              <w:widowControl w:val="0"/>
              <w:jc w:val="center"/>
              <w:rPr>
                <w:b/>
              </w:rPr>
            </w:pPr>
            <w:r>
              <w:rPr>
                <w:b/>
              </w:rPr>
              <w:t>Item</w:t>
            </w:r>
          </w:p>
        </w:tc>
        <w:tc>
          <w:tcPr>
            <w:tcW w:w="5245" w:type="dxa"/>
            <w:tcBorders>
              <w:bottom w:val="single" w:sz="4" w:space="0" w:color="auto"/>
            </w:tcBorders>
            <w:noWrap/>
          </w:tcPr>
          <w:p>
            <w:pPr>
              <w:pStyle w:val="yTableNAm"/>
              <w:widowControl w:val="0"/>
              <w:jc w:val="center"/>
              <w:rPr>
                <w:b/>
              </w:rPr>
            </w:pPr>
            <w:r>
              <w:rPr>
                <w:b/>
              </w:rPr>
              <w:t>Description</w:t>
            </w:r>
          </w:p>
        </w:tc>
        <w:tc>
          <w:tcPr>
            <w:tcW w:w="992" w:type="dxa"/>
            <w:tcBorders>
              <w:bottom w:val="single" w:sz="4" w:space="0" w:color="auto"/>
            </w:tcBorders>
            <w:noWrap/>
          </w:tcPr>
          <w:p>
            <w:pPr>
              <w:pStyle w:val="yTableNAm"/>
              <w:widowControl w:val="0"/>
              <w:jc w:val="center"/>
              <w:rPr>
                <w:b/>
              </w:rPr>
            </w:pPr>
            <w:r>
              <w:rPr>
                <w:b/>
              </w:rPr>
              <w:t>Fee</w:t>
            </w:r>
            <w:r>
              <w:rPr>
                <w:b/>
              </w:rPr>
              <w:br/>
              <w:t>$</w:t>
            </w:r>
          </w:p>
        </w:tc>
      </w:tr>
      <w:tr>
        <w:tc>
          <w:tcPr>
            <w:tcW w:w="851" w:type="dxa"/>
            <w:tcBorders>
              <w:top w:val="single" w:sz="4" w:space="0" w:color="auto"/>
              <w:bottom w:val="single" w:sz="4" w:space="0" w:color="auto"/>
            </w:tcBorders>
            <w:noWrap/>
          </w:tcPr>
          <w:p>
            <w:pPr>
              <w:pStyle w:val="yTableNAm"/>
              <w:widowControl w:val="0"/>
            </w:pPr>
            <w:r>
              <w:t>1.</w:t>
            </w:r>
          </w:p>
        </w:tc>
        <w:tc>
          <w:tcPr>
            <w:tcW w:w="5245" w:type="dxa"/>
            <w:tcBorders>
              <w:top w:val="single" w:sz="4" w:space="0" w:color="auto"/>
              <w:bottom w:val="single" w:sz="4" w:space="0" w:color="auto"/>
            </w:tcBorders>
            <w:noWrap/>
          </w:tcPr>
          <w:p>
            <w:pPr>
              <w:pStyle w:val="yTableNAm"/>
              <w:widowControl w:val="0"/>
              <w:tabs>
                <w:tab w:val="clear" w:pos="567"/>
                <w:tab w:val="right" w:leader="dot" w:pos="6237"/>
              </w:tabs>
            </w:pPr>
            <w:r>
              <w:t xml:space="preserve">Search of the register for an identified entry </w:t>
            </w:r>
          </w:p>
        </w:tc>
        <w:tc>
          <w:tcPr>
            <w:tcW w:w="992" w:type="dxa"/>
            <w:tcBorders>
              <w:top w:val="single" w:sz="4" w:space="0" w:color="auto"/>
              <w:bottom w:val="single" w:sz="4" w:space="0" w:color="auto"/>
            </w:tcBorders>
            <w:noWrap/>
          </w:tcPr>
          <w:p>
            <w:pPr>
              <w:pStyle w:val="yTableNAm"/>
              <w:widowControl w:val="0"/>
              <w:tabs>
                <w:tab w:val="clear" w:pos="567"/>
              </w:tabs>
              <w:jc w:val="right"/>
            </w:pPr>
            <w:r>
              <w:t>9.00</w:t>
            </w:r>
          </w:p>
        </w:tc>
      </w:tr>
      <w:tr>
        <w:tc>
          <w:tcPr>
            <w:tcW w:w="851" w:type="dxa"/>
            <w:tcBorders>
              <w:top w:val="single" w:sz="4" w:space="0" w:color="auto"/>
            </w:tcBorders>
            <w:noWrap/>
          </w:tcPr>
          <w:p>
            <w:pPr>
              <w:pStyle w:val="yTableNAm"/>
              <w:widowControl w:val="0"/>
            </w:pPr>
            <w:r>
              <w:t>2.</w:t>
            </w:r>
          </w:p>
        </w:tc>
        <w:tc>
          <w:tcPr>
            <w:tcW w:w="5245" w:type="dxa"/>
            <w:tcBorders>
              <w:top w:val="single" w:sz="4" w:space="0" w:color="auto"/>
            </w:tcBorders>
            <w:noWrap/>
          </w:tcPr>
          <w:p>
            <w:pPr>
              <w:pStyle w:val="yTableNAm"/>
              <w:widowControl w:val="0"/>
              <w:tabs>
                <w:tab w:val="clear" w:pos="567"/>
                <w:tab w:val="right" w:leader="dot" w:pos="6237"/>
              </w:tabs>
            </w:pPr>
            <w:r>
              <w:t xml:space="preserve">Copy of extract from register </w:t>
            </w:r>
          </w:p>
        </w:tc>
        <w:tc>
          <w:tcPr>
            <w:tcW w:w="992" w:type="dxa"/>
            <w:tcBorders>
              <w:top w:val="single" w:sz="4" w:space="0" w:color="auto"/>
            </w:tcBorders>
            <w:noWrap/>
          </w:tcPr>
          <w:p>
            <w:pPr>
              <w:pStyle w:val="yTableNAm"/>
              <w:widowControl w:val="0"/>
              <w:tabs>
                <w:tab w:val="clear" w:pos="567"/>
              </w:tabs>
              <w:jc w:val="right"/>
            </w:pPr>
            <w:del w:id="199" w:author="Master Repository Process" w:date="2025-05-29T14:29:00Z">
              <w:r>
                <w:delText>16.50</w:delText>
              </w:r>
            </w:del>
            <w:ins w:id="200" w:author="Master Repository Process" w:date="2025-05-29T14:29:00Z">
              <w:r>
                <w:t>17.00</w:t>
              </w:r>
            </w:ins>
          </w:p>
        </w:tc>
      </w:tr>
      <w:tr>
        <w:tc>
          <w:tcPr>
            <w:tcW w:w="851" w:type="dxa"/>
            <w:noWrap/>
          </w:tcPr>
          <w:p>
            <w:pPr>
              <w:pStyle w:val="yTableNAm"/>
              <w:widowControl w:val="0"/>
            </w:pPr>
            <w:r>
              <w:t>3.</w:t>
            </w:r>
          </w:p>
        </w:tc>
        <w:tc>
          <w:tcPr>
            <w:tcW w:w="5245" w:type="dxa"/>
            <w:noWrap/>
          </w:tcPr>
          <w:p>
            <w:pPr>
              <w:pStyle w:val="yTableNAm"/>
              <w:widowControl w:val="0"/>
              <w:tabs>
                <w:tab w:val="clear" w:pos="567"/>
              </w:tabs>
            </w:pPr>
            <w:r>
              <w:t xml:space="preserve">Application for a function permit for — </w:t>
            </w:r>
          </w:p>
        </w:tc>
        <w:tc>
          <w:tcPr>
            <w:tcW w:w="992" w:type="dxa"/>
            <w:noWrap/>
          </w:tcPr>
          <w:p>
            <w:pPr>
              <w:pStyle w:val="yTableNAm"/>
              <w:widowControl w:val="0"/>
              <w:tabs>
                <w:tab w:val="clear" w:pos="567"/>
              </w:tabs>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32"/>
                <w:tab w:val="right" w:leader="dot" w:pos="6237"/>
              </w:tabs>
            </w:pPr>
            <w:r>
              <w:t>(a)</w:t>
            </w:r>
            <w:r>
              <w:tab/>
              <w:t xml:space="preserve">an item of gaming equipment (r. 18B(2)(a)) </w:t>
            </w:r>
          </w:p>
        </w:tc>
        <w:tc>
          <w:tcPr>
            <w:tcW w:w="992" w:type="dxa"/>
            <w:noWrap/>
          </w:tcPr>
          <w:p>
            <w:pPr>
              <w:pStyle w:val="yTableNAm"/>
              <w:widowControl w:val="0"/>
              <w:tabs>
                <w:tab w:val="clear" w:pos="567"/>
              </w:tabs>
              <w:jc w:val="right"/>
            </w:pPr>
            <w:del w:id="201" w:author="Master Repository Process" w:date="2025-05-29T14:29:00Z">
              <w:r>
                <w:delText>37</w:delText>
              </w:r>
            </w:del>
            <w:ins w:id="202" w:author="Master Repository Process" w:date="2025-05-29T14:29:00Z">
              <w:r>
                <w:t>38</w:t>
              </w:r>
            </w:ins>
            <w:r>
              <w:t>.00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pPr>
            <w:r>
              <w:t>(b)</w:t>
            </w:r>
            <w:r>
              <w:tab/>
              <w:t xml:space="preserve">a class of gaming equipment (r. 18B(2)(b)) </w:t>
            </w:r>
          </w:p>
        </w:tc>
        <w:tc>
          <w:tcPr>
            <w:tcW w:w="992" w:type="dxa"/>
            <w:noWrap/>
          </w:tcPr>
          <w:p>
            <w:pPr>
              <w:pStyle w:val="yTableNAm"/>
              <w:widowControl w:val="0"/>
              <w:tabs>
                <w:tab w:val="clear" w:pos="567"/>
              </w:tabs>
              <w:jc w:val="right"/>
            </w:pPr>
            <w:del w:id="203" w:author="Master Repository Process" w:date="2025-05-29T14:29:00Z">
              <w:r>
                <w:rPr>
                  <w:szCs w:val="22"/>
                </w:rPr>
                <w:delText>64</w:delText>
              </w:r>
            </w:del>
            <w:ins w:id="204" w:author="Master Repository Process" w:date="2025-05-29T14:29:00Z">
              <w:r>
                <w:rPr>
                  <w:szCs w:val="22"/>
                </w:rPr>
                <w:t>66</w:t>
              </w:r>
            </w:ins>
            <w:r>
              <w:t>.00</w:t>
            </w:r>
          </w:p>
        </w:tc>
      </w:tr>
      <w:tr>
        <w:tc>
          <w:tcPr>
            <w:tcW w:w="851" w:type="dxa"/>
            <w:noWrap/>
          </w:tcPr>
          <w:p>
            <w:pPr>
              <w:pStyle w:val="yTableNAm"/>
              <w:widowControl w:val="0"/>
            </w:pPr>
            <w:r>
              <w:t>4.</w:t>
            </w:r>
          </w:p>
        </w:tc>
        <w:tc>
          <w:tcPr>
            <w:tcW w:w="5245" w:type="dxa"/>
            <w:noWrap/>
          </w:tcPr>
          <w:p>
            <w:pPr>
              <w:pStyle w:val="yTableNAm"/>
              <w:widowControl w:val="0"/>
              <w:tabs>
                <w:tab w:val="clear" w:pos="567"/>
              </w:tabs>
            </w:pPr>
            <w:r>
              <w:t xml:space="preserve">Application for a permit of a continuing nature for — </w:t>
            </w:r>
          </w:p>
        </w:tc>
        <w:tc>
          <w:tcPr>
            <w:tcW w:w="992" w:type="dxa"/>
            <w:noWrap/>
          </w:tcPr>
          <w:p>
            <w:pPr>
              <w:pStyle w:val="yTableNAm"/>
              <w:widowControl w:val="0"/>
              <w:tabs>
                <w:tab w:val="clear" w:pos="567"/>
              </w:tabs>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26"/>
                <w:tab w:val="right" w:leader="dot" w:pos="6237"/>
              </w:tabs>
            </w:pPr>
            <w:r>
              <w:t>(a)</w:t>
            </w:r>
            <w:r>
              <w:tab/>
              <w:t xml:space="preserve">a video lottery terminal (r. 18AA(7)) </w:t>
            </w:r>
          </w:p>
        </w:tc>
        <w:tc>
          <w:tcPr>
            <w:tcW w:w="992" w:type="dxa"/>
            <w:noWrap/>
          </w:tcPr>
          <w:p>
            <w:pPr>
              <w:pStyle w:val="yTableNAm"/>
              <w:widowControl w:val="0"/>
              <w:tabs>
                <w:tab w:val="clear" w:pos="567"/>
              </w:tabs>
              <w:jc w:val="right"/>
            </w:pPr>
            <w:del w:id="205" w:author="Master Repository Process" w:date="2025-05-29T14:29:00Z">
              <w:r>
                <w:delText>37</w:delText>
              </w:r>
            </w:del>
            <w:ins w:id="206" w:author="Master Repository Process" w:date="2025-05-29T14:29:00Z">
              <w:r>
                <w:t>38</w:t>
              </w:r>
            </w:ins>
            <w:r>
              <w:t>.00</w:t>
            </w:r>
          </w:p>
        </w:tc>
      </w:tr>
      <w:tr>
        <w:tc>
          <w:tcPr>
            <w:tcW w:w="851" w:type="dxa"/>
            <w:noWrap/>
          </w:tcPr>
          <w:p>
            <w:pPr>
              <w:pStyle w:val="yTableNAm"/>
              <w:widowControl w:val="0"/>
            </w:pPr>
          </w:p>
        </w:tc>
        <w:tc>
          <w:tcPr>
            <w:tcW w:w="5245" w:type="dxa"/>
            <w:noWrap/>
          </w:tcPr>
          <w:p>
            <w:pPr>
              <w:pStyle w:val="yTableNAm"/>
              <w:widowControl w:val="0"/>
              <w:tabs>
                <w:tab w:val="clear" w:pos="567"/>
                <w:tab w:val="left" w:pos="426"/>
                <w:tab w:val="right" w:leader="dot" w:pos="6237"/>
              </w:tabs>
            </w:pPr>
            <w:r>
              <w:t>(b)</w:t>
            </w:r>
            <w:r>
              <w:tab/>
              <w:t xml:space="preserve">an item of gaming equipment (r. 18B(2)(a)) </w:t>
            </w:r>
          </w:p>
        </w:tc>
        <w:tc>
          <w:tcPr>
            <w:tcW w:w="992" w:type="dxa"/>
            <w:noWrap/>
          </w:tcPr>
          <w:p>
            <w:pPr>
              <w:pStyle w:val="yTableNAm"/>
              <w:widowControl w:val="0"/>
              <w:tabs>
                <w:tab w:val="clear" w:pos="567"/>
              </w:tabs>
              <w:jc w:val="right"/>
              <w:rPr>
                <w:i/>
              </w:rPr>
            </w:pPr>
            <w:del w:id="207" w:author="Master Repository Process" w:date="2025-05-29T14:29:00Z">
              <w:r>
                <w:rPr>
                  <w:szCs w:val="22"/>
                </w:rPr>
                <w:delText>69</w:delText>
              </w:r>
            </w:del>
            <w:ins w:id="208" w:author="Master Repository Process" w:date="2025-05-29T14:29:00Z">
              <w:r>
                <w:rPr>
                  <w:szCs w:val="22"/>
                </w:rPr>
                <w:t>71</w:t>
              </w:r>
            </w:ins>
            <w:r>
              <w:rPr>
                <w:szCs w:val="22"/>
              </w:rPr>
              <w:t>.50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pPr>
            <w:r>
              <w:t>(c)</w:t>
            </w:r>
            <w:r>
              <w:tab/>
              <w:t xml:space="preserve">a class of gaming equipment (r. 18B(2)(b)) </w:t>
            </w:r>
          </w:p>
        </w:tc>
        <w:tc>
          <w:tcPr>
            <w:tcW w:w="992" w:type="dxa"/>
            <w:noWrap/>
          </w:tcPr>
          <w:p>
            <w:pPr>
              <w:pStyle w:val="yTableNAm"/>
              <w:widowControl w:val="0"/>
              <w:tabs>
                <w:tab w:val="clear" w:pos="567"/>
              </w:tabs>
              <w:jc w:val="right"/>
              <w:rPr>
                <w:i/>
              </w:rPr>
            </w:pPr>
            <w:del w:id="209" w:author="Master Repository Process" w:date="2025-05-29T14:29:00Z">
              <w:r>
                <w:rPr>
                  <w:szCs w:val="22"/>
                </w:rPr>
                <w:delText>124</w:delText>
              </w:r>
            </w:del>
            <w:ins w:id="210" w:author="Master Repository Process" w:date="2025-05-29T14:29:00Z">
              <w:r>
                <w:rPr>
                  <w:szCs w:val="22"/>
                </w:rPr>
                <w:t>128</w:t>
              </w:r>
            </w:ins>
            <w:r>
              <w:t>.00</w:t>
            </w:r>
          </w:p>
        </w:tc>
      </w:tr>
      <w:tr>
        <w:tc>
          <w:tcPr>
            <w:tcW w:w="851" w:type="dxa"/>
            <w:noWrap/>
          </w:tcPr>
          <w:p>
            <w:pPr>
              <w:pStyle w:val="yTableNAm"/>
              <w:widowControl w:val="0"/>
            </w:pPr>
            <w:r>
              <w:t>5.</w:t>
            </w:r>
          </w:p>
        </w:tc>
        <w:tc>
          <w:tcPr>
            <w:tcW w:w="5245" w:type="dxa"/>
            <w:noWrap/>
          </w:tcPr>
          <w:p>
            <w:pPr>
              <w:pStyle w:val="yTableNAm"/>
              <w:widowControl w:val="0"/>
              <w:tabs>
                <w:tab w:val="clear" w:pos="567"/>
              </w:tabs>
            </w:pPr>
            <w:r>
              <w:t xml:space="preserve">Application for a function permit for — </w:t>
            </w:r>
          </w:p>
        </w:tc>
        <w:tc>
          <w:tcPr>
            <w:tcW w:w="992" w:type="dxa"/>
            <w:noWrap/>
          </w:tcPr>
          <w:p>
            <w:pPr>
              <w:pStyle w:val="yTableNAm"/>
              <w:widowControl w:val="0"/>
              <w:tabs>
                <w:tab w:val="clear" w:pos="567"/>
              </w:tabs>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17"/>
                <w:tab w:val="right" w:leader="dot" w:pos="6237"/>
              </w:tabs>
            </w:pPr>
            <w:r>
              <w:t>(a)</w:t>
            </w:r>
            <w:r>
              <w:tab/>
              <w:t xml:space="preserve">bingo </w:t>
            </w:r>
          </w:p>
        </w:tc>
        <w:tc>
          <w:tcPr>
            <w:tcW w:w="992" w:type="dxa"/>
            <w:noWrap/>
          </w:tcPr>
          <w:p>
            <w:pPr>
              <w:pStyle w:val="yTableNAm"/>
              <w:widowControl w:val="0"/>
              <w:tabs>
                <w:tab w:val="clear" w:pos="567"/>
              </w:tabs>
              <w:jc w:val="right"/>
            </w:pPr>
            <w:r>
              <w:t>24.</w:t>
            </w:r>
            <w:del w:id="211" w:author="Master Repository Process" w:date="2025-05-29T14:29:00Z">
              <w:r>
                <w:delText>00</w:delText>
              </w:r>
            </w:del>
            <w:ins w:id="212" w:author="Master Repository Process" w:date="2025-05-29T14:29:00Z">
              <w:r>
                <w:t>50</w:t>
              </w:r>
            </w:ins>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pPr>
            <w:r>
              <w:t>(b)</w:t>
            </w:r>
            <w:r>
              <w:tab/>
              <w:t xml:space="preserve">multiple bingo, for each premises </w:t>
            </w:r>
          </w:p>
        </w:tc>
        <w:tc>
          <w:tcPr>
            <w:tcW w:w="992" w:type="dxa"/>
            <w:noWrap/>
          </w:tcPr>
          <w:p>
            <w:pPr>
              <w:pStyle w:val="yTableNAm"/>
              <w:widowControl w:val="0"/>
              <w:tabs>
                <w:tab w:val="clear" w:pos="567"/>
              </w:tabs>
              <w:jc w:val="right"/>
            </w:pPr>
            <w:r>
              <w:t>24.</w:t>
            </w:r>
            <w:del w:id="213" w:author="Master Repository Process" w:date="2025-05-29T14:29:00Z">
              <w:r>
                <w:delText>00</w:delText>
              </w:r>
            </w:del>
            <w:ins w:id="214" w:author="Master Repository Process" w:date="2025-05-29T14:29:00Z">
              <w:r>
                <w:t>50</w:t>
              </w:r>
            </w:ins>
          </w:p>
        </w:tc>
      </w:tr>
      <w:tr>
        <w:tc>
          <w:tcPr>
            <w:tcW w:w="851" w:type="dxa"/>
            <w:noWrap/>
          </w:tcPr>
          <w:p>
            <w:pPr>
              <w:pStyle w:val="yTableNAm"/>
              <w:widowControl w:val="0"/>
            </w:pPr>
          </w:p>
        </w:tc>
        <w:tc>
          <w:tcPr>
            <w:tcW w:w="5245" w:type="dxa"/>
            <w:noWrap/>
          </w:tcPr>
          <w:p>
            <w:pPr>
              <w:pStyle w:val="yTableNAm"/>
              <w:widowControl w:val="0"/>
              <w:tabs>
                <w:tab w:val="clear" w:pos="567"/>
                <w:tab w:val="left" w:pos="432"/>
                <w:tab w:val="right" w:leader="dot" w:pos="6237"/>
              </w:tabs>
            </w:pPr>
            <w:r>
              <w:t>(c)</w:t>
            </w:r>
            <w:r>
              <w:tab/>
              <w:t xml:space="preserve">simultaneous bingo, for each premises </w:t>
            </w:r>
          </w:p>
        </w:tc>
        <w:tc>
          <w:tcPr>
            <w:tcW w:w="992" w:type="dxa"/>
            <w:noWrap/>
          </w:tcPr>
          <w:p>
            <w:pPr>
              <w:pStyle w:val="yTableNAm"/>
              <w:widowControl w:val="0"/>
              <w:tabs>
                <w:tab w:val="clear" w:pos="567"/>
              </w:tabs>
              <w:jc w:val="right"/>
            </w:pPr>
            <w:r>
              <w:t>24.</w:t>
            </w:r>
            <w:del w:id="215" w:author="Master Repository Process" w:date="2025-05-29T14:29:00Z">
              <w:r>
                <w:delText>00</w:delText>
              </w:r>
            </w:del>
            <w:ins w:id="216" w:author="Master Repository Process" w:date="2025-05-29T14:29:00Z">
              <w:r>
                <w:t>50</w:t>
              </w:r>
            </w:ins>
          </w:p>
        </w:tc>
      </w:tr>
      <w:tr>
        <w:tc>
          <w:tcPr>
            <w:tcW w:w="851" w:type="dxa"/>
            <w:noWrap/>
          </w:tcPr>
          <w:p>
            <w:pPr>
              <w:pStyle w:val="yTableNAm"/>
              <w:keepNext/>
              <w:widowControl w:val="0"/>
            </w:pPr>
          </w:p>
        </w:tc>
        <w:tc>
          <w:tcPr>
            <w:tcW w:w="5245" w:type="dxa"/>
            <w:noWrap/>
          </w:tcPr>
          <w:p>
            <w:pPr>
              <w:pStyle w:val="yTableNAm"/>
              <w:keepNext/>
              <w:widowControl w:val="0"/>
              <w:tabs>
                <w:tab w:val="clear" w:pos="567"/>
                <w:tab w:val="left" w:pos="425"/>
                <w:tab w:val="right" w:leader="dot" w:pos="6237"/>
              </w:tabs>
            </w:pPr>
            <w:r>
              <w:t>(d)</w:t>
            </w:r>
            <w:r>
              <w:tab/>
              <w:t>a standard lottery —</w:t>
            </w:r>
          </w:p>
        </w:tc>
        <w:tc>
          <w:tcPr>
            <w:tcW w:w="992" w:type="dxa"/>
            <w:noWrap/>
          </w:tcPr>
          <w:p>
            <w:pPr>
              <w:pStyle w:val="yTableNAm"/>
              <w:keepNext/>
              <w:widowControl w:val="0"/>
              <w:tabs>
                <w:tab w:val="clear" w:pos="567"/>
              </w:tabs>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26"/>
                <w:tab w:val="right" w:leader="dot" w:pos="6237"/>
              </w:tabs>
              <w:ind w:left="851" w:hanging="851"/>
            </w:pPr>
            <w:r>
              <w:tab/>
              <w:t>(i)</w:t>
            </w:r>
            <w:r>
              <w:tab/>
              <w:t xml:space="preserve">where the total retail value of prizes or prize money does not exceed $5 000 </w:t>
            </w:r>
          </w:p>
        </w:tc>
        <w:tc>
          <w:tcPr>
            <w:tcW w:w="992" w:type="dxa"/>
            <w:noWrap/>
            <w:vAlign w:val="bottom"/>
          </w:tcPr>
          <w:p>
            <w:pPr>
              <w:pStyle w:val="yTableNAm"/>
              <w:widowControl w:val="0"/>
              <w:tabs>
                <w:tab w:val="clear" w:pos="567"/>
              </w:tabs>
              <w:jc w:val="right"/>
            </w:pPr>
            <w:del w:id="217" w:author="Master Repository Process" w:date="2025-05-29T14:29:00Z">
              <w:r>
                <w:delText>37</w:delText>
              </w:r>
            </w:del>
            <w:ins w:id="218" w:author="Master Repository Process" w:date="2025-05-29T14:29:00Z">
              <w:r>
                <w:t>38</w:t>
              </w:r>
            </w:ins>
            <w:r>
              <w:t>.00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ind w:left="851" w:hanging="851"/>
            </w:pPr>
            <w:r>
              <w:tab/>
              <w:t>(ii)</w:t>
            </w:r>
            <w:r>
              <w:tab/>
              <w:t xml:space="preserve">otherwise </w:t>
            </w:r>
          </w:p>
        </w:tc>
        <w:tc>
          <w:tcPr>
            <w:tcW w:w="992" w:type="dxa"/>
            <w:noWrap/>
          </w:tcPr>
          <w:p>
            <w:pPr>
              <w:pStyle w:val="yTableNAm"/>
              <w:widowControl w:val="0"/>
              <w:tabs>
                <w:tab w:val="clear" w:pos="567"/>
              </w:tabs>
              <w:jc w:val="right"/>
            </w:pPr>
            <w:del w:id="219" w:author="Master Repository Process" w:date="2025-05-29T14:29:00Z">
              <w:r>
                <w:rPr>
                  <w:szCs w:val="22"/>
                </w:rPr>
                <w:delText>80.50</w:delText>
              </w:r>
            </w:del>
            <w:ins w:id="220" w:author="Master Repository Process" w:date="2025-05-29T14:29:00Z">
              <w:r>
                <w:rPr>
                  <w:szCs w:val="22"/>
                </w:rPr>
                <w:t>83</w:t>
              </w:r>
              <w:r>
                <w:t>.00</w:t>
              </w:r>
            </w:ins>
          </w:p>
        </w:tc>
      </w:tr>
      <w:tr>
        <w:tc>
          <w:tcPr>
            <w:tcW w:w="851" w:type="dxa"/>
            <w:noWrap/>
          </w:tcPr>
          <w:p>
            <w:pPr>
              <w:pStyle w:val="yTableNAm"/>
              <w:widowControl w:val="0"/>
            </w:pPr>
          </w:p>
        </w:tc>
        <w:tc>
          <w:tcPr>
            <w:tcW w:w="5245" w:type="dxa"/>
            <w:noWrap/>
          </w:tcPr>
          <w:p>
            <w:pPr>
              <w:pStyle w:val="yTableNAm"/>
              <w:widowControl w:val="0"/>
              <w:tabs>
                <w:tab w:val="clear" w:pos="567"/>
                <w:tab w:val="right" w:leader="dot" w:pos="6237"/>
              </w:tabs>
              <w:ind w:left="426" w:hanging="426"/>
            </w:pPr>
            <w:r>
              <w:t>(e)</w:t>
            </w:r>
            <w:r>
              <w:tab/>
              <w:t xml:space="preserve">a standard lottery of a kind generally known or described as a Calcutta </w:t>
            </w:r>
          </w:p>
        </w:tc>
        <w:tc>
          <w:tcPr>
            <w:tcW w:w="992" w:type="dxa"/>
            <w:noWrap/>
            <w:vAlign w:val="bottom"/>
          </w:tcPr>
          <w:p>
            <w:pPr>
              <w:pStyle w:val="yTableNAm"/>
              <w:widowControl w:val="0"/>
              <w:tabs>
                <w:tab w:val="clear" w:pos="567"/>
              </w:tabs>
              <w:jc w:val="right"/>
              <w:rPr>
                <w:i/>
              </w:rPr>
            </w:pPr>
            <w:del w:id="221" w:author="Master Repository Process" w:date="2025-05-29T14:29:00Z">
              <w:r>
                <w:rPr>
                  <w:szCs w:val="22"/>
                </w:rPr>
                <w:delText>80.50</w:delText>
              </w:r>
            </w:del>
            <w:ins w:id="222" w:author="Master Repository Process" w:date="2025-05-29T14:29:00Z">
              <w:r>
                <w:rPr>
                  <w:szCs w:val="22"/>
                </w:rPr>
                <w:t>83</w:t>
              </w:r>
              <w:r>
                <w:t>.00</w:t>
              </w:r>
            </w:ins>
          </w:p>
        </w:tc>
      </w:tr>
      <w:tr>
        <w:tc>
          <w:tcPr>
            <w:tcW w:w="851" w:type="dxa"/>
            <w:noWrap/>
          </w:tcPr>
          <w:p>
            <w:pPr>
              <w:pStyle w:val="yTableNAm"/>
              <w:widowControl w:val="0"/>
            </w:pPr>
          </w:p>
        </w:tc>
        <w:tc>
          <w:tcPr>
            <w:tcW w:w="5245" w:type="dxa"/>
            <w:noWrap/>
          </w:tcPr>
          <w:p>
            <w:pPr>
              <w:pStyle w:val="yTableNAm"/>
              <w:widowControl w:val="0"/>
              <w:tabs>
                <w:tab w:val="clear" w:pos="567"/>
                <w:tab w:val="right" w:leader="dot" w:pos="6237"/>
              </w:tabs>
              <w:ind w:left="426" w:hanging="426"/>
            </w:pPr>
            <w:r>
              <w:t>(f)</w:t>
            </w:r>
            <w:r>
              <w:tab/>
              <w:t xml:space="preserve">a continuing lottery </w:t>
            </w:r>
          </w:p>
        </w:tc>
        <w:tc>
          <w:tcPr>
            <w:tcW w:w="992" w:type="dxa"/>
            <w:noWrap/>
          </w:tcPr>
          <w:p>
            <w:pPr>
              <w:pStyle w:val="yTableNAm"/>
              <w:widowControl w:val="0"/>
              <w:tabs>
                <w:tab w:val="clear" w:pos="567"/>
              </w:tabs>
              <w:jc w:val="right"/>
            </w:pPr>
            <w:del w:id="223" w:author="Master Repository Process" w:date="2025-05-29T14:29:00Z">
              <w:r>
                <w:delText>17.50</w:delText>
              </w:r>
            </w:del>
            <w:ins w:id="224" w:author="Master Repository Process" w:date="2025-05-29T14:29:00Z">
              <w:r>
                <w:t>18.00</w:t>
              </w:r>
            </w:ins>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pPr>
            <w:r>
              <w:t>(g)</w:t>
            </w:r>
            <w:r>
              <w:tab/>
              <w:t xml:space="preserve">gaming (per day authorised) — </w:t>
            </w:r>
          </w:p>
        </w:tc>
        <w:tc>
          <w:tcPr>
            <w:tcW w:w="992" w:type="dxa"/>
            <w:noWrap/>
          </w:tcPr>
          <w:p>
            <w:pPr>
              <w:pStyle w:val="yTableNAm"/>
              <w:widowControl w:val="0"/>
              <w:tabs>
                <w:tab w:val="clear" w:pos="567"/>
              </w:tabs>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17"/>
                <w:tab w:val="left" w:pos="851"/>
                <w:tab w:val="right" w:leader="dot" w:pos="6237"/>
              </w:tabs>
            </w:pPr>
            <w:r>
              <w:tab/>
              <w:t>(i)</w:t>
            </w:r>
            <w:r>
              <w:tab/>
              <w:t>1</w:t>
            </w:r>
            <w:r>
              <w:noBreakHyphen/>
              <w:t xml:space="preserve">5 tables </w:t>
            </w:r>
          </w:p>
        </w:tc>
        <w:tc>
          <w:tcPr>
            <w:tcW w:w="992" w:type="dxa"/>
            <w:noWrap/>
          </w:tcPr>
          <w:p>
            <w:pPr>
              <w:pStyle w:val="yTableNAm"/>
              <w:widowControl w:val="0"/>
              <w:tabs>
                <w:tab w:val="clear" w:pos="567"/>
              </w:tabs>
              <w:jc w:val="right"/>
            </w:pPr>
            <w:del w:id="225" w:author="Master Repository Process" w:date="2025-05-29T14:29:00Z">
              <w:r>
                <w:rPr>
                  <w:szCs w:val="22"/>
                </w:rPr>
                <w:delText>245.50</w:delText>
              </w:r>
            </w:del>
            <w:ins w:id="226" w:author="Master Repository Process" w:date="2025-05-29T14:29:00Z">
              <w:r>
                <w:rPr>
                  <w:szCs w:val="22"/>
                </w:rPr>
                <w:t>253</w:t>
              </w:r>
              <w:r>
                <w:t>.00</w:t>
              </w:r>
            </w:ins>
          </w:p>
        </w:tc>
      </w:tr>
      <w:tr>
        <w:tc>
          <w:tcPr>
            <w:tcW w:w="851" w:type="dxa"/>
            <w:noWrap/>
          </w:tcPr>
          <w:p>
            <w:pPr>
              <w:pStyle w:val="yTableNAm"/>
              <w:widowControl w:val="0"/>
            </w:pPr>
          </w:p>
        </w:tc>
        <w:tc>
          <w:tcPr>
            <w:tcW w:w="5245" w:type="dxa"/>
            <w:noWrap/>
          </w:tcPr>
          <w:p>
            <w:pPr>
              <w:pStyle w:val="yTableNAm"/>
              <w:widowControl w:val="0"/>
              <w:tabs>
                <w:tab w:val="clear" w:pos="567"/>
                <w:tab w:val="left" w:pos="417"/>
                <w:tab w:val="left" w:pos="861"/>
                <w:tab w:val="right" w:leader="dot" w:pos="6237"/>
              </w:tabs>
            </w:pPr>
            <w:r>
              <w:tab/>
              <w:t>(ii)</w:t>
            </w:r>
            <w:r>
              <w:tab/>
              <w:t xml:space="preserve">over 5 tables </w:t>
            </w:r>
          </w:p>
        </w:tc>
        <w:tc>
          <w:tcPr>
            <w:tcW w:w="992" w:type="dxa"/>
            <w:noWrap/>
          </w:tcPr>
          <w:p>
            <w:pPr>
              <w:pStyle w:val="yTableNAm"/>
              <w:widowControl w:val="0"/>
              <w:tabs>
                <w:tab w:val="clear" w:pos="567"/>
              </w:tabs>
              <w:jc w:val="right"/>
            </w:pPr>
            <w:del w:id="227" w:author="Master Repository Process" w:date="2025-05-29T14:29:00Z">
              <w:r>
                <w:rPr>
                  <w:szCs w:val="22"/>
                </w:rPr>
                <w:delText>393.00</w:delText>
              </w:r>
            </w:del>
            <w:ins w:id="228" w:author="Master Repository Process" w:date="2025-05-29T14:29:00Z">
              <w:r>
                <w:rPr>
                  <w:szCs w:val="22"/>
                </w:rPr>
                <w:t>405.50</w:t>
              </w:r>
            </w:ins>
          </w:p>
        </w:tc>
      </w:tr>
      <w:tr>
        <w:tc>
          <w:tcPr>
            <w:tcW w:w="851" w:type="dxa"/>
            <w:noWrap/>
          </w:tcPr>
          <w:p>
            <w:pPr>
              <w:pStyle w:val="yTableNAm"/>
              <w:widowControl w:val="0"/>
            </w:pPr>
          </w:p>
        </w:tc>
        <w:tc>
          <w:tcPr>
            <w:tcW w:w="5245" w:type="dxa"/>
            <w:noWrap/>
          </w:tcPr>
          <w:p>
            <w:pPr>
              <w:pStyle w:val="yTableNAm"/>
              <w:widowControl w:val="0"/>
              <w:tabs>
                <w:tab w:val="clear" w:pos="567"/>
                <w:tab w:val="left" w:pos="426"/>
              </w:tabs>
            </w:pPr>
            <w:r>
              <w:t>(h)</w:t>
            </w:r>
            <w:r>
              <w:tab/>
              <w:t>two</w:t>
            </w:r>
            <w:r>
              <w:noBreakHyphen/>
              <w:t>up </w:t>
            </w:r>
            <w:r>
              <w:rPr>
                <w:snapToGrid w:val="0"/>
              </w:rPr>
              <w:t xml:space="preserve">— </w:t>
            </w:r>
          </w:p>
        </w:tc>
        <w:tc>
          <w:tcPr>
            <w:tcW w:w="992" w:type="dxa"/>
            <w:noWrap/>
          </w:tcPr>
          <w:p>
            <w:pPr>
              <w:pStyle w:val="yTableNAm"/>
              <w:widowControl w:val="0"/>
              <w:tabs>
                <w:tab w:val="clear" w:pos="567"/>
              </w:tabs>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26"/>
                <w:tab w:val="left" w:pos="854"/>
                <w:tab w:val="right" w:leader="dot" w:pos="6237"/>
              </w:tabs>
            </w:pPr>
            <w:r>
              <w:tab/>
              <w:t>(i)</w:t>
            </w:r>
            <w:r>
              <w:tab/>
              <w:t xml:space="preserve">by a country race club </w:t>
            </w:r>
          </w:p>
        </w:tc>
        <w:tc>
          <w:tcPr>
            <w:tcW w:w="992" w:type="dxa"/>
            <w:noWrap/>
          </w:tcPr>
          <w:p>
            <w:pPr>
              <w:pStyle w:val="yTableNAm"/>
              <w:widowControl w:val="0"/>
              <w:tabs>
                <w:tab w:val="clear" w:pos="567"/>
              </w:tabs>
              <w:jc w:val="right"/>
            </w:pPr>
            <w:del w:id="229" w:author="Master Repository Process" w:date="2025-05-29T14:29:00Z">
              <w:r>
                <w:rPr>
                  <w:szCs w:val="22"/>
                </w:rPr>
                <w:delText>165</w:delText>
              </w:r>
            </w:del>
            <w:ins w:id="230" w:author="Master Repository Process" w:date="2025-05-29T14:29:00Z">
              <w:r>
                <w:rPr>
                  <w:szCs w:val="22"/>
                </w:rPr>
                <w:t>170</w:t>
              </w:r>
            </w:ins>
            <w:r>
              <w:t>.00</w:t>
            </w:r>
          </w:p>
        </w:tc>
      </w:tr>
      <w:tr>
        <w:tc>
          <w:tcPr>
            <w:tcW w:w="851" w:type="dxa"/>
            <w:noWrap/>
          </w:tcPr>
          <w:p>
            <w:pPr>
              <w:pStyle w:val="yTableNAm"/>
              <w:widowControl w:val="0"/>
            </w:pPr>
          </w:p>
        </w:tc>
        <w:tc>
          <w:tcPr>
            <w:tcW w:w="5245" w:type="dxa"/>
            <w:noWrap/>
          </w:tcPr>
          <w:p>
            <w:pPr>
              <w:pStyle w:val="yTableNAm"/>
              <w:widowControl w:val="0"/>
              <w:tabs>
                <w:tab w:val="clear" w:pos="567"/>
                <w:tab w:val="left" w:pos="426"/>
                <w:tab w:val="left" w:pos="854"/>
                <w:tab w:val="right" w:leader="dot" w:pos="6237"/>
              </w:tabs>
            </w:pPr>
            <w:r>
              <w:tab/>
              <w:t>(ii)</w:t>
            </w:r>
            <w:r>
              <w:tab/>
              <w:t xml:space="preserve">otherwise </w:t>
            </w:r>
          </w:p>
        </w:tc>
        <w:tc>
          <w:tcPr>
            <w:tcW w:w="992" w:type="dxa"/>
            <w:noWrap/>
          </w:tcPr>
          <w:p>
            <w:pPr>
              <w:pStyle w:val="yTableNAm"/>
              <w:widowControl w:val="0"/>
              <w:tabs>
                <w:tab w:val="clear" w:pos="567"/>
              </w:tabs>
              <w:jc w:val="right"/>
            </w:pPr>
            <w:del w:id="231" w:author="Master Repository Process" w:date="2025-05-29T14:29:00Z">
              <w:r>
                <w:rPr>
                  <w:szCs w:val="22"/>
                </w:rPr>
                <w:delText>245.50</w:delText>
              </w:r>
            </w:del>
            <w:ins w:id="232" w:author="Master Repository Process" w:date="2025-05-29T14:29:00Z">
              <w:r>
                <w:rPr>
                  <w:szCs w:val="22"/>
                </w:rPr>
                <w:t>253</w:t>
              </w:r>
              <w:r>
                <w:t>.00</w:t>
              </w:r>
            </w:ins>
          </w:p>
        </w:tc>
      </w:tr>
      <w:tr>
        <w:tc>
          <w:tcPr>
            <w:tcW w:w="851" w:type="dxa"/>
            <w:noWrap/>
          </w:tcPr>
          <w:p>
            <w:pPr>
              <w:pStyle w:val="yTableNAm"/>
              <w:widowControl w:val="0"/>
            </w:pPr>
            <w:r>
              <w:t>6.</w:t>
            </w:r>
          </w:p>
        </w:tc>
        <w:tc>
          <w:tcPr>
            <w:tcW w:w="5245" w:type="dxa"/>
            <w:noWrap/>
          </w:tcPr>
          <w:p>
            <w:pPr>
              <w:pStyle w:val="yTableNAm"/>
              <w:widowControl w:val="0"/>
            </w:pPr>
            <w:r>
              <w:t xml:space="preserve">Application for a permit of a continuing nature for — </w:t>
            </w:r>
          </w:p>
        </w:tc>
        <w:tc>
          <w:tcPr>
            <w:tcW w:w="992" w:type="dxa"/>
            <w:noWrap/>
          </w:tcPr>
          <w:p>
            <w:pPr>
              <w:pStyle w:val="yTableNAm"/>
              <w:widowControl w:val="0"/>
              <w:tabs>
                <w:tab w:val="clear" w:pos="567"/>
              </w:tabs>
              <w:jc w:val="right"/>
            </w:pPr>
          </w:p>
        </w:tc>
      </w:tr>
      <w:tr>
        <w:tc>
          <w:tcPr>
            <w:tcW w:w="851" w:type="dxa"/>
            <w:noWrap/>
          </w:tcPr>
          <w:p>
            <w:pPr>
              <w:pStyle w:val="yTableNAm"/>
              <w:widowControl w:val="0"/>
            </w:pPr>
          </w:p>
        </w:tc>
        <w:tc>
          <w:tcPr>
            <w:tcW w:w="5245" w:type="dxa"/>
            <w:noWrap/>
          </w:tcPr>
          <w:p>
            <w:pPr>
              <w:pStyle w:val="yTableNAm"/>
              <w:widowControl w:val="0"/>
              <w:tabs>
                <w:tab w:val="clear" w:pos="567"/>
                <w:tab w:val="right" w:leader="dot" w:pos="6237"/>
              </w:tabs>
              <w:ind w:left="425" w:hanging="425"/>
            </w:pPr>
            <w:r>
              <w:t>(a)</w:t>
            </w:r>
            <w:r>
              <w:tab/>
              <w:t xml:space="preserve">bingo </w:t>
            </w:r>
          </w:p>
        </w:tc>
        <w:tc>
          <w:tcPr>
            <w:tcW w:w="992" w:type="dxa"/>
            <w:noWrap/>
          </w:tcPr>
          <w:p>
            <w:pPr>
              <w:pStyle w:val="yTableNAm"/>
              <w:widowControl w:val="0"/>
              <w:tabs>
                <w:tab w:val="clear" w:pos="567"/>
              </w:tabs>
              <w:jc w:val="right"/>
            </w:pPr>
            <w:del w:id="233" w:author="Master Repository Process" w:date="2025-05-29T14:29:00Z">
              <w:r>
                <w:delText>37</w:delText>
              </w:r>
            </w:del>
            <w:ins w:id="234" w:author="Master Repository Process" w:date="2025-05-29T14:29:00Z">
              <w:r>
                <w:t>38</w:t>
              </w:r>
            </w:ins>
            <w:r>
              <w:t>.00</w:t>
            </w:r>
          </w:p>
        </w:tc>
      </w:tr>
      <w:tr>
        <w:tc>
          <w:tcPr>
            <w:tcW w:w="851" w:type="dxa"/>
            <w:noWrap/>
          </w:tcPr>
          <w:p>
            <w:pPr>
              <w:pStyle w:val="yTableNAm"/>
              <w:widowControl w:val="0"/>
            </w:pPr>
          </w:p>
        </w:tc>
        <w:tc>
          <w:tcPr>
            <w:tcW w:w="5245" w:type="dxa"/>
            <w:noWrap/>
          </w:tcPr>
          <w:p>
            <w:pPr>
              <w:pStyle w:val="yTableNAm"/>
              <w:widowControl w:val="0"/>
              <w:tabs>
                <w:tab w:val="clear" w:pos="567"/>
                <w:tab w:val="right" w:leader="dot" w:pos="6237"/>
              </w:tabs>
              <w:ind w:left="425" w:hanging="425"/>
            </w:pPr>
            <w:r>
              <w:t>(b)</w:t>
            </w:r>
            <w:r>
              <w:tab/>
              <w:t xml:space="preserve">multiple bingo, for each premises </w:t>
            </w:r>
          </w:p>
        </w:tc>
        <w:tc>
          <w:tcPr>
            <w:tcW w:w="992" w:type="dxa"/>
            <w:noWrap/>
          </w:tcPr>
          <w:p>
            <w:pPr>
              <w:pStyle w:val="yTableNAm"/>
              <w:widowControl w:val="0"/>
              <w:tabs>
                <w:tab w:val="clear" w:pos="567"/>
              </w:tabs>
              <w:jc w:val="right"/>
            </w:pPr>
            <w:del w:id="235" w:author="Master Repository Process" w:date="2025-05-29T14:29:00Z">
              <w:r>
                <w:delText>37</w:delText>
              </w:r>
            </w:del>
            <w:ins w:id="236" w:author="Master Repository Process" w:date="2025-05-29T14:29:00Z">
              <w:r>
                <w:t>38</w:t>
              </w:r>
            </w:ins>
            <w:r>
              <w:t>.00</w:t>
            </w:r>
          </w:p>
        </w:tc>
      </w:tr>
      <w:tr>
        <w:tc>
          <w:tcPr>
            <w:tcW w:w="851" w:type="dxa"/>
            <w:noWrap/>
          </w:tcPr>
          <w:p>
            <w:pPr>
              <w:pStyle w:val="yTableNAm"/>
            </w:pPr>
          </w:p>
        </w:tc>
        <w:tc>
          <w:tcPr>
            <w:tcW w:w="5245" w:type="dxa"/>
            <w:noWrap/>
          </w:tcPr>
          <w:p>
            <w:pPr>
              <w:pStyle w:val="yTableNAm"/>
              <w:tabs>
                <w:tab w:val="clear" w:pos="567"/>
                <w:tab w:val="right" w:leader="dot" w:pos="6237"/>
              </w:tabs>
              <w:ind w:left="425" w:hanging="425"/>
            </w:pPr>
            <w:r>
              <w:t>(c)</w:t>
            </w:r>
            <w:r>
              <w:tab/>
              <w:t xml:space="preserve">simultaneous bingo, for each premises </w:t>
            </w:r>
          </w:p>
        </w:tc>
        <w:tc>
          <w:tcPr>
            <w:tcW w:w="992" w:type="dxa"/>
            <w:noWrap/>
          </w:tcPr>
          <w:p>
            <w:pPr>
              <w:pStyle w:val="yTableNAm"/>
              <w:tabs>
                <w:tab w:val="clear" w:pos="567"/>
              </w:tabs>
              <w:jc w:val="right"/>
            </w:pPr>
            <w:del w:id="237" w:author="Master Repository Process" w:date="2025-05-29T14:29:00Z">
              <w:r>
                <w:delText>37</w:delText>
              </w:r>
            </w:del>
            <w:ins w:id="238" w:author="Master Repository Process" w:date="2025-05-29T14:29:00Z">
              <w:r>
                <w:t>38</w:t>
              </w:r>
            </w:ins>
            <w:r>
              <w:t>.00</w:t>
            </w:r>
          </w:p>
        </w:tc>
      </w:tr>
      <w:tr>
        <w:tc>
          <w:tcPr>
            <w:tcW w:w="851" w:type="dxa"/>
            <w:noWrap/>
          </w:tcPr>
          <w:p>
            <w:pPr>
              <w:pStyle w:val="yTableNAm"/>
            </w:pPr>
          </w:p>
        </w:tc>
        <w:tc>
          <w:tcPr>
            <w:tcW w:w="5245" w:type="dxa"/>
            <w:noWrap/>
          </w:tcPr>
          <w:p>
            <w:pPr>
              <w:pStyle w:val="yTableNAm"/>
              <w:tabs>
                <w:tab w:val="clear" w:pos="567"/>
                <w:tab w:val="right" w:leader="dot" w:pos="6237"/>
              </w:tabs>
              <w:ind w:left="425" w:hanging="425"/>
            </w:pPr>
            <w:r>
              <w:t>(d)</w:t>
            </w:r>
            <w:r>
              <w:tab/>
              <w:t xml:space="preserve">a standard lottery, where the total retail value of prizes or prize money is — </w:t>
            </w:r>
          </w:p>
        </w:tc>
        <w:tc>
          <w:tcPr>
            <w:tcW w:w="992" w:type="dxa"/>
            <w:noWrap/>
          </w:tcPr>
          <w:p>
            <w:pPr>
              <w:pStyle w:val="yTableNAm"/>
              <w:tabs>
                <w:tab w:val="clear" w:pos="567"/>
              </w:tabs>
              <w:jc w:val="right"/>
            </w:pPr>
          </w:p>
        </w:tc>
      </w:tr>
      <w:tr>
        <w:tc>
          <w:tcPr>
            <w:tcW w:w="851" w:type="dxa"/>
            <w:noWrap/>
          </w:tcPr>
          <w:p>
            <w:pPr>
              <w:pStyle w:val="yTableNAm"/>
            </w:pPr>
          </w:p>
        </w:tc>
        <w:tc>
          <w:tcPr>
            <w:tcW w:w="5245" w:type="dxa"/>
            <w:noWrap/>
          </w:tcPr>
          <w:p>
            <w:pPr>
              <w:pStyle w:val="yTableNAm"/>
              <w:tabs>
                <w:tab w:val="clear" w:pos="567"/>
                <w:tab w:val="left" w:pos="426"/>
                <w:tab w:val="left" w:pos="854"/>
                <w:tab w:val="right" w:leader="dot" w:pos="6237"/>
              </w:tabs>
            </w:pPr>
            <w:r>
              <w:tab/>
              <w:t>(i)</w:t>
            </w:r>
            <w:r>
              <w:tab/>
              <w:t xml:space="preserve">not more than $5 000 </w:t>
            </w:r>
          </w:p>
        </w:tc>
        <w:tc>
          <w:tcPr>
            <w:tcW w:w="992" w:type="dxa"/>
            <w:noWrap/>
          </w:tcPr>
          <w:p>
            <w:pPr>
              <w:pStyle w:val="yTableNAm"/>
              <w:tabs>
                <w:tab w:val="clear" w:pos="567"/>
              </w:tabs>
              <w:jc w:val="right"/>
            </w:pPr>
            <w:del w:id="239" w:author="Master Repository Process" w:date="2025-05-29T14:29:00Z">
              <w:r>
                <w:rPr>
                  <w:szCs w:val="22"/>
                </w:rPr>
                <w:delText>51.50</w:delText>
              </w:r>
            </w:del>
            <w:ins w:id="240" w:author="Master Repository Process" w:date="2025-05-29T14:29:00Z">
              <w:r>
                <w:rPr>
                  <w:szCs w:val="22"/>
                </w:rPr>
                <w:t>53</w:t>
              </w:r>
              <w:r>
                <w:t>.00</w:t>
              </w:r>
            </w:ins>
          </w:p>
        </w:tc>
      </w:tr>
      <w:tr>
        <w:tc>
          <w:tcPr>
            <w:tcW w:w="851" w:type="dxa"/>
            <w:noWrap/>
          </w:tcPr>
          <w:p>
            <w:pPr>
              <w:pStyle w:val="yTableNAm"/>
            </w:pPr>
          </w:p>
        </w:tc>
        <w:tc>
          <w:tcPr>
            <w:tcW w:w="5245" w:type="dxa"/>
            <w:noWrap/>
          </w:tcPr>
          <w:p>
            <w:pPr>
              <w:pStyle w:val="yTableNAm"/>
              <w:tabs>
                <w:tab w:val="clear" w:pos="567"/>
                <w:tab w:val="left" w:pos="426"/>
                <w:tab w:val="left" w:pos="854"/>
                <w:tab w:val="right" w:leader="dot" w:pos="6237"/>
              </w:tabs>
            </w:pPr>
            <w:r>
              <w:tab/>
              <w:t>(ii)</w:t>
            </w:r>
            <w:r>
              <w:tab/>
              <w:t>more than $5 000 but not more than $50 000</w:t>
            </w:r>
            <w:del w:id="241" w:author="Master Repository Process" w:date="2025-05-29T14:29:00Z">
              <w:r>
                <w:delText xml:space="preserve"> </w:delText>
              </w:r>
            </w:del>
          </w:p>
        </w:tc>
        <w:tc>
          <w:tcPr>
            <w:tcW w:w="992" w:type="dxa"/>
            <w:noWrap/>
          </w:tcPr>
          <w:p>
            <w:pPr>
              <w:pStyle w:val="yTableNAm"/>
              <w:tabs>
                <w:tab w:val="clear" w:pos="567"/>
              </w:tabs>
              <w:jc w:val="right"/>
              <w:rPr>
                <w:i/>
              </w:rPr>
            </w:pPr>
            <w:del w:id="242" w:author="Master Repository Process" w:date="2025-05-29T14:29:00Z">
              <w:r>
                <w:rPr>
                  <w:szCs w:val="22"/>
                </w:rPr>
                <w:delText>124</w:delText>
              </w:r>
            </w:del>
            <w:ins w:id="243" w:author="Master Repository Process" w:date="2025-05-29T14:29:00Z">
              <w:r>
                <w:rPr>
                  <w:szCs w:val="22"/>
                </w:rPr>
                <w:t>128</w:t>
              </w:r>
            </w:ins>
            <w:r>
              <w:t>.00</w:t>
            </w:r>
          </w:p>
        </w:tc>
      </w:tr>
      <w:tr>
        <w:tc>
          <w:tcPr>
            <w:tcW w:w="851" w:type="dxa"/>
            <w:noWrap/>
          </w:tcPr>
          <w:p>
            <w:pPr>
              <w:pStyle w:val="yTableNAm"/>
            </w:pPr>
          </w:p>
        </w:tc>
        <w:tc>
          <w:tcPr>
            <w:tcW w:w="5245" w:type="dxa"/>
            <w:noWrap/>
          </w:tcPr>
          <w:p>
            <w:pPr>
              <w:pStyle w:val="yTableNAm"/>
              <w:tabs>
                <w:tab w:val="clear" w:pos="567"/>
                <w:tab w:val="left" w:pos="426"/>
                <w:tab w:val="left" w:pos="854"/>
                <w:tab w:val="right" w:leader="dot" w:pos="6237"/>
              </w:tabs>
              <w:ind w:left="851" w:hanging="851"/>
            </w:pPr>
            <w:r>
              <w:tab/>
              <w:t>(iii)</w:t>
            </w:r>
            <w:r>
              <w:tab/>
              <w:t xml:space="preserve">more than $50 000 but not more than $100 000 </w:t>
            </w:r>
          </w:p>
        </w:tc>
        <w:tc>
          <w:tcPr>
            <w:tcW w:w="992" w:type="dxa"/>
            <w:noWrap/>
            <w:vAlign w:val="bottom"/>
          </w:tcPr>
          <w:p>
            <w:pPr>
              <w:pStyle w:val="yTableNAm"/>
              <w:tabs>
                <w:tab w:val="clear" w:pos="567"/>
              </w:tabs>
              <w:jc w:val="right"/>
              <w:rPr>
                <w:i/>
              </w:rPr>
            </w:pPr>
            <w:del w:id="244" w:author="Master Repository Process" w:date="2025-05-29T14:29:00Z">
              <w:r>
                <w:rPr>
                  <w:szCs w:val="22"/>
                </w:rPr>
                <w:delText>240.50</w:delText>
              </w:r>
            </w:del>
            <w:ins w:id="245" w:author="Master Repository Process" w:date="2025-05-29T14:29:00Z">
              <w:r>
                <w:rPr>
                  <w:szCs w:val="22"/>
                </w:rPr>
                <w:t>248</w:t>
              </w:r>
              <w:r>
                <w:t>.00</w:t>
              </w:r>
            </w:ins>
          </w:p>
        </w:tc>
      </w:tr>
      <w:tr>
        <w:tc>
          <w:tcPr>
            <w:tcW w:w="851" w:type="dxa"/>
            <w:noWrap/>
          </w:tcPr>
          <w:p>
            <w:pPr>
              <w:pStyle w:val="yTableNAm"/>
            </w:pPr>
          </w:p>
        </w:tc>
        <w:tc>
          <w:tcPr>
            <w:tcW w:w="5245" w:type="dxa"/>
            <w:noWrap/>
          </w:tcPr>
          <w:p>
            <w:pPr>
              <w:pStyle w:val="yTableNAm"/>
              <w:tabs>
                <w:tab w:val="clear" w:pos="567"/>
                <w:tab w:val="left" w:pos="426"/>
                <w:tab w:val="right" w:leader="dot" w:pos="6237"/>
              </w:tabs>
              <w:ind w:left="851" w:hanging="851"/>
            </w:pPr>
            <w:r>
              <w:tab/>
              <w:t>(iv)</w:t>
            </w:r>
            <w:r>
              <w:tab/>
              <w:t xml:space="preserve">more than $100 000 but not more than $200 000 </w:t>
            </w:r>
          </w:p>
        </w:tc>
        <w:tc>
          <w:tcPr>
            <w:tcW w:w="992" w:type="dxa"/>
            <w:noWrap/>
            <w:vAlign w:val="bottom"/>
          </w:tcPr>
          <w:p>
            <w:pPr>
              <w:pStyle w:val="yTableNAm"/>
              <w:tabs>
                <w:tab w:val="clear" w:pos="567"/>
              </w:tabs>
              <w:jc w:val="right"/>
              <w:rPr>
                <w:i/>
              </w:rPr>
            </w:pPr>
            <w:del w:id="246" w:author="Master Repository Process" w:date="2025-05-29T14:29:00Z">
              <w:r>
                <w:rPr>
                  <w:szCs w:val="22"/>
                </w:rPr>
                <w:delText>460.00</w:delText>
              </w:r>
            </w:del>
            <w:ins w:id="247" w:author="Master Repository Process" w:date="2025-05-29T14:29:00Z">
              <w:r>
                <w:rPr>
                  <w:szCs w:val="22"/>
                </w:rPr>
                <w:t>474.50</w:t>
              </w:r>
            </w:ins>
          </w:p>
        </w:tc>
      </w:tr>
      <w:tr>
        <w:tc>
          <w:tcPr>
            <w:tcW w:w="851" w:type="dxa"/>
            <w:noWrap/>
          </w:tcPr>
          <w:p>
            <w:pPr>
              <w:pStyle w:val="yTableNAm"/>
            </w:pPr>
          </w:p>
        </w:tc>
        <w:tc>
          <w:tcPr>
            <w:tcW w:w="5245" w:type="dxa"/>
            <w:noWrap/>
          </w:tcPr>
          <w:p>
            <w:pPr>
              <w:pStyle w:val="yTableNAm"/>
              <w:tabs>
                <w:tab w:val="clear" w:pos="567"/>
                <w:tab w:val="left" w:pos="426"/>
                <w:tab w:val="left" w:pos="854"/>
                <w:tab w:val="right" w:leader="dot" w:pos="6237"/>
              </w:tabs>
            </w:pPr>
            <w:r>
              <w:tab/>
              <w:t>(v)</w:t>
            </w:r>
            <w:r>
              <w:tab/>
              <w:t xml:space="preserve">more than $200 000 </w:t>
            </w:r>
          </w:p>
        </w:tc>
        <w:tc>
          <w:tcPr>
            <w:tcW w:w="992" w:type="dxa"/>
            <w:noWrap/>
          </w:tcPr>
          <w:p>
            <w:pPr>
              <w:pStyle w:val="yTableNAm"/>
              <w:tabs>
                <w:tab w:val="clear" w:pos="567"/>
              </w:tabs>
              <w:jc w:val="right"/>
            </w:pPr>
            <w:del w:id="248" w:author="Master Repository Process" w:date="2025-05-29T14:29:00Z">
              <w:r>
                <w:rPr>
                  <w:szCs w:val="22"/>
                </w:rPr>
                <w:delText>678</w:delText>
              </w:r>
            </w:del>
            <w:ins w:id="249" w:author="Master Repository Process" w:date="2025-05-29T14:29:00Z">
              <w:r>
                <w:rPr>
                  <w:szCs w:val="22"/>
                </w:rPr>
                <w:t>700</w:t>
              </w:r>
            </w:ins>
            <w:r>
              <w:t>.00</w:t>
            </w:r>
          </w:p>
        </w:tc>
      </w:tr>
      <w:tr>
        <w:tc>
          <w:tcPr>
            <w:tcW w:w="851" w:type="dxa"/>
            <w:noWrap/>
          </w:tcPr>
          <w:p>
            <w:pPr>
              <w:pStyle w:val="yTableNAm"/>
            </w:pPr>
          </w:p>
        </w:tc>
        <w:tc>
          <w:tcPr>
            <w:tcW w:w="5245" w:type="dxa"/>
            <w:noWrap/>
          </w:tcPr>
          <w:p>
            <w:pPr>
              <w:pStyle w:val="yTableNAm"/>
              <w:tabs>
                <w:tab w:val="clear" w:pos="567"/>
                <w:tab w:val="right" w:leader="dot" w:pos="6237"/>
              </w:tabs>
              <w:ind w:left="425" w:hanging="425"/>
            </w:pPr>
            <w:r>
              <w:t>(e)</w:t>
            </w:r>
            <w:r>
              <w:tab/>
              <w:t xml:space="preserve">a standard lottery of a kind generally known or described as a Calcutta </w:t>
            </w:r>
          </w:p>
        </w:tc>
        <w:tc>
          <w:tcPr>
            <w:tcW w:w="992" w:type="dxa"/>
            <w:noWrap/>
            <w:vAlign w:val="bottom"/>
          </w:tcPr>
          <w:p>
            <w:pPr>
              <w:pStyle w:val="yTableNAm"/>
              <w:tabs>
                <w:tab w:val="clear" w:pos="567"/>
              </w:tabs>
              <w:jc w:val="right"/>
              <w:rPr>
                <w:i/>
              </w:rPr>
            </w:pPr>
            <w:del w:id="250" w:author="Master Repository Process" w:date="2025-05-29T14:29:00Z">
              <w:r>
                <w:rPr>
                  <w:szCs w:val="22"/>
                </w:rPr>
                <w:delText>165</w:delText>
              </w:r>
            </w:del>
            <w:ins w:id="251" w:author="Master Repository Process" w:date="2025-05-29T14:29:00Z">
              <w:r>
                <w:rPr>
                  <w:szCs w:val="22"/>
                </w:rPr>
                <w:t>170</w:t>
              </w:r>
            </w:ins>
            <w:r>
              <w:t>.00</w:t>
            </w:r>
          </w:p>
        </w:tc>
      </w:tr>
      <w:tr>
        <w:tc>
          <w:tcPr>
            <w:tcW w:w="851" w:type="dxa"/>
            <w:noWrap/>
          </w:tcPr>
          <w:p>
            <w:pPr>
              <w:pStyle w:val="yTableNAm"/>
            </w:pPr>
          </w:p>
        </w:tc>
        <w:tc>
          <w:tcPr>
            <w:tcW w:w="5245" w:type="dxa"/>
            <w:noWrap/>
          </w:tcPr>
          <w:p>
            <w:pPr>
              <w:pStyle w:val="yTableNAm"/>
              <w:tabs>
                <w:tab w:val="clear" w:pos="567"/>
                <w:tab w:val="right" w:leader="dot" w:pos="6237"/>
              </w:tabs>
              <w:ind w:left="425" w:hanging="425"/>
            </w:pPr>
            <w:r>
              <w:t>(f)</w:t>
            </w:r>
            <w:r>
              <w:tab/>
              <w:t xml:space="preserve">a continuing lottery </w:t>
            </w:r>
          </w:p>
        </w:tc>
        <w:tc>
          <w:tcPr>
            <w:tcW w:w="992" w:type="dxa"/>
            <w:noWrap/>
          </w:tcPr>
          <w:p>
            <w:pPr>
              <w:pStyle w:val="yTableNAm"/>
              <w:tabs>
                <w:tab w:val="clear" w:pos="567"/>
              </w:tabs>
              <w:jc w:val="right"/>
            </w:pPr>
            <w:r>
              <w:t>29.</w:t>
            </w:r>
            <w:del w:id="252" w:author="Master Repository Process" w:date="2025-05-29T14:29:00Z">
              <w:r>
                <w:delText>00</w:delText>
              </w:r>
            </w:del>
            <w:ins w:id="253" w:author="Master Repository Process" w:date="2025-05-29T14:29:00Z">
              <w:r>
                <w:t>50</w:t>
              </w:r>
            </w:ins>
          </w:p>
        </w:tc>
      </w:tr>
      <w:tr>
        <w:tc>
          <w:tcPr>
            <w:tcW w:w="851" w:type="dxa"/>
            <w:noWrap/>
          </w:tcPr>
          <w:p>
            <w:pPr>
              <w:pStyle w:val="yTableNAm"/>
            </w:pPr>
          </w:p>
        </w:tc>
        <w:tc>
          <w:tcPr>
            <w:tcW w:w="5245" w:type="dxa"/>
            <w:noWrap/>
          </w:tcPr>
          <w:p>
            <w:pPr>
              <w:pStyle w:val="yTableNAm"/>
              <w:tabs>
                <w:tab w:val="clear" w:pos="567"/>
              </w:tabs>
              <w:ind w:left="426" w:hanging="426"/>
            </w:pPr>
            <w:r>
              <w:t>(g)</w:t>
            </w:r>
            <w:r>
              <w:tab/>
              <w:t xml:space="preserve">gaming (per day authorised) — </w:t>
            </w:r>
          </w:p>
        </w:tc>
        <w:tc>
          <w:tcPr>
            <w:tcW w:w="992" w:type="dxa"/>
            <w:noWrap/>
          </w:tcPr>
          <w:p>
            <w:pPr>
              <w:pStyle w:val="yTableNAm"/>
              <w:tabs>
                <w:tab w:val="clear" w:pos="567"/>
              </w:tabs>
              <w:jc w:val="right"/>
            </w:pPr>
          </w:p>
        </w:tc>
      </w:tr>
      <w:tr>
        <w:tc>
          <w:tcPr>
            <w:tcW w:w="851" w:type="dxa"/>
            <w:noWrap/>
          </w:tcPr>
          <w:p>
            <w:pPr>
              <w:pStyle w:val="yTableNAm"/>
            </w:pPr>
          </w:p>
        </w:tc>
        <w:tc>
          <w:tcPr>
            <w:tcW w:w="5245" w:type="dxa"/>
            <w:noWrap/>
          </w:tcPr>
          <w:p>
            <w:pPr>
              <w:pStyle w:val="yTableNAm"/>
              <w:tabs>
                <w:tab w:val="clear" w:pos="567"/>
                <w:tab w:val="left" w:pos="417"/>
                <w:tab w:val="left" w:pos="861"/>
                <w:tab w:val="right" w:leader="dot" w:pos="6237"/>
              </w:tabs>
            </w:pPr>
            <w:r>
              <w:tab/>
              <w:t>(i)</w:t>
            </w:r>
            <w:r>
              <w:tab/>
              <w:t>1</w:t>
            </w:r>
            <w:r>
              <w:noBreakHyphen/>
              <w:t xml:space="preserve">5 tables </w:t>
            </w:r>
          </w:p>
        </w:tc>
        <w:tc>
          <w:tcPr>
            <w:tcW w:w="992" w:type="dxa"/>
            <w:noWrap/>
          </w:tcPr>
          <w:p>
            <w:pPr>
              <w:pStyle w:val="yTableNAm"/>
              <w:tabs>
                <w:tab w:val="clear" w:pos="567"/>
              </w:tabs>
              <w:jc w:val="right"/>
            </w:pPr>
            <w:del w:id="254" w:author="Master Repository Process" w:date="2025-05-29T14:29:00Z">
              <w:r>
                <w:rPr>
                  <w:szCs w:val="22"/>
                </w:rPr>
                <w:delText>198</w:delText>
              </w:r>
            </w:del>
            <w:ins w:id="255" w:author="Master Repository Process" w:date="2025-05-29T14:29:00Z">
              <w:r>
                <w:rPr>
                  <w:szCs w:val="22"/>
                </w:rPr>
                <w:t>204</w:t>
              </w:r>
            </w:ins>
            <w:r>
              <w:t>.00</w:t>
            </w:r>
          </w:p>
        </w:tc>
      </w:tr>
      <w:tr>
        <w:tc>
          <w:tcPr>
            <w:tcW w:w="851" w:type="dxa"/>
            <w:noWrap/>
          </w:tcPr>
          <w:p>
            <w:pPr>
              <w:pStyle w:val="yTableNAm"/>
            </w:pPr>
          </w:p>
        </w:tc>
        <w:tc>
          <w:tcPr>
            <w:tcW w:w="5245" w:type="dxa"/>
            <w:noWrap/>
          </w:tcPr>
          <w:p>
            <w:pPr>
              <w:pStyle w:val="yTableNAm"/>
              <w:tabs>
                <w:tab w:val="clear" w:pos="567"/>
                <w:tab w:val="left" w:pos="425"/>
                <w:tab w:val="left" w:pos="846"/>
                <w:tab w:val="right" w:leader="dot" w:pos="6237"/>
              </w:tabs>
            </w:pPr>
            <w:r>
              <w:tab/>
              <w:t>(ii)</w:t>
            </w:r>
            <w:r>
              <w:tab/>
              <w:t>6</w:t>
            </w:r>
            <w:r>
              <w:noBreakHyphen/>
              <w:t xml:space="preserve">10 tables </w:t>
            </w:r>
          </w:p>
        </w:tc>
        <w:tc>
          <w:tcPr>
            <w:tcW w:w="992" w:type="dxa"/>
            <w:noWrap/>
          </w:tcPr>
          <w:p>
            <w:pPr>
              <w:pStyle w:val="yTableNAm"/>
              <w:tabs>
                <w:tab w:val="clear" w:pos="567"/>
              </w:tabs>
              <w:jc w:val="right"/>
            </w:pPr>
            <w:del w:id="256" w:author="Master Repository Process" w:date="2025-05-29T14:29:00Z">
              <w:r>
                <w:rPr>
                  <w:szCs w:val="22"/>
                </w:rPr>
                <w:delText>364.00</w:delText>
              </w:r>
            </w:del>
            <w:ins w:id="257" w:author="Master Repository Process" w:date="2025-05-29T14:29:00Z">
              <w:r>
                <w:rPr>
                  <w:szCs w:val="22"/>
                </w:rPr>
                <w:t>375.50</w:t>
              </w:r>
            </w:ins>
          </w:p>
        </w:tc>
      </w:tr>
      <w:tr>
        <w:tc>
          <w:tcPr>
            <w:tcW w:w="851" w:type="dxa"/>
            <w:noWrap/>
          </w:tcPr>
          <w:p>
            <w:pPr>
              <w:pStyle w:val="yTableNAm"/>
            </w:pPr>
          </w:p>
        </w:tc>
        <w:tc>
          <w:tcPr>
            <w:tcW w:w="5245" w:type="dxa"/>
            <w:noWrap/>
          </w:tcPr>
          <w:p>
            <w:pPr>
              <w:pStyle w:val="yTableNAm"/>
              <w:tabs>
                <w:tab w:val="clear" w:pos="567"/>
                <w:tab w:val="left" w:pos="417"/>
                <w:tab w:val="left" w:pos="854"/>
                <w:tab w:val="right" w:leader="dot" w:pos="6237"/>
              </w:tabs>
            </w:pPr>
            <w:r>
              <w:tab/>
              <w:t>(iii)</w:t>
            </w:r>
            <w:r>
              <w:tab/>
              <w:t xml:space="preserve">over 10 tables </w:t>
            </w:r>
          </w:p>
        </w:tc>
        <w:tc>
          <w:tcPr>
            <w:tcW w:w="992" w:type="dxa"/>
            <w:noWrap/>
          </w:tcPr>
          <w:p>
            <w:pPr>
              <w:pStyle w:val="yTableNAm"/>
              <w:tabs>
                <w:tab w:val="clear" w:pos="567"/>
              </w:tabs>
              <w:jc w:val="right"/>
            </w:pPr>
            <w:del w:id="258" w:author="Master Repository Process" w:date="2025-05-29T14:29:00Z">
              <w:r>
                <w:rPr>
                  <w:szCs w:val="22"/>
                </w:rPr>
                <w:delText>455.00</w:delText>
              </w:r>
            </w:del>
            <w:ins w:id="259" w:author="Master Repository Process" w:date="2025-05-29T14:29:00Z">
              <w:r>
                <w:rPr>
                  <w:szCs w:val="22"/>
                </w:rPr>
                <w:t>469.50</w:t>
              </w:r>
            </w:ins>
          </w:p>
        </w:tc>
      </w:tr>
      <w:tr>
        <w:tc>
          <w:tcPr>
            <w:tcW w:w="851" w:type="dxa"/>
            <w:noWrap/>
          </w:tcPr>
          <w:p>
            <w:pPr>
              <w:pStyle w:val="yTableNAm"/>
            </w:pPr>
          </w:p>
        </w:tc>
        <w:tc>
          <w:tcPr>
            <w:tcW w:w="5245" w:type="dxa"/>
            <w:noWrap/>
          </w:tcPr>
          <w:p>
            <w:pPr>
              <w:pStyle w:val="yTableNAm"/>
              <w:tabs>
                <w:tab w:val="clear" w:pos="567"/>
                <w:tab w:val="left" w:pos="426"/>
              </w:tabs>
            </w:pPr>
            <w:r>
              <w:t>(h)</w:t>
            </w:r>
            <w:r>
              <w:tab/>
              <w:t>two</w:t>
            </w:r>
            <w:r>
              <w:noBreakHyphen/>
              <w:t>up </w:t>
            </w:r>
            <w:r>
              <w:rPr>
                <w:snapToGrid w:val="0"/>
              </w:rPr>
              <w:t>—</w:t>
            </w:r>
            <w:r>
              <w:t xml:space="preserve"> </w:t>
            </w:r>
          </w:p>
        </w:tc>
        <w:tc>
          <w:tcPr>
            <w:tcW w:w="992" w:type="dxa"/>
            <w:noWrap/>
          </w:tcPr>
          <w:p>
            <w:pPr>
              <w:pStyle w:val="yTableNAm"/>
              <w:tabs>
                <w:tab w:val="clear" w:pos="567"/>
              </w:tabs>
              <w:jc w:val="right"/>
            </w:pPr>
          </w:p>
        </w:tc>
      </w:tr>
      <w:tr>
        <w:tc>
          <w:tcPr>
            <w:tcW w:w="851" w:type="dxa"/>
            <w:noWrap/>
          </w:tcPr>
          <w:p>
            <w:pPr>
              <w:pStyle w:val="yTableNAm"/>
            </w:pPr>
          </w:p>
        </w:tc>
        <w:tc>
          <w:tcPr>
            <w:tcW w:w="5245" w:type="dxa"/>
            <w:noWrap/>
          </w:tcPr>
          <w:p>
            <w:pPr>
              <w:pStyle w:val="yTableNAm"/>
              <w:tabs>
                <w:tab w:val="clear" w:pos="567"/>
                <w:tab w:val="left" w:pos="432"/>
                <w:tab w:val="left" w:pos="877"/>
                <w:tab w:val="right" w:leader="dot" w:pos="6237"/>
              </w:tabs>
            </w:pPr>
            <w:r>
              <w:tab/>
              <w:t>(i)</w:t>
            </w:r>
            <w:r>
              <w:tab/>
              <w:t>by a country race club, per day authorised</w:t>
            </w:r>
          </w:p>
        </w:tc>
        <w:tc>
          <w:tcPr>
            <w:tcW w:w="992" w:type="dxa"/>
            <w:noWrap/>
          </w:tcPr>
          <w:p>
            <w:pPr>
              <w:pStyle w:val="yTableNAm"/>
              <w:tabs>
                <w:tab w:val="clear" w:pos="567"/>
              </w:tabs>
              <w:jc w:val="right"/>
              <w:rPr>
                <w:i/>
              </w:rPr>
            </w:pPr>
            <w:del w:id="260" w:author="Master Repository Process" w:date="2025-05-29T14:29:00Z">
              <w:r>
                <w:rPr>
                  <w:szCs w:val="22"/>
                </w:rPr>
                <w:delText>131</w:delText>
              </w:r>
            </w:del>
            <w:ins w:id="261" w:author="Master Repository Process" w:date="2025-05-29T14:29:00Z">
              <w:r>
                <w:rPr>
                  <w:szCs w:val="22"/>
                </w:rPr>
                <w:t>135</w:t>
              </w:r>
            </w:ins>
            <w:r>
              <w:t>.00</w:t>
            </w:r>
          </w:p>
        </w:tc>
      </w:tr>
      <w:tr>
        <w:tc>
          <w:tcPr>
            <w:tcW w:w="851" w:type="dxa"/>
            <w:noWrap/>
          </w:tcPr>
          <w:p>
            <w:pPr>
              <w:pStyle w:val="yTableNAm"/>
            </w:pPr>
          </w:p>
        </w:tc>
        <w:tc>
          <w:tcPr>
            <w:tcW w:w="5245" w:type="dxa"/>
            <w:noWrap/>
          </w:tcPr>
          <w:p>
            <w:pPr>
              <w:pStyle w:val="yTableNAm"/>
              <w:tabs>
                <w:tab w:val="clear" w:pos="567"/>
                <w:tab w:val="left" w:pos="417"/>
                <w:tab w:val="left" w:pos="846"/>
                <w:tab w:val="right" w:leader="dot" w:pos="6237"/>
              </w:tabs>
            </w:pPr>
            <w:r>
              <w:tab/>
              <w:t>(ii)</w:t>
            </w:r>
            <w:r>
              <w:tab/>
              <w:t xml:space="preserve">otherwise, per day authorised </w:t>
            </w:r>
          </w:p>
        </w:tc>
        <w:tc>
          <w:tcPr>
            <w:tcW w:w="992" w:type="dxa"/>
            <w:noWrap/>
          </w:tcPr>
          <w:p>
            <w:pPr>
              <w:pStyle w:val="yTableNAm"/>
              <w:tabs>
                <w:tab w:val="clear" w:pos="567"/>
              </w:tabs>
              <w:jc w:val="right"/>
            </w:pPr>
            <w:del w:id="262" w:author="Master Repository Process" w:date="2025-05-29T14:29:00Z">
              <w:r>
                <w:rPr>
                  <w:szCs w:val="22"/>
                </w:rPr>
                <w:delText>198</w:delText>
              </w:r>
            </w:del>
            <w:ins w:id="263" w:author="Master Repository Process" w:date="2025-05-29T14:29:00Z">
              <w:r>
                <w:rPr>
                  <w:szCs w:val="22"/>
                </w:rPr>
                <w:t>204</w:t>
              </w:r>
            </w:ins>
            <w:r>
              <w:t>.00</w:t>
            </w:r>
          </w:p>
        </w:tc>
      </w:tr>
      <w:tr>
        <w:tc>
          <w:tcPr>
            <w:tcW w:w="851" w:type="dxa"/>
            <w:noWrap/>
          </w:tcPr>
          <w:p>
            <w:pPr>
              <w:pStyle w:val="yTableNAm"/>
            </w:pPr>
            <w:r>
              <w:t>7.</w:t>
            </w:r>
          </w:p>
        </w:tc>
        <w:tc>
          <w:tcPr>
            <w:tcW w:w="5245" w:type="dxa"/>
            <w:noWrap/>
          </w:tcPr>
          <w:p>
            <w:pPr>
              <w:pStyle w:val="yTableNAm"/>
            </w:pPr>
            <w:r>
              <w:t xml:space="preserve">Application for approval of premises for — </w:t>
            </w:r>
          </w:p>
        </w:tc>
        <w:tc>
          <w:tcPr>
            <w:tcW w:w="992" w:type="dxa"/>
            <w:noWrap/>
          </w:tcPr>
          <w:p>
            <w:pPr>
              <w:pStyle w:val="yTableNAm"/>
              <w:tabs>
                <w:tab w:val="clear" w:pos="567"/>
              </w:tabs>
              <w:jc w:val="right"/>
            </w:pPr>
          </w:p>
        </w:tc>
      </w:tr>
      <w:tr>
        <w:tc>
          <w:tcPr>
            <w:tcW w:w="851" w:type="dxa"/>
            <w:noWrap/>
          </w:tcPr>
          <w:p>
            <w:pPr>
              <w:pStyle w:val="yTableNAm"/>
            </w:pPr>
          </w:p>
        </w:tc>
        <w:tc>
          <w:tcPr>
            <w:tcW w:w="5245" w:type="dxa"/>
            <w:noWrap/>
          </w:tcPr>
          <w:p>
            <w:pPr>
              <w:pStyle w:val="yTableNAm"/>
              <w:tabs>
                <w:tab w:val="clear" w:pos="567"/>
                <w:tab w:val="left" w:pos="425"/>
                <w:tab w:val="right" w:leader="dot" w:pos="6237"/>
              </w:tabs>
            </w:pPr>
            <w:r>
              <w:t>(a)</w:t>
            </w:r>
            <w:r>
              <w:tab/>
              <w:t xml:space="preserve">a specific function </w:t>
            </w:r>
          </w:p>
        </w:tc>
        <w:tc>
          <w:tcPr>
            <w:tcW w:w="992" w:type="dxa"/>
            <w:noWrap/>
          </w:tcPr>
          <w:p>
            <w:pPr>
              <w:pStyle w:val="yTableNAm"/>
              <w:tabs>
                <w:tab w:val="clear" w:pos="567"/>
              </w:tabs>
              <w:jc w:val="right"/>
            </w:pPr>
            <w:r>
              <w:t>24.</w:t>
            </w:r>
            <w:del w:id="264" w:author="Master Repository Process" w:date="2025-05-29T14:29:00Z">
              <w:r>
                <w:delText>00</w:delText>
              </w:r>
            </w:del>
            <w:ins w:id="265" w:author="Master Repository Process" w:date="2025-05-29T14:29:00Z">
              <w:r>
                <w:t>50</w:t>
              </w:r>
            </w:ins>
          </w:p>
        </w:tc>
      </w:tr>
      <w:tr>
        <w:tc>
          <w:tcPr>
            <w:tcW w:w="851" w:type="dxa"/>
            <w:noWrap/>
          </w:tcPr>
          <w:p>
            <w:pPr>
              <w:pStyle w:val="yTableNAm"/>
            </w:pPr>
          </w:p>
        </w:tc>
        <w:tc>
          <w:tcPr>
            <w:tcW w:w="5245" w:type="dxa"/>
            <w:noWrap/>
          </w:tcPr>
          <w:p>
            <w:pPr>
              <w:pStyle w:val="yTableNAm"/>
              <w:tabs>
                <w:tab w:val="clear" w:pos="567"/>
                <w:tab w:val="left" w:pos="417"/>
                <w:tab w:val="right" w:leader="dot" w:pos="6237"/>
              </w:tabs>
            </w:pPr>
            <w:r>
              <w:t>(b)</w:t>
            </w:r>
            <w:r>
              <w:tab/>
              <w:t xml:space="preserve">functions from time to time </w:t>
            </w:r>
          </w:p>
        </w:tc>
        <w:tc>
          <w:tcPr>
            <w:tcW w:w="992" w:type="dxa"/>
            <w:noWrap/>
          </w:tcPr>
          <w:p>
            <w:pPr>
              <w:pStyle w:val="yTableNAm"/>
              <w:tabs>
                <w:tab w:val="clear" w:pos="567"/>
              </w:tabs>
              <w:jc w:val="right"/>
            </w:pPr>
            <w:del w:id="266" w:author="Master Repository Process" w:date="2025-05-29T14:29:00Z">
              <w:r>
                <w:rPr>
                  <w:szCs w:val="22"/>
                </w:rPr>
                <w:delText>80.50</w:delText>
              </w:r>
            </w:del>
            <w:ins w:id="267" w:author="Master Repository Process" w:date="2025-05-29T14:29:00Z">
              <w:r>
                <w:rPr>
                  <w:szCs w:val="22"/>
                </w:rPr>
                <w:t>83</w:t>
              </w:r>
              <w:r>
                <w:t>.00</w:t>
              </w:r>
            </w:ins>
          </w:p>
        </w:tc>
      </w:tr>
      <w:tr>
        <w:tc>
          <w:tcPr>
            <w:tcW w:w="851" w:type="dxa"/>
            <w:noWrap/>
          </w:tcPr>
          <w:p>
            <w:pPr>
              <w:pStyle w:val="yTableNAm"/>
            </w:pPr>
          </w:p>
        </w:tc>
        <w:tc>
          <w:tcPr>
            <w:tcW w:w="5245" w:type="dxa"/>
            <w:noWrap/>
          </w:tcPr>
          <w:p>
            <w:pPr>
              <w:pStyle w:val="yTableNAm"/>
              <w:tabs>
                <w:tab w:val="clear" w:pos="567"/>
                <w:tab w:val="left" w:pos="426"/>
                <w:tab w:val="left" w:pos="851"/>
                <w:tab w:val="right" w:leader="dot" w:pos="6237"/>
              </w:tabs>
            </w:pPr>
            <w:r>
              <w:t>(c)</w:t>
            </w:r>
            <w:r>
              <w:tab/>
              <w:t xml:space="preserve">permit of a continuing nature </w:t>
            </w:r>
          </w:p>
        </w:tc>
        <w:tc>
          <w:tcPr>
            <w:tcW w:w="992" w:type="dxa"/>
            <w:noWrap/>
          </w:tcPr>
          <w:p>
            <w:pPr>
              <w:pStyle w:val="yTableNAm"/>
              <w:tabs>
                <w:tab w:val="clear" w:pos="567"/>
              </w:tabs>
              <w:jc w:val="right"/>
            </w:pPr>
            <w:del w:id="268" w:author="Master Repository Process" w:date="2025-05-29T14:29:00Z">
              <w:r>
                <w:rPr>
                  <w:szCs w:val="22"/>
                </w:rPr>
                <w:delText>80.50</w:delText>
              </w:r>
            </w:del>
            <w:ins w:id="269" w:author="Master Repository Process" w:date="2025-05-29T14:29:00Z">
              <w:r>
                <w:rPr>
                  <w:szCs w:val="22"/>
                </w:rPr>
                <w:t>83</w:t>
              </w:r>
              <w:r>
                <w:t>.00</w:t>
              </w:r>
            </w:ins>
          </w:p>
        </w:tc>
      </w:tr>
      <w:tr>
        <w:tc>
          <w:tcPr>
            <w:tcW w:w="851" w:type="dxa"/>
            <w:noWrap/>
          </w:tcPr>
          <w:p>
            <w:pPr>
              <w:pStyle w:val="yTableNAm"/>
            </w:pPr>
            <w:r>
              <w:t>8.</w:t>
            </w:r>
          </w:p>
        </w:tc>
        <w:tc>
          <w:tcPr>
            <w:tcW w:w="5245" w:type="dxa"/>
            <w:noWrap/>
          </w:tcPr>
          <w:p>
            <w:pPr>
              <w:pStyle w:val="yTableNAm"/>
            </w:pPr>
            <w:r>
              <w:t xml:space="preserve">Issue of a certificate under section 92 relating to — </w:t>
            </w:r>
          </w:p>
        </w:tc>
        <w:tc>
          <w:tcPr>
            <w:tcW w:w="992" w:type="dxa"/>
            <w:noWrap/>
          </w:tcPr>
          <w:p>
            <w:pPr>
              <w:pStyle w:val="yTableNAm"/>
              <w:tabs>
                <w:tab w:val="clear" w:pos="567"/>
              </w:tabs>
              <w:jc w:val="right"/>
            </w:pPr>
          </w:p>
        </w:tc>
      </w:tr>
      <w:tr>
        <w:tc>
          <w:tcPr>
            <w:tcW w:w="851" w:type="dxa"/>
            <w:noWrap/>
          </w:tcPr>
          <w:p>
            <w:pPr>
              <w:pStyle w:val="yTableNAm"/>
            </w:pPr>
          </w:p>
        </w:tc>
        <w:tc>
          <w:tcPr>
            <w:tcW w:w="5245" w:type="dxa"/>
            <w:noWrap/>
          </w:tcPr>
          <w:p>
            <w:pPr>
              <w:pStyle w:val="yTableNAm"/>
              <w:tabs>
                <w:tab w:val="clear" w:pos="567"/>
                <w:tab w:val="left" w:pos="425"/>
                <w:tab w:val="right" w:leader="dot" w:pos="6237"/>
              </w:tabs>
            </w:pPr>
            <w:r>
              <w:t>(a)</w:t>
            </w:r>
            <w:r>
              <w:tab/>
              <w:t xml:space="preserve">multiple bingo </w:t>
            </w:r>
          </w:p>
        </w:tc>
        <w:tc>
          <w:tcPr>
            <w:tcW w:w="992" w:type="dxa"/>
            <w:noWrap/>
          </w:tcPr>
          <w:p>
            <w:pPr>
              <w:pStyle w:val="yTableNAm"/>
              <w:tabs>
                <w:tab w:val="clear" w:pos="567"/>
              </w:tabs>
              <w:jc w:val="right"/>
            </w:pPr>
            <w:del w:id="270" w:author="Master Repository Process" w:date="2025-05-29T14:29:00Z">
              <w:r>
                <w:rPr>
                  <w:szCs w:val="22"/>
                </w:rPr>
                <w:delText>165</w:delText>
              </w:r>
            </w:del>
            <w:ins w:id="271" w:author="Master Repository Process" w:date="2025-05-29T14:29:00Z">
              <w:r>
                <w:rPr>
                  <w:szCs w:val="22"/>
                </w:rPr>
                <w:t>170</w:t>
              </w:r>
            </w:ins>
            <w:r>
              <w:t>.00</w:t>
            </w:r>
          </w:p>
        </w:tc>
      </w:tr>
      <w:tr>
        <w:tc>
          <w:tcPr>
            <w:tcW w:w="851" w:type="dxa"/>
            <w:noWrap/>
          </w:tcPr>
          <w:p>
            <w:pPr>
              <w:pStyle w:val="yTableNAm"/>
            </w:pPr>
          </w:p>
        </w:tc>
        <w:tc>
          <w:tcPr>
            <w:tcW w:w="5245" w:type="dxa"/>
            <w:noWrap/>
          </w:tcPr>
          <w:p>
            <w:pPr>
              <w:pStyle w:val="yTableNAm"/>
              <w:tabs>
                <w:tab w:val="clear" w:pos="567"/>
                <w:tab w:val="left" w:pos="432"/>
                <w:tab w:val="right" w:leader="dot" w:pos="6237"/>
              </w:tabs>
            </w:pPr>
            <w:r>
              <w:t>(b)</w:t>
            </w:r>
            <w:r>
              <w:tab/>
              <w:t>simultaneous bingo</w:t>
            </w:r>
          </w:p>
        </w:tc>
        <w:tc>
          <w:tcPr>
            <w:tcW w:w="992" w:type="dxa"/>
            <w:noWrap/>
          </w:tcPr>
          <w:p>
            <w:pPr>
              <w:pStyle w:val="yTableNAm"/>
              <w:tabs>
                <w:tab w:val="clear" w:pos="567"/>
              </w:tabs>
              <w:jc w:val="right"/>
            </w:pPr>
            <w:del w:id="272" w:author="Master Repository Process" w:date="2025-05-29T14:29:00Z">
              <w:r>
                <w:rPr>
                  <w:szCs w:val="22"/>
                </w:rPr>
                <w:delText>165</w:delText>
              </w:r>
            </w:del>
            <w:ins w:id="273" w:author="Master Repository Process" w:date="2025-05-29T14:29:00Z">
              <w:r>
                <w:rPr>
                  <w:szCs w:val="22"/>
                </w:rPr>
                <w:t>170</w:t>
              </w:r>
            </w:ins>
            <w:r>
              <w:t>.00</w:t>
            </w:r>
          </w:p>
        </w:tc>
      </w:tr>
      <w:tr>
        <w:tc>
          <w:tcPr>
            <w:tcW w:w="851" w:type="dxa"/>
            <w:noWrap/>
          </w:tcPr>
          <w:p>
            <w:pPr>
              <w:pStyle w:val="yTableNAm"/>
            </w:pPr>
          </w:p>
        </w:tc>
        <w:tc>
          <w:tcPr>
            <w:tcW w:w="5245" w:type="dxa"/>
            <w:noWrap/>
          </w:tcPr>
          <w:p>
            <w:pPr>
              <w:pStyle w:val="yTableNAm"/>
              <w:tabs>
                <w:tab w:val="clear" w:pos="567"/>
                <w:tab w:val="right" w:leader="dot" w:pos="6237"/>
              </w:tabs>
              <w:ind w:left="426" w:hanging="426"/>
            </w:pPr>
            <w:r>
              <w:t>(c)</w:t>
            </w:r>
            <w:r>
              <w:tab/>
              <w:t>assisting in the conduct of bingo, for hire or reward </w:t>
            </w:r>
          </w:p>
        </w:tc>
        <w:tc>
          <w:tcPr>
            <w:tcW w:w="992" w:type="dxa"/>
            <w:noWrap/>
            <w:vAlign w:val="bottom"/>
          </w:tcPr>
          <w:p>
            <w:pPr>
              <w:pStyle w:val="yTableNAm"/>
              <w:tabs>
                <w:tab w:val="clear" w:pos="567"/>
              </w:tabs>
              <w:jc w:val="right"/>
              <w:rPr>
                <w:i/>
              </w:rPr>
            </w:pPr>
            <w:del w:id="274" w:author="Master Repository Process" w:date="2025-05-29T14:29:00Z">
              <w:r>
                <w:rPr>
                  <w:szCs w:val="22"/>
                </w:rPr>
                <w:delText>165</w:delText>
              </w:r>
            </w:del>
            <w:ins w:id="275" w:author="Master Repository Process" w:date="2025-05-29T14:29:00Z">
              <w:r>
                <w:rPr>
                  <w:szCs w:val="22"/>
                </w:rPr>
                <w:t>170</w:t>
              </w:r>
            </w:ins>
            <w:r>
              <w:t>.00</w:t>
            </w:r>
          </w:p>
        </w:tc>
      </w:tr>
      <w:tr>
        <w:tc>
          <w:tcPr>
            <w:tcW w:w="851" w:type="dxa"/>
            <w:noWrap/>
          </w:tcPr>
          <w:p>
            <w:pPr>
              <w:pStyle w:val="yTableNAm"/>
            </w:pPr>
            <w:r>
              <w:t>9.</w:t>
            </w:r>
          </w:p>
        </w:tc>
        <w:tc>
          <w:tcPr>
            <w:tcW w:w="5245" w:type="dxa"/>
            <w:noWrap/>
          </w:tcPr>
          <w:p>
            <w:pPr>
              <w:pStyle w:val="yTableNAm"/>
              <w:tabs>
                <w:tab w:val="right" w:leader="dot" w:pos="6237"/>
              </w:tabs>
            </w:pPr>
            <w:r>
              <w:t xml:space="preserve">Issue of an approved operator’s certificate </w:t>
            </w:r>
          </w:p>
        </w:tc>
        <w:tc>
          <w:tcPr>
            <w:tcW w:w="992" w:type="dxa"/>
            <w:noWrap/>
          </w:tcPr>
          <w:p>
            <w:pPr>
              <w:pStyle w:val="yTableNAm"/>
              <w:tabs>
                <w:tab w:val="clear" w:pos="567"/>
              </w:tabs>
              <w:jc w:val="right"/>
            </w:pPr>
            <w:del w:id="276" w:author="Master Repository Process" w:date="2025-05-29T14:29:00Z">
              <w:r>
                <w:rPr>
                  <w:szCs w:val="22"/>
                </w:rPr>
                <w:delText>272.50</w:delText>
              </w:r>
            </w:del>
            <w:ins w:id="277" w:author="Master Repository Process" w:date="2025-05-29T14:29:00Z">
              <w:r>
                <w:rPr>
                  <w:szCs w:val="22"/>
                </w:rPr>
                <w:t>281</w:t>
              </w:r>
              <w:r>
                <w:t>.00</w:t>
              </w:r>
            </w:ins>
          </w:p>
        </w:tc>
      </w:tr>
      <w:tr>
        <w:tc>
          <w:tcPr>
            <w:tcW w:w="851" w:type="dxa"/>
            <w:noWrap/>
          </w:tcPr>
          <w:p>
            <w:pPr>
              <w:pStyle w:val="yTableNAm"/>
            </w:pPr>
            <w:r>
              <w:t>10.</w:t>
            </w:r>
          </w:p>
        </w:tc>
        <w:tc>
          <w:tcPr>
            <w:tcW w:w="5245" w:type="dxa"/>
            <w:noWrap/>
          </w:tcPr>
          <w:p>
            <w:pPr>
              <w:pStyle w:val="yTableNAm"/>
              <w:tabs>
                <w:tab w:val="right" w:leader="dot" w:pos="6237"/>
              </w:tabs>
            </w:pPr>
            <w:r>
              <w:t xml:space="preserve">Issue of a certificate under section 88(5) </w:t>
            </w:r>
          </w:p>
        </w:tc>
        <w:tc>
          <w:tcPr>
            <w:tcW w:w="992" w:type="dxa"/>
            <w:noWrap/>
          </w:tcPr>
          <w:p>
            <w:pPr>
              <w:pStyle w:val="yTableNAm"/>
              <w:tabs>
                <w:tab w:val="clear" w:pos="567"/>
              </w:tabs>
              <w:jc w:val="right"/>
            </w:pPr>
            <w:del w:id="278" w:author="Master Repository Process" w:date="2025-05-29T14:29:00Z">
              <w:r>
                <w:rPr>
                  <w:szCs w:val="22"/>
                </w:rPr>
                <w:delText>344</w:delText>
              </w:r>
            </w:del>
            <w:ins w:id="279" w:author="Master Repository Process" w:date="2025-05-29T14:29:00Z">
              <w:r>
                <w:rPr>
                  <w:szCs w:val="22"/>
                </w:rPr>
                <w:t>355</w:t>
              </w:r>
            </w:ins>
            <w:r>
              <w:t>.00</w:t>
            </w:r>
          </w:p>
        </w:tc>
      </w:tr>
      <w:tr>
        <w:tc>
          <w:tcPr>
            <w:tcW w:w="851" w:type="dxa"/>
            <w:noWrap/>
          </w:tcPr>
          <w:p>
            <w:pPr>
              <w:pStyle w:val="yTableNAm"/>
            </w:pPr>
            <w:r>
              <w:t>11.</w:t>
            </w:r>
          </w:p>
        </w:tc>
        <w:tc>
          <w:tcPr>
            <w:tcW w:w="5245" w:type="dxa"/>
            <w:noWrap/>
          </w:tcPr>
          <w:p>
            <w:pPr>
              <w:pStyle w:val="yTableNAm"/>
              <w:tabs>
                <w:tab w:val="right" w:leader="dot" w:pos="6237"/>
              </w:tabs>
            </w:pPr>
            <w:r>
              <w:t xml:space="preserve">Application to be a licensed supplier </w:t>
            </w:r>
          </w:p>
        </w:tc>
        <w:tc>
          <w:tcPr>
            <w:tcW w:w="992" w:type="dxa"/>
            <w:noWrap/>
          </w:tcPr>
          <w:p>
            <w:pPr>
              <w:pStyle w:val="yTableNAm"/>
              <w:tabs>
                <w:tab w:val="clear" w:pos="567"/>
              </w:tabs>
              <w:jc w:val="right"/>
            </w:pPr>
            <w:del w:id="280" w:author="Master Repository Process" w:date="2025-05-29T14:29:00Z">
              <w:r>
                <w:rPr>
                  <w:szCs w:val="22"/>
                </w:rPr>
                <w:delText>333.00</w:delText>
              </w:r>
            </w:del>
            <w:ins w:id="281" w:author="Master Repository Process" w:date="2025-05-29T14:29:00Z">
              <w:r>
                <w:rPr>
                  <w:szCs w:val="22"/>
                </w:rPr>
                <w:t>343.50</w:t>
              </w:r>
            </w:ins>
          </w:p>
        </w:tc>
      </w:tr>
      <w:tr>
        <w:tc>
          <w:tcPr>
            <w:tcW w:w="851" w:type="dxa"/>
            <w:noWrap/>
          </w:tcPr>
          <w:p>
            <w:pPr>
              <w:pStyle w:val="yTableNAm"/>
            </w:pPr>
            <w:r>
              <w:t>12.</w:t>
            </w:r>
          </w:p>
        </w:tc>
        <w:tc>
          <w:tcPr>
            <w:tcW w:w="5245" w:type="dxa"/>
            <w:noWrap/>
          </w:tcPr>
          <w:p>
            <w:pPr>
              <w:pStyle w:val="yTableNAm"/>
              <w:tabs>
                <w:tab w:val="right" w:leader="dot" w:pos="6237"/>
              </w:tabs>
            </w:pPr>
            <w:r>
              <w:t xml:space="preserve">Approval to operate, or remove money from, gaming equipment </w:t>
            </w:r>
          </w:p>
        </w:tc>
        <w:tc>
          <w:tcPr>
            <w:tcW w:w="992" w:type="dxa"/>
            <w:noWrap/>
            <w:vAlign w:val="bottom"/>
          </w:tcPr>
          <w:p>
            <w:pPr>
              <w:pStyle w:val="yTableNAm"/>
              <w:tabs>
                <w:tab w:val="clear" w:pos="567"/>
              </w:tabs>
              <w:jc w:val="right"/>
            </w:pPr>
            <w:r>
              <w:t>29.</w:t>
            </w:r>
            <w:del w:id="282" w:author="Master Repository Process" w:date="2025-05-29T14:29:00Z">
              <w:r>
                <w:delText>00</w:delText>
              </w:r>
            </w:del>
            <w:ins w:id="283" w:author="Master Repository Process" w:date="2025-05-29T14:29:00Z">
              <w:r>
                <w:t>50</w:t>
              </w:r>
            </w:ins>
          </w:p>
        </w:tc>
      </w:tr>
    </w:tbl>
    <w:p>
      <w:pPr>
        <w:pStyle w:val="yFootnotesection"/>
      </w:pPr>
      <w:r>
        <w:tab/>
        <w:t>[Schedule 1 inserted: SL </w:t>
      </w:r>
      <w:del w:id="284" w:author="Master Repository Process" w:date="2025-05-29T14:29:00Z">
        <w:r>
          <w:delText>2022/144</w:delText>
        </w:r>
      </w:del>
      <w:ins w:id="285" w:author="Master Repository Process" w:date="2025-05-29T14:29:00Z">
        <w:r>
          <w:t>2023/156</w:t>
        </w:r>
      </w:ins>
      <w:r>
        <w:t xml:space="preserve"> r. 10.]</w:t>
      </w:r>
    </w:p>
    <w:p>
      <w:pPr>
        <w:pStyle w:val="yScheduleHeading"/>
      </w:pPr>
      <w:bookmarkStart w:id="286" w:name="_Toc153979791"/>
      <w:bookmarkStart w:id="287" w:name="_Toc154049835"/>
      <w:bookmarkStart w:id="288" w:name="_Toc154068005"/>
      <w:bookmarkStart w:id="289" w:name="_Toc155081609"/>
      <w:bookmarkEnd w:id="196"/>
      <w:r>
        <w:rPr>
          <w:rStyle w:val="CharSchNo"/>
        </w:rPr>
        <w:t>Schedule 2</w:t>
      </w:r>
      <w:r>
        <w:t> — </w:t>
      </w:r>
      <w:r>
        <w:rPr>
          <w:rStyle w:val="CharSchText"/>
        </w:rPr>
        <w:t>Prescribed penalties under section 36(1)</w:t>
      </w:r>
      <w:bookmarkEnd w:id="286"/>
      <w:bookmarkEnd w:id="287"/>
      <w:bookmarkEnd w:id="288"/>
      <w:bookmarkEnd w:id="289"/>
    </w:p>
    <w:p>
      <w:pPr>
        <w:pStyle w:val="yFootnoteheading"/>
        <w:spacing w:before="80" w:after="80"/>
      </w:pPr>
      <w:r>
        <w:tab/>
        <w:t>[Heading inserted: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Gazette 10 Jun 2008 p. 2495</w:t>
      </w:r>
      <w:r>
        <w:noBreakHyphen/>
        <w:t>6; amended: Gazette 12 Aug 2011 p 3250.]</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291" w:name="_Toc153979792"/>
      <w:bookmarkStart w:id="292" w:name="_Toc154049836"/>
      <w:bookmarkStart w:id="293" w:name="_Toc154068006"/>
      <w:bookmarkStart w:id="294" w:name="_Toc155081610"/>
      <w:r>
        <w:rPr>
          <w:rStyle w:val="CharSchNo"/>
        </w:rPr>
        <w:t>Schedule 3</w:t>
      </w:r>
      <w:bookmarkEnd w:id="291"/>
      <w:bookmarkEnd w:id="292"/>
      <w:bookmarkEnd w:id="293"/>
      <w:bookmarkEnd w:id="294"/>
    </w:p>
    <w:p>
      <w:pPr>
        <w:pStyle w:val="yHeading2"/>
      </w:pPr>
      <w:bookmarkStart w:id="295" w:name="_Toc153979793"/>
      <w:bookmarkStart w:id="296" w:name="_Toc154049837"/>
      <w:bookmarkStart w:id="297" w:name="_Toc154068007"/>
      <w:bookmarkStart w:id="298" w:name="_Toc155081611"/>
      <w:r>
        <w:rPr>
          <w:rStyle w:val="CharSchText"/>
        </w:rPr>
        <w:t>Forms</w:t>
      </w:r>
      <w:bookmarkEnd w:id="295"/>
      <w:bookmarkEnd w:id="296"/>
      <w:bookmarkEnd w:id="297"/>
      <w:bookmarkEnd w:id="298"/>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1</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Gazette 7 Oct 1988 p. 4106; amended: Gazette 30 Jan 2004 p. 416.]</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299" w:name="_Toc153979794"/>
      <w:bookmarkStart w:id="300" w:name="_Toc154049838"/>
      <w:bookmarkStart w:id="301" w:name="_Toc154068008"/>
      <w:bookmarkStart w:id="302" w:name="_Toc155081612"/>
      <w:r>
        <w:rPr>
          <w:rStyle w:val="CharSchNo"/>
        </w:rPr>
        <w:t>Schedule 4</w:t>
      </w:r>
      <w:bookmarkEnd w:id="299"/>
      <w:bookmarkEnd w:id="300"/>
      <w:bookmarkEnd w:id="301"/>
      <w:bookmarkEnd w:id="302"/>
    </w:p>
    <w:p>
      <w:pPr>
        <w:pStyle w:val="yHeading2"/>
        <w:keepNext w:val="0"/>
      </w:pPr>
      <w:bookmarkStart w:id="303" w:name="_Toc153979795"/>
      <w:bookmarkStart w:id="304" w:name="_Toc154049839"/>
      <w:bookmarkStart w:id="305" w:name="_Toc154068009"/>
      <w:bookmarkStart w:id="306" w:name="_Toc155081613"/>
      <w:r>
        <w:rPr>
          <w:rStyle w:val="CharSchText"/>
        </w:rPr>
        <w:t>Rules for the conduct of permitted games</w:t>
      </w:r>
      <w:bookmarkEnd w:id="303"/>
      <w:bookmarkEnd w:id="304"/>
      <w:bookmarkEnd w:id="305"/>
      <w:bookmarkEnd w:id="306"/>
    </w:p>
    <w:p>
      <w:pPr>
        <w:pStyle w:val="yHeading3"/>
      </w:pPr>
      <w:bookmarkStart w:id="307" w:name="_Toc153979796"/>
      <w:bookmarkStart w:id="308" w:name="_Toc154049840"/>
      <w:bookmarkStart w:id="309" w:name="_Toc154068010"/>
      <w:bookmarkStart w:id="310" w:name="_Toc155081614"/>
      <w:r>
        <w:rPr>
          <w:rStyle w:val="CharSDivNo"/>
        </w:rPr>
        <w:t>Part 1</w:t>
      </w:r>
      <w:r>
        <w:t> — </w:t>
      </w:r>
      <w:r>
        <w:rPr>
          <w:rStyle w:val="CharSDivText"/>
        </w:rPr>
        <w:t>Permitted bingo</w:t>
      </w:r>
      <w:bookmarkEnd w:id="307"/>
      <w:bookmarkEnd w:id="308"/>
      <w:bookmarkEnd w:id="309"/>
      <w:bookmarkEnd w:id="310"/>
    </w:p>
    <w:p>
      <w:pPr>
        <w:pStyle w:val="yMiscellaneousBody"/>
        <w:jc w:val="center"/>
        <w:rPr>
          <w:b/>
          <w:snapToGrid w:val="0"/>
        </w:rPr>
      </w:pPr>
      <w:r>
        <w:rPr>
          <w:b/>
          <w:snapToGrid w:val="0"/>
        </w:rPr>
        <w:t>Rules for the conduct of bingo</w:t>
      </w:r>
    </w:p>
    <w:p>
      <w:pPr>
        <w:pStyle w:val="yHeading5"/>
        <w:rPr>
          <w:snapToGrid w:val="0"/>
        </w:rPr>
      </w:pPr>
      <w:bookmarkStart w:id="311" w:name="_Toc154068011"/>
      <w:bookmarkStart w:id="312" w:name="_Toc155081615"/>
      <w:r>
        <w:rPr>
          <w:rStyle w:val="CharSClsNo"/>
        </w:rPr>
        <w:t>1</w:t>
      </w:r>
      <w:r>
        <w:rPr>
          <w:snapToGrid w:val="0"/>
        </w:rPr>
        <w:t>.</w:t>
      </w:r>
      <w:r>
        <w:rPr>
          <w:snapToGrid w:val="0"/>
        </w:rPr>
        <w:tab/>
        <w:t>Children cannot play</w:t>
      </w:r>
      <w:bookmarkEnd w:id="311"/>
      <w:bookmarkEnd w:id="312"/>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313" w:name="_Toc154068012"/>
      <w:bookmarkStart w:id="314" w:name="_Toc155081616"/>
      <w:r>
        <w:rPr>
          <w:rStyle w:val="CharSClsNo"/>
        </w:rPr>
        <w:t>2</w:t>
      </w:r>
      <w:r>
        <w:rPr>
          <w:snapToGrid w:val="0"/>
        </w:rPr>
        <w:t>.</w:t>
      </w:r>
      <w:r>
        <w:rPr>
          <w:snapToGrid w:val="0"/>
        </w:rPr>
        <w:tab/>
        <w:t>Spotters cannot play</w:t>
      </w:r>
      <w:bookmarkEnd w:id="313"/>
      <w:bookmarkEnd w:id="314"/>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315" w:name="_Toc154068013"/>
      <w:bookmarkStart w:id="316" w:name="_Toc155081617"/>
      <w:r>
        <w:rPr>
          <w:rStyle w:val="CharSClsNo"/>
        </w:rPr>
        <w:t>3</w:t>
      </w:r>
      <w:r>
        <w:rPr>
          <w:snapToGrid w:val="0"/>
        </w:rPr>
        <w:t>.</w:t>
      </w:r>
      <w:r>
        <w:rPr>
          <w:snapToGrid w:val="0"/>
        </w:rPr>
        <w:tab/>
        <w:t>Call backs, who can take part in</w:t>
      </w:r>
      <w:bookmarkEnd w:id="315"/>
      <w:bookmarkEnd w:id="316"/>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317" w:name="_Toc154068014"/>
      <w:bookmarkStart w:id="318" w:name="_Toc155081618"/>
      <w:r>
        <w:rPr>
          <w:rStyle w:val="CharSClsNo"/>
        </w:rPr>
        <w:t>4</w:t>
      </w:r>
      <w:r>
        <w:rPr>
          <w:snapToGrid w:val="0"/>
        </w:rPr>
        <w:t>.</w:t>
      </w:r>
      <w:r>
        <w:rPr>
          <w:snapToGrid w:val="0"/>
        </w:rPr>
        <w:tab/>
        <w:t>Bingo cards</w:t>
      </w:r>
      <w:bookmarkEnd w:id="317"/>
      <w:bookmarkEnd w:id="318"/>
    </w:p>
    <w:p>
      <w:pPr>
        <w:pStyle w:val="ySubsection"/>
        <w:spacing w:before="140"/>
        <w:rPr>
          <w:snapToGrid w:val="0"/>
        </w:rPr>
      </w:pPr>
      <w:r>
        <w:rPr>
          <w:snapToGrid w:val="0"/>
        </w:rPr>
        <w:tab/>
        <w:t>(1)</w:t>
      </w:r>
      <w:r>
        <w:rPr>
          <w:snapToGrid w:val="0"/>
        </w:rPr>
        <w:tab/>
        <w:t xml:space="preserve">Every bingo card must have </w:t>
      </w:r>
      <w:r>
        <w:t>on it 15 numbers printed or reproduced by electronic means.</w:t>
      </w:r>
    </w:p>
    <w:p>
      <w:pPr>
        <w:pStyle w:val="ySubsection"/>
        <w:spacing w:before="140"/>
        <w:rPr>
          <w:snapToGrid w:val="0"/>
        </w:rPr>
      </w:pPr>
      <w:r>
        <w:rPr>
          <w:snapToGrid w:val="0"/>
        </w:rPr>
        <w:tab/>
        <w:t>(2)</w:t>
      </w:r>
      <w:r>
        <w:rPr>
          <w:snapToGrid w:val="0"/>
        </w:rPr>
        <w:tab/>
        <w:t>All cards used in any one game must bear the same game number, and that number must be announced to players immediately before the commencement of each game.</w:t>
      </w:r>
    </w:p>
    <w:p>
      <w:pPr>
        <w:pStyle w:val="yFootnotesection"/>
        <w:keepLines w:val="0"/>
      </w:pPr>
      <w:r>
        <w:tab/>
        <w:t>[Clause 4 amended: SL 2020/10 r. 5.]</w:t>
      </w:r>
    </w:p>
    <w:p>
      <w:pPr>
        <w:pStyle w:val="yHeading5"/>
        <w:rPr>
          <w:snapToGrid w:val="0"/>
        </w:rPr>
      </w:pPr>
      <w:bookmarkStart w:id="319" w:name="_Toc154068015"/>
      <w:bookmarkStart w:id="320" w:name="_Toc155081619"/>
      <w:r>
        <w:rPr>
          <w:rStyle w:val="CharSClsNo"/>
        </w:rPr>
        <w:t>5</w:t>
      </w:r>
      <w:r>
        <w:rPr>
          <w:snapToGrid w:val="0"/>
        </w:rPr>
        <w:t>.</w:t>
      </w:r>
      <w:r>
        <w:rPr>
          <w:snapToGrid w:val="0"/>
        </w:rPr>
        <w:tab/>
        <w:t>Split games</w:t>
      </w:r>
      <w:bookmarkEnd w:id="319"/>
      <w:bookmarkEnd w:id="320"/>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Gazette 15 Feb 1994 p. 553.]</w:t>
      </w:r>
    </w:p>
    <w:p>
      <w:pPr>
        <w:pStyle w:val="yHeading5"/>
        <w:rPr>
          <w:snapToGrid w:val="0"/>
        </w:rPr>
      </w:pPr>
      <w:bookmarkStart w:id="321" w:name="_Toc154068016"/>
      <w:bookmarkStart w:id="322" w:name="_Toc155081620"/>
      <w:r>
        <w:rPr>
          <w:rStyle w:val="CharSClsNo"/>
        </w:rPr>
        <w:t>5A</w:t>
      </w:r>
      <w:r>
        <w:rPr>
          <w:snapToGrid w:val="0"/>
        </w:rPr>
        <w:t>.</w:t>
      </w:r>
      <w:r>
        <w:rPr>
          <w:snapToGrid w:val="0"/>
        </w:rPr>
        <w:tab/>
        <w:t>Prizes, who is eligible for</w:t>
      </w:r>
      <w:bookmarkEnd w:id="321"/>
      <w:bookmarkEnd w:id="322"/>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Gazette 15 Feb 1994 p. 553.]</w:t>
      </w:r>
    </w:p>
    <w:p>
      <w:pPr>
        <w:pStyle w:val="yHeading5"/>
        <w:rPr>
          <w:snapToGrid w:val="0"/>
        </w:rPr>
      </w:pPr>
      <w:bookmarkStart w:id="323" w:name="_Toc154068017"/>
      <w:bookmarkStart w:id="324" w:name="_Toc155081621"/>
      <w:r>
        <w:rPr>
          <w:rStyle w:val="CharSClsNo"/>
        </w:rPr>
        <w:t>5B</w:t>
      </w:r>
      <w:r>
        <w:rPr>
          <w:snapToGrid w:val="0"/>
        </w:rPr>
        <w:t>.</w:t>
      </w:r>
      <w:r>
        <w:rPr>
          <w:snapToGrid w:val="0"/>
        </w:rPr>
        <w:tab/>
        <w:t>When games conclude</w:t>
      </w:r>
      <w:bookmarkEnd w:id="323"/>
      <w:bookmarkEnd w:id="324"/>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Gazette 15 Feb 1994 p. 553.]</w:t>
      </w:r>
    </w:p>
    <w:p>
      <w:pPr>
        <w:pStyle w:val="yHeading5"/>
        <w:rPr>
          <w:snapToGrid w:val="0"/>
        </w:rPr>
      </w:pPr>
      <w:bookmarkStart w:id="325" w:name="_Toc154068018"/>
      <w:bookmarkStart w:id="326" w:name="_Toc155081622"/>
      <w:r>
        <w:rPr>
          <w:rStyle w:val="CharSClsNo"/>
        </w:rPr>
        <w:t>6</w:t>
      </w:r>
      <w:r>
        <w:rPr>
          <w:snapToGrid w:val="0"/>
        </w:rPr>
        <w:t>.</w:t>
      </w:r>
      <w:r>
        <w:rPr>
          <w:snapToGrid w:val="0"/>
        </w:rPr>
        <w:tab/>
        <w:t>Miscellaneous rules</w:t>
      </w:r>
      <w:bookmarkEnd w:id="325"/>
      <w:bookmarkEnd w:id="326"/>
    </w:p>
    <w:p>
      <w:pPr>
        <w:pStyle w:val="ySubsection"/>
        <w:keepNext/>
        <w:rPr>
          <w:snapToGrid w:val="0"/>
        </w:rPr>
      </w:pPr>
      <w:r>
        <w:rPr>
          <w:snapToGrid w:val="0"/>
        </w:rPr>
        <w:tab/>
      </w:r>
      <w:r>
        <w:rPr>
          <w:snapToGrid w:val="0"/>
        </w:rPr>
        <w:tab/>
        <w:t>Except where the gaming permit authorises it —</w:t>
      </w:r>
    </w:p>
    <w:p>
      <w:pPr>
        <w:pStyle w:val="yIndenta"/>
        <w:keepNext/>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Gazette 6 Apr 1990 p. 1769; amended: Gazette 16 May 1997 p. 2394; 22 Aug 2006 p. 3468.]</w:t>
      </w:r>
    </w:p>
    <w:p>
      <w:pPr>
        <w:pStyle w:val="yHeading5"/>
        <w:rPr>
          <w:snapToGrid w:val="0"/>
        </w:rPr>
      </w:pPr>
      <w:bookmarkStart w:id="327" w:name="_Toc154068019"/>
      <w:bookmarkStart w:id="328" w:name="_Toc155081623"/>
      <w:r>
        <w:rPr>
          <w:rStyle w:val="CharSClsNo"/>
        </w:rPr>
        <w:t>7</w:t>
      </w:r>
      <w:r>
        <w:rPr>
          <w:snapToGrid w:val="0"/>
        </w:rPr>
        <w:t>.</w:t>
      </w:r>
      <w:r>
        <w:rPr>
          <w:snapToGrid w:val="0"/>
        </w:rPr>
        <w:tab/>
        <w:t>Prizes, announcement of etc.</w:t>
      </w:r>
      <w:bookmarkEnd w:id="327"/>
      <w:bookmarkEnd w:id="328"/>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Gazette 16 May 1997 p. 2394.]</w:t>
      </w:r>
    </w:p>
    <w:p>
      <w:pPr>
        <w:pStyle w:val="yHeading5"/>
        <w:rPr>
          <w:snapToGrid w:val="0"/>
        </w:rPr>
      </w:pPr>
      <w:bookmarkStart w:id="329" w:name="_Toc154068020"/>
      <w:bookmarkStart w:id="330" w:name="_Toc155081624"/>
      <w:r>
        <w:rPr>
          <w:rStyle w:val="CharSClsNo"/>
        </w:rPr>
        <w:t>8</w:t>
      </w:r>
      <w:r>
        <w:rPr>
          <w:snapToGrid w:val="0"/>
        </w:rPr>
        <w:t>.</w:t>
      </w:r>
      <w:r>
        <w:rPr>
          <w:snapToGrid w:val="0"/>
        </w:rPr>
        <w:tab/>
        <w:t>Prize shared if more than one winner</w:t>
      </w:r>
      <w:bookmarkEnd w:id="329"/>
      <w:bookmarkEnd w:id="330"/>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Gazette 16 May 1997 p. 2394.]</w:t>
      </w:r>
    </w:p>
    <w:p>
      <w:pPr>
        <w:pStyle w:val="yHeading5"/>
        <w:rPr>
          <w:snapToGrid w:val="0"/>
        </w:rPr>
      </w:pPr>
      <w:bookmarkStart w:id="331" w:name="_Toc154068021"/>
      <w:bookmarkStart w:id="332" w:name="_Toc155081625"/>
      <w:r>
        <w:rPr>
          <w:rStyle w:val="CharSClsNo"/>
        </w:rPr>
        <w:t>9</w:t>
      </w:r>
      <w:r>
        <w:rPr>
          <w:snapToGrid w:val="0"/>
        </w:rPr>
        <w:t>.</w:t>
      </w:r>
      <w:r>
        <w:rPr>
          <w:snapToGrid w:val="0"/>
        </w:rPr>
        <w:tab/>
        <w:t>Prizes paid as soon as practicable</w:t>
      </w:r>
      <w:bookmarkEnd w:id="331"/>
      <w:bookmarkEnd w:id="332"/>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333" w:name="_Toc154068022"/>
      <w:bookmarkStart w:id="334" w:name="_Toc155081626"/>
      <w:r>
        <w:rPr>
          <w:rStyle w:val="CharSClsNo"/>
        </w:rPr>
        <w:t>10</w:t>
      </w:r>
      <w:r>
        <w:rPr>
          <w:snapToGrid w:val="0"/>
        </w:rPr>
        <w:t>.</w:t>
      </w:r>
      <w:r>
        <w:rPr>
          <w:snapToGrid w:val="0"/>
        </w:rPr>
        <w:tab/>
        <w:t>Player who makes incorrect call allowed to continue play</w:t>
      </w:r>
      <w:bookmarkEnd w:id="333"/>
      <w:bookmarkEnd w:id="334"/>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Gazette 15 Feb 1994 p. 554.]</w:t>
      </w:r>
    </w:p>
    <w:p>
      <w:pPr>
        <w:pStyle w:val="yHeading5"/>
        <w:rPr>
          <w:snapToGrid w:val="0"/>
        </w:rPr>
      </w:pPr>
      <w:bookmarkStart w:id="335" w:name="_Toc154068023"/>
      <w:bookmarkStart w:id="336" w:name="_Toc155081627"/>
      <w:r>
        <w:rPr>
          <w:rStyle w:val="CharSClsNo"/>
        </w:rPr>
        <w:t>11</w:t>
      </w:r>
      <w:r>
        <w:rPr>
          <w:snapToGrid w:val="0"/>
        </w:rPr>
        <w:t>.</w:t>
      </w:r>
      <w:r>
        <w:rPr>
          <w:snapToGrid w:val="0"/>
        </w:rPr>
        <w:tab/>
        <w:t>Late calls by players</w:t>
      </w:r>
      <w:bookmarkEnd w:id="335"/>
      <w:bookmarkEnd w:id="336"/>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Gazette 15 Feb 1994 p. 554.]</w:t>
      </w:r>
    </w:p>
    <w:p>
      <w:pPr>
        <w:pStyle w:val="yHeading5"/>
        <w:rPr>
          <w:snapToGrid w:val="0"/>
        </w:rPr>
      </w:pPr>
      <w:bookmarkStart w:id="337" w:name="_Toc154068024"/>
      <w:bookmarkStart w:id="338" w:name="_Toc155081628"/>
      <w:r>
        <w:rPr>
          <w:rStyle w:val="CharSClsNo"/>
        </w:rPr>
        <w:t>12</w:t>
      </w:r>
      <w:r>
        <w:rPr>
          <w:snapToGrid w:val="0"/>
        </w:rPr>
        <w:t>.</w:t>
      </w:r>
      <w:r>
        <w:rPr>
          <w:snapToGrid w:val="0"/>
        </w:rPr>
        <w:tab/>
        <w:t>Calls must be acknowledged</w:t>
      </w:r>
      <w:bookmarkEnd w:id="337"/>
      <w:bookmarkEnd w:id="338"/>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Gazette 15 Feb 1994 p. 554.]</w:t>
      </w:r>
    </w:p>
    <w:p>
      <w:pPr>
        <w:pStyle w:val="yHeading3"/>
      </w:pPr>
      <w:bookmarkStart w:id="339" w:name="_Toc153979811"/>
      <w:bookmarkStart w:id="340" w:name="_Toc154049855"/>
      <w:bookmarkStart w:id="341" w:name="_Toc154068025"/>
      <w:bookmarkStart w:id="342" w:name="_Toc155081629"/>
      <w:r>
        <w:rPr>
          <w:rStyle w:val="CharSDivNo"/>
        </w:rPr>
        <w:t>Part 2</w:t>
      </w:r>
      <w:r>
        <w:t> — </w:t>
      </w:r>
      <w:r>
        <w:rPr>
          <w:rStyle w:val="CharSDivText"/>
        </w:rPr>
        <w:t>Permitted lotteries</w:t>
      </w:r>
      <w:bookmarkEnd w:id="339"/>
      <w:bookmarkEnd w:id="340"/>
      <w:bookmarkEnd w:id="341"/>
      <w:bookmarkEnd w:id="342"/>
    </w:p>
    <w:p>
      <w:pPr>
        <w:pStyle w:val="yHeading4"/>
        <w:rPr>
          <w:snapToGrid w:val="0"/>
        </w:rPr>
      </w:pPr>
      <w:bookmarkStart w:id="343" w:name="_Toc153979812"/>
      <w:bookmarkStart w:id="344" w:name="_Toc154049856"/>
      <w:bookmarkStart w:id="345" w:name="_Toc154068026"/>
      <w:bookmarkStart w:id="346" w:name="_Toc155081630"/>
      <w:r>
        <w:rPr>
          <w:snapToGrid w:val="0"/>
        </w:rPr>
        <w:t>Division 1 — Rules for the conduct of a standard lottery</w:t>
      </w:r>
      <w:bookmarkEnd w:id="343"/>
      <w:bookmarkEnd w:id="344"/>
      <w:bookmarkEnd w:id="345"/>
      <w:bookmarkEnd w:id="346"/>
    </w:p>
    <w:p>
      <w:pPr>
        <w:pStyle w:val="yHeading5"/>
        <w:rPr>
          <w:snapToGrid w:val="0"/>
        </w:rPr>
      </w:pPr>
      <w:bookmarkStart w:id="347" w:name="_Toc154068027"/>
      <w:bookmarkStart w:id="348" w:name="_Toc155081631"/>
      <w:r>
        <w:rPr>
          <w:rStyle w:val="CharSClsNo"/>
        </w:rPr>
        <w:t>1</w:t>
      </w:r>
      <w:r>
        <w:rPr>
          <w:snapToGrid w:val="0"/>
        </w:rPr>
        <w:t>.</w:t>
      </w:r>
      <w:r>
        <w:rPr>
          <w:snapToGrid w:val="0"/>
        </w:rPr>
        <w:tab/>
        <w:t>Chances, number of etc.</w:t>
      </w:r>
      <w:bookmarkEnd w:id="347"/>
      <w:bookmarkEnd w:id="348"/>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Gazette 11 May 1993 p. 2399.]</w:t>
      </w:r>
    </w:p>
    <w:p>
      <w:pPr>
        <w:pStyle w:val="yHeading5"/>
        <w:rPr>
          <w:snapToGrid w:val="0"/>
        </w:rPr>
      </w:pPr>
      <w:bookmarkStart w:id="349" w:name="_Toc154068028"/>
      <w:bookmarkStart w:id="350" w:name="_Toc155081632"/>
      <w:r>
        <w:rPr>
          <w:rStyle w:val="CharSClsNo"/>
        </w:rPr>
        <w:t>2</w:t>
      </w:r>
      <w:r>
        <w:rPr>
          <w:snapToGrid w:val="0"/>
        </w:rPr>
        <w:t>.</w:t>
      </w:r>
      <w:r>
        <w:rPr>
          <w:snapToGrid w:val="0"/>
        </w:rPr>
        <w:tab/>
        <w:t>Chances, information on</w:t>
      </w:r>
      <w:bookmarkEnd w:id="349"/>
      <w:bookmarkEnd w:id="350"/>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Gazette 11 May 1993 p. 2399; 23 Feb 1996 p. 675; 28 Jun 1996 p. 3100; 27 Oct 2000 p. 6030.]</w:t>
      </w:r>
    </w:p>
    <w:p>
      <w:pPr>
        <w:pStyle w:val="yHeading5"/>
        <w:rPr>
          <w:snapToGrid w:val="0"/>
        </w:rPr>
      </w:pPr>
      <w:bookmarkStart w:id="351" w:name="_Toc154068029"/>
      <w:bookmarkStart w:id="352" w:name="_Toc155081633"/>
      <w:r>
        <w:rPr>
          <w:rStyle w:val="CharSClsNo"/>
        </w:rPr>
        <w:t>2A</w:t>
      </w:r>
      <w:r>
        <w:rPr>
          <w:snapToGrid w:val="0"/>
        </w:rPr>
        <w:t>.</w:t>
      </w:r>
      <w:r>
        <w:rPr>
          <w:snapToGrid w:val="0"/>
        </w:rPr>
        <w:tab/>
        <w:t>Chance holders, identification of</w:t>
      </w:r>
      <w:bookmarkEnd w:id="351"/>
      <w:bookmarkEnd w:id="352"/>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Gazette 11 May 1993 p. 2399.]</w:t>
      </w:r>
    </w:p>
    <w:p>
      <w:pPr>
        <w:pStyle w:val="yHeading5"/>
        <w:rPr>
          <w:snapToGrid w:val="0"/>
        </w:rPr>
      </w:pPr>
      <w:bookmarkStart w:id="353" w:name="_Toc154068030"/>
      <w:bookmarkStart w:id="354" w:name="_Toc155081634"/>
      <w:r>
        <w:rPr>
          <w:rStyle w:val="CharSClsNo"/>
        </w:rPr>
        <w:t>3</w:t>
      </w:r>
      <w:r>
        <w:rPr>
          <w:snapToGrid w:val="0"/>
        </w:rPr>
        <w:t>.</w:t>
      </w:r>
      <w:r>
        <w:rPr>
          <w:snapToGrid w:val="0"/>
        </w:rPr>
        <w:tab/>
        <w:t>Results of draw</w:t>
      </w:r>
      <w:bookmarkEnd w:id="353"/>
      <w:bookmarkEnd w:id="354"/>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keepNext/>
        <w:rPr>
          <w:snapToGrid w:val="0"/>
        </w:rPr>
      </w:pPr>
      <w:r>
        <w:rPr>
          <w:snapToGrid w:val="0"/>
        </w:rPr>
        <w:tab/>
        <w:t>(c)</w:t>
      </w:r>
      <w:r>
        <w:rPr>
          <w:snapToGrid w:val="0"/>
        </w:rPr>
        <w:tab/>
        <w:t>the manner in which prizes may be claimed,</w:t>
      </w:r>
    </w:p>
    <w:p>
      <w:pPr>
        <w:pStyle w:val="ySubsection"/>
        <w:keepNext/>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Gazette 28 Jun 1996 p. 3100.]</w:t>
      </w:r>
    </w:p>
    <w:p>
      <w:pPr>
        <w:pStyle w:val="yHeading5"/>
        <w:rPr>
          <w:snapToGrid w:val="0"/>
        </w:rPr>
      </w:pPr>
      <w:bookmarkStart w:id="355" w:name="_Toc154068031"/>
      <w:bookmarkStart w:id="356" w:name="_Toc155081635"/>
      <w:r>
        <w:rPr>
          <w:rStyle w:val="CharSClsNo"/>
        </w:rPr>
        <w:t>4</w:t>
      </w:r>
      <w:r>
        <w:rPr>
          <w:snapToGrid w:val="0"/>
        </w:rPr>
        <w:t>.</w:t>
      </w:r>
      <w:r>
        <w:rPr>
          <w:snapToGrid w:val="0"/>
        </w:rPr>
        <w:tab/>
        <w:t>Order in which prizes are to be drawn</w:t>
      </w:r>
      <w:bookmarkEnd w:id="355"/>
      <w:bookmarkEnd w:id="356"/>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Gazette 11 May 1993 p. 2399.]</w:t>
      </w:r>
    </w:p>
    <w:p>
      <w:pPr>
        <w:pStyle w:val="yHeading4"/>
        <w:rPr>
          <w:snapToGrid w:val="0"/>
        </w:rPr>
      </w:pPr>
      <w:bookmarkStart w:id="357" w:name="_Toc153979818"/>
      <w:bookmarkStart w:id="358" w:name="_Toc154049862"/>
      <w:bookmarkStart w:id="359" w:name="_Toc154068032"/>
      <w:bookmarkStart w:id="360" w:name="_Toc155081636"/>
      <w:r>
        <w:rPr>
          <w:snapToGrid w:val="0"/>
        </w:rPr>
        <w:t>Division 2 — Rules for the conduct of a continuing lottery</w:t>
      </w:r>
      <w:bookmarkEnd w:id="357"/>
      <w:bookmarkEnd w:id="358"/>
      <w:bookmarkEnd w:id="359"/>
      <w:bookmarkEnd w:id="360"/>
    </w:p>
    <w:p>
      <w:pPr>
        <w:pStyle w:val="yHeading5"/>
        <w:rPr>
          <w:snapToGrid w:val="0"/>
        </w:rPr>
      </w:pPr>
      <w:bookmarkStart w:id="361" w:name="_Toc154068033"/>
      <w:bookmarkStart w:id="362" w:name="_Toc155081637"/>
      <w:r>
        <w:rPr>
          <w:rStyle w:val="CharSClsNo"/>
        </w:rPr>
        <w:t>1</w:t>
      </w:r>
      <w:r>
        <w:rPr>
          <w:snapToGrid w:val="0"/>
        </w:rPr>
        <w:t>.</w:t>
      </w:r>
      <w:r>
        <w:rPr>
          <w:snapToGrid w:val="0"/>
        </w:rPr>
        <w:tab/>
        <w:t>Information on each ticket</w:t>
      </w:r>
      <w:bookmarkEnd w:id="361"/>
      <w:bookmarkEnd w:id="362"/>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363" w:name="_Toc154068034"/>
      <w:bookmarkStart w:id="364" w:name="_Toc155081638"/>
      <w:r>
        <w:rPr>
          <w:rStyle w:val="CharSClsNo"/>
        </w:rPr>
        <w:t>2</w:t>
      </w:r>
      <w:r>
        <w:rPr>
          <w:snapToGrid w:val="0"/>
        </w:rPr>
        <w:t>.</w:t>
      </w:r>
      <w:r>
        <w:rPr>
          <w:snapToGrid w:val="0"/>
        </w:rPr>
        <w:tab/>
        <w:t>Where tickets may be sold</w:t>
      </w:r>
      <w:bookmarkEnd w:id="363"/>
      <w:bookmarkEnd w:id="364"/>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Gazette 4 Aug 1992 p. 3831.]</w:t>
      </w:r>
    </w:p>
    <w:p>
      <w:pPr>
        <w:sectPr>
          <w:headerReference w:type="even" r:id="rId26"/>
          <w:headerReference w:type="default" r:id="rId27"/>
          <w:headerReference w:type="first" r:id="rId28"/>
          <w:pgSz w:w="11907" w:h="16840" w:code="9"/>
          <w:pgMar w:top="2376" w:right="2404" w:bottom="3544" w:left="2404" w:header="709" w:footer="3544" w:gutter="0"/>
          <w:cols w:space="720"/>
          <w:noEndnote/>
          <w:docGrid w:linePitch="326"/>
        </w:sectPr>
      </w:pPr>
    </w:p>
    <w:p>
      <w:pPr>
        <w:pStyle w:val="yScheduleHeading"/>
      </w:pPr>
      <w:bookmarkStart w:id="365" w:name="_Toc153979821"/>
      <w:bookmarkStart w:id="366" w:name="_Toc154049865"/>
      <w:bookmarkStart w:id="367" w:name="_Toc154068035"/>
      <w:bookmarkStart w:id="368" w:name="_Toc155081639"/>
      <w:r>
        <w:rPr>
          <w:rStyle w:val="CharSchNo"/>
        </w:rPr>
        <w:t>Schedule 5</w:t>
      </w:r>
      <w:r>
        <w:rPr>
          <w:rStyle w:val="CharSDivNo"/>
        </w:rPr>
        <w:t> </w:t>
      </w:r>
      <w:r>
        <w:t>—</w:t>
      </w:r>
      <w:r>
        <w:rPr>
          <w:rStyle w:val="CharSDivText"/>
        </w:rPr>
        <w:t> </w:t>
      </w:r>
      <w:r>
        <w:rPr>
          <w:rStyle w:val="CharSchText"/>
        </w:rPr>
        <w:t>Conditions for trade promotion lottery</w:t>
      </w:r>
      <w:bookmarkEnd w:id="365"/>
      <w:bookmarkEnd w:id="366"/>
      <w:bookmarkEnd w:id="367"/>
      <w:bookmarkEnd w:id="368"/>
    </w:p>
    <w:p>
      <w:pPr>
        <w:pStyle w:val="yShoulderClause"/>
      </w:pPr>
      <w:r>
        <w:t>[r. 36A]</w:t>
      </w:r>
    </w:p>
    <w:p>
      <w:pPr>
        <w:pStyle w:val="yFootnoteheading"/>
      </w:pPr>
      <w:r>
        <w:tab/>
        <w:t>[Heading inserted: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keepNext/>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4" w:bottom="3544" w:left="2404" w:header="709" w:footer="3544" w:gutter="0"/>
          <w:cols w:space="720"/>
          <w:noEndnote/>
          <w:docGrid w:linePitch="326"/>
        </w:sectPr>
      </w:pPr>
    </w:p>
    <w:p>
      <w:pPr>
        <w:pStyle w:val="nHeading2"/>
      </w:pPr>
      <w:bookmarkStart w:id="369" w:name="_Toc153979822"/>
      <w:bookmarkStart w:id="370" w:name="_Toc154049866"/>
      <w:bookmarkStart w:id="371" w:name="_Toc154068036"/>
      <w:bookmarkStart w:id="372" w:name="_Toc155081640"/>
      <w:r>
        <w:t>Notes</w:t>
      </w:r>
      <w:bookmarkEnd w:id="369"/>
      <w:bookmarkEnd w:id="370"/>
      <w:bookmarkEnd w:id="371"/>
      <w:bookmarkEnd w:id="372"/>
    </w:p>
    <w:p>
      <w:pPr>
        <w:pStyle w:val="nStatement"/>
      </w:pPr>
      <w:r>
        <w:t xml:space="preserve">This is a compilation of the </w:t>
      </w:r>
      <w:r>
        <w:rPr>
          <w:i/>
          <w:noProof/>
        </w:rPr>
        <w:t>Gaming and Wagering Commission Regulations 1988</w:t>
      </w:r>
      <w:r>
        <w:t xml:space="preserve"> and includes amendments made by other written laws</w:t>
      </w:r>
      <w:r>
        <w:rPr>
          <w:vertAlign w:val="superscript"/>
        </w:rPr>
        <w:t> 3</w:t>
      </w:r>
      <w:r>
        <w:t xml:space="preserve">. For provisions that have come into operation, and for information about any reprints, see the compilation table. </w:t>
      </w:r>
      <w:del w:id="373" w:author="Master Repository Process" w:date="2025-05-29T14:29:00Z">
        <w:r>
          <w:delText>For provisions that have not yet come into operation see the uncommenced provisions table.</w:delText>
        </w:r>
      </w:del>
    </w:p>
    <w:p>
      <w:pPr>
        <w:pStyle w:val="nHeading3"/>
      </w:pPr>
      <w:bookmarkStart w:id="374" w:name="_Toc154068037"/>
      <w:bookmarkStart w:id="375" w:name="_Toc155081641"/>
      <w:r>
        <w:t>Compilation table</w:t>
      </w:r>
      <w:bookmarkEnd w:id="374"/>
      <w:bookmarkEnd w:id="375"/>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Commission Regulations 1988</w:t>
            </w:r>
            <w:r>
              <w:rPr>
                <w:snapToGrid w:val="0"/>
                <w:vertAlign w:val="superscript"/>
              </w:rPr>
              <w:t> 4</w:t>
            </w:r>
          </w:p>
        </w:tc>
        <w:tc>
          <w:tcPr>
            <w:tcW w:w="1276" w:type="dxa"/>
          </w:tcPr>
          <w:p>
            <w:pPr>
              <w:pStyle w:val="nTable"/>
              <w:spacing w:after="40"/>
            </w:pPr>
            <w:r>
              <w:t>29 Apr 1988 p. 1295</w:t>
            </w:r>
            <w:r>
              <w:noBreakHyphen/>
              <w:t>304</w:t>
            </w:r>
          </w:p>
        </w:tc>
        <w:tc>
          <w:tcPr>
            <w:tcW w:w="2693" w:type="dxa"/>
          </w:tcPr>
          <w:p>
            <w:pPr>
              <w:pStyle w:val="nTable"/>
              <w:spacing w:after="40"/>
            </w:pPr>
            <w:r>
              <w:t>2 May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1988</w:t>
            </w:r>
          </w:p>
        </w:tc>
        <w:tc>
          <w:tcPr>
            <w:tcW w:w="1276" w:type="dxa"/>
          </w:tcPr>
          <w:p>
            <w:pPr>
              <w:pStyle w:val="nTable"/>
              <w:spacing w:after="40"/>
            </w:pPr>
            <w:r>
              <w:t>7 Oct 1988 p. 4106</w:t>
            </w:r>
          </w:p>
        </w:tc>
        <w:tc>
          <w:tcPr>
            <w:tcW w:w="2693" w:type="dxa"/>
          </w:tcPr>
          <w:p>
            <w:pPr>
              <w:pStyle w:val="nTable"/>
              <w:spacing w:after="40"/>
            </w:pPr>
            <w:r>
              <w:t>7 Oct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1988</w:t>
            </w:r>
          </w:p>
        </w:tc>
        <w:tc>
          <w:tcPr>
            <w:tcW w:w="1276" w:type="dxa"/>
          </w:tcPr>
          <w:p>
            <w:pPr>
              <w:pStyle w:val="nTable"/>
              <w:spacing w:after="40"/>
            </w:pPr>
            <w:r>
              <w:t>18 Nov 1988 p. 4527</w:t>
            </w:r>
            <w:r>
              <w:noBreakHyphen/>
              <w:t>9</w:t>
            </w:r>
          </w:p>
        </w:tc>
        <w:tc>
          <w:tcPr>
            <w:tcW w:w="2693" w:type="dxa"/>
          </w:tcPr>
          <w:p>
            <w:pPr>
              <w:pStyle w:val="nTable"/>
              <w:spacing w:after="40"/>
            </w:pPr>
            <w:r>
              <w:t>18 Nov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1989</w:t>
            </w:r>
          </w:p>
        </w:tc>
        <w:tc>
          <w:tcPr>
            <w:tcW w:w="1276" w:type="dxa"/>
          </w:tcPr>
          <w:p>
            <w:pPr>
              <w:pStyle w:val="nTable"/>
              <w:spacing w:after="40"/>
            </w:pPr>
            <w:r>
              <w:t>26 May 1989 p. 1548</w:t>
            </w:r>
          </w:p>
        </w:tc>
        <w:tc>
          <w:tcPr>
            <w:tcW w:w="2693" w:type="dxa"/>
          </w:tcPr>
          <w:p>
            <w:pPr>
              <w:pStyle w:val="nTable"/>
              <w:spacing w:after="40"/>
            </w:pPr>
            <w:r>
              <w:t>26 May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1989</w:t>
            </w:r>
          </w:p>
        </w:tc>
        <w:tc>
          <w:tcPr>
            <w:tcW w:w="1276" w:type="dxa"/>
          </w:tcPr>
          <w:p>
            <w:pPr>
              <w:pStyle w:val="nTable"/>
              <w:spacing w:after="40"/>
            </w:pPr>
            <w:r>
              <w:t>4 Aug 1989 p. 2497</w:t>
            </w:r>
            <w:r>
              <w:noBreakHyphen/>
              <w:t>500</w:t>
            </w:r>
          </w:p>
        </w:tc>
        <w:tc>
          <w:tcPr>
            <w:tcW w:w="2693" w:type="dxa"/>
          </w:tcPr>
          <w:p>
            <w:pPr>
              <w:pStyle w:val="nTable"/>
              <w:spacing w:after="40"/>
            </w:pPr>
            <w:r>
              <w:t>4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1989</w:t>
            </w:r>
          </w:p>
        </w:tc>
        <w:tc>
          <w:tcPr>
            <w:tcW w:w="1276" w:type="dxa"/>
          </w:tcPr>
          <w:p>
            <w:pPr>
              <w:pStyle w:val="nTable"/>
              <w:spacing w:after="40"/>
            </w:pPr>
            <w:r>
              <w:t>25 Aug 1989 p. 2835</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1989</w:t>
            </w:r>
          </w:p>
        </w:tc>
        <w:tc>
          <w:tcPr>
            <w:tcW w:w="1276" w:type="dxa"/>
          </w:tcPr>
          <w:p>
            <w:pPr>
              <w:pStyle w:val="nTable"/>
              <w:spacing w:after="40"/>
            </w:pPr>
            <w:r>
              <w:t>6 Apr 1990 p. 1768</w:t>
            </w:r>
            <w:r>
              <w:noBreakHyphen/>
              <w:t>9</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1990</w:t>
            </w:r>
          </w:p>
        </w:tc>
        <w:tc>
          <w:tcPr>
            <w:tcW w:w="1276" w:type="dxa"/>
          </w:tcPr>
          <w:p>
            <w:pPr>
              <w:pStyle w:val="nTable"/>
              <w:spacing w:after="40"/>
            </w:pPr>
            <w:r>
              <w:t>6 Apr 1990 p. 1770</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1990</w:t>
            </w:r>
          </w:p>
        </w:tc>
        <w:tc>
          <w:tcPr>
            <w:tcW w:w="1276" w:type="dxa"/>
          </w:tcPr>
          <w:p>
            <w:pPr>
              <w:pStyle w:val="nTable"/>
              <w:spacing w:after="40"/>
            </w:pPr>
            <w:r>
              <w:t>4 May 1990 p. 2243</w:t>
            </w:r>
          </w:p>
        </w:tc>
        <w:tc>
          <w:tcPr>
            <w:tcW w:w="2693" w:type="dxa"/>
          </w:tcPr>
          <w:p>
            <w:pPr>
              <w:pStyle w:val="nTable"/>
              <w:spacing w:after="40"/>
            </w:pPr>
            <w:r>
              <w:t>4 May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1990</w:t>
            </w:r>
          </w:p>
        </w:tc>
        <w:tc>
          <w:tcPr>
            <w:tcW w:w="1276" w:type="dxa"/>
          </w:tcPr>
          <w:p>
            <w:pPr>
              <w:pStyle w:val="nTable"/>
              <w:spacing w:after="40"/>
            </w:pPr>
            <w:r>
              <w:t>8 Feb 1991 p. 651</w:t>
            </w:r>
          </w:p>
        </w:tc>
        <w:tc>
          <w:tcPr>
            <w:tcW w:w="2693" w:type="dxa"/>
          </w:tcPr>
          <w:p>
            <w:pPr>
              <w:pStyle w:val="nTable"/>
              <w:spacing w:after="40"/>
            </w:pPr>
            <w:r>
              <w:t>8 Feb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1991</w:t>
            </w:r>
          </w:p>
        </w:tc>
        <w:tc>
          <w:tcPr>
            <w:tcW w:w="1276" w:type="dxa"/>
          </w:tcPr>
          <w:p>
            <w:pPr>
              <w:pStyle w:val="nTable"/>
              <w:spacing w:after="40"/>
            </w:pPr>
            <w:r>
              <w:t>27 Sep 1991 p. 5068</w:t>
            </w:r>
            <w:r>
              <w:noBreakHyphen/>
              <w:t>9</w:t>
            </w:r>
          </w:p>
        </w:tc>
        <w:tc>
          <w:tcPr>
            <w:tcW w:w="2693" w:type="dxa"/>
          </w:tcPr>
          <w:p>
            <w:pPr>
              <w:pStyle w:val="nTable"/>
              <w:spacing w:after="40"/>
            </w:pPr>
            <w:r>
              <w:t>27 Sep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1992</w:t>
            </w:r>
          </w:p>
        </w:tc>
        <w:tc>
          <w:tcPr>
            <w:tcW w:w="1276" w:type="dxa"/>
          </w:tcPr>
          <w:p>
            <w:pPr>
              <w:pStyle w:val="nTable"/>
              <w:spacing w:after="40"/>
            </w:pPr>
            <w:r>
              <w:t>27 Mar 1992 p. 1370</w:t>
            </w:r>
          </w:p>
        </w:tc>
        <w:tc>
          <w:tcPr>
            <w:tcW w:w="2693" w:type="dxa"/>
          </w:tcPr>
          <w:p>
            <w:pPr>
              <w:pStyle w:val="nTable"/>
              <w:spacing w:after="40"/>
            </w:pPr>
            <w:r>
              <w:t>27 Mar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1992</w:t>
            </w:r>
          </w:p>
        </w:tc>
        <w:tc>
          <w:tcPr>
            <w:tcW w:w="1276" w:type="dxa"/>
          </w:tcPr>
          <w:p>
            <w:pPr>
              <w:pStyle w:val="nTable"/>
              <w:spacing w:after="40"/>
            </w:pPr>
            <w:r>
              <w:t>4 Aug 1992 p. 3831</w:t>
            </w:r>
          </w:p>
        </w:tc>
        <w:tc>
          <w:tcPr>
            <w:tcW w:w="2693" w:type="dxa"/>
          </w:tcPr>
          <w:p>
            <w:pPr>
              <w:pStyle w:val="nTable"/>
              <w:spacing w:after="40"/>
            </w:pPr>
            <w:r>
              <w:t>4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1993</w:t>
            </w:r>
          </w:p>
        </w:tc>
        <w:tc>
          <w:tcPr>
            <w:tcW w:w="1276" w:type="dxa"/>
          </w:tcPr>
          <w:p>
            <w:pPr>
              <w:pStyle w:val="nTable"/>
              <w:spacing w:after="40"/>
            </w:pPr>
            <w:r>
              <w:t>30 Apr 1993 p. 2282</w:t>
            </w:r>
            <w:r>
              <w:noBreakHyphen/>
              <w:t>3</w:t>
            </w:r>
          </w:p>
        </w:tc>
        <w:tc>
          <w:tcPr>
            <w:tcW w:w="2693" w:type="dxa"/>
          </w:tcPr>
          <w:p>
            <w:pPr>
              <w:pStyle w:val="nTable"/>
              <w:spacing w:after="40"/>
            </w:pPr>
            <w:r>
              <w:t>30 Apr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1993</w:t>
            </w:r>
          </w:p>
        </w:tc>
        <w:tc>
          <w:tcPr>
            <w:tcW w:w="1276" w:type="dxa"/>
          </w:tcPr>
          <w:p>
            <w:pPr>
              <w:pStyle w:val="nTable"/>
              <w:spacing w:after="40"/>
            </w:pPr>
            <w:r>
              <w:t>11 May 1993 p. 2397</w:t>
            </w:r>
            <w:r>
              <w:noBreakHyphen/>
              <w:t>9</w:t>
            </w:r>
          </w:p>
        </w:tc>
        <w:tc>
          <w:tcPr>
            <w:tcW w:w="2693" w:type="dxa"/>
          </w:tcPr>
          <w:p>
            <w:pPr>
              <w:pStyle w:val="nTable"/>
              <w:spacing w:after="40"/>
            </w:pPr>
            <w:r>
              <w:t>11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1993</w:t>
            </w:r>
          </w:p>
        </w:tc>
        <w:tc>
          <w:tcPr>
            <w:tcW w:w="1276" w:type="dxa"/>
          </w:tcPr>
          <w:p>
            <w:pPr>
              <w:pStyle w:val="nTable"/>
              <w:spacing w:after="40"/>
            </w:pPr>
            <w:r>
              <w:t>21 May 1993 p. 2519</w:t>
            </w:r>
            <w:r>
              <w:noBreakHyphen/>
              <w:t>20</w:t>
            </w:r>
          </w:p>
        </w:tc>
        <w:tc>
          <w:tcPr>
            <w:tcW w:w="2693" w:type="dxa"/>
          </w:tcPr>
          <w:p>
            <w:pPr>
              <w:pStyle w:val="nTable"/>
              <w:spacing w:after="40"/>
            </w:pPr>
            <w:r>
              <w:t>21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1993</w:t>
            </w:r>
          </w:p>
        </w:tc>
        <w:tc>
          <w:tcPr>
            <w:tcW w:w="1276" w:type="dxa"/>
          </w:tcPr>
          <w:p>
            <w:pPr>
              <w:pStyle w:val="nTable"/>
              <w:spacing w:after="40"/>
            </w:pPr>
            <w:r>
              <w:t>6 Jul 1993 p. 3312</w:t>
            </w:r>
          </w:p>
        </w:tc>
        <w:tc>
          <w:tcPr>
            <w:tcW w:w="2693" w:type="dxa"/>
          </w:tcPr>
          <w:p>
            <w:pPr>
              <w:pStyle w:val="nTable"/>
              <w:spacing w:after="40"/>
            </w:pPr>
            <w:r>
              <w:t>6 Jul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5) 1993</w:t>
            </w:r>
          </w:p>
        </w:tc>
        <w:tc>
          <w:tcPr>
            <w:tcW w:w="1276" w:type="dxa"/>
          </w:tcPr>
          <w:p>
            <w:pPr>
              <w:pStyle w:val="nTable"/>
              <w:spacing w:after="40"/>
            </w:pPr>
            <w:r>
              <w:t>22 Oct 1993 p. 5805</w:t>
            </w:r>
            <w:r>
              <w:noBreakHyphen/>
              <w:t>6</w:t>
            </w:r>
          </w:p>
        </w:tc>
        <w:tc>
          <w:tcPr>
            <w:tcW w:w="2693" w:type="dxa"/>
          </w:tcPr>
          <w:p>
            <w:pPr>
              <w:pStyle w:val="nTable"/>
              <w:spacing w:after="40"/>
            </w:pPr>
            <w:r>
              <w:t>22 Oct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1994</w:t>
            </w:r>
          </w:p>
        </w:tc>
        <w:tc>
          <w:tcPr>
            <w:tcW w:w="1276" w:type="dxa"/>
          </w:tcPr>
          <w:p>
            <w:pPr>
              <w:pStyle w:val="nTable"/>
              <w:spacing w:after="40"/>
            </w:pPr>
            <w:r>
              <w:t>15 Feb 1994 p. 552</w:t>
            </w:r>
            <w:r>
              <w:noBreakHyphen/>
              <w:t>4</w:t>
            </w:r>
          </w:p>
        </w:tc>
        <w:tc>
          <w:tcPr>
            <w:tcW w:w="2693" w:type="dxa"/>
          </w:tcPr>
          <w:p>
            <w:pPr>
              <w:pStyle w:val="nTable"/>
              <w:spacing w:after="40"/>
            </w:pPr>
            <w:r>
              <w:t>15 Feb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1994</w:t>
            </w:r>
          </w:p>
        </w:tc>
        <w:tc>
          <w:tcPr>
            <w:tcW w:w="1276" w:type="dxa"/>
          </w:tcPr>
          <w:p>
            <w:pPr>
              <w:pStyle w:val="nTable"/>
              <w:spacing w:after="40"/>
            </w:pPr>
            <w:r>
              <w:t>22 Apr 1994 p. 1710</w:t>
            </w:r>
          </w:p>
        </w:tc>
        <w:tc>
          <w:tcPr>
            <w:tcW w:w="2693" w:type="dxa"/>
          </w:tcPr>
          <w:p>
            <w:pPr>
              <w:pStyle w:val="nTable"/>
              <w:spacing w:after="40"/>
            </w:pPr>
            <w:r>
              <w:t>22 Apr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1994</w:t>
            </w:r>
          </w:p>
        </w:tc>
        <w:tc>
          <w:tcPr>
            <w:tcW w:w="1276" w:type="dxa"/>
          </w:tcPr>
          <w:p>
            <w:pPr>
              <w:pStyle w:val="nTable"/>
              <w:spacing w:after="40"/>
            </w:pPr>
            <w:r>
              <w:t>6 Jan 1995 p. 27</w:t>
            </w:r>
            <w:r>
              <w:noBreakHyphen/>
              <w:t>8</w:t>
            </w:r>
          </w:p>
        </w:tc>
        <w:tc>
          <w:tcPr>
            <w:tcW w:w="2693" w:type="dxa"/>
          </w:tcPr>
          <w:p>
            <w:pPr>
              <w:pStyle w:val="nTable"/>
              <w:spacing w:after="40"/>
            </w:pPr>
            <w:r>
              <w:t>6 Jan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1995</w:t>
            </w:r>
          </w:p>
        </w:tc>
        <w:tc>
          <w:tcPr>
            <w:tcW w:w="1276" w:type="dxa"/>
          </w:tcPr>
          <w:p>
            <w:pPr>
              <w:pStyle w:val="nTable"/>
              <w:spacing w:after="40"/>
            </w:pPr>
            <w:r>
              <w:t>15 Dec 1995 p. 6124</w:t>
            </w:r>
            <w:r>
              <w:noBreakHyphen/>
              <w:t>5</w:t>
            </w:r>
          </w:p>
        </w:tc>
        <w:tc>
          <w:tcPr>
            <w:tcW w:w="2693" w:type="dxa"/>
          </w:tcPr>
          <w:p>
            <w:pPr>
              <w:pStyle w:val="nTable"/>
              <w:spacing w:after="40"/>
            </w:pPr>
            <w:r>
              <w:t>15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1996</w:t>
            </w:r>
          </w:p>
        </w:tc>
        <w:tc>
          <w:tcPr>
            <w:tcW w:w="1276" w:type="dxa"/>
          </w:tcPr>
          <w:p>
            <w:pPr>
              <w:pStyle w:val="nTable"/>
              <w:spacing w:after="40"/>
            </w:pPr>
            <w:r>
              <w:t>23 Feb 1996 p. 674</w:t>
            </w:r>
            <w:r>
              <w:noBreakHyphen/>
              <w:t>5</w:t>
            </w:r>
          </w:p>
        </w:tc>
        <w:tc>
          <w:tcPr>
            <w:tcW w:w="2693" w:type="dxa"/>
          </w:tcPr>
          <w:p>
            <w:pPr>
              <w:pStyle w:val="nTable"/>
              <w:spacing w:after="40"/>
            </w:pPr>
            <w:r>
              <w:t>23 Feb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1996</w:t>
            </w:r>
          </w:p>
        </w:tc>
        <w:tc>
          <w:tcPr>
            <w:tcW w:w="1276" w:type="dxa"/>
          </w:tcPr>
          <w:p>
            <w:pPr>
              <w:pStyle w:val="nTable"/>
              <w:spacing w:after="40"/>
            </w:pPr>
            <w:r>
              <w:t>28 Jun 1996 p. 3098</w:t>
            </w:r>
            <w:r>
              <w:noBreakHyphen/>
              <w:t>100</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1997</w:t>
            </w:r>
          </w:p>
        </w:tc>
        <w:tc>
          <w:tcPr>
            <w:tcW w:w="1276" w:type="dxa"/>
          </w:tcPr>
          <w:p>
            <w:pPr>
              <w:pStyle w:val="nTable"/>
              <w:spacing w:after="40"/>
            </w:pPr>
            <w:r>
              <w:t>16 May 1997 p. 2392</w:t>
            </w:r>
            <w:r>
              <w:noBreakHyphen/>
              <w:t>4</w:t>
            </w:r>
          </w:p>
        </w:tc>
        <w:tc>
          <w:tcPr>
            <w:tcW w:w="2693" w:type="dxa"/>
          </w:tcPr>
          <w:p>
            <w:pPr>
              <w:pStyle w:val="nTable"/>
              <w:spacing w:after="40"/>
            </w:pPr>
            <w:r>
              <w:t>16 May 1997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by </w:t>
            </w:r>
            <w:r>
              <w:rPr>
                <w:i/>
              </w:rPr>
              <w:t>Gazette</w:t>
            </w:r>
            <w:r>
              <w:t xml:space="preserve"> 11 Jul 1997 p. 3623</w:t>
            </w:r>
            <w:r>
              <w:noBreakHyphen/>
              <w:t>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1997</w:t>
            </w:r>
          </w:p>
        </w:tc>
        <w:tc>
          <w:tcPr>
            <w:tcW w:w="1276" w:type="dxa"/>
          </w:tcPr>
          <w:p>
            <w:pPr>
              <w:pStyle w:val="nTable"/>
              <w:spacing w:after="40"/>
            </w:pPr>
            <w:r>
              <w:t>14 Nov 1997 p. 6448</w:t>
            </w:r>
            <w:r>
              <w:noBreakHyphen/>
              <w:t>9</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1998</w:t>
            </w:r>
          </w:p>
        </w:tc>
        <w:tc>
          <w:tcPr>
            <w:tcW w:w="1276" w:type="dxa"/>
          </w:tcPr>
          <w:p>
            <w:pPr>
              <w:pStyle w:val="nTable"/>
              <w:spacing w:after="40"/>
            </w:pPr>
            <w:r>
              <w:t>4 Aug 1998 p. 3988</w:t>
            </w:r>
            <w:r>
              <w:noBreakHyphen/>
              <w:t>9</w:t>
            </w:r>
          </w:p>
        </w:tc>
        <w:tc>
          <w:tcPr>
            <w:tcW w:w="2693" w:type="dxa"/>
          </w:tcPr>
          <w:p>
            <w:pPr>
              <w:pStyle w:val="nTable"/>
              <w:spacing w:after="40"/>
            </w:pPr>
            <w:r>
              <w:t xml:space="preserve">5 Aug 1998 (see r. 2 and </w:t>
            </w:r>
            <w:r>
              <w:rPr>
                <w:i/>
              </w:rPr>
              <w:t>Gazette</w:t>
            </w:r>
            <w:r>
              <w:t xml:space="preserve"> 4 Aug 1998 p. 3981)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1998</w:t>
            </w:r>
          </w:p>
        </w:tc>
        <w:tc>
          <w:tcPr>
            <w:tcW w:w="1276" w:type="dxa"/>
          </w:tcPr>
          <w:p>
            <w:pPr>
              <w:pStyle w:val="nTable"/>
              <w:spacing w:after="40"/>
            </w:pPr>
            <w:r>
              <w:t>5 Feb 1999 p. 405</w:t>
            </w:r>
          </w:p>
        </w:tc>
        <w:tc>
          <w:tcPr>
            <w:tcW w:w="2693" w:type="dxa"/>
          </w:tcPr>
          <w:p>
            <w:pPr>
              <w:pStyle w:val="nTable"/>
              <w:spacing w:after="40"/>
            </w:pPr>
            <w:r>
              <w:t>5 Feb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1999</w:t>
            </w:r>
          </w:p>
        </w:tc>
        <w:tc>
          <w:tcPr>
            <w:tcW w:w="1276" w:type="dxa"/>
          </w:tcPr>
          <w:p>
            <w:pPr>
              <w:pStyle w:val="nTable"/>
              <w:spacing w:after="40"/>
            </w:pPr>
            <w:r>
              <w:t>2 Jul 1999 p. 2921</w:t>
            </w:r>
            <w:r>
              <w:noBreakHyphen/>
              <w:t>2</w:t>
            </w:r>
          </w:p>
        </w:tc>
        <w:tc>
          <w:tcPr>
            <w:tcW w:w="2693" w:type="dxa"/>
          </w:tcPr>
          <w:p>
            <w:pPr>
              <w:pStyle w:val="nTable"/>
              <w:spacing w:after="40"/>
            </w:pPr>
            <w:r>
              <w:t>2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2000</w:t>
            </w:r>
          </w:p>
        </w:tc>
        <w:tc>
          <w:tcPr>
            <w:tcW w:w="1276" w:type="dxa"/>
          </w:tcPr>
          <w:p>
            <w:pPr>
              <w:pStyle w:val="nTable"/>
              <w:spacing w:after="40"/>
            </w:pPr>
            <w:r>
              <w:t>12 May 2000 p. 2285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2000</w:t>
            </w:r>
          </w:p>
        </w:tc>
        <w:tc>
          <w:tcPr>
            <w:tcW w:w="1276" w:type="dxa"/>
          </w:tcPr>
          <w:p>
            <w:pPr>
              <w:pStyle w:val="nTable"/>
              <w:spacing w:after="40"/>
            </w:pPr>
            <w:r>
              <w:t>23 Jun 2000 p. 3206</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2000</w:t>
            </w:r>
          </w:p>
        </w:tc>
        <w:tc>
          <w:tcPr>
            <w:tcW w:w="1276" w:type="dxa"/>
          </w:tcPr>
          <w:p>
            <w:pPr>
              <w:pStyle w:val="nTable"/>
              <w:spacing w:after="40"/>
            </w:pPr>
            <w:r>
              <w:t>27 Oct 2000 p. 6030</w:t>
            </w:r>
          </w:p>
        </w:tc>
        <w:tc>
          <w:tcPr>
            <w:tcW w:w="2693" w:type="dxa"/>
          </w:tcPr>
          <w:p>
            <w:pPr>
              <w:pStyle w:val="nTable"/>
              <w:spacing w:after="40"/>
            </w:pPr>
            <w:r>
              <w:t>27 Oct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2001</w:t>
            </w:r>
          </w:p>
        </w:tc>
        <w:tc>
          <w:tcPr>
            <w:tcW w:w="1276" w:type="dxa"/>
          </w:tcPr>
          <w:p>
            <w:pPr>
              <w:pStyle w:val="nTable"/>
              <w:spacing w:after="40"/>
            </w:pPr>
            <w:r>
              <w:t>2 Oct 2001 p. 5458</w:t>
            </w:r>
            <w:r>
              <w:noBreakHyphen/>
              <w:t>60</w:t>
            </w:r>
          </w:p>
        </w:tc>
        <w:tc>
          <w:tcPr>
            <w:tcW w:w="2693" w:type="dxa"/>
          </w:tcPr>
          <w:p>
            <w:pPr>
              <w:pStyle w:val="nTable"/>
              <w:spacing w:after="40"/>
            </w:pPr>
            <w:r>
              <w:t xml:space="preserve">2 Oct 2001 </w:t>
            </w:r>
            <w:r>
              <w:rPr>
                <w:vertAlign w:val="superscript"/>
              </w:rPr>
              <w:t>5</w:t>
            </w:r>
            <w:r>
              <w:t xml:space="preserve">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2001</w:t>
            </w:r>
          </w:p>
        </w:tc>
        <w:tc>
          <w:tcPr>
            <w:tcW w:w="1276" w:type="dxa"/>
          </w:tcPr>
          <w:p>
            <w:pPr>
              <w:pStyle w:val="nTable"/>
              <w:spacing w:after="40"/>
            </w:pPr>
            <w:r>
              <w:t>21 Dec 2001 p. 6550</w:t>
            </w:r>
            <w:r>
              <w:noBreakHyphen/>
              <w:t>1</w:t>
            </w:r>
          </w:p>
        </w:tc>
        <w:tc>
          <w:tcPr>
            <w:tcW w:w="2693" w:type="dxa"/>
          </w:tcPr>
          <w:p>
            <w:pPr>
              <w:pStyle w:val="nTable"/>
              <w:spacing w:after="40"/>
            </w:pPr>
            <w:r>
              <w:t>21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2002</w:t>
            </w:r>
          </w:p>
        </w:tc>
        <w:tc>
          <w:tcPr>
            <w:tcW w:w="1276" w:type="dxa"/>
          </w:tcPr>
          <w:p>
            <w:pPr>
              <w:pStyle w:val="nTable"/>
              <w:spacing w:after="40"/>
            </w:pPr>
            <w:r>
              <w:t>15 Mar 2002 p. 1313</w:t>
            </w:r>
          </w:p>
        </w:tc>
        <w:tc>
          <w:tcPr>
            <w:tcW w:w="2693" w:type="dxa"/>
          </w:tcPr>
          <w:p>
            <w:pPr>
              <w:pStyle w:val="nTable"/>
              <w:spacing w:after="40"/>
            </w:pPr>
            <w:r>
              <w:t>15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2002</w:t>
            </w:r>
          </w:p>
        </w:tc>
        <w:tc>
          <w:tcPr>
            <w:tcW w:w="1276" w:type="dxa"/>
          </w:tcPr>
          <w:p>
            <w:pPr>
              <w:pStyle w:val="nTable"/>
              <w:spacing w:after="40"/>
            </w:pPr>
            <w:r>
              <w:t>30 Jul 2002 p. 3530</w:t>
            </w:r>
          </w:p>
        </w:tc>
        <w:tc>
          <w:tcPr>
            <w:tcW w:w="2693" w:type="dxa"/>
          </w:tcPr>
          <w:p>
            <w:pPr>
              <w:pStyle w:val="nTable"/>
              <w:spacing w:after="40"/>
            </w:pPr>
            <w:r>
              <w:t>30 Jul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2002</w:t>
            </w:r>
          </w:p>
        </w:tc>
        <w:tc>
          <w:tcPr>
            <w:tcW w:w="1276" w:type="dxa"/>
          </w:tcPr>
          <w:p>
            <w:pPr>
              <w:pStyle w:val="nTable"/>
              <w:spacing w:after="40"/>
            </w:pPr>
            <w:r>
              <w:t>19 Nov 2002 p. 5516</w:t>
            </w:r>
            <w:r>
              <w:noBreakHyphen/>
              <w:t>18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Gaming Commission Amendment Regulations 2003</w:t>
            </w:r>
          </w:p>
        </w:tc>
        <w:tc>
          <w:tcPr>
            <w:tcW w:w="1276" w:type="dxa"/>
          </w:tcPr>
          <w:p>
            <w:pPr>
              <w:pStyle w:val="nTable"/>
              <w:spacing w:after="40"/>
            </w:pPr>
            <w:r>
              <w:t>26 Sep 2003 p. 4220</w:t>
            </w:r>
            <w:r>
              <w:noBreakHyphen/>
              <w:t>1</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Commission Amendment Regulations 2004</w:t>
            </w:r>
          </w:p>
        </w:tc>
        <w:tc>
          <w:tcPr>
            <w:tcW w:w="1276" w:type="dxa"/>
          </w:tcPr>
          <w:p>
            <w:pPr>
              <w:pStyle w:val="nTable"/>
              <w:spacing w:after="40"/>
            </w:pPr>
            <w:r>
              <w:t>30 Jan 2004 p. 401</w:t>
            </w:r>
            <w:r>
              <w:noBreakHyphen/>
              <w:t>2</w:t>
            </w:r>
          </w:p>
        </w:tc>
        <w:tc>
          <w:tcPr>
            <w:tcW w:w="2693" w:type="dxa"/>
          </w:tcPr>
          <w:p>
            <w:pPr>
              <w:pStyle w:val="nTable"/>
              <w:spacing w:after="40"/>
            </w:pPr>
            <w:r>
              <w:t xml:space="preserve">30 Jan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 xml:space="preserve">Racing and Gambling (Miscellaneous) Amendment Regulations 2004 </w:t>
            </w:r>
            <w:r>
              <w:t>Pt. 4</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2004</w:t>
            </w:r>
          </w:p>
        </w:tc>
        <w:tc>
          <w:tcPr>
            <w:tcW w:w="1276" w:type="dxa"/>
          </w:tcPr>
          <w:p>
            <w:pPr>
              <w:pStyle w:val="nTable"/>
              <w:spacing w:after="40"/>
            </w:pPr>
            <w:r>
              <w:t>18 May 2004 p. 1571</w:t>
            </w:r>
            <w:r>
              <w:noBreakHyphen/>
              <w:t>2</w:t>
            </w:r>
          </w:p>
        </w:tc>
        <w:tc>
          <w:tcPr>
            <w:tcW w:w="2693" w:type="dxa"/>
          </w:tcPr>
          <w:p>
            <w:pPr>
              <w:pStyle w:val="nTable"/>
              <w:spacing w:after="40"/>
            </w:pPr>
            <w:r>
              <w:t>18 May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2004</w:t>
            </w:r>
          </w:p>
        </w:tc>
        <w:tc>
          <w:tcPr>
            <w:tcW w:w="1276" w:type="dxa"/>
          </w:tcPr>
          <w:p>
            <w:pPr>
              <w:pStyle w:val="nTable"/>
              <w:spacing w:after="40"/>
            </w:pPr>
            <w:r>
              <w:t>9 Jul 2004 p. 2782</w:t>
            </w:r>
            <w:r>
              <w:noBreakHyphen/>
              <w:t>4</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2005</w:t>
            </w:r>
          </w:p>
        </w:tc>
        <w:tc>
          <w:tcPr>
            <w:tcW w:w="1276" w:type="dxa"/>
          </w:tcPr>
          <w:p>
            <w:pPr>
              <w:pStyle w:val="nTable"/>
              <w:spacing w:after="40"/>
            </w:pPr>
            <w:r>
              <w:t>14 Oct 2005 p. 4562</w:t>
            </w:r>
            <w:r>
              <w:noBreakHyphen/>
              <w:t>4</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2006</w:t>
            </w:r>
          </w:p>
        </w:tc>
        <w:tc>
          <w:tcPr>
            <w:tcW w:w="1276" w:type="dxa"/>
          </w:tcPr>
          <w:p>
            <w:pPr>
              <w:pStyle w:val="nTable"/>
              <w:spacing w:after="40"/>
            </w:pPr>
            <w:r>
              <w:t>22 Aug 2006 p. 3465</w:t>
            </w:r>
            <w:r>
              <w:noBreakHyphen/>
              <w:t>8</w:t>
            </w:r>
          </w:p>
        </w:tc>
        <w:tc>
          <w:tcPr>
            <w:tcW w:w="2693" w:type="dxa"/>
          </w:tcPr>
          <w:p>
            <w:pPr>
              <w:pStyle w:val="nTable"/>
              <w:spacing w:after="40"/>
            </w:pPr>
            <w:r>
              <w:t>22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2006</w:t>
            </w:r>
          </w:p>
        </w:tc>
        <w:tc>
          <w:tcPr>
            <w:tcW w:w="1276" w:type="dxa"/>
          </w:tcPr>
          <w:p>
            <w:pPr>
              <w:pStyle w:val="nTable"/>
              <w:spacing w:after="40"/>
            </w:pPr>
            <w:r>
              <w:t>14 Nov 2006 p. 4731</w:t>
            </w:r>
            <w:r>
              <w:noBreakHyphen/>
              <w:t>3</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2007</w:t>
            </w:r>
            <w:r>
              <w:rPr>
                <w:iCs/>
              </w:rPr>
              <w:t xml:space="preserve"> </w:t>
            </w:r>
          </w:p>
        </w:tc>
        <w:tc>
          <w:tcPr>
            <w:tcW w:w="1276" w:type="dxa"/>
          </w:tcPr>
          <w:p>
            <w:pPr>
              <w:pStyle w:val="nTable"/>
              <w:spacing w:after="40"/>
            </w:pPr>
            <w:r>
              <w:t>9 Oct 2007 p. 5354</w:t>
            </w:r>
            <w:r>
              <w:noBreakHyphen/>
              <w:t>7</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2008</w:t>
            </w:r>
          </w:p>
        </w:tc>
        <w:tc>
          <w:tcPr>
            <w:tcW w:w="1276" w:type="dxa"/>
          </w:tcPr>
          <w:p>
            <w:pPr>
              <w:pStyle w:val="nTable"/>
              <w:spacing w:after="40"/>
            </w:pPr>
            <w:r>
              <w:t>10 Jun 2008 p. 2495</w:t>
            </w:r>
            <w:r>
              <w:noBreakHyphen/>
              <w:t>6</w:t>
            </w:r>
          </w:p>
        </w:tc>
        <w:tc>
          <w:tcPr>
            <w:tcW w:w="2693" w:type="dxa"/>
          </w:tcPr>
          <w:p>
            <w:pPr>
              <w:pStyle w:val="nTable"/>
              <w:spacing w:after="40"/>
              <w:rPr>
                <w:snapToGrid w:val="0"/>
              </w:rPr>
            </w:pPr>
            <w:r>
              <w:rPr>
                <w:snapToGrid w:val="0"/>
              </w:rPr>
              <w:t>r. 1 and 2: 10 Jun 2008 (see r. 2(a));</w:t>
            </w:r>
            <w:r>
              <w:rPr>
                <w:snapToGrid w:val="0"/>
              </w:rPr>
              <w:br/>
              <w:t>Regulations other than r. 1 and 2: 11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3) 2008</w:t>
            </w:r>
          </w:p>
        </w:tc>
        <w:tc>
          <w:tcPr>
            <w:tcW w:w="1276" w:type="dxa"/>
          </w:tcPr>
          <w:p>
            <w:pPr>
              <w:pStyle w:val="nTable"/>
              <w:spacing w:after="40"/>
            </w:pPr>
            <w:r>
              <w:t>28 Oct 2008 p. 4735</w:t>
            </w:r>
            <w:r>
              <w:noBreakHyphen/>
              <w:t>7</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2009</w:t>
            </w:r>
          </w:p>
        </w:tc>
        <w:tc>
          <w:tcPr>
            <w:tcW w:w="1276" w:type="dxa"/>
          </w:tcPr>
          <w:p>
            <w:pPr>
              <w:pStyle w:val="nTable"/>
              <w:spacing w:after="40"/>
            </w:pPr>
            <w:r>
              <w:t>30 Oct 2009 p. 4316</w:t>
            </w:r>
            <w:r>
              <w:noBreakHyphen/>
              <w:t>19</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2009</w:t>
            </w:r>
          </w:p>
        </w:tc>
        <w:tc>
          <w:tcPr>
            <w:tcW w:w="1276" w:type="dxa"/>
          </w:tcPr>
          <w:p>
            <w:pPr>
              <w:pStyle w:val="nTable"/>
              <w:spacing w:after="40"/>
            </w:pPr>
            <w:r>
              <w:t>8 Jan 2010 p. 17</w:t>
            </w:r>
            <w:r>
              <w:noBreakHyphen/>
              <w:t>19</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2010</w:t>
            </w:r>
            <w:r>
              <w:rPr>
                <w:iCs/>
              </w:rPr>
              <w:t xml:space="preserve"> </w:t>
            </w:r>
          </w:p>
        </w:tc>
        <w:tc>
          <w:tcPr>
            <w:tcW w:w="1276" w:type="dxa"/>
          </w:tcPr>
          <w:p>
            <w:pPr>
              <w:pStyle w:val="nTable"/>
              <w:spacing w:after="40"/>
            </w:pPr>
            <w:r>
              <w:t>19 Nov 2010 p. 5747</w:t>
            </w:r>
            <w:r>
              <w:noBreakHyphen/>
              <w:t>8</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2011</w:t>
            </w:r>
            <w:r>
              <w:rPr>
                <w:iCs/>
              </w:rPr>
              <w:t xml:space="preserve"> </w:t>
            </w:r>
          </w:p>
        </w:tc>
        <w:tc>
          <w:tcPr>
            <w:tcW w:w="1276" w:type="dxa"/>
          </w:tcPr>
          <w:p>
            <w:pPr>
              <w:pStyle w:val="nTable"/>
              <w:spacing w:after="40"/>
            </w:pPr>
            <w:r>
              <w:t>12 Aug 2011 p. 3248-50</w:t>
            </w:r>
          </w:p>
        </w:tc>
        <w:tc>
          <w:tcPr>
            <w:tcW w:w="2693"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2011</w:t>
            </w:r>
          </w:p>
        </w:tc>
        <w:tc>
          <w:tcPr>
            <w:tcW w:w="1276" w:type="dxa"/>
          </w:tcPr>
          <w:p>
            <w:pPr>
              <w:pStyle w:val="nTable"/>
              <w:spacing w:after="40"/>
            </w:pPr>
            <w:r>
              <w:t>4 Nov 2011 p. 4645-6</w:t>
            </w:r>
          </w:p>
        </w:tc>
        <w:tc>
          <w:tcPr>
            <w:tcW w:w="2693" w:type="dxa"/>
          </w:tcPr>
          <w:p>
            <w:pPr>
              <w:pStyle w:val="nTable"/>
              <w:spacing w:after="40"/>
              <w:rPr>
                <w:snapToGrid w:val="0"/>
                <w:spacing w:val="-2"/>
              </w:rPr>
            </w:pPr>
            <w:r>
              <w:t>r. 1 and 2: 4 Nov 2011 (see r. 2(a));</w:t>
            </w:r>
            <w: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2012</w:t>
            </w:r>
          </w:p>
        </w:tc>
        <w:tc>
          <w:tcPr>
            <w:tcW w:w="1276" w:type="dxa"/>
          </w:tcPr>
          <w:p>
            <w:pPr>
              <w:pStyle w:val="nTable"/>
              <w:spacing w:after="40"/>
            </w:pPr>
            <w:r>
              <w:t>16 Nov 2012 p. 5649-51</w:t>
            </w:r>
          </w:p>
        </w:tc>
        <w:tc>
          <w:tcPr>
            <w:tcW w:w="2693" w:type="dxa"/>
          </w:tcPr>
          <w:p>
            <w:pPr>
              <w:pStyle w:val="nTable"/>
              <w:spacing w:after="40"/>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Gaming and Wagering Commission Amendment Regulations 2013</w:t>
            </w:r>
          </w:p>
        </w:tc>
        <w:tc>
          <w:tcPr>
            <w:tcW w:w="1276" w:type="dxa"/>
            <w:shd w:val="clear" w:color="auto" w:fill="auto"/>
          </w:tcPr>
          <w:p>
            <w:pPr>
              <w:pStyle w:val="nTable"/>
              <w:spacing w:after="40"/>
            </w:pPr>
            <w:r>
              <w:t>8 Nov 2013 p. 4975</w:t>
            </w:r>
            <w:r>
              <w:noBreakHyphen/>
              <w:t>7</w:t>
            </w:r>
          </w:p>
        </w:tc>
        <w:tc>
          <w:tcPr>
            <w:tcW w:w="2693"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and Wagering Commission Amendment Regulations 2014</w:t>
            </w:r>
          </w:p>
        </w:tc>
        <w:tc>
          <w:tcPr>
            <w:tcW w:w="1276" w:type="dxa"/>
          </w:tcPr>
          <w:p>
            <w:pPr>
              <w:pStyle w:val="nTable"/>
              <w:spacing w:after="40"/>
            </w:pPr>
            <w:r>
              <w:t>14 Nov 2014 p. 4282</w:t>
            </w:r>
            <w:r>
              <w:noBreakHyphen/>
              <w:t>4</w:t>
            </w:r>
          </w:p>
        </w:tc>
        <w:tc>
          <w:tcPr>
            <w:tcW w:w="2693" w:type="dxa"/>
          </w:tcPr>
          <w:p>
            <w:pPr>
              <w:pStyle w:val="nTable"/>
              <w:spacing w:after="40"/>
            </w:pP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Racing, Gaming and Liquor Regulations Amendment (Fees and Charges) Regulations 2015 </w:t>
            </w:r>
            <w:r>
              <w:t>Pt. 5</w:t>
            </w:r>
          </w:p>
        </w:tc>
        <w:tc>
          <w:tcPr>
            <w:tcW w:w="1276" w:type="dxa"/>
          </w:tcPr>
          <w:p>
            <w:pPr>
              <w:pStyle w:val="nTable"/>
              <w:spacing w:after="40"/>
            </w:pPr>
            <w:r>
              <w:t>6 Nov 2015 p. 4581-8</w:t>
            </w:r>
          </w:p>
        </w:tc>
        <w:tc>
          <w:tcPr>
            <w:tcW w:w="2693" w:type="dxa"/>
          </w:tcPr>
          <w:p>
            <w:pPr>
              <w:pStyle w:val="nTable"/>
              <w:spacing w:after="40"/>
              <w:rPr>
                <w:bCs/>
                <w:snapToGrid w:val="0"/>
                <w:spacing w:val="-2"/>
              </w:rPr>
            </w:pPr>
            <w:r>
              <w:rPr>
                <w:bCs/>
                <w:snapToGrid w:val="0"/>
                <w:spacing w:val="-2"/>
              </w:rPr>
              <w:t>1 Jan 2016</w:t>
            </w:r>
            <w: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2015</w:t>
            </w:r>
          </w:p>
        </w:tc>
        <w:tc>
          <w:tcPr>
            <w:tcW w:w="1276" w:type="dxa"/>
          </w:tcPr>
          <w:p>
            <w:pPr>
              <w:pStyle w:val="nTable"/>
              <w:spacing w:after="40"/>
            </w:pPr>
            <w:r>
              <w:t>1 Dec 2015 p. 4823</w:t>
            </w:r>
            <w:r>
              <w:noBreakHyphen/>
              <w:t>4</w:t>
            </w:r>
          </w:p>
        </w:tc>
        <w:tc>
          <w:tcPr>
            <w:tcW w:w="2693" w:type="dxa"/>
          </w:tcPr>
          <w:p>
            <w:pPr>
              <w:pStyle w:val="nTable"/>
              <w:spacing w:after="40"/>
              <w:rPr>
                <w:bCs/>
                <w:snapToGrid w:val="0"/>
                <w:spacing w:val="-2"/>
              </w:rPr>
            </w:pPr>
            <w:r>
              <w:rPr>
                <w:bCs/>
                <w:snapToGrid w:val="0"/>
                <w:spacing w:val="-2"/>
              </w:rPr>
              <w:t>r. 1 and 2: 1 Dec 2015 (see r. 2(a));</w:t>
            </w:r>
            <w:r>
              <w:rPr>
                <w:bCs/>
                <w:snapToGrid w:val="0"/>
                <w:spacing w:val="-2"/>
              </w:rPr>
              <w:br/>
              <w:t>Regulations other than r. 1 and 2: 2</w:t>
            </w:r>
            <w:r>
              <w:t xml:space="preserve">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2016</w:t>
            </w:r>
          </w:p>
        </w:tc>
        <w:tc>
          <w:tcPr>
            <w:tcW w:w="1276" w:type="dxa"/>
          </w:tcPr>
          <w:p>
            <w:pPr>
              <w:pStyle w:val="nTable"/>
              <w:spacing w:after="40"/>
            </w:pPr>
            <w:r>
              <w:t>6 Sep 2016 p. 3831-3</w:t>
            </w:r>
          </w:p>
        </w:tc>
        <w:tc>
          <w:tcPr>
            <w:tcW w:w="2693" w:type="dxa"/>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2016</w:t>
            </w:r>
            <w:r>
              <w:t xml:space="preserve"> Pt. 5</w:t>
            </w:r>
          </w:p>
        </w:tc>
        <w:tc>
          <w:tcPr>
            <w:tcW w:w="1276" w:type="dxa"/>
          </w:tcPr>
          <w:p>
            <w:pPr>
              <w:pStyle w:val="nTable"/>
              <w:spacing w:after="40"/>
            </w:pPr>
            <w:r>
              <w:t>28 Oct 2016 p. 4910</w:t>
            </w:r>
            <w:r>
              <w:noBreakHyphen/>
              <w:t>16</w:t>
            </w:r>
          </w:p>
        </w:tc>
        <w:tc>
          <w:tcPr>
            <w:tcW w:w="2693" w:type="dxa"/>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2017</w:t>
            </w:r>
          </w:p>
        </w:tc>
        <w:tc>
          <w:tcPr>
            <w:tcW w:w="1276" w:type="dxa"/>
          </w:tcPr>
          <w:p>
            <w:pPr>
              <w:pStyle w:val="nTable"/>
              <w:spacing w:after="40"/>
            </w:pPr>
            <w:r>
              <w:t>26 May 2017 p. 2632</w:t>
            </w:r>
            <w:r>
              <w:noBreakHyphen/>
              <w:t>3</w:t>
            </w:r>
          </w:p>
        </w:tc>
        <w:tc>
          <w:tcPr>
            <w:tcW w:w="2693" w:type="dxa"/>
          </w:tcPr>
          <w:p>
            <w:pPr>
              <w:pStyle w:val="nTable"/>
              <w:spacing w:after="40"/>
            </w:pPr>
            <w:r>
              <w:t>r. 1 and 2: 26 May 2017 (see r. 2(a));</w:t>
            </w:r>
            <w:r>
              <w:br/>
              <w:t>Regulations other than r. 1 and 2: 27 May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(No. 3) 2017</w:t>
            </w:r>
          </w:p>
        </w:tc>
        <w:tc>
          <w:tcPr>
            <w:tcW w:w="1276" w:type="dxa"/>
          </w:tcPr>
          <w:p>
            <w:pPr>
              <w:pStyle w:val="nTable"/>
              <w:spacing w:after="40"/>
            </w:pPr>
            <w:r>
              <w:t>11 Jul 2017 p. 3833</w:t>
            </w:r>
            <w:r>
              <w:noBreakHyphen/>
              <w:t>4</w:t>
            </w:r>
          </w:p>
        </w:tc>
        <w:tc>
          <w:tcPr>
            <w:tcW w:w="2693" w:type="dxa"/>
          </w:tcPr>
          <w:p>
            <w:pPr>
              <w:pStyle w:val="nTable"/>
              <w:spacing w:after="40"/>
            </w:pPr>
            <w:r>
              <w:t>r. 1 and 2: 11 Jul 2017 (see r. 2(a));</w:t>
            </w:r>
            <w:r>
              <w:br/>
              <w:t>Regulations other than r. 1 and 2: 12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2017</w:t>
            </w:r>
            <w:r>
              <w:t xml:space="preserve"> Pt. 5</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2018</w:t>
            </w:r>
          </w:p>
        </w:tc>
        <w:tc>
          <w:tcPr>
            <w:tcW w:w="1276" w:type="dxa"/>
          </w:tcPr>
          <w:p>
            <w:pPr>
              <w:pStyle w:val="nTable"/>
              <w:spacing w:after="40"/>
            </w:pPr>
            <w:r>
              <w:t>2 Mar 2018 p. 672</w:t>
            </w:r>
          </w:p>
        </w:tc>
        <w:tc>
          <w:tcPr>
            <w:tcW w:w="2693" w:type="dxa"/>
          </w:tcPr>
          <w:p>
            <w:pPr>
              <w:pStyle w:val="nTable"/>
              <w:spacing w:after="40"/>
            </w:pPr>
            <w:r>
              <w:t>r. 1 and 2: 2 Mar 2018 (see r. 2(a));</w:t>
            </w:r>
            <w:r>
              <w:br/>
              <w:t>Regulations other than r. 1 and 2: 3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2018</w:t>
            </w:r>
            <w:r>
              <w:t xml:space="preserve"> Pt. 5</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(No. 3) 2019</w:t>
            </w:r>
            <w:r>
              <w:rPr>
                <w:vertAlign w:val="superscript"/>
              </w:rPr>
              <w:t> 6</w:t>
            </w:r>
          </w:p>
        </w:tc>
        <w:tc>
          <w:tcPr>
            <w:tcW w:w="1276" w:type="dxa"/>
          </w:tcPr>
          <w:p>
            <w:pPr>
              <w:pStyle w:val="nTable"/>
              <w:spacing w:after="40"/>
            </w:pPr>
            <w:r>
              <w:t>31 May 2019 p. 1717-21</w:t>
            </w:r>
          </w:p>
        </w:tc>
        <w:tc>
          <w:tcPr>
            <w:tcW w:w="2693" w:type="dxa"/>
          </w:tcPr>
          <w:p>
            <w:pPr>
              <w:pStyle w:val="nTable"/>
              <w:spacing w:after="40"/>
            </w:pPr>
            <w:r>
              <w:t>Pt. 1: 31 May 2019 (see r. 2(a));</w:t>
            </w:r>
            <w:r>
              <w:br/>
              <w:t>Pt. 2 and 3: 1 Jun 2019 (see r. 2(b) and (c))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2019</w:t>
            </w:r>
            <w:r>
              <w:t xml:space="preserve"> Pt. 5</w:t>
            </w:r>
          </w:p>
        </w:tc>
        <w:tc>
          <w:tcPr>
            <w:tcW w:w="1276" w:type="dxa"/>
          </w:tcPr>
          <w:p>
            <w:pPr>
              <w:pStyle w:val="nTable"/>
              <w:spacing w:after="40"/>
            </w:pPr>
            <w:r>
              <w:t>22 Oct 2019 p. 3720</w:t>
            </w:r>
            <w:r>
              <w:noBreakHyphen/>
              <w:t>9</w:t>
            </w:r>
          </w:p>
        </w:tc>
        <w:tc>
          <w:tcPr>
            <w:tcW w:w="2693" w:type="dxa"/>
          </w:tcPr>
          <w:p>
            <w:pPr>
              <w:pStyle w:val="nTable"/>
              <w:spacing w:after="40"/>
            </w:pPr>
            <w:r>
              <w:t>1 Jan 2020 (see r. 2(b))</w:t>
            </w:r>
          </w:p>
        </w:tc>
      </w:tr>
      <w:tr>
        <w:trPr>
          <w:cantSplit/>
        </w:trPr>
        <w:tc>
          <w:tcPr>
            <w:tcW w:w="3119" w:type="dxa"/>
            <w:tcBorders>
              <w:top w:val="nil"/>
              <w:bottom w:val="nil"/>
            </w:tcBorders>
          </w:tcPr>
          <w:p>
            <w:pPr>
              <w:pStyle w:val="nTable"/>
              <w:spacing w:after="40"/>
              <w:ind w:right="113"/>
              <w:rPr>
                <w:i/>
              </w:rPr>
            </w:pPr>
            <w:r>
              <w:rPr>
                <w:i/>
              </w:rPr>
              <w:t>Gaming and Wagering Commission Amendment Regulations 2020</w:t>
            </w:r>
          </w:p>
        </w:tc>
        <w:tc>
          <w:tcPr>
            <w:tcW w:w="1276" w:type="dxa"/>
            <w:tcBorders>
              <w:top w:val="nil"/>
              <w:bottom w:val="nil"/>
            </w:tcBorders>
          </w:tcPr>
          <w:p>
            <w:pPr>
              <w:pStyle w:val="nTable"/>
              <w:spacing w:after="40"/>
            </w:pPr>
            <w:r>
              <w:t>SL 2020/10</w:t>
            </w:r>
            <w:r>
              <w:br/>
              <w:t>3 Mar 2020</w:t>
            </w:r>
          </w:p>
        </w:tc>
        <w:tc>
          <w:tcPr>
            <w:tcW w:w="2693" w:type="dxa"/>
            <w:tcBorders>
              <w:top w:val="nil"/>
              <w:bottom w:val="nil"/>
            </w:tcBorders>
          </w:tcPr>
          <w:p>
            <w:pPr>
              <w:pStyle w:val="nTable"/>
              <w:spacing w:after="40"/>
            </w:pPr>
            <w:r>
              <w:t>r. 1 and 2: 3 Mar 2020 (see r. 2(a));</w:t>
            </w:r>
            <w:r>
              <w:br/>
              <w:t>Regulations other than r. 1 and 2: 4 Mar 2020 (see r. 2(b))</w:t>
            </w:r>
          </w:p>
        </w:tc>
      </w:tr>
      <w:tr>
        <w:trPr>
          <w:cantSplit/>
        </w:trPr>
        <w:tc>
          <w:tcPr>
            <w:tcW w:w="3119" w:type="dxa"/>
            <w:tcBorders>
              <w:top w:val="nil"/>
              <w:bottom w:val="nil"/>
            </w:tcBorders>
          </w:tcPr>
          <w:p>
            <w:pPr>
              <w:pStyle w:val="nTable"/>
              <w:spacing w:after="40"/>
              <w:ind w:right="113"/>
              <w:rPr>
                <w:i/>
              </w:rPr>
            </w:pPr>
            <w:r>
              <w:rPr>
                <w:i/>
              </w:rPr>
              <w:t>Racing and Gaming Regulations Amendment (Fees and Charges) Regulations 2022</w:t>
            </w:r>
            <w:r>
              <w:t xml:space="preserve"> Pt. 5</w:t>
            </w:r>
          </w:p>
        </w:tc>
        <w:tc>
          <w:tcPr>
            <w:tcW w:w="1276" w:type="dxa"/>
            <w:tcBorders>
              <w:top w:val="nil"/>
              <w:bottom w:val="nil"/>
            </w:tcBorders>
          </w:tcPr>
          <w:p>
            <w:pPr>
              <w:pStyle w:val="nTable"/>
              <w:spacing w:after="40"/>
            </w:pPr>
            <w:r>
              <w:t>SL 2022/144 12 Aug 2022</w:t>
            </w:r>
          </w:p>
        </w:tc>
        <w:tc>
          <w:tcPr>
            <w:tcW w:w="2693" w:type="dxa"/>
            <w:tcBorders>
              <w:top w:val="nil"/>
              <w:bottom w:val="nil"/>
            </w:tcBorders>
          </w:tcPr>
          <w:p>
            <w:pPr>
              <w:pStyle w:val="nTable"/>
              <w:spacing w:after="40"/>
            </w:pPr>
            <w:r>
              <w:t>1 Jan 2023 (see r. 2(b))</w:t>
            </w:r>
          </w:p>
        </w:tc>
      </w:tr>
    </w:tbl>
    <w:p>
      <w:pPr>
        <w:pStyle w:val="nHeading3"/>
        <w:rPr>
          <w:del w:id="376" w:author="Master Repository Process" w:date="2025-05-29T14:29:00Z"/>
        </w:rPr>
      </w:pPr>
      <w:bookmarkStart w:id="377" w:name="_Toc155081642"/>
      <w:del w:id="378" w:author="Master Repository Process" w:date="2025-05-29T14:29:00Z">
        <w:r>
          <w:delText>Uncommenced provisions table</w:delText>
        </w:r>
        <w:bookmarkEnd w:id="377"/>
      </w:del>
    </w:p>
    <w:p>
      <w:pPr>
        <w:pStyle w:val="nStatement"/>
        <w:keepNext/>
        <w:spacing w:after="240"/>
        <w:rPr>
          <w:del w:id="379" w:author="Master Repository Process" w:date="2025-05-29T14:29:00Z"/>
        </w:rPr>
      </w:pPr>
      <w:del w:id="380" w:author="Master Repository Process" w:date="2025-05-29T14:29: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5"/>
        <w:gridCol w:w="1271"/>
        <w:gridCol w:w="2682"/>
        <w:gridCol w:w="29"/>
      </w:tblGrid>
      <w:tr>
        <w:trPr>
          <w:gridAfter w:val="1"/>
          <w:wAfter w:w="29" w:type="dxa"/>
          <w:tblHeader/>
          <w:del w:id="381" w:author="Master Repository Process" w:date="2025-05-29T14:29:00Z"/>
        </w:trPr>
        <w:tc>
          <w:tcPr>
            <w:tcW w:w="3118" w:type="dxa"/>
          </w:tcPr>
          <w:p>
            <w:pPr>
              <w:pStyle w:val="nTable"/>
              <w:spacing w:after="40"/>
              <w:rPr>
                <w:del w:id="382" w:author="Master Repository Process" w:date="2025-05-29T14:29:00Z"/>
                <w:b/>
              </w:rPr>
            </w:pPr>
            <w:del w:id="383" w:author="Master Repository Process" w:date="2025-05-29T14:29:00Z">
              <w:r>
                <w:rPr>
                  <w:b/>
                </w:rPr>
                <w:delText>Citation</w:delText>
              </w:r>
            </w:del>
          </w:p>
        </w:tc>
        <w:tc>
          <w:tcPr>
            <w:tcW w:w="1276" w:type="dxa"/>
          </w:tcPr>
          <w:p>
            <w:pPr>
              <w:pStyle w:val="nTable"/>
              <w:spacing w:after="40"/>
              <w:rPr>
                <w:del w:id="384" w:author="Master Repository Process" w:date="2025-05-29T14:29:00Z"/>
                <w:b/>
              </w:rPr>
            </w:pPr>
            <w:del w:id="385" w:author="Master Repository Process" w:date="2025-05-29T14:29:00Z">
              <w:r>
                <w:rPr>
                  <w:b/>
                </w:rPr>
                <w:delText>Published</w:delText>
              </w:r>
            </w:del>
          </w:p>
        </w:tc>
        <w:tc>
          <w:tcPr>
            <w:tcW w:w="2693" w:type="dxa"/>
          </w:tcPr>
          <w:p>
            <w:pPr>
              <w:pStyle w:val="nTable"/>
              <w:spacing w:after="40"/>
              <w:rPr>
                <w:del w:id="386" w:author="Master Repository Process" w:date="2025-05-29T14:29:00Z"/>
                <w:b/>
              </w:rPr>
            </w:pPr>
            <w:del w:id="387" w:author="Master Repository Process" w:date="2025-05-29T14:29:00Z">
              <w:r>
                <w:rPr>
                  <w:b/>
                </w:rPr>
                <w:delText>Commencement</w:delText>
              </w:r>
            </w:del>
          </w:p>
        </w:tc>
      </w:tr>
      <w:tr>
        <w:trPr>
          <w:cantSplit/>
        </w:trPr>
        <w:tc>
          <w:tcPr>
            <w:tcW w:w="3119" w:type="dxa"/>
            <w:tcBorders>
              <w:top w:val="nil"/>
              <w:bottom w:val="single" w:sz="4" w:space="0" w:color="auto"/>
            </w:tcBorders>
          </w:tcPr>
          <w:p>
            <w:pPr>
              <w:pStyle w:val="nTable"/>
              <w:spacing w:after="40"/>
              <w:ind w:right="113"/>
              <w:rPr>
                <w:i/>
              </w:rPr>
            </w:pPr>
            <w:r>
              <w:rPr>
                <w:i/>
              </w:rPr>
              <w:t xml:space="preserve">Racing and Gaming Regulations Amendment (Fees and Charges) Regulations 2023 </w:t>
            </w:r>
            <w:r>
              <w:t>Pt. 5</w:t>
            </w:r>
          </w:p>
        </w:tc>
        <w:tc>
          <w:tcPr>
            <w:tcW w:w="1276" w:type="dxa"/>
            <w:tcBorders>
              <w:top w:val="nil"/>
              <w:bottom w:val="single" w:sz="4" w:space="0" w:color="auto"/>
            </w:tcBorders>
          </w:tcPr>
          <w:p>
            <w:pPr>
              <w:pStyle w:val="nTable"/>
              <w:spacing w:after="40"/>
            </w:pPr>
            <w:r>
              <w:t>SL 2023/156 18 Oct 2023</w:t>
            </w:r>
          </w:p>
        </w:tc>
        <w:tc>
          <w:tcPr>
            <w:tcW w:w="2693" w:type="dxa"/>
            <w:gridSpan w:val="2"/>
            <w:tcBorders>
              <w:top w:val="nil"/>
              <w:bottom w:val="single" w:sz="4" w:space="0" w:color="auto"/>
            </w:tcBorders>
          </w:tcPr>
          <w:p>
            <w:pPr>
              <w:pStyle w:val="nTable"/>
              <w:spacing w:after="40"/>
            </w:pPr>
            <w:r>
              <w:t>1 Jan 2024 (see r. 2(b))</w:t>
            </w:r>
          </w:p>
        </w:tc>
      </w:tr>
    </w:tbl>
    <w:p>
      <w:pPr>
        <w:pStyle w:val="nHeading3"/>
      </w:pPr>
      <w:bookmarkStart w:id="388" w:name="_Toc154068038"/>
      <w:bookmarkStart w:id="389" w:name="_Toc155081643"/>
      <w:r>
        <w:t>Other notes</w:t>
      </w:r>
      <w:bookmarkEnd w:id="388"/>
      <w:bookmarkEnd w:id="389"/>
    </w:p>
    <w:p>
      <w:pPr>
        <w:pStyle w:val="nNote"/>
        <w:keepNext/>
        <w:keepLines/>
      </w:pPr>
      <w:r>
        <w:rPr>
          <w:vertAlign w:val="superscript"/>
        </w:rPr>
        <w:t>1</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Note"/>
      </w:pPr>
      <w:r>
        <w:rPr>
          <w:vertAlign w:val="superscript"/>
        </w:rPr>
        <w:t>2</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Note"/>
      </w:pPr>
      <w:r>
        <w:rPr>
          <w:vertAlign w:val="superscript"/>
        </w:rPr>
        <w:t>3</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by </w:t>
      </w:r>
      <w:r>
        <w:rPr>
          <w:i/>
          <w:iCs/>
        </w:rPr>
        <w:t>Gazette</w:t>
      </w:r>
      <w:r>
        <w:t xml:space="preserve"> 10 Jun 2008 p. 2496 due to an error in the citation of the principal regulations.</w:t>
      </w:r>
    </w:p>
    <w:p>
      <w:pPr>
        <w:pStyle w:val="nNote"/>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Note"/>
      </w:pPr>
      <w:r>
        <w:rPr>
          <w:vertAlign w:val="superscript"/>
        </w:rPr>
        <w:t>5</w:t>
      </w:r>
      <w:r>
        <w:tab/>
        <w:t>The commencement date of 1 Oct 2001 that was specified was before the date of gazettal.</w:t>
      </w:r>
    </w:p>
    <w:p>
      <w:pPr>
        <w:pStyle w:val="nNote"/>
        <w:rPr>
          <w:snapToGrid w:val="0"/>
        </w:rPr>
      </w:pPr>
      <w:r>
        <w:rPr>
          <w:vertAlign w:val="superscript"/>
        </w:rPr>
        <w:t>6</w:t>
      </w:r>
      <w:r>
        <w:rPr>
          <w:snapToGrid w:val="0"/>
        </w:rPr>
        <w:tab/>
        <w:t xml:space="preserve">The amendments in the </w:t>
      </w:r>
      <w:r>
        <w:rPr>
          <w:i/>
          <w:snapToGrid w:val="0"/>
        </w:rPr>
        <w:t>Gaming and Wagering Commission Amendment Regulations 2019</w:t>
      </w:r>
      <w:r>
        <w:rPr>
          <w:snapToGrid w:val="0"/>
        </w:rPr>
        <w:t xml:space="preserve"> (as amended by the </w:t>
      </w:r>
      <w:r>
        <w:rPr>
          <w:i/>
          <w:snapToGrid w:val="0"/>
        </w:rPr>
        <w:t>Gaming and Wagering Commission Amendment Regulations (No. 2) 2019</w:t>
      </w:r>
      <w:r>
        <w:rPr>
          <w:snapToGrid w:val="0"/>
        </w:rPr>
        <w:t xml:space="preserve">) are not included because it was repealed by the </w:t>
      </w:r>
      <w:r>
        <w:rPr>
          <w:i/>
          <w:snapToGrid w:val="0"/>
        </w:rPr>
        <w:t>Gaming and Wagering Commission Amendment Regulations (No. 3) 2019</w:t>
      </w:r>
      <w:r>
        <w:rPr>
          <w:snapToGrid w:val="0"/>
        </w:rPr>
        <w:t xml:space="preserve"> r. 5 before the amendments purported to come into operation.</w:t>
      </w:r>
    </w:p>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jc w:val="both"/>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91" w:author="Master Repository Process" w:date="2025-05-29T14:29:00Z">
                              <w:r>
                                <w:rPr>
                                  <w:sz w:val="16"/>
                                </w:rPr>
                                <w:delText>2023</w:delText>
                              </w:r>
                            </w:del>
                            <w:ins w:id="392" w:author="Master Repository Process" w:date="2025-05-29T14:2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93" w:author="Master Repository Process" w:date="2025-05-29T14:29:00Z">
                              <w:r>
                                <w:rPr>
                                  <w:sz w:val="16"/>
                                </w:rPr>
                                <w:delText>2023</w:delText>
                              </w:r>
                            </w:del>
                            <w:ins w:id="394" w:author="Master Repository Process" w:date="2025-05-29T14:2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95" w:author="Master Repository Process" w:date="2025-05-29T14:29:00Z">
                        <w:r>
                          <w:rPr>
                            <w:sz w:val="16"/>
                          </w:rPr>
                          <w:delText>2023</w:delText>
                        </w:r>
                      </w:del>
                      <w:ins w:id="396" w:author="Master Repository Process" w:date="2025-05-29T14:2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97" w:author="Master Repository Process" w:date="2025-05-29T14:29:00Z">
                        <w:r>
                          <w:rPr>
                            <w:sz w:val="16"/>
                          </w:rPr>
                          <w:delText>2023</w:delText>
                        </w:r>
                      </w:del>
                      <w:ins w:id="398" w:author="Master Repository Process" w:date="2025-05-29T14:2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06-y0-00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0" w:name="Schedule"/>
    <w:bookmarkEnd w:id="2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90" w:name="Compilation"/>
    <w:bookmarkEnd w:id="39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99" w:name="Coversheet"/>
    <w:bookmarkEnd w:id="3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0154256"/>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 w:name="WAFER_20181204122004" w:val="RemoveTocBookmarks,RemoveUnusedBookmarks,RemoveLanguageTags,UsedStyles,ResetPageSize"/>
    <w:docVar w:name="WAFER_20181204122004_GUID" w:val="5067b95d-fd04-4e5e-9432-adf001b808ab"/>
    <w:docVar w:name="WAFER_20190110124434" w:val="RemoveTocBookmarks,RemoveUnusedBookmarks,RemoveLanguageTags,UsedStyles,ResetPageSize"/>
    <w:docVar w:name="WAFER_20190110124434_GUID" w:val="411ec3d2-7f46-4213-97f0-83c274ba9418"/>
    <w:docVar w:name="WAFER_20190221154918" w:val="RemoveTocBookmarks,RemoveUnusedBookmarks,RemoveLanguageTags,UsedStyles,ResetPageSize"/>
    <w:docVar w:name="WAFER_20190221154918_GUID" w:val="f910e117-8ebe-4a21-84a9-a09f178dc4b0"/>
    <w:docVar w:name="WAFER_20191022154225" w:val="RemoveTocBookmarks,RemoveUnusedBookmarks,RemoveLanguageTags,ResetPageSize,RunningHeaders,UpdateStyles,UsedStyles"/>
    <w:docVar w:name="WAFER_20191022154225_GUID" w:val="f0b5473e-9e9e-41c8-a110-f44caae7ed66"/>
    <w:docVar w:name="WAFER_20191203160159" w:val="RemoveTocBookmarks,RemoveUnusedBookmarks,RemoveLanguageTags,ResetPageSize,RunningHeaders,UpdateStyles,UsedStyles"/>
    <w:docVar w:name="WAFER_20191203160159_GUID" w:val="947b7178-206b-41b7-9d3d-913d105bd709"/>
    <w:docVar w:name="WAFER_20200210150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0501_GUID" w:val="7d6d5438-3049-4a41-99f8-3a867af2df31"/>
    <w:docVar w:name="WAFER_2020030315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03150437_GUID" w:val="9c5854cf-a66f-4557-88d1-778478958262"/>
    <w:docVar w:name="WAFER_20220809155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419_GUID" w:val="b63ce6c9-8c9b-46b5-af84-c3629edb5d42"/>
    <w:docVar w:name="WAFER_202212161048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4856_GUID" w:val="2c348fe1-dae3-4dac-8109-59d5fe13eb34"/>
    <w:docVar w:name="WAFER_20231013093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093455_GUID" w:val="9fbc9e7a-4277-43d4-9ee0-1301342cb2e7"/>
    <w:docVar w:name="WAFER_20231220154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227_GUID" w:val="262abdf4-1709-417e-87ff-ac552169c810"/>
    <w:docVar w:name="WAFER_20231220154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256_GUID" w:val="112bbd58-9675-4260-89aa-b573278f76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0CD2D-3529-4D16-9B42-CFB98A206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15343</Words>
  <Characters>75030</Characters>
  <Application>Microsoft Office Word</Application>
  <DocSecurity>0</DocSecurity>
  <Lines>2344</Lines>
  <Paragraphs>1481</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88892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06-x0-01 - 06-y0-00</dc:title>
  <dc:subject/>
  <dc:creator/>
  <cp:keywords/>
  <dc:description/>
  <cp:lastModifiedBy>Master Repository Process</cp:lastModifiedBy>
  <cp:revision>2</cp:revision>
  <cp:lastPrinted>2019-12-05T02:10:00Z</cp:lastPrinted>
  <dcterms:created xsi:type="dcterms:W3CDTF">2025-05-29T06:28:00Z</dcterms:created>
  <dcterms:modified xsi:type="dcterms:W3CDTF">2025-05-29T06:29:00Z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CommencementDate">
    <vt:lpwstr>20240101</vt:lpwstr>
  </property>
  <property fmtid="{D5CDD505-2E9C-101B-9397-08002B2CF9AE}" pid="8" name="CommencementYear">
    <vt:lpwstr>2024</vt:lpwstr>
  </property>
  <property fmtid="{D5CDD505-2E9C-101B-9397-08002B2CF9AE}" pid="9" name="Official">
    <vt:lpwstr/>
  </property>
  <property fmtid="{D5CDD505-2E9C-101B-9397-08002B2CF9AE}" pid="10" name="CommencementAsAt">
    <vt:filetime>2023-10-17T16:00:00Z</vt:filetime>
  </property>
  <property fmtid="{D5CDD505-2E9C-101B-9397-08002B2CF9AE}" pid="11" name="FromSuffix">
    <vt:lpwstr>06-x0-01</vt:lpwstr>
  </property>
  <property fmtid="{D5CDD505-2E9C-101B-9397-08002B2CF9AE}" pid="12" name="FromAsAtDate">
    <vt:lpwstr>18 Oct 2023</vt:lpwstr>
  </property>
  <property fmtid="{D5CDD505-2E9C-101B-9397-08002B2CF9AE}" pid="13" name="ToSuffix">
    <vt:lpwstr>06-y0-00</vt:lpwstr>
  </property>
  <property fmtid="{D5CDD505-2E9C-101B-9397-08002B2CF9AE}" pid="14" name="ToAsAtDate">
    <vt:lpwstr>01 Jan 2024</vt:lpwstr>
  </property>
</Properties>
</file>