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2022</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19 Feb 2024</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pPr>
      <w:r>
        <w:t xml:space="preserve">An Act to make provision — </w:t>
      </w:r>
    </w:p>
    <w:p>
      <w:pPr>
        <w:pStyle w:val="LongTitle"/>
        <w:numPr>
          <w:ilvl w:val="0"/>
          <w:numId w:val="2"/>
        </w:numPr>
        <w:ind w:left="426"/>
      </w:pPr>
      <w:r>
        <w:t>for and in relation to</w:t>
      </w:r>
      <w:r>
        <w:rPr>
          <w:snapToGrid w:val="0"/>
        </w:rPr>
        <w:t xml:space="preserve"> the removal of human tissue for transplantation and other purposes</w:t>
      </w:r>
      <w:r>
        <w:t>; and</w:t>
      </w:r>
    </w:p>
    <w:p>
      <w:pPr>
        <w:pStyle w:val="LongTitle"/>
        <w:numPr>
          <w:ilvl w:val="0"/>
          <w:numId w:val="2"/>
        </w:numPr>
        <w:ind w:left="426"/>
      </w:pPr>
      <w:r>
        <w:t>for post</w:t>
      </w:r>
      <w:r>
        <w:noBreakHyphen/>
        <w:t>mortem examinations; and</w:t>
      </w:r>
    </w:p>
    <w:p>
      <w:pPr>
        <w:pStyle w:val="LongTitle"/>
        <w:numPr>
          <w:ilvl w:val="0"/>
          <w:numId w:val="2"/>
        </w:numPr>
        <w:ind w:left="426"/>
      </w:pPr>
      <w:r>
        <w:t>for related purposes.</w:t>
      </w:r>
    </w:p>
    <w:p>
      <w:pPr>
        <w:pStyle w:val="Footnotelongtitle"/>
      </w:pPr>
      <w:r>
        <w:tab/>
        <w:t>[Long title inserted: No. 41 of 2022 s. 4.]</w:t>
      </w:r>
    </w:p>
    <w:p>
      <w:pPr>
        <w:pStyle w:val="Heading2"/>
      </w:pPr>
      <w:bookmarkStart w:id="1" w:name="_Toc157777165"/>
      <w:bookmarkStart w:id="2" w:name="_Toc158033677"/>
      <w:bookmarkStart w:id="3" w:name="_Toc158113256"/>
      <w:bookmarkStart w:id="4" w:name="_Toc158106297"/>
      <w:bookmarkStart w:id="5" w:name="_Toc158106590"/>
      <w:bookmarkStart w:id="6" w:name="_Toc1581107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Footnoteheading"/>
      </w:pPr>
      <w:r>
        <w:tab/>
        <w:t>[Heading amended: No. 41 of 2022 s. 5.]</w:t>
      </w:r>
    </w:p>
    <w:p>
      <w:pPr>
        <w:pStyle w:val="Heading5"/>
        <w:rPr>
          <w:snapToGrid w:val="0"/>
        </w:rPr>
      </w:pPr>
      <w:bookmarkStart w:id="7" w:name="_Toc158113257"/>
      <w:bookmarkStart w:id="8" w:name="_Toc158110781"/>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rPr>
        <w:t>.</w:t>
      </w:r>
    </w:p>
    <w:p>
      <w:pPr>
        <w:pStyle w:val="Heading5"/>
        <w:rPr>
          <w:snapToGrid w:val="0"/>
        </w:rPr>
      </w:pPr>
      <w:bookmarkStart w:id="9" w:name="_Toc158113258"/>
      <w:bookmarkStart w:id="10" w:name="_Toc15811078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1" w:name="_Toc158113259"/>
      <w:bookmarkStart w:id="12" w:name="_Toc158110783"/>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human egg</w:t>
      </w:r>
      <w:r>
        <w:t xml:space="preserve"> has the meaning given in the </w:t>
      </w:r>
      <w:r>
        <w:rPr>
          <w:i/>
        </w:rPr>
        <w:t>Human Reproductive Technology Act 1991</w:t>
      </w:r>
      <w:r>
        <w:t xml:space="preserve"> section 3(1);</w:t>
      </w:r>
    </w:p>
    <w:p>
      <w:pPr>
        <w:pStyle w:val="Defstart"/>
      </w:pPr>
      <w:r>
        <w:tab/>
      </w:r>
      <w:r>
        <w:rPr>
          <w:rStyle w:val="CharDefText"/>
        </w:rPr>
        <w:t>human embryo</w:t>
      </w:r>
      <w:r>
        <w:t xml:space="preserve"> has the meaning given in the </w:t>
      </w:r>
      <w:r>
        <w:rPr>
          <w:i/>
        </w:rPr>
        <w:t>Human Reproductive Technology Act 1991</w:t>
      </w:r>
      <w:r>
        <w:t xml:space="preserve"> section 3A;</w:t>
      </w:r>
    </w:p>
    <w:p>
      <w:pPr>
        <w:pStyle w:val="Defstart"/>
      </w:pPr>
      <w:r>
        <w:lastRenderedPageBreak/>
        <w:tab/>
      </w:r>
      <w:r>
        <w:rPr>
          <w:rStyle w:val="CharDefText"/>
        </w:rPr>
        <w:t>human sperm</w:t>
      </w:r>
      <w:r>
        <w:t xml:space="preserve"> has the meaning given in the </w:t>
      </w:r>
      <w:r>
        <w:rPr>
          <w:i/>
        </w:rPr>
        <w:t>Human Reproductive Technology Act 1991</w:t>
      </w:r>
      <w:r>
        <w:t xml:space="preserve"> section 3(1);</w:t>
      </w:r>
    </w:p>
    <w:p>
      <w:pPr>
        <w:pStyle w:val="Defstart"/>
        <w:rPr>
          <w:ins w:id="13" w:author="Master Repository Process" w:date="2025-06-17T13:52:00Z"/>
        </w:rPr>
      </w:pPr>
      <w:ins w:id="14" w:author="Master Repository Process" w:date="2025-06-17T13:52:00Z">
        <w:r>
          <w:tab/>
        </w:r>
        <w:bookmarkStart w:id="15" w:name="_Hlk158031493"/>
        <w:r>
          <w:rPr>
            <w:rStyle w:val="CharDefText"/>
          </w:rPr>
          <w:t>Human Tissue Advisory Body</w:t>
        </w:r>
        <w:r>
          <w:t xml:space="preserve"> means the body established under section 29F(1);</w:t>
        </w:r>
      </w:ins>
    </w:p>
    <w:bookmarkEnd w:id="15"/>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keepNext/>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rPr>
          <w:ins w:id="16" w:author="Master Repository Process" w:date="2025-06-17T13:52:00Z"/>
        </w:rPr>
      </w:pPr>
      <w:ins w:id="17" w:author="Master Repository Process" w:date="2025-06-17T13:52:00Z">
        <w:r>
          <w:tab/>
        </w:r>
        <w:r>
          <w:rPr>
            <w:rStyle w:val="CharDefText"/>
          </w:rPr>
          <w:t>therapeutic goods</w:t>
        </w:r>
        <w:r>
          <w:t xml:space="preserve"> has the meaning given in the Therapeutic Goods Act section 3(1);</w:t>
        </w:r>
      </w:ins>
    </w:p>
    <w:p>
      <w:pPr>
        <w:pStyle w:val="Defstart"/>
        <w:rPr>
          <w:ins w:id="18" w:author="Master Repository Process" w:date="2025-06-17T13:52:00Z"/>
        </w:rPr>
      </w:pPr>
      <w:ins w:id="19" w:author="Master Repository Process" w:date="2025-06-17T13:52:00Z">
        <w:r>
          <w:tab/>
        </w:r>
        <w:r>
          <w:rPr>
            <w:rStyle w:val="CharDefText"/>
          </w:rPr>
          <w:t>Therapeutic Goods Act</w:t>
        </w:r>
        <w:r>
          <w:t xml:space="preserve"> means the </w:t>
        </w:r>
        <w:r>
          <w:rPr>
            <w:i/>
          </w:rPr>
          <w:t>Therapeutic Goods Act 1989</w:t>
        </w:r>
        <w:r>
          <w:t xml:space="preserve"> (Commonwealth);</w:t>
        </w:r>
      </w:ins>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tab/>
        <w:t>(3)</w:t>
      </w:r>
      <w:r>
        <w:rPr>
          <w:snapToGrid w:val="0"/>
        </w:rPr>
        <w:tab/>
        <w:t xml:space="preserve">A reference in this Act to the transplantation of tissue </w:t>
      </w:r>
      <w:r>
        <w:t>includes</w:t>
      </w:r>
      <w:r>
        <w:rPr>
          <w:snapToGrid w:val="0"/>
        </w:rPr>
        <w:t xml:space="preserve">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102; No. 41 of 2022 s. 6</w:t>
      </w:r>
      <w:ins w:id="20" w:author="Master Repository Process" w:date="2025-06-17T13:52:00Z">
        <w:r>
          <w:t>, 29</w:t>
        </w:r>
      </w:ins>
      <w:r>
        <w:t xml:space="preserve"> and</w:t>
      </w:r>
      <w:del w:id="21" w:author="Master Repository Process" w:date="2025-06-17T13:52:00Z">
        <w:r>
          <w:delText xml:space="preserve"> 29</w:delText>
        </w:r>
      </w:del>
      <w:ins w:id="22" w:author="Master Repository Process" w:date="2025-06-17T13:52:00Z">
        <w:r>
          <w:t> 30</w:t>
        </w:r>
      </w:ins>
      <w:r>
        <w:t>.]</w:t>
      </w:r>
    </w:p>
    <w:p>
      <w:pPr>
        <w:pStyle w:val="Heading5"/>
        <w:rPr>
          <w:snapToGrid w:val="0"/>
        </w:rPr>
      </w:pPr>
      <w:bookmarkStart w:id="23" w:name="_Toc158113260"/>
      <w:bookmarkStart w:id="24" w:name="_Toc158110784"/>
      <w:r>
        <w:rPr>
          <w:rStyle w:val="CharSectno"/>
        </w:rPr>
        <w:t>4</w:t>
      </w:r>
      <w:r>
        <w:rPr>
          <w:snapToGrid w:val="0"/>
        </w:rPr>
        <w:t>.</w:t>
      </w:r>
      <w:r>
        <w:rPr>
          <w:snapToGrid w:val="0"/>
        </w:rPr>
        <w:tab/>
        <w:t>Designated officers</w:t>
      </w:r>
      <w:bookmarkEnd w:id="23"/>
      <w:bookmarkEnd w:id="24"/>
      <w:r>
        <w:rPr>
          <w:snapToGrid w:val="0"/>
        </w:rPr>
        <w:t xml:space="preserve"> </w:t>
      </w:r>
    </w:p>
    <w:p>
      <w:pPr>
        <w:pStyle w:val="Subsection"/>
        <w:rPr>
          <w:snapToGrid w:val="0"/>
        </w:rPr>
      </w:pPr>
      <w:r>
        <w:rPr>
          <w:snapToGrid w:val="0"/>
        </w:rPr>
        <w:tab/>
        <w:t>(1)</w:t>
      </w:r>
      <w:r>
        <w:rPr>
          <w:snapToGrid w:val="0"/>
        </w:rPr>
        <w:tab/>
        <w:t>The chief medical administrator of a hospital may nominate a medical practitioner as the designated officer of that hospital for the purposes of this Act.</w:t>
      </w:r>
    </w:p>
    <w:p>
      <w:pPr>
        <w:pStyle w:val="Subsection"/>
      </w:pPr>
      <w:r>
        <w:tab/>
        <w:t>(1A)</w:t>
      </w:r>
      <w:r>
        <w:tab/>
        <w:t>The nomination must be in writing signed by the chief medical administrator of the hospital.</w:t>
      </w:r>
    </w:p>
    <w:p>
      <w:pPr>
        <w:pStyle w:val="Subsection"/>
        <w:rPr>
          <w:snapToGrid w:val="0"/>
        </w:rPr>
      </w:pPr>
      <w:r>
        <w:rPr>
          <w:snapToGrid w:val="0"/>
        </w:rPr>
        <w:tab/>
        <w:t>(2)</w:t>
      </w:r>
      <w:r>
        <w:rPr>
          <w:snapToGrid w:val="0"/>
        </w:rPr>
        <w:tab/>
        <w:t xml:space="preserve">A nomination under subsection (1) </w:t>
      </w:r>
      <w:r>
        <w:t>must be submitted</w:t>
      </w:r>
      <w:r>
        <w:rPr>
          <w:snapToGrid w:val="0"/>
        </w:rPr>
        <w:t xml:space="preserve"> to the </w:t>
      </w:r>
      <w:r>
        <w:t>Chief Health Officer</w:t>
      </w:r>
      <w:r>
        <w:rPr>
          <w:snapToGrid w:val="0"/>
        </w:rPr>
        <w:t xml:space="preserve"> for approval and, upon the grant of approval by the </w:t>
      </w:r>
      <w:r>
        <w:t>Chief Health Officer</w:t>
      </w:r>
      <w:r>
        <w:rPr>
          <w:snapToGrid w:val="0"/>
        </w:rPr>
        <w:t xml:space="preserve">, the person nominated </w:t>
      </w:r>
      <w:r>
        <w:t xml:space="preserve">is the </w:t>
      </w:r>
      <w:r>
        <w:rPr>
          <w:snapToGrid w:val="0"/>
        </w:rPr>
        <w:t xml:space="preserve">designated officer for the hospital concerned and may exercise the powers and </w:t>
      </w:r>
      <w:r>
        <w:t xml:space="preserve">is subject </w:t>
      </w:r>
      <w:r>
        <w:rPr>
          <w:snapToGrid w:val="0"/>
        </w:rPr>
        <w:t>to the duties conferred and imposed on designated officers by this Act.</w:t>
      </w:r>
    </w:p>
    <w:p>
      <w:pPr>
        <w:pStyle w:val="Subsection"/>
        <w:rPr>
          <w:snapToGrid w:val="0"/>
        </w:rPr>
      </w:pPr>
      <w:r>
        <w:rPr>
          <w:snapToGrid w:val="0"/>
        </w:rPr>
        <w:tab/>
        <w:t>(3)</w:t>
      </w:r>
      <w:r>
        <w:rPr>
          <w:snapToGrid w:val="0"/>
        </w:rPr>
        <w:tab/>
        <w:t xml:space="preserve">The chief medical administrator of a hospital may revoke the nomination of a person as designated officer for the hospital by serving on that person a notice of the revocation signed by </w:t>
      </w:r>
      <w:r>
        <w:t>the chief medical administrator</w:t>
      </w:r>
      <w:r>
        <w:rPr>
          <w:snapToGrid w:val="0"/>
        </w:rPr>
        <w:t>.</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w:t>
      </w:r>
      <w:r>
        <w:t>must</w:t>
      </w:r>
      <w:r>
        <w:rPr>
          <w:snapToGrid w:val="0"/>
        </w:rPr>
        <w:t xml:space="preserve">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 xml:space="preserve">A person nominated under subsection (4a) </w:t>
      </w:r>
      <w:r>
        <w:t>is</w:t>
      </w:r>
      <w:r>
        <w:rPr>
          <w:snapToGrid w:val="0"/>
        </w:rPr>
        <w:t xml:space="preserve"> the designated officer for the hospital concerned and may exercise the powers and </w:t>
      </w:r>
      <w:r>
        <w:t>is</w:t>
      </w:r>
      <w:r>
        <w:rPr>
          <w:snapToGrid w:val="0"/>
        </w:rPr>
        <w:t xml:space="preserv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w:t>
      </w:r>
      <w:r>
        <w:t>the</w:t>
      </w:r>
      <w:r>
        <w:rPr>
          <w:snapToGrid w:val="0"/>
        </w:rPr>
        <w:t xml:space="preserve"> approval or nomination of a person as designated officer for a hospital by serving on that person a </w:t>
      </w:r>
      <w:r>
        <w:t>signed notice of the revocation.</w:t>
      </w:r>
    </w:p>
    <w:p>
      <w:pPr>
        <w:pStyle w:val="Footnotesection"/>
      </w:pPr>
      <w:r>
        <w:tab/>
        <w:t>[Section 4 amended: No. 28 of 1984 s. 59; No. 25 of 1997 s. 5; No. 19 of 2016 s. 102; No. 41 of 2022 s. 7, 28 and 29.]</w:t>
      </w:r>
    </w:p>
    <w:p>
      <w:pPr>
        <w:pStyle w:val="Heading5"/>
        <w:rPr>
          <w:snapToGrid w:val="0"/>
        </w:rPr>
      </w:pPr>
      <w:bookmarkStart w:id="25" w:name="_Toc158113261"/>
      <w:bookmarkStart w:id="26" w:name="_Toc158110785"/>
      <w:r>
        <w:rPr>
          <w:rStyle w:val="CharSectno"/>
        </w:rPr>
        <w:t>5</w:t>
      </w:r>
      <w:r>
        <w:rPr>
          <w:snapToGrid w:val="0"/>
        </w:rPr>
        <w:t>.</w:t>
      </w:r>
      <w:r>
        <w:rPr>
          <w:snapToGrid w:val="0"/>
        </w:rPr>
        <w:tab/>
        <w:t>Delegation by designated officers</w:t>
      </w:r>
      <w:bookmarkEnd w:id="25"/>
      <w:bookmarkEnd w:id="26"/>
      <w:r>
        <w:rPr>
          <w:snapToGrid w:val="0"/>
        </w:rPr>
        <w:t xml:space="preserve"> </w:t>
      </w:r>
    </w:p>
    <w:p>
      <w:pPr>
        <w:pStyle w:val="Subsection"/>
        <w:rPr>
          <w:snapToGrid w:val="0"/>
        </w:rPr>
      </w:pPr>
      <w:r>
        <w:rPr>
          <w:snapToGrid w:val="0"/>
        </w:rPr>
        <w:tab/>
        <w:t>(1)</w:t>
      </w:r>
      <w:r>
        <w:rPr>
          <w:snapToGrid w:val="0"/>
        </w:rPr>
        <w:tab/>
        <w:t xml:space="preserve">A designated officer may, subject to and in accordance with this section, either generally or as otherwise provided by the instrument of delegation, </w:t>
      </w:r>
      <w:r>
        <w:t>delegate to 1 or more persons any powers or duties of the designated officer</w:t>
      </w:r>
      <w:r>
        <w:rPr>
          <w:snapToGrid w:val="0"/>
        </w:rPr>
        <w:t xml:space="preserve"> under this Act, other than this power of delegation.</w:t>
      </w:r>
    </w:p>
    <w:p>
      <w:pPr>
        <w:pStyle w:val="Subsection"/>
      </w:pPr>
      <w:r>
        <w:tab/>
        <w:t>(1A)</w:t>
      </w:r>
      <w:r>
        <w:tab/>
        <w:t>The delegation must be in writing signed by the designated officer.</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keepNext/>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pPr>
      <w:r>
        <w:tab/>
        <w:t>(b)</w:t>
      </w:r>
      <w:r>
        <w:tab/>
        <w:t>has immediate effect, unless the instrument of delegation provides otherwise, and continues in force until revoked by writing signed by the designated officer and given to the delegate.</w:t>
      </w:r>
    </w:p>
    <w:p>
      <w:pPr>
        <w:pStyle w:val="Subsection"/>
        <w:rPr>
          <w:snapToGrid w:val="0"/>
        </w:rPr>
      </w:pPr>
      <w:r>
        <w:rPr>
          <w:snapToGrid w:val="0"/>
        </w:rPr>
        <w:tab/>
        <w:t>(4)</w:t>
      </w:r>
      <w:r>
        <w:rPr>
          <w:snapToGrid w:val="0"/>
        </w:rPr>
        <w:tab/>
        <w:t xml:space="preserve">A designated officer </w:t>
      </w:r>
      <w:r>
        <w:t>must inform</w:t>
      </w:r>
      <w:r>
        <w:rPr>
          <w:snapToGrid w:val="0"/>
        </w:rPr>
        <w:t xml:space="preserve"> the </w:t>
      </w:r>
      <w:r>
        <w:t>Chief Health Officer</w:t>
      </w:r>
      <w:r>
        <w:rPr>
          <w:snapToGrid w:val="0"/>
        </w:rPr>
        <w:t xml:space="preserve"> as soon as practicable of every delegation made by </w:t>
      </w:r>
      <w:r>
        <w:t>the designated officer</w:t>
      </w:r>
      <w:r>
        <w:rPr>
          <w:snapToGrid w:val="0"/>
        </w:rPr>
        <w:t xml:space="preserve"> under this section and where the delegation is to the holder of a specified office, the designated officer </w:t>
      </w:r>
      <w:r>
        <w:t>must inform</w:t>
      </w:r>
      <w:r>
        <w:rPr>
          <w:snapToGrid w:val="0"/>
        </w:rPr>
        <w:t xml:space="preserve"> the </w:t>
      </w:r>
      <w:r>
        <w:t>Chief Health Officer</w:t>
      </w:r>
      <w:r>
        <w:rPr>
          <w:snapToGrid w:val="0"/>
        </w:rPr>
        <w:t xml:space="preserve"> as soon as practicable of the name of each successive holder of that office and </w:t>
      </w:r>
      <w:r>
        <w:t>furnish</w:t>
      </w:r>
      <w:r>
        <w:rPr>
          <w:snapToGrid w:val="0"/>
        </w:rPr>
        <w:t xml:space="preserve"> further information in respect of such persons as the </w:t>
      </w:r>
      <w:r>
        <w:t>Chief Health Officer</w:t>
      </w:r>
      <w:r>
        <w:rPr>
          <w:snapToGrid w:val="0"/>
        </w:rPr>
        <w:t xml:space="preserve"> may require.</w:t>
      </w:r>
    </w:p>
    <w:p>
      <w:pPr>
        <w:pStyle w:val="Subsection"/>
      </w:pPr>
      <w:r>
        <w:tab/>
        <w:t>(5)</w:t>
      </w:r>
      <w:r>
        <w:tab/>
        <w:t>The Chief Health Officer may require the designated officer to revoke a delegation made by the designated officer and the designated officer must immediately comply with the requirement.</w:t>
      </w:r>
    </w:p>
    <w:p>
      <w:pPr>
        <w:pStyle w:val="Subsection"/>
      </w:pPr>
      <w:r>
        <w:tab/>
        <w:t>(5A)</w:t>
      </w:r>
      <w:r>
        <w:tab/>
        <w:t xml:space="preserve">A requirement under subsection (5) must — </w:t>
      </w:r>
    </w:p>
    <w:p>
      <w:pPr>
        <w:pStyle w:val="Indenta"/>
      </w:pPr>
      <w:r>
        <w:tab/>
        <w:t>(a)</w:t>
      </w:r>
      <w:r>
        <w:tab/>
        <w:t>be in writing signed by the Chief Health Officer; and</w:t>
      </w:r>
    </w:p>
    <w:p>
      <w:pPr>
        <w:pStyle w:val="Indenta"/>
      </w:pPr>
      <w:r>
        <w:tab/>
        <w:t>(b)</w:t>
      </w:r>
      <w:r>
        <w:tab/>
        <w:t>be given to the designated officer.</w:t>
      </w:r>
    </w:p>
    <w:p>
      <w:pPr>
        <w:pStyle w:val="Subsection"/>
        <w:rPr>
          <w:snapToGrid w:val="0"/>
        </w:rPr>
      </w:pPr>
      <w:r>
        <w:rPr>
          <w:snapToGrid w:val="0"/>
        </w:rPr>
        <w:tab/>
        <w:t>(6)</w:t>
      </w:r>
      <w:r>
        <w:rPr>
          <w:snapToGrid w:val="0"/>
        </w:rPr>
        <w:tab/>
        <w:t xml:space="preserve">A designated officer may exercise a power and perform a duty under this Act notwithstanding that </w:t>
      </w:r>
      <w:r>
        <w:t>the designated officer</w:t>
      </w:r>
      <w:r>
        <w:rPr>
          <w:snapToGrid w:val="0"/>
        </w:rPr>
        <w:t xml:space="preserve"> has delegated its exercise or performance under this section.</w:t>
      </w:r>
    </w:p>
    <w:p>
      <w:pPr>
        <w:pStyle w:val="Footnotesection"/>
      </w:pPr>
      <w:r>
        <w:tab/>
        <w:t>[Section 5 amended: No. 28 of 1984 s. 59; No. 19 of 2016 s. 102; No. 41 of 2022 s. 8, 28 and 29.]</w:t>
      </w:r>
    </w:p>
    <w:p>
      <w:pPr>
        <w:pStyle w:val="Heading5"/>
      </w:pPr>
      <w:bookmarkStart w:id="27" w:name="_Toc158113262"/>
      <w:bookmarkStart w:id="28" w:name="_Toc158110786"/>
      <w:r>
        <w:rPr>
          <w:rStyle w:val="CharSectno"/>
        </w:rPr>
        <w:t>5A</w:t>
      </w:r>
      <w:r>
        <w:t>.</w:t>
      </w:r>
      <w:r>
        <w:tab/>
        <w:t>Delegation by Minister</w:t>
      </w:r>
      <w:bookmarkEnd w:id="27"/>
      <w:bookmarkEnd w:id="28"/>
    </w:p>
    <w:p>
      <w:pPr>
        <w:pStyle w:val="Subsection"/>
      </w:pPr>
      <w:r>
        <w:tab/>
        <w:t>(1)</w:t>
      </w:r>
      <w:r>
        <w:tab/>
        <w:t>The Minister may delegate to a person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pPr>
      <w:r>
        <w:tab/>
        <w:t>(5)</w:t>
      </w:r>
      <w:r>
        <w:tab/>
        <w:t>Nothing in this section limits the ability of the Minister to perform a function through an officer or agent.</w:t>
      </w:r>
    </w:p>
    <w:p>
      <w:pPr>
        <w:pStyle w:val="Footnotesection"/>
      </w:pPr>
      <w:r>
        <w:tab/>
        <w:t>[Section 5A inserted: No. 41 of 2022 s. 9.]</w:t>
      </w:r>
    </w:p>
    <w:p>
      <w:pPr>
        <w:pStyle w:val="Heading2"/>
      </w:pPr>
      <w:bookmarkStart w:id="29" w:name="_Toc157777172"/>
      <w:bookmarkStart w:id="30" w:name="_Toc158033684"/>
      <w:bookmarkStart w:id="31" w:name="_Toc158113263"/>
      <w:bookmarkStart w:id="32" w:name="_Toc158106304"/>
      <w:bookmarkStart w:id="33" w:name="_Toc158106597"/>
      <w:bookmarkStart w:id="34" w:name="_Toc158110787"/>
      <w:r>
        <w:rPr>
          <w:rStyle w:val="CharPartNo"/>
        </w:rPr>
        <w:t>Part 2</w:t>
      </w:r>
      <w:r>
        <w:t> — </w:t>
      </w:r>
      <w:r>
        <w:rPr>
          <w:rStyle w:val="CharPartText"/>
        </w:rPr>
        <w:t>Donations of tissue by living persons</w:t>
      </w:r>
      <w:bookmarkEnd w:id="29"/>
      <w:bookmarkEnd w:id="30"/>
      <w:bookmarkEnd w:id="31"/>
      <w:bookmarkEnd w:id="32"/>
      <w:bookmarkEnd w:id="33"/>
      <w:bookmarkEnd w:id="34"/>
      <w:r>
        <w:rPr>
          <w:rStyle w:val="CharPartText"/>
        </w:rPr>
        <w:t xml:space="preserve"> </w:t>
      </w:r>
    </w:p>
    <w:p>
      <w:pPr>
        <w:pStyle w:val="Footnoteheading"/>
      </w:pPr>
      <w:r>
        <w:tab/>
        <w:t>[Heading amended: No. 41 of 2022 s. 10.]</w:t>
      </w:r>
    </w:p>
    <w:p>
      <w:pPr>
        <w:pStyle w:val="Heading3"/>
        <w:rPr>
          <w:snapToGrid w:val="0"/>
        </w:rPr>
      </w:pPr>
      <w:bookmarkStart w:id="35" w:name="_Toc157777173"/>
      <w:bookmarkStart w:id="36" w:name="_Toc158033685"/>
      <w:bookmarkStart w:id="37" w:name="_Toc158113264"/>
      <w:bookmarkStart w:id="38" w:name="_Toc158106305"/>
      <w:bookmarkStart w:id="39" w:name="_Toc158106598"/>
      <w:bookmarkStart w:id="40" w:name="_Toc158110788"/>
      <w:r>
        <w:rPr>
          <w:rStyle w:val="CharDivNo"/>
        </w:rPr>
        <w:t>Division 1</w:t>
      </w:r>
      <w:r>
        <w:rPr>
          <w:snapToGrid w:val="0"/>
        </w:rPr>
        <w:t> — </w:t>
      </w:r>
      <w:r>
        <w:rPr>
          <w:rStyle w:val="CharDivText"/>
        </w:rPr>
        <w:t>Exclusion of certain tissue</w:t>
      </w:r>
      <w:bookmarkEnd w:id="35"/>
      <w:bookmarkEnd w:id="36"/>
      <w:bookmarkEnd w:id="37"/>
      <w:bookmarkEnd w:id="38"/>
      <w:bookmarkEnd w:id="39"/>
      <w:bookmarkEnd w:id="40"/>
      <w:r>
        <w:rPr>
          <w:rStyle w:val="CharDivText"/>
        </w:rPr>
        <w:t xml:space="preserve"> </w:t>
      </w:r>
    </w:p>
    <w:p>
      <w:pPr>
        <w:pStyle w:val="Heading5"/>
        <w:rPr>
          <w:snapToGrid w:val="0"/>
        </w:rPr>
      </w:pPr>
      <w:bookmarkStart w:id="41" w:name="_Toc158113265"/>
      <w:bookmarkStart w:id="42" w:name="_Toc158110789"/>
      <w:r>
        <w:rPr>
          <w:rStyle w:val="CharSectno"/>
        </w:rPr>
        <w:t>6</w:t>
      </w:r>
      <w:r>
        <w:rPr>
          <w:snapToGrid w:val="0"/>
        </w:rPr>
        <w:t>.</w:t>
      </w:r>
      <w:r>
        <w:rPr>
          <w:snapToGrid w:val="0"/>
        </w:rPr>
        <w:tab/>
        <w:t>Interpretation</w:t>
      </w:r>
      <w:bookmarkEnd w:id="41"/>
      <w:bookmarkEnd w:id="42"/>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w:t>
      </w:r>
      <w:r>
        <w:t>does not include a reference to fetal tissue, a human embryo, human sperm or a human egg.</w:t>
      </w:r>
    </w:p>
    <w:p>
      <w:pPr>
        <w:pStyle w:val="Footnotesection"/>
      </w:pPr>
      <w:r>
        <w:tab/>
        <w:t>[Section 6 amended: No. 41 of 2022 s. 11.]</w:t>
      </w:r>
    </w:p>
    <w:p>
      <w:pPr>
        <w:pStyle w:val="Heading3"/>
        <w:rPr>
          <w:snapToGrid w:val="0"/>
        </w:rPr>
      </w:pPr>
      <w:bookmarkStart w:id="43" w:name="_Toc157777175"/>
      <w:bookmarkStart w:id="44" w:name="_Toc158033687"/>
      <w:bookmarkStart w:id="45" w:name="_Toc158113266"/>
      <w:bookmarkStart w:id="46" w:name="_Toc158106307"/>
      <w:bookmarkStart w:id="47" w:name="_Toc158106600"/>
      <w:bookmarkStart w:id="48" w:name="_Toc158110790"/>
      <w:r>
        <w:rPr>
          <w:rStyle w:val="CharDivNo"/>
        </w:rPr>
        <w:t>Division 2</w:t>
      </w:r>
      <w:r>
        <w:rPr>
          <w:snapToGrid w:val="0"/>
        </w:rPr>
        <w:t> — </w:t>
      </w:r>
      <w:r>
        <w:rPr>
          <w:rStyle w:val="CharDivText"/>
        </w:rPr>
        <w:t>Donations by adults</w:t>
      </w:r>
      <w:bookmarkEnd w:id="43"/>
      <w:bookmarkEnd w:id="44"/>
      <w:bookmarkEnd w:id="45"/>
      <w:bookmarkEnd w:id="46"/>
      <w:bookmarkEnd w:id="47"/>
      <w:bookmarkEnd w:id="48"/>
      <w:r>
        <w:rPr>
          <w:rStyle w:val="CharDivText"/>
        </w:rPr>
        <w:t xml:space="preserve"> </w:t>
      </w:r>
    </w:p>
    <w:p>
      <w:pPr>
        <w:pStyle w:val="Heading5"/>
        <w:rPr>
          <w:snapToGrid w:val="0"/>
        </w:rPr>
      </w:pPr>
      <w:bookmarkStart w:id="49" w:name="_Toc158113267"/>
      <w:bookmarkStart w:id="50" w:name="_Toc158110791"/>
      <w:r>
        <w:rPr>
          <w:rStyle w:val="CharSectno"/>
        </w:rPr>
        <w:t>7</w:t>
      </w:r>
      <w:r>
        <w:rPr>
          <w:snapToGrid w:val="0"/>
        </w:rPr>
        <w:t>.</w:t>
      </w:r>
      <w:r>
        <w:rPr>
          <w:snapToGrid w:val="0"/>
        </w:rPr>
        <w:tab/>
        <w:t>Blood transfusions not subject to this Division</w:t>
      </w:r>
      <w:bookmarkEnd w:id="49"/>
      <w:bookmarkEnd w:id="50"/>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51" w:name="_Toc158113268"/>
      <w:bookmarkStart w:id="52" w:name="_Toc158110792"/>
      <w:r>
        <w:rPr>
          <w:rStyle w:val="CharSectno"/>
        </w:rPr>
        <w:t>8</w:t>
      </w:r>
      <w:r>
        <w:rPr>
          <w:snapToGrid w:val="0"/>
        </w:rPr>
        <w:t>.</w:t>
      </w:r>
      <w:r>
        <w:rPr>
          <w:snapToGrid w:val="0"/>
        </w:rPr>
        <w:tab/>
        <w:t>Consent to removal of regenerative tissue</w:t>
      </w:r>
      <w:bookmarkEnd w:id="51"/>
      <w:bookmarkEnd w:id="52"/>
      <w:r>
        <w:rPr>
          <w:snapToGrid w:val="0"/>
        </w:rPr>
        <w:t xml:space="preserve"> </w:t>
      </w:r>
    </w:p>
    <w:p>
      <w:pPr>
        <w:pStyle w:val="Subsection"/>
      </w:pPr>
      <w:r>
        <w:tab/>
        <w:t>(1)</w:t>
      </w:r>
      <w:r>
        <w:tab/>
        <w:t>This section applies to a person who — </w:t>
      </w:r>
    </w:p>
    <w:p>
      <w:pPr>
        <w:pStyle w:val="Indenta"/>
      </w:pPr>
      <w:r>
        <w:tab/>
        <w:t>(a)</w:t>
      </w:r>
      <w:r>
        <w:tab/>
        <w:t>has attained the age of 18 years; and</w:t>
      </w:r>
    </w:p>
    <w:p>
      <w:pPr>
        <w:pStyle w:val="Indenta"/>
      </w:pPr>
      <w:r>
        <w:tab/>
        <w:t>(b)</w:t>
      </w:r>
      <w:r>
        <w:tab/>
        <w:t>is of sound mind; and</w:t>
      </w:r>
    </w:p>
    <w:p>
      <w:pPr>
        <w:pStyle w:val="Indenta"/>
      </w:pPr>
      <w:r>
        <w:tab/>
        <w:t>(c)</w:t>
      </w:r>
      <w:r>
        <w:tab/>
        <w:t>is, in the light of medical advice furnished to the person, prepared to consent as referred to in subsection (1A).</w:t>
      </w:r>
    </w:p>
    <w:p>
      <w:pPr>
        <w:pStyle w:val="Subsection"/>
      </w:pPr>
      <w:r>
        <w:tab/>
        <w:t>(1A)</w:t>
      </w:r>
      <w:r>
        <w:tab/>
        <w:t>The person may, by writing signed by the person otherwise than in the presence of any member of the person’s family or any of the person’s friends, consent to the removal from the person’s body of regenerative tissue, other than blood, specified in the consent —</w:t>
      </w:r>
    </w:p>
    <w:p>
      <w:pPr>
        <w:pStyle w:val="Indenta"/>
      </w:pPr>
      <w:r>
        <w:tab/>
        <w:t>(a)</w:t>
      </w:r>
      <w:r>
        <w:tab/>
        <w:t>for the purpose of the transplantation of the tissue to the body of another living person; or</w:t>
      </w:r>
    </w:p>
    <w:p>
      <w:pPr>
        <w:pStyle w:val="Indenta"/>
      </w:pPr>
      <w:r>
        <w:tab/>
        <w:t>(b)</w:t>
      </w:r>
      <w:r>
        <w:tab/>
        <w:t>for use of the tissue for other therapeutic purposes or for medical or scientific purposes; or</w:t>
      </w:r>
    </w:p>
    <w:p>
      <w:pPr>
        <w:pStyle w:val="Indenta"/>
      </w:pPr>
      <w:r>
        <w:tab/>
        <w:t>(c)</w:t>
      </w:r>
      <w:r>
        <w:tab/>
        <w:t>for use of the tissue for the purposes of training, education or quality assurance relating to a use referred to in paragraph (b).</w:t>
      </w:r>
    </w:p>
    <w:p>
      <w:pPr>
        <w:pStyle w:val="Subsection"/>
        <w:keepNext/>
        <w:rPr>
          <w:snapToGrid w:val="0"/>
        </w:rPr>
      </w:pPr>
      <w:r>
        <w:rPr>
          <w:snapToGrid w:val="0"/>
        </w:rPr>
        <w:tab/>
        <w:t>(2)</w:t>
      </w:r>
      <w:r>
        <w:rPr>
          <w:snapToGrid w:val="0"/>
        </w:rPr>
        <w:tab/>
        <w:t xml:space="preserve">A person who has given a consent referred to in </w:t>
      </w:r>
      <w:r>
        <w:t xml:space="preserve">subsection (1A) </w:t>
      </w:r>
      <w:r>
        <w:rPr>
          <w:snapToGrid w:val="0"/>
        </w:rPr>
        <w:t xml:space="preserve">may, at any time before the removal of the regenerative tissue to which the consent applies, revoke, either orally or in writing, </w:t>
      </w:r>
      <w:r>
        <w:t>the person’s</w:t>
      </w:r>
      <w:r>
        <w:rPr>
          <w:snapToGrid w:val="0"/>
        </w:rPr>
        <w:t xml:space="preserve"> consent to the removal.</w:t>
      </w:r>
    </w:p>
    <w:p>
      <w:pPr>
        <w:pStyle w:val="Footnotesection"/>
      </w:pPr>
      <w:r>
        <w:tab/>
        <w:t>[Section 8 amended: No. 41 of 2022 s. 12 and 28]</w:t>
      </w:r>
    </w:p>
    <w:p>
      <w:pPr>
        <w:pStyle w:val="Heading5"/>
        <w:rPr>
          <w:snapToGrid w:val="0"/>
        </w:rPr>
      </w:pPr>
      <w:bookmarkStart w:id="53" w:name="_Toc158113269"/>
      <w:bookmarkStart w:id="54" w:name="_Toc158110793"/>
      <w:r>
        <w:rPr>
          <w:rStyle w:val="CharSectno"/>
        </w:rPr>
        <w:t>9</w:t>
      </w:r>
      <w:r>
        <w:rPr>
          <w:snapToGrid w:val="0"/>
        </w:rPr>
        <w:t>.</w:t>
      </w:r>
      <w:r>
        <w:rPr>
          <w:snapToGrid w:val="0"/>
        </w:rPr>
        <w:tab/>
        <w:t>Consent to removal of non</w:t>
      </w:r>
      <w:r>
        <w:rPr>
          <w:snapToGrid w:val="0"/>
        </w:rPr>
        <w:noBreakHyphen/>
        <w:t>regenerative tissue</w:t>
      </w:r>
      <w:bookmarkEnd w:id="53"/>
      <w:bookmarkEnd w:id="54"/>
    </w:p>
    <w:p>
      <w:pPr>
        <w:pStyle w:val="Subsection"/>
        <w:keepNext/>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keepNext/>
        <w:rPr>
          <w:snapToGrid w:val="0"/>
        </w:rPr>
      </w:pPr>
      <w:r>
        <w:rPr>
          <w:snapToGrid w:val="0"/>
        </w:rPr>
        <w:tab/>
        <w:t>(c)</w:t>
      </w:r>
      <w:r>
        <w:rPr>
          <w:snapToGrid w:val="0"/>
        </w:rPr>
        <w:tab/>
        <w:t>is in the light of medical advice furnished to the person prepared to do so,</w:t>
      </w:r>
    </w:p>
    <w:p>
      <w:pPr>
        <w:pStyle w:val="Subsection"/>
        <w:spacing w:before="120"/>
        <w:rPr>
          <w:snapToGrid w:val="0"/>
        </w:rPr>
      </w:pPr>
      <w:r>
        <w:rPr>
          <w:snapToGrid w:val="0"/>
        </w:rPr>
        <w:tab/>
      </w:r>
      <w:r>
        <w:rPr>
          <w:snapToGrid w:val="0"/>
        </w:rPr>
        <w:tab/>
        <w:t xml:space="preserve">may, by writing signed by </w:t>
      </w:r>
      <w:r>
        <w:t>the person</w:t>
      </w:r>
      <w:r>
        <w:rPr>
          <w:snapToGrid w:val="0"/>
        </w:rPr>
        <w:t xml:space="preserve"> otherwise than in the presence of any member of </w:t>
      </w:r>
      <w:r>
        <w:t xml:space="preserve">the person’s </w:t>
      </w:r>
      <w:r>
        <w:rPr>
          <w:snapToGrid w:val="0"/>
        </w:rPr>
        <w:t xml:space="preserve">family or any of </w:t>
      </w:r>
      <w:r>
        <w:t xml:space="preserve">the person’s </w:t>
      </w:r>
      <w:r>
        <w:rPr>
          <w:snapToGrid w:val="0"/>
        </w:rPr>
        <w:t xml:space="preserve">friends, consent to the removal, after the expiration of a period of 24 hours from the time at which the consent is signed, from </w:t>
      </w:r>
      <w:r>
        <w:t xml:space="preserve">the person’s </w:t>
      </w:r>
      <w:r>
        <w:rPr>
          <w:snapToGrid w:val="0"/>
        </w:rPr>
        <w:t>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 xml:space="preserve">regenerative tissue to which the consent applies, revoke, either orally or in writing, </w:t>
      </w:r>
      <w:r>
        <w:t xml:space="preserve">the person’s </w:t>
      </w:r>
      <w:r>
        <w:rPr>
          <w:snapToGrid w:val="0"/>
        </w:rPr>
        <w:t>consent to the removal.</w:t>
      </w:r>
    </w:p>
    <w:p>
      <w:pPr>
        <w:pStyle w:val="Footnotesection"/>
      </w:pPr>
      <w:r>
        <w:tab/>
        <w:t>[Section 9 amended: No. 41 of 2022 s. 28.]</w:t>
      </w:r>
    </w:p>
    <w:p>
      <w:pPr>
        <w:pStyle w:val="Heading3"/>
        <w:rPr>
          <w:snapToGrid w:val="0"/>
        </w:rPr>
      </w:pPr>
      <w:bookmarkStart w:id="55" w:name="_Toc157777179"/>
      <w:bookmarkStart w:id="56" w:name="_Toc158033691"/>
      <w:bookmarkStart w:id="57" w:name="_Toc158113270"/>
      <w:bookmarkStart w:id="58" w:name="_Toc158106311"/>
      <w:bookmarkStart w:id="59" w:name="_Toc158106604"/>
      <w:bookmarkStart w:id="60" w:name="_Toc158110794"/>
      <w:r>
        <w:rPr>
          <w:rStyle w:val="CharDivNo"/>
        </w:rPr>
        <w:t>Division 3</w:t>
      </w:r>
      <w:r>
        <w:rPr>
          <w:snapToGrid w:val="0"/>
        </w:rPr>
        <w:t> — </w:t>
      </w:r>
      <w:r>
        <w:rPr>
          <w:rStyle w:val="CharDivText"/>
        </w:rPr>
        <w:t>Donations from children</w:t>
      </w:r>
      <w:bookmarkEnd w:id="55"/>
      <w:bookmarkEnd w:id="56"/>
      <w:bookmarkEnd w:id="57"/>
      <w:bookmarkEnd w:id="58"/>
      <w:bookmarkEnd w:id="59"/>
      <w:bookmarkEnd w:id="60"/>
      <w:r>
        <w:rPr>
          <w:rStyle w:val="CharDivText"/>
        </w:rPr>
        <w:t xml:space="preserve"> </w:t>
      </w:r>
    </w:p>
    <w:p>
      <w:pPr>
        <w:pStyle w:val="Heading5"/>
        <w:rPr>
          <w:snapToGrid w:val="0"/>
        </w:rPr>
      </w:pPr>
      <w:bookmarkStart w:id="61" w:name="_Toc158113271"/>
      <w:bookmarkStart w:id="62" w:name="_Toc158110795"/>
      <w:r>
        <w:rPr>
          <w:rStyle w:val="CharSectno"/>
        </w:rPr>
        <w:t>10</w:t>
      </w:r>
      <w:r>
        <w:rPr>
          <w:snapToGrid w:val="0"/>
        </w:rPr>
        <w:t>.</w:t>
      </w:r>
      <w:r>
        <w:rPr>
          <w:snapToGrid w:val="0"/>
        </w:rPr>
        <w:tab/>
        <w:t>Blood transfusions not subject to this Division</w:t>
      </w:r>
      <w:bookmarkEnd w:id="61"/>
      <w:bookmarkEnd w:id="62"/>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63" w:name="_Toc158113272"/>
      <w:bookmarkStart w:id="64" w:name="_Toc158110796"/>
      <w:r>
        <w:rPr>
          <w:rStyle w:val="CharSectno"/>
        </w:rPr>
        <w:t>11</w:t>
      </w:r>
      <w:r>
        <w:rPr>
          <w:snapToGrid w:val="0"/>
        </w:rPr>
        <w:t>.</w:t>
      </w:r>
      <w:r>
        <w:rPr>
          <w:snapToGrid w:val="0"/>
        </w:rPr>
        <w:tab/>
        <w:t>References to parents</w:t>
      </w:r>
      <w:bookmarkEnd w:id="63"/>
      <w:bookmarkEnd w:id="64"/>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w:t>
      </w:r>
      <w:r>
        <w:t>does not include</w:t>
      </w:r>
      <w:r>
        <w:rPr>
          <w:snapToGrid w:val="0"/>
        </w:rPr>
        <w:t xml:space="preserve"> a reference to the guardian of a child or to another person standing </w:t>
      </w:r>
      <w:r>
        <w:rPr>
          <w:i/>
          <w:snapToGrid w:val="0"/>
        </w:rPr>
        <w:t>in loco parentis</w:t>
      </w:r>
      <w:r>
        <w:rPr>
          <w:snapToGrid w:val="0"/>
        </w:rPr>
        <w:t xml:space="preserve"> to the child.</w:t>
      </w:r>
    </w:p>
    <w:p>
      <w:pPr>
        <w:pStyle w:val="Footnotesection"/>
      </w:pPr>
      <w:r>
        <w:tab/>
        <w:t>[Section 11 amended: No. 41 of 2022 s. 29.]</w:t>
      </w:r>
    </w:p>
    <w:p>
      <w:pPr>
        <w:pStyle w:val="Heading5"/>
        <w:rPr>
          <w:snapToGrid w:val="0"/>
        </w:rPr>
      </w:pPr>
      <w:bookmarkStart w:id="65" w:name="_Toc158113273"/>
      <w:bookmarkStart w:id="66" w:name="_Toc158110797"/>
      <w:r>
        <w:rPr>
          <w:rStyle w:val="CharSectno"/>
        </w:rPr>
        <w:t>12</w:t>
      </w:r>
      <w:r>
        <w:rPr>
          <w:snapToGrid w:val="0"/>
        </w:rPr>
        <w:t>.</w:t>
      </w:r>
      <w:r>
        <w:rPr>
          <w:snapToGrid w:val="0"/>
        </w:rPr>
        <w:tab/>
        <w:t>General prohibition of removal of tissue from children</w:t>
      </w:r>
      <w:bookmarkEnd w:id="65"/>
      <w:bookmarkEnd w:id="66"/>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67" w:name="_Toc158113274"/>
      <w:bookmarkStart w:id="68" w:name="_Toc158110798"/>
      <w:r>
        <w:rPr>
          <w:rStyle w:val="CharSectno"/>
        </w:rPr>
        <w:t>13</w:t>
      </w:r>
      <w:r>
        <w:rPr>
          <w:snapToGrid w:val="0"/>
        </w:rPr>
        <w:t>.</w:t>
      </w:r>
      <w:r>
        <w:rPr>
          <w:snapToGrid w:val="0"/>
        </w:rPr>
        <w:tab/>
        <w:t>Parent may consent to removal of regenerative tissue from a child</w:t>
      </w:r>
      <w:bookmarkEnd w:id="67"/>
      <w:bookmarkEnd w:id="68"/>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keepNext/>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69" w:name="_Toc158113275"/>
      <w:bookmarkStart w:id="70" w:name="_Toc158110799"/>
      <w:r>
        <w:rPr>
          <w:rStyle w:val="CharSectno"/>
        </w:rPr>
        <w:t>14</w:t>
      </w:r>
      <w:r>
        <w:rPr>
          <w:snapToGrid w:val="0"/>
        </w:rPr>
        <w:t>.</w:t>
      </w:r>
      <w:r>
        <w:rPr>
          <w:snapToGrid w:val="0"/>
        </w:rPr>
        <w:tab/>
        <w:t>Revocation of consent</w:t>
      </w:r>
      <w:bookmarkEnd w:id="69"/>
      <w:bookmarkEnd w:id="70"/>
      <w:r>
        <w:rPr>
          <w:snapToGrid w:val="0"/>
        </w:rPr>
        <w:t xml:space="preserve"> </w:t>
      </w:r>
    </w:p>
    <w:p>
      <w:pPr>
        <w:pStyle w:val="Subsection"/>
        <w:rPr>
          <w:snapToGrid w:val="0"/>
        </w:rPr>
      </w:pPr>
      <w:r>
        <w:rPr>
          <w:snapToGrid w:val="0"/>
        </w:rPr>
        <w:tab/>
      </w:r>
      <w:r>
        <w:rPr>
          <w:snapToGrid w:val="0"/>
        </w:rPr>
        <w:tab/>
        <w:t xml:space="preserve">A parent who has given a consent under this Division, or a child who has under this Division agreed to the removal of tissue from </w:t>
      </w:r>
      <w:r>
        <w:t>the child’s body</w:t>
      </w:r>
      <w:r>
        <w:rPr>
          <w:snapToGrid w:val="0"/>
        </w:rPr>
        <w:t xml:space="preserve">, may, at any time before the removal of the tissue to which the consent or agreement applies, revoke, either orally or in writing, </w:t>
      </w:r>
      <w:r>
        <w:t>the consent</w:t>
      </w:r>
      <w:r>
        <w:rPr>
          <w:snapToGrid w:val="0"/>
        </w:rPr>
        <w:t xml:space="preserve"> or agreement, as the case requires, to the removal.</w:t>
      </w:r>
    </w:p>
    <w:p>
      <w:pPr>
        <w:pStyle w:val="Footnotesection"/>
      </w:pPr>
      <w:r>
        <w:tab/>
        <w:t>[Section 14 amended: No. 41 of 2022 s. 28.]</w:t>
      </w:r>
    </w:p>
    <w:p>
      <w:pPr>
        <w:pStyle w:val="Heading3"/>
        <w:spacing w:before="360"/>
        <w:rPr>
          <w:snapToGrid w:val="0"/>
        </w:rPr>
      </w:pPr>
      <w:bookmarkStart w:id="71" w:name="_Toc157777185"/>
      <w:bookmarkStart w:id="72" w:name="_Toc158033697"/>
      <w:bookmarkStart w:id="73" w:name="_Toc158113276"/>
      <w:bookmarkStart w:id="74" w:name="_Toc158106317"/>
      <w:bookmarkStart w:id="75" w:name="_Toc158106610"/>
      <w:bookmarkStart w:id="76" w:name="_Toc158110800"/>
      <w:r>
        <w:rPr>
          <w:rStyle w:val="CharDivNo"/>
        </w:rPr>
        <w:t>Division 4</w:t>
      </w:r>
      <w:r>
        <w:rPr>
          <w:snapToGrid w:val="0"/>
        </w:rPr>
        <w:t> — </w:t>
      </w:r>
      <w:r>
        <w:rPr>
          <w:rStyle w:val="CharDivText"/>
        </w:rPr>
        <w:t>Effect of consents and authorities</w:t>
      </w:r>
      <w:bookmarkEnd w:id="71"/>
      <w:bookmarkEnd w:id="72"/>
      <w:bookmarkEnd w:id="73"/>
      <w:bookmarkEnd w:id="74"/>
      <w:bookmarkEnd w:id="75"/>
      <w:bookmarkEnd w:id="76"/>
      <w:r>
        <w:rPr>
          <w:rStyle w:val="CharDivText"/>
        </w:rPr>
        <w:t xml:space="preserve"> </w:t>
      </w:r>
    </w:p>
    <w:p>
      <w:pPr>
        <w:pStyle w:val="Heading5"/>
        <w:rPr>
          <w:snapToGrid w:val="0"/>
        </w:rPr>
      </w:pPr>
      <w:bookmarkStart w:id="77" w:name="_Toc158113277"/>
      <w:bookmarkStart w:id="78" w:name="_Toc158110801"/>
      <w:r>
        <w:rPr>
          <w:rStyle w:val="CharSectno"/>
        </w:rPr>
        <w:t>15</w:t>
      </w:r>
      <w:r>
        <w:rPr>
          <w:snapToGrid w:val="0"/>
        </w:rPr>
        <w:t>.</w:t>
      </w:r>
      <w:r>
        <w:rPr>
          <w:snapToGrid w:val="0"/>
        </w:rPr>
        <w:tab/>
        <w:t>Consents under section 8</w:t>
      </w:r>
      <w:bookmarkEnd w:id="77"/>
      <w:bookmarkEnd w:id="78"/>
      <w:r>
        <w:rPr>
          <w:snapToGrid w:val="0"/>
        </w:rPr>
        <w:t xml:space="preserve"> </w:t>
      </w:r>
    </w:p>
    <w:p>
      <w:pPr>
        <w:pStyle w:val="Subsection"/>
        <w:keepNext/>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 xml:space="preserve">for use for other therapeutic purposes or for medical or scientific </w:t>
      </w:r>
      <w:r>
        <w:t>purposes; or</w:t>
      </w:r>
    </w:p>
    <w:p>
      <w:pPr>
        <w:pStyle w:val="Indenta"/>
        <w:keepNext/>
      </w:pPr>
      <w:r>
        <w:tab/>
        <w:t>(c)</w:t>
      </w:r>
      <w:r>
        <w:tab/>
        <w:t>for use of the tissue for the purposes of training, education or quality assurance relating to a use referred to in paragraph (b).</w:t>
      </w:r>
    </w:p>
    <w:p>
      <w:pPr>
        <w:pStyle w:val="Footnotesection"/>
      </w:pPr>
      <w:r>
        <w:tab/>
        <w:t>[Section 15 amended: No. 41 of 2022 s. 13.]</w:t>
      </w:r>
    </w:p>
    <w:p>
      <w:pPr>
        <w:pStyle w:val="Heading5"/>
        <w:rPr>
          <w:snapToGrid w:val="0"/>
        </w:rPr>
      </w:pPr>
      <w:bookmarkStart w:id="79" w:name="_Toc158113278"/>
      <w:bookmarkStart w:id="80" w:name="_Toc158110802"/>
      <w:r>
        <w:rPr>
          <w:rStyle w:val="CharSectno"/>
        </w:rPr>
        <w:t>16</w:t>
      </w:r>
      <w:r>
        <w:rPr>
          <w:snapToGrid w:val="0"/>
        </w:rPr>
        <w:t>.</w:t>
      </w:r>
      <w:r>
        <w:rPr>
          <w:snapToGrid w:val="0"/>
        </w:rPr>
        <w:tab/>
        <w:t>Consents under section 9</w:t>
      </w:r>
      <w:bookmarkEnd w:id="79"/>
      <w:bookmarkEnd w:id="80"/>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81" w:name="_Toc158113279"/>
      <w:bookmarkStart w:id="82" w:name="_Toc158110803"/>
      <w:r>
        <w:rPr>
          <w:rStyle w:val="CharSectno"/>
        </w:rPr>
        <w:t>17</w:t>
      </w:r>
      <w:r>
        <w:rPr>
          <w:snapToGrid w:val="0"/>
        </w:rPr>
        <w:t>.</w:t>
      </w:r>
      <w:r>
        <w:rPr>
          <w:snapToGrid w:val="0"/>
        </w:rPr>
        <w:tab/>
        <w:t>Consents under section 13</w:t>
      </w:r>
      <w:bookmarkEnd w:id="81"/>
      <w:bookmarkEnd w:id="82"/>
      <w:r>
        <w:rPr>
          <w:snapToGrid w:val="0"/>
        </w:rPr>
        <w:t xml:space="preserve"> </w:t>
      </w:r>
    </w:p>
    <w:p>
      <w:pPr>
        <w:pStyle w:val="Subsection"/>
        <w:rPr>
          <w:snapToGrid w:val="0"/>
        </w:rPr>
      </w:pPr>
      <w:r>
        <w:rPr>
          <w:snapToGrid w:val="0"/>
        </w:rPr>
        <w:tab/>
      </w:r>
      <w:r>
        <w:rPr>
          <w:snapToGrid w:val="0"/>
        </w:rPr>
        <w:tab/>
        <w:t xml:space="preserve">A consent under section 13 is, unless the parent who gave the consent has revoked </w:t>
      </w:r>
      <w:r>
        <w:t>the consent</w:t>
      </w:r>
      <w:r>
        <w:rPr>
          <w:snapToGrid w:val="0"/>
        </w:rPr>
        <w:t xml:space="preserve"> or the child has revoked </w:t>
      </w:r>
      <w:r>
        <w:t>the child’s agreement</w:t>
      </w:r>
      <w:r>
        <w:rPr>
          <w:snapToGrid w:val="0"/>
        </w:rPr>
        <w:t xml:space="preserve">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Footnotesection"/>
      </w:pPr>
      <w:r>
        <w:tab/>
        <w:t>[Section 17 amended: No. 41 of 2022 s. 28.]</w:t>
      </w:r>
    </w:p>
    <w:p>
      <w:pPr>
        <w:pStyle w:val="Heading3"/>
        <w:rPr>
          <w:snapToGrid w:val="0"/>
        </w:rPr>
      </w:pPr>
      <w:bookmarkStart w:id="83" w:name="_Toc157777189"/>
      <w:bookmarkStart w:id="84" w:name="_Toc158033701"/>
      <w:bookmarkStart w:id="85" w:name="_Toc158113280"/>
      <w:bookmarkStart w:id="86" w:name="_Toc158106321"/>
      <w:bookmarkStart w:id="87" w:name="_Toc158106614"/>
      <w:bookmarkStart w:id="88" w:name="_Toc158110804"/>
      <w:r>
        <w:rPr>
          <w:rStyle w:val="CharDivNo"/>
        </w:rPr>
        <w:t>Division 5</w:t>
      </w:r>
      <w:r>
        <w:rPr>
          <w:snapToGrid w:val="0"/>
        </w:rPr>
        <w:t> — </w:t>
      </w:r>
      <w:r>
        <w:rPr>
          <w:rStyle w:val="CharDivText"/>
        </w:rPr>
        <w:t>Blood transfusions</w:t>
      </w:r>
      <w:bookmarkEnd w:id="83"/>
      <w:bookmarkEnd w:id="84"/>
      <w:bookmarkEnd w:id="85"/>
      <w:bookmarkEnd w:id="86"/>
      <w:bookmarkEnd w:id="87"/>
      <w:bookmarkEnd w:id="88"/>
      <w:r>
        <w:rPr>
          <w:rStyle w:val="CharDivText"/>
        </w:rPr>
        <w:t xml:space="preserve"> </w:t>
      </w:r>
    </w:p>
    <w:p>
      <w:pPr>
        <w:pStyle w:val="Heading5"/>
      </w:pPr>
      <w:bookmarkStart w:id="89" w:name="_Toc158113281"/>
      <w:bookmarkStart w:id="90" w:name="_Toc158110805"/>
      <w:r>
        <w:rPr>
          <w:rStyle w:val="CharSectno"/>
        </w:rPr>
        <w:t>18</w:t>
      </w:r>
      <w:r>
        <w:t>.</w:t>
      </w:r>
      <w:r>
        <w:tab/>
        <w:t>Consent by adult to removal of blood</w:t>
      </w:r>
      <w:bookmarkEnd w:id="89"/>
      <w:bookmarkEnd w:id="90"/>
    </w:p>
    <w:p>
      <w:pPr>
        <w:pStyle w:val="Subsection"/>
        <w:keepNext/>
      </w:pPr>
      <w:r>
        <w:tab/>
        <w:t>(1)</w:t>
      </w:r>
      <w:r>
        <w:tab/>
        <w:t xml:space="preserve">This section applies to a person who — </w:t>
      </w:r>
    </w:p>
    <w:p>
      <w:pPr>
        <w:pStyle w:val="Indenta"/>
      </w:pPr>
      <w:r>
        <w:tab/>
        <w:t>(a)</w:t>
      </w:r>
      <w:r>
        <w:tab/>
        <w:t>has attained the age of 18 years; and</w:t>
      </w:r>
    </w:p>
    <w:p>
      <w:pPr>
        <w:pStyle w:val="Indenta"/>
      </w:pPr>
      <w:r>
        <w:tab/>
        <w:t>(b)</w:t>
      </w:r>
      <w:r>
        <w:tab/>
        <w:t>is of sound mind.</w:t>
      </w:r>
    </w:p>
    <w:p>
      <w:pPr>
        <w:pStyle w:val="Subsection"/>
        <w:keepNext/>
      </w:pPr>
      <w:r>
        <w:tab/>
        <w:t>(2)</w:t>
      </w:r>
      <w:r>
        <w:tab/>
        <w:t xml:space="preserve">The person may consent to the removal of blood from the person’s body — </w:t>
      </w:r>
    </w:p>
    <w:p>
      <w:pPr>
        <w:pStyle w:val="Indenta"/>
      </w:pPr>
      <w:r>
        <w:tab/>
        <w:t>(a)</w:t>
      </w:r>
      <w:r>
        <w:tab/>
        <w:t>for transfusion of the blood to another person; or</w:t>
      </w:r>
    </w:p>
    <w:p>
      <w:pPr>
        <w:pStyle w:val="Indenta"/>
      </w:pPr>
      <w:r>
        <w:tab/>
        <w:t>(b)</w:t>
      </w:r>
      <w:r>
        <w:tab/>
        <w:t>for use of the blood or of any of its constituents for other therapeutic purposes or for medical or scientific purposes; or</w:t>
      </w:r>
    </w:p>
    <w:p>
      <w:pPr>
        <w:pStyle w:val="Indenta"/>
        <w:keepNext/>
      </w:pPr>
      <w:r>
        <w:tab/>
        <w:t>(c)</w:t>
      </w:r>
      <w:r>
        <w:tab/>
        <w:t>for use of the blood or of any of its constituents for the purposes of training, education or quality assurance relating to a use referred to in paragraph (b).</w:t>
      </w:r>
    </w:p>
    <w:p>
      <w:pPr>
        <w:pStyle w:val="Footnotesection"/>
      </w:pPr>
      <w:r>
        <w:tab/>
        <w:t>[Section 18 inserted: No. 41 of 2022 s. 14.]</w:t>
      </w:r>
    </w:p>
    <w:p>
      <w:pPr>
        <w:pStyle w:val="Heading5"/>
        <w:rPr>
          <w:snapToGrid w:val="0"/>
        </w:rPr>
      </w:pPr>
      <w:bookmarkStart w:id="91" w:name="_Toc158113282"/>
      <w:bookmarkStart w:id="92" w:name="_Toc158110806"/>
      <w:r>
        <w:rPr>
          <w:rStyle w:val="CharSectno"/>
        </w:rPr>
        <w:t>19</w:t>
      </w:r>
      <w:r>
        <w:rPr>
          <w:snapToGrid w:val="0"/>
        </w:rPr>
        <w:t>.</w:t>
      </w:r>
      <w:r>
        <w:rPr>
          <w:snapToGrid w:val="0"/>
        </w:rPr>
        <w:tab/>
        <w:t>Parent may consent to removal of blood from child</w:t>
      </w:r>
      <w:bookmarkEnd w:id="91"/>
      <w:bookmarkEnd w:id="92"/>
    </w:p>
    <w:p>
      <w:pPr>
        <w:pStyle w:val="Subsection"/>
        <w:keepNext/>
        <w:rPr>
          <w:snapToGrid w:val="0"/>
        </w:rPr>
      </w:pPr>
      <w:r>
        <w:rPr>
          <w:snapToGrid w:val="0"/>
        </w:rPr>
        <w:tab/>
      </w:r>
      <w:r>
        <w:rPr>
          <w:snapToGrid w:val="0"/>
        </w:rPr>
        <w:tab/>
        <w:t xml:space="preserve">The parent of a child may consent to a removal of blood from the body of the child for a use referred to in </w:t>
      </w:r>
      <w:r>
        <w:t xml:space="preserve">section 18(2) </w:t>
      </w:r>
      <w:r>
        <w:rPr>
          <w:snapToGrid w:val="0"/>
        </w:rPr>
        <w:t>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keepNext/>
        <w:rPr>
          <w:snapToGrid w:val="0"/>
        </w:rPr>
      </w:pPr>
      <w:r>
        <w:rPr>
          <w:snapToGrid w:val="0"/>
        </w:rPr>
        <w:tab/>
        <w:t>(b)</w:t>
      </w:r>
      <w:r>
        <w:rPr>
          <w:snapToGrid w:val="0"/>
        </w:rPr>
        <w:tab/>
        <w:t>the child agrees to the removal.</w:t>
      </w:r>
    </w:p>
    <w:p>
      <w:pPr>
        <w:pStyle w:val="Footnotesection"/>
      </w:pPr>
      <w:r>
        <w:tab/>
        <w:t>[Section 19 amended: No. 41 of 2022 s. 15.]</w:t>
      </w:r>
    </w:p>
    <w:p>
      <w:pPr>
        <w:pStyle w:val="Heading5"/>
        <w:rPr>
          <w:snapToGrid w:val="0"/>
        </w:rPr>
      </w:pPr>
      <w:bookmarkStart w:id="93" w:name="_Toc158113283"/>
      <w:bookmarkStart w:id="94" w:name="_Toc158110807"/>
      <w:r>
        <w:rPr>
          <w:rStyle w:val="CharSectno"/>
        </w:rPr>
        <w:t>20</w:t>
      </w:r>
      <w:r>
        <w:rPr>
          <w:snapToGrid w:val="0"/>
        </w:rPr>
        <w:t>.</w:t>
      </w:r>
      <w:r>
        <w:rPr>
          <w:snapToGrid w:val="0"/>
        </w:rPr>
        <w:tab/>
        <w:t>Consent is sufficient authority for removal of blood</w:t>
      </w:r>
      <w:bookmarkEnd w:id="93"/>
      <w:bookmarkEnd w:id="94"/>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95" w:name="_Toc158113284"/>
      <w:bookmarkStart w:id="96" w:name="_Toc158110808"/>
      <w:r>
        <w:rPr>
          <w:rStyle w:val="CharSectno"/>
        </w:rPr>
        <w:t>21</w:t>
      </w:r>
      <w:r>
        <w:rPr>
          <w:snapToGrid w:val="0"/>
        </w:rPr>
        <w:t>.</w:t>
      </w:r>
      <w:r>
        <w:rPr>
          <w:snapToGrid w:val="0"/>
        </w:rPr>
        <w:tab/>
        <w:t>Blood transfusions upon children without parental consent</w:t>
      </w:r>
      <w:bookmarkEnd w:id="95"/>
      <w:bookmarkEnd w:id="96"/>
      <w:r>
        <w:rPr>
          <w:snapToGrid w:val="0"/>
        </w:rPr>
        <w:t xml:space="preserve"> </w:t>
      </w:r>
    </w:p>
    <w:p>
      <w:pPr>
        <w:pStyle w:val="Subsection"/>
        <w:keepNext/>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keepNext/>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keepNext/>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keepNext/>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r>
      <w:r>
        <w:t>is, before commencing the transfusion, satisfied</w:t>
      </w:r>
      <w:r>
        <w:rPr>
          <w:snapToGrid w:val="0"/>
        </w:rPr>
        <w:t xml:space="preserve"> that the blood to be transfused is suitable for the child.</w:t>
      </w:r>
    </w:p>
    <w:p>
      <w:pPr>
        <w:pStyle w:val="Subsection"/>
        <w:rPr>
          <w:snapToGrid w:val="0"/>
        </w:rPr>
      </w:pPr>
      <w:r>
        <w:rPr>
          <w:snapToGrid w:val="0"/>
        </w:rPr>
        <w:tab/>
        <w:t>(2)</w:t>
      </w:r>
      <w:r>
        <w:rPr>
          <w:snapToGrid w:val="0"/>
        </w:rPr>
        <w:tab/>
        <w:t xml:space="preserve">When a medical practitioner has performed a blood transfusion on a child without the consent of any person legally entitled to authorise it and in respect of that transfusion the requirements and conditions of this section have been complied with, the transfusion </w:t>
      </w:r>
      <w:r>
        <w:t>is taken</w:t>
      </w:r>
      <w:r>
        <w:rPr>
          <w:snapToGrid w:val="0"/>
        </w:rPr>
        <w:t xml:space="preserve"> for all purposes to have been performed with the authority of a person legally entitled to authorise it.</w:t>
      </w:r>
    </w:p>
    <w:p>
      <w:pPr>
        <w:pStyle w:val="Subsection"/>
        <w:keepNext/>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 xml:space="preserve">mentioned practitioner </w:t>
      </w:r>
      <w:r>
        <w:t>is satisfied</w:t>
      </w:r>
      <w:r>
        <w:rPr>
          <w:snapToGrid w:val="0"/>
          <w:spacing w:val="-4"/>
        </w:rPr>
        <w:t>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 xml:space="preserve">Nothing in this section relieves a medical practitioner from liability in respect of the administration of a blood transfusion to a child being a liability to which </w:t>
      </w:r>
      <w:r>
        <w:t>the medical practitioner</w:t>
      </w:r>
      <w:r>
        <w:rPr>
          <w:snapToGrid w:val="0"/>
        </w:rPr>
        <w:t xml:space="preserve"> would have been subject if the transfusion had been administered with the consent of a parent of the child or a person having authority to consent to the administration of the transfusion.</w:t>
      </w:r>
    </w:p>
    <w:p>
      <w:pPr>
        <w:pStyle w:val="Footnotesection"/>
      </w:pPr>
      <w:r>
        <w:tab/>
        <w:t>[Section 21 amended: No. 41 of 2022 s. 28 and 29.]</w:t>
      </w:r>
    </w:p>
    <w:p>
      <w:pPr>
        <w:pStyle w:val="Heading2"/>
      </w:pPr>
      <w:bookmarkStart w:id="97" w:name="_Toc157777194"/>
      <w:bookmarkStart w:id="98" w:name="_Toc158033706"/>
      <w:bookmarkStart w:id="99" w:name="_Toc158113285"/>
      <w:bookmarkStart w:id="100" w:name="_Toc158106326"/>
      <w:bookmarkStart w:id="101" w:name="_Toc158106619"/>
      <w:bookmarkStart w:id="102" w:name="_Toc158110809"/>
      <w:r>
        <w:rPr>
          <w:rStyle w:val="CharPartNo"/>
        </w:rPr>
        <w:t>Part 3</w:t>
      </w:r>
      <w:r>
        <w:rPr>
          <w:rStyle w:val="CharDivNo"/>
        </w:rPr>
        <w:t> </w:t>
      </w:r>
      <w:r>
        <w:t>—</w:t>
      </w:r>
      <w:r>
        <w:rPr>
          <w:rStyle w:val="CharDivText"/>
        </w:rPr>
        <w:t> </w:t>
      </w:r>
      <w:r>
        <w:rPr>
          <w:rStyle w:val="CharPartText"/>
        </w:rPr>
        <w:t>Donations of tissue after death</w:t>
      </w:r>
      <w:bookmarkEnd w:id="97"/>
      <w:bookmarkEnd w:id="98"/>
      <w:bookmarkEnd w:id="99"/>
      <w:bookmarkEnd w:id="100"/>
      <w:bookmarkEnd w:id="101"/>
      <w:bookmarkEnd w:id="102"/>
      <w:r>
        <w:rPr>
          <w:rStyle w:val="CharPartText"/>
        </w:rPr>
        <w:t xml:space="preserve"> </w:t>
      </w:r>
    </w:p>
    <w:p>
      <w:pPr>
        <w:pStyle w:val="Footnoteheading"/>
      </w:pPr>
      <w:r>
        <w:tab/>
        <w:t>[Heading amended: No. 41 of 2022 s. 16.]</w:t>
      </w:r>
    </w:p>
    <w:p>
      <w:pPr>
        <w:pStyle w:val="Heading5"/>
      </w:pPr>
      <w:bookmarkStart w:id="103" w:name="_Toc158113286"/>
      <w:bookmarkStart w:id="104" w:name="_Toc158110810"/>
      <w:r>
        <w:rPr>
          <w:rStyle w:val="CharSectno"/>
        </w:rPr>
        <w:t>21A</w:t>
      </w:r>
      <w:r>
        <w:t>.</w:t>
      </w:r>
      <w:r>
        <w:tab/>
        <w:t xml:space="preserve">No application to </w:t>
      </w:r>
      <w:r>
        <w:rPr>
          <w:i/>
        </w:rPr>
        <w:t>Anatomy Act 1930</w:t>
      </w:r>
      <w:bookmarkEnd w:id="103"/>
      <w:bookmarkEnd w:id="104"/>
    </w:p>
    <w:p>
      <w:pPr>
        <w:pStyle w:val="Subsection"/>
      </w:pPr>
      <w:r>
        <w:tab/>
      </w:r>
      <w:r>
        <w:tab/>
        <w:t xml:space="preserve">Nothing in this Part applies to the removal of tissue for the purpose of the practice of anatomy under the </w:t>
      </w:r>
      <w:r>
        <w:rPr>
          <w:i/>
        </w:rPr>
        <w:t>Anatomy Act 1930</w:t>
      </w:r>
      <w:r>
        <w:t>.</w:t>
      </w:r>
    </w:p>
    <w:p>
      <w:pPr>
        <w:pStyle w:val="Footnotesection"/>
      </w:pPr>
      <w:r>
        <w:tab/>
        <w:t>[Section 21A inserted: No. 41 of 2022 s. 17.]</w:t>
      </w:r>
    </w:p>
    <w:p>
      <w:pPr>
        <w:pStyle w:val="Heading5"/>
        <w:spacing w:before="260"/>
        <w:rPr>
          <w:snapToGrid w:val="0"/>
        </w:rPr>
      </w:pPr>
      <w:bookmarkStart w:id="105" w:name="_Toc158113287"/>
      <w:bookmarkStart w:id="106" w:name="_Toc158110811"/>
      <w:r>
        <w:rPr>
          <w:rStyle w:val="CharSectno"/>
        </w:rPr>
        <w:t>22</w:t>
      </w:r>
      <w:r>
        <w:rPr>
          <w:snapToGrid w:val="0"/>
        </w:rPr>
        <w:t>.</w:t>
      </w:r>
      <w:r>
        <w:rPr>
          <w:snapToGrid w:val="0"/>
        </w:rPr>
        <w:tab/>
        <w:t>Designated officer may authorise removal of tissue from bodies in hospital</w:t>
      </w:r>
      <w:bookmarkEnd w:id="105"/>
      <w:bookmarkEnd w:id="106"/>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 xml:space="preserve">for use of the tissue for other therapeutic purposes or for medical or scientific </w:t>
      </w:r>
      <w:r>
        <w:t>purposes; or</w:t>
      </w:r>
    </w:p>
    <w:p>
      <w:pPr>
        <w:pStyle w:val="Indenta"/>
      </w:pPr>
      <w:r>
        <w:tab/>
        <w:t>(c)</w:t>
      </w:r>
      <w:r>
        <w:tab/>
        <w:t>for use of the tissue for the purposes of training, education or quality assurance relating to a use referred to in paragraph (b).</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 xml:space="preserve">where, after making inquiries, the designated officer is satisfied that the deceased person during </w:t>
      </w:r>
      <w:r>
        <w:t>the person’s lifetime</w:t>
      </w:r>
      <w:r>
        <w:rPr>
          <w:snapToGrid w:val="0"/>
        </w:rPr>
        <w:t xml:space="preserve"> expressed the wish for, or consented to, the removal after </w:t>
      </w:r>
      <w:r>
        <w:t>death of tissue from the body of the deceased person</w:t>
      </w:r>
      <w:r>
        <w:rPr>
          <w:snapToGrid w:val="0"/>
        </w:rPr>
        <w:t xml:space="preserve">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 xml:space="preserve">where, after making inquiries, the designated officer has no reason to believe that the deceased person had expressed an objection to the removal after </w:t>
      </w:r>
      <w:r>
        <w:t>death of tissue from the body of the deceased person</w:t>
      </w:r>
      <w:r>
        <w:rPr>
          <w:snapToGrid w:val="0"/>
        </w:rPr>
        <w:t xml:space="preserve">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the senior available next of kin consents to the removal, after the death of the person, of tissue from the body of the person for the purpose or a use referred to in subsection (1), but the designated officer must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No. 25 of 1997 s. 6; No. 41 of 2022 s. 18, 28 and 29.]</w:t>
      </w:r>
    </w:p>
    <w:p>
      <w:pPr>
        <w:pStyle w:val="Heading5"/>
        <w:rPr>
          <w:snapToGrid w:val="0"/>
        </w:rPr>
      </w:pPr>
      <w:bookmarkStart w:id="107" w:name="_Toc158113288"/>
      <w:bookmarkStart w:id="108" w:name="_Toc158110812"/>
      <w:r>
        <w:rPr>
          <w:rStyle w:val="CharSectno"/>
        </w:rPr>
        <w:t>23</w:t>
      </w:r>
      <w:r>
        <w:rPr>
          <w:snapToGrid w:val="0"/>
        </w:rPr>
        <w:t>.</w:t>
      </w:r>
      <w:r>
        <w:rPr>
          <w:snapToGrid w:val="0"/>
        </w:rPr>
        <w:tab/>
      </w:r>
      <w:r>
        <w:rPr>
          <w:snapToGrid w:val="0"/>
          <w:spacing w:val="-4"/>
        </w:rPr>
        <w:t>Coroner’s consent to removal of tissue required in some cases</w:t>
      </w:r>
      <w:bookmarkEnd w:id="107"/>
      <w:bookmarkEnd w:id="108"/>
    </w:p>
    <w:p>
      <w:pPr>
        <w:pStyle w:val="Subsection"/>
        <w:rPr>
          <w:snapToGrid w:val="0"/>
        </w:rPr>
      </w:pPr>
      <w:r>
        <w:rPr>
          <w:snapToGrid w:val="0"/>
        </w:rPr>
        <w:tab/>
        <w:t>(1)</w:t>
      </w:r>
      <w:r>
        <w:rPr>
          <w:snapToGrid w:val="0"/>
        </w:rPr>
        <w:tab/>
        <w:t xml:space="preserve">If the designated officer for a hospital has reason to believe that the death of a person is or may be a reportable death, the designated officer </w:t>
      </w:r>
      <w:r>
        <w:t>must</w:t>
      </w:r>
      <w:r>
        <w:rPr>
          <w:snapToGrid w:val="0"/>
        </w:rPr>
        <w:t xml:space="preserve"> not, under and in accordance with section 22, authorise the removal of tissue from the body of the deceased person unless the coroner has given consent to the removal.</w:t>
      </w:r>
    </w:p>
    <w:p>
      <w:pPr>
        <w:pStyle w:val="Subsection"/>
        <w:rPr>
          <w:snapToGrid w:val="0"/>
        </w:rPr>
      </w:pPr>
      <w:r>
        <w:rPr>
          <w:snapToGrid w:val="0"/>
        </w:rPr>
        <w:tab/>
        <w:t>(2)</w:t>
      </w:r>
      <w:r>
        <w:rPr>
          <w:snapToGrid w:val="0"/>
        </w:rPr>
        <w:tab/>
        <w:t xml:space="preserve">A coroner may give a direction either before or after the death of a person that </w:t>
      </w:r>
      <w:r>
        <w:t>the coroner’s consent</w:t>
      </w:r>
      <w:r>
        <w:rPr>
          <w:snapToGrid w:val="0"/>
        </w:rPr>
        <w:t xml:space="preserve">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23 amended: No. 2 of 1996 s. 61; No. 41 of 2022 s. 28 and 29.]</w:t>
      </w:r>
    </w:p>
    <w:p>
      <w:pPr>
        <w:pStyle w:val="Heading5"/>
        <w:rPr>
          <w:snapToGrid w:val="0"/>
        </w:rPr>
      </w:pPr>
      <w:bookmarkStart w:id="109" w:name="_Toc158113289"/>
      <w:bookmarkStart w:id="110" w:name="_Toc158110813"/>
      <w:r>
        <w:rPr>
          <w:rStyle w:val="CharSectno"/>
        </w:rPr>
        <w:t>24</w:t>
      </w:r>
      <w:r>
        <w:rPr>
          <w:snapToGrid w:val="0"/>
        </w:rPr>
        <w:t>.</w:t>
      </w:r>
      <w:r>
        <w:rPr>
          <w:snapToGrid w:val="0"/>
        </w:rPr>
        <w:tab/>
        <w:t>Effect of authority under this Part</w:t>
      </w:r>
      <w:bookmarkEnd w:id="109"/>
      <w:bookmarkEnd w:id="110"/>
      <w:r>
        <w:rPr>
          <w:snapToGrid w:val="0"/>
        </w:rPr>
        <w:t xml:space="preserve"> </w:t>
      </w:r>
    </w:p>
    <w:p>
      <w:pPr>
        <w:pStyle w:val="Subsection"/>
      </w:pPr>
      <w:r>
        <w:tab/>
        <w:t>(1)</w:t>
      </w:r>
      <w:r>
        <w:tab/>
        <w:t xml:space="preserve">In this section — </w:t>
      </w:r>
    </w:p>
    <w:p>
      <w:pPr>
        <w:pStyle w:val="Defstart"/>
      </w:pPr>
      <w:r>
        <w:tab/>
      </w:r>
      <w:r>
        <w:rPr>
          <w:rStyle w:val="CharDefText"/>
        </w:rPr>
        <w:t>permitted practitioner</w:t>
      </w:r>
      <w:r>
        <w:t xml:space="preserve">, in relation to an authority under this Part, means a medical practitioner other than — </w:t>
      </w:r>
    </w:p>
    <w:p>
      <w:pPr>
        <w:pStyle w:val="Defpara"/>
      </w:pPr>
      <w:r>
        <w:tab/>
        <w:t>(a)</w:t>
      </w:r>
      <w:r>
        <w:tab/>
        <w:t>if subsection (2) applies — a medical practitioner who made a declaration under that subsection relating to the authority; or</w:t>
      </w:r>
    </w:p>
    <w:p>
      <w:pPr>
        <w:pStyle w:val="Defpara"/>
      </w:pPr>
      <w:r>
        <w:tab/>
        <w:t>(b)</w:t>
      </w:r>
      <w:r>
        <w:tab/>
        <w:t>the designated officer for the hospital in which the authority was given or a person who has lawfully exercised the designated officer’s powers under section 22;</w:t>
      </w:r>
    </w:p>
    <w:p>
      <w:pPr>
        <w:pStyle w:val="Defstart"/>
        <w:keepNext/>
      </w:pPr>
      <w:r>
        <w:tab/>
      </w:r>
      <w:r>
        <w:rPr>
          <w:rStyle w:val="CharDefText"/>
        </w:rPr>
        <w:t>permitted purpose or use</w:t>
      </w:r>
      <w:r>
        <w:t xml:space="preserve">, in relation to the removal of tissue, means — </w:t>
      </w:r>
    </w:p>
    <w:p>
      <w:pPr>
        <w:pStyle w:val="Defpara"/>
      </w:pPr>
      <w:r>
        <w:tab/>
        <w:t>(a)</w:t>
      </w:r>
      <w:r>
        <w:tab/>
        <w:t>the purpose of the transplantation of the tissue to the body of a living person; or</w:t>
      </w:r>
    </w:p>
    <w:p>
      <w:pPr>
        <w:pStyle w:val="Defpara"/>
      </w:pPr>
      <w:r>
        <w:tab/>
        <w:t>(b)</w:t>
      </w:r>
      <w:r>
        <w:tab/>
        <w:t>use of the tissue for other therapeutic purposes or for medical or scientific purposes; or</w:t>
      </w:r>
    </w:p>
    <w:p>
      <w:pPr>
        <w:pStyle w:val="Defpara"/>
      </w:pPr>
      <w:r>
        <w:tab/>
        <w:t>(c)</w:t>
      </w:r>
      <w:r>
        <w:tab/>
        <w:t>use of the tissue for the purposes of training, education or quality assurance relating to a use referred to in paragraph (b).</w:t>
      </w:r>
    </w:p>
    <w:p>
      <w:pPr>
        <w:pStyle w:val="Subsection"/>
      </w:pPr>
      <w:r>
        <w:tab/>
        <w:t>(1A)</w:t>
      </w:r>
      <w:r>
        <w:tab/>
        <w:t xml:space="preserve">Subject to subsection (2), an authority under this Part is sufficient authority for the removal of tissue from the body of the deceased person referred to in the authority, for a permitted purpose or use, by — </w:t>
      </w:r>
    </w:p>
    <w:p>
      <w:pPr>
        <w:pStyle w:val="Indenta"/>
      </w:pPr>
      <w:r>
        <w:tab/>
        <w:t>(a)</w:t>
      </w:r>
      <w:r>
        <w:tab/>
        <w:t xml:space="preserve">if the tissue to be removed is ocular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(b)</w:t>
      </w:r>
      <w:r>
        <w:tab/>
        <w:t xml:space="preserve">if the tissue to be removed is musculoskeletal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(c)</w:t>
      </w:r>
      <w:r>
        <w:tab/>
        <w:t xml:space="preserve">if the tissue to be removed is skin — </w:t>
      </w:r>
    </w:p>
    <w:p>
      <w:pPr>
        <w:pStyle w:val="Indenti"/>
      </w:pPr>
      <w:r>
        <w:tab/>
        <w:t>(i)</w:t>
      </w:r>
      <w:r>
        <w:tab/>
        <w:t>a permitted practitioner; or</w:t>
      </w:r>
    </w:p>
    <w:p>
      <w:pPr>
        <w:pStyle w:val="Indenti"/>
        <w:keepNext/>
      </w:pPr>
      <w:r>
        <w:tab/>
        <w:t>(ii)</w:t>
      </w:r>
      <w:r>
        <w:tab/>
        <w:t>a person appointed under section 24A(1) as an authorised person for the purposes of this paragraph;</w:t>
      </w:r>
    </w:p>
    <w:p>
      <w:pPr>
        <w:pStyle w:val="Indenta"/>
      </w:pPr>
      <w:r>
        <w:tab/>
      </w:r>
      <w:r>
        <w:tab/>
        <w:t>or</w:t>
      </w:r>
    </w:p>
    <w:p>
      <w:pPr>
        <w:pStyle w:val="Indenta"/>
      </w:pPr>
      <w:r>
        <w:tab/>
        <w:t>(d)</w:t>
      </w:r>
      <w:r>
        <w:tab/>
        <w:t>in any other case — a permitted practitioner.</w:t>
      </w:r>
    </w:p>
    <w:p>
      <w:pPr>
        <w:pStyle w:val="Subsection"/>
      </w:pPr>
      <w:r>
        <w:tab/>
        <w:t>(1B)</w:t>
      </w:r>
      <w:r>
        <w:tab/>
        <w:t>An authority under this Part is subject to any restriction that applies in relation to the authority by reason of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w:t>
      </w:r>
      <w:r>
        <w:t>tissue must not be removed from the body of the person for a permitted purpose or use</w:t>
      </w:r>
      <w:r>
        <w:rPr>
          <w:snapToGrid w:val="0"/>
        </w:rPr>
        <w:t xml:space="preserve">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keepNext/>
        <w:rPr>
          <w:snapToGrid w:val="0"/>
        </w:rPr>
      </w:pPr>
      <w:r>
        <w:rPr>
          <w:snapToGrid w:val="0"/>
        </w:rPr>
        <w:tab/>
        <w:t>(3)</w:t>
      </w:r>
      <w:r>
        <w:rPr>
          <w:snapToGrid w:val="0"/>
        </w:rPr>
        <w:tab/>
        <w:t xml:space="preserve">For the purposes of subsection (2), any period during which a person who is a medical practitioner practised as a medical practitioner, however described, under the law in force in a country outside Australia </w:t>
      </w:r>
      <w:r>
        <w:t>must</w:t>
      </w:r>
      <w:r>
        <w:rPr>
          <w:snapToGrid w:val="0"/>
        </w:rPr>
        <w:t xml:space="preserve"> be taken into account in calculating the period of 5 years referred to in that subsection.</w:t>
      </w:r>
    </w:p>
    <w:p>
      <w:pPr>
        <w:pStyle w:val="Ednotesubsection"/>
        <w:keepNext/>
      </w:pPr>
      <w:r>
        <w:tab/>
        <w:t>[(4)</w:t>
      </w:r>
      <w:r>
        <w:tab/>
        <w:t>deleted]</w:t>
      </w:r>
    </w:p>
    <w:p>
      <w:pPr>
        <w:pStyle w:val="Footnotesection"/>
      </w:pPr>
      <w:r>
        <w:tab/>
        <w:t>[Section 24 amended: No. 28 of 1984 s. 59; No. 5 of 1987 s. 3; No. 19 of 2016 s. 102; No. 41 of 2022 s. 19 and 29.]</w:t>
      </w:r>
    </w:p>
    <w:p>
      <w:pPr>
        <w:pStyle w:val="Heading5"/>
      </w:pPr>
      <w:bookmarkStart w:id="111" w:name="_Toc158113290"/>
      <w:bookmarkStart w:id="112" w:name="_Toc158110814"/>
      <w:r>
        <w:rPr>
          <w:rStyle w:val="CharSectno"/>
        </w:rPr>
        <w:t>24A</w:t>
      </w:r>
      <w:r>
        <w:t>.</w:t>
      </w:r>
      <w:r>
        <w:tab/>
        <w:t>Appointment of authorised persons</w:t>
      </w:r>
      <w:bookmarkEnd w:id="111"/>
      <w:bookmarkEnd w:id="112"/>
    </w:p>
    <w:p>
      <w:pPr>
        <w:pStyle w:val="Subsection"/>
      </w:pPr>
      <w:r>
        <w:tab/>
        <w:t>(1)</w:t>
      </w:r>
      <w:r>
        <w:tab/>
        <w:t>The Minister may, in writing, appoint a person, or a person in a class of person, to be an authorised person for the purposes of any 1 or more of section 24(1A)(a)(ii), (b)(ii) or (c)(ii).</w:t>
      </w:r>
    </w:p>
    <w:p>
      <w:pPr>
        <w:pStyle w:val="Subsection"/>
      </w:pPr>
      <w:r>
        <w:tab/>
        <w:t>(2)</w:t>
      </w:r>
      <w:r>
        <w:tab/>
        <w:t>A person cannot be an authorised person if the person is a medical practitioner.</w:t>
      </w:r>
    </w:p>
    <w:p>
      <w:pPr>
        <w:pStyle w:val="Subsection"/>
      </w:pPr>
      <w:r>
        <w:tab/>
        <w:t>(3)</w:t>
      </w:r>
      <w:r>
        <w:tab/>
        <w:t>The Minister may, in writing, revoke an appointment made under subsection (1) if the Minister considers it appropriate to do so.</w:t>
      </w:r>
    </w:p>
    <w:p>
      <w:pPr>
        <w:pStyle w:val="Subsection"/>
        <w:keepNext/>
      </w:pPr>
      <w:r>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p>
    <w:p>
      <w:pPr>
        <w:pStyle w:val="Indenta"/>
      </w:pPr>
      <w:r>
        <w:tab/>
        <w:t>(a)</w:t>
      </w:r>
      <w:r>
        <w:tab/>
        <w:t>the person is taken to have been appointed under subsection (1) to be an authorised person for the purposes of section 24(1A)(a)(ii); and</w:t>
      </w:r>
    </w:p>
    <w:p>
      <w:pPr>
        <w:pStyle w:val="Indenta"/>
        <w:keepNext/>
      </w:pPr>
      <w:r>
        <w:tab/>
        <w:t>(b)</w:t>
      </w:r>
      <w:r>
        <w:tab/>
        <w:t>for the purposes of subsection (3), the person’s appointment is taken to be an appointment made under subsection (1).</w:t>
      </w:r>
    </w:p>
    <w:p>
      <w:pPr>
        <w:pStyle w:val="Footnotesection"/>
      </w:pPr>
      <w:r>
        <w:tab/>
        <w:t>[Section 24A inserted: No. 41 of 2022 s. 20.]</w:t>
      </w:r>
    </w:p>
    <w:p>
      <w:pPr>
        <w:pStyle w:val="Heading2"/>
      </w:pPr>
      <w:bookmarkStart w:id="113" w:name="_Toc157777200"/>
      <w:bookmarkStart w:id="114" w:name="_Toc158033712"/>
      <w:bookmarkStart w:id="115" w:name="_Toc158113291"/>
      <w:bookmarkStart w:id="116" w:name="_Toc158106332"/>
      <w:bookmarkStart w:id="117" w:name="_Toc158106625"/>
      <w:bookmarkStart w:id="118" w:name="_Toc158110815"/>
      <w:r>
        <w:rPr>
          <w:rStyle w:val="CharPartNo"/>
        </w:rPr>
        <w:t>Part 4</w:t>
      </w:r>
      <w:r>
        <w:rPr>
          <w:rStyle w:val="CharDivNo"/>
        </w:rPr>
        <w:t> </w:t>
      </w:r>
      <w:r>
        <w:t>—</w:t>
      </w:r>
      <w:r>
        <w:rPr>
          <w:rStyle w:val="CharDivText"/>
        </w:rPr>
        <w:t> </w:t>
      </w:r>
      <w:r>
        <w:rPr>
          <w:rStyle w:val="CharPartText"/>
        </w:rPr>
        <w:t>Post</w:t>
      </w:r>
      <w:r>
        <w:rPr>
          <w:rStyle w:val="CharPartText"/>
        </w:rPr>
        <w:noBreakHyphen/>
        <w:t>mortem examinations</w:t>
      </w:r>
      <w:bookmarkEnd w:id="113"/>
      <w:bookmarkEnd w:id="114"/>
      <w:bookmarkEnd w:id="115"/>
      <w:bookmarkEnd w:id="116"/>
      <w:bookmarkEnd w:id="117"/>
      <w:bookmarkEnd w:id="118"/>
      <w:r>
        <w:rPr>
          <w:rStyle w:val="CharPartText"/>
        </w:rPr>
        <w:t xml:space="preserve"> </w:t>
      </w:r>
    </w:p>
    <w:p>
      <w:pPr>
        <w:pStyle w:val="Footnoteheading"/>
      </w:pPr>
      <w:r>
        <w:tab/>
        <w:t>[Heading amended: No. 41 of 2022 s. 21.]</w:t>
      </w:r>
    </w:p>
    <w:p>
      <w:pPr>
        <w:pStyle w:val="Heading5"/>
        <w:rPr>
          <w:snapToGrid w:val="0"/>
        </w:rPr>
      </w:pPr>
      <w:bookmarkStart w:id="119" w:name="_Toc158113292"/>
      <w:bookmarkStart w:id="120" w:name="_Toc158110816"/>
      <w:r>
        <w:rPr>
          <w:rStyle w:val="CharSectno"/>
        </w:rPr>
        <w:t>25</w:t>
      </w:r>
      <w:r>
        <w:rPr>
          <w:snapToGrid w:val="0"/>
        </w:rPr>
        <w:t>.</w:t>
      </w:r>
      <w:r>
        <w:rPr>
          <w:snapToGrid w:val="0"/>
        </w:rPr>
        <w:tab/>
        <w:t>Designated officer may authorise post-mortems of bodies in hospital</w:t>
      </w:r>
      <w:bookmarkEnd w:id="119"/>
      <w:bookmarkEnd w:id="120"/>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 xml:space="preserve">Where the designated officer, after making such inquiries as are reasonable in the circumstances, has reason to believe that the deceased person had, during </w:t>
      </w:r>
      <w:r>
        <w:t xml:space="preserve">the person’s </w:t>
      </w:r>
      <w:r>
        <w:rPr>
          <w:snapToGrid w:val="0"/>
        </w:rPr>
        <w:t>lifetime, expressed the wish for, or consented to, a post</w:t>
      </w:r>
      <w:r>
        <w:rPr>
          <w:snapToGrid w:val="0"/>
        </w:rPr>
        <w:noBreakHyphen/>
        <w:t xml:space="preserve">mortem examination of </w:t>
      </w:r>
      <w:r>
        <w:t xml:space="preserve">the person’s </w:t>
      </w:r>
      <w:r>
        <w:rPr>
          <w:snapToGrid w:val="0"/>
        </w:rPr>
        <w:t>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 xml:space="preserve">Where the designated officer, after making such inquiries as are reasonable in the circumstances, has no reason to believe that the deceased person during </w:t>
      </w:r>
      <w:r>
        <w:t xml:space="preserve">the person’s </w:t>
      </w:r>
      <w:r>
        <w:rPr>
          <w:snapToGrid w:val="0"/>
        </w:rPr>
        <w:t>lifetime — </w:t>
      </w:r>
    </w:p>
    <w:p>
      <w:pPr>
        <w:pStyle w:val="Indenta"/>
        <w:rPr>
          <w:snapToGrid w:val="0"/>
        </w:rPr>
      </w:pPr>
      <w:r>
        <w:rPr>
          <w:snapToGrid w:val="0"/>
        </w:rPr>
        <w:tab/>
        <w:t>(a)</w:t>
      </w:r>
      <w:r>
        <w:rPr>
          <w:snapToGrid w:val="0"/>
        </w:rPr>
        <w:tab/>
        <w:t>had expressed the wish for, or consented to, a post</w:t>
      </w:r>
      <w:r>
        <w:rPr>
          <w:snapToGrid w:val="0"/>
        </w:rPr>
        <w:noBreakHyphen/>
        <w:t xml:space="preserve">mortem examination of </w:t>
      </w:r>
      <w:r>
        <w:t xml:space="preserve">the person’s </w:t>
      </w:r>
      <w:r>
        <w:rPr>
          <w:snapToGrid w:val="0"/>
        </w:rPr>
        <w:t>body; or</w:t>
      </w:r>
    </w:p>
    <w:p>
      <w:pPr>
        <w:pStyle w:val="Indenta"/>
        <w:keepNext/>
        <w:rPr>
          <w:snapToGrid w:val="0"/>
        </w:rPr>
      </w:pPr>
      <w:r>
        <w:rPr>
          <w:snapToGrid w:val="0"/>
        </w:rPr>
        <w:tab/>
        <w:t>(b)</w:t>
      </w:r>
      <w:r>
        <w:rPr>
          <w:snapToGrid w:val="0"/>
        </w:rPr>
        <w:tab/>
        <w:t>had expressed an objection to the post</w:t>
      </w:r>
      <w:r>
        <w:rPr>
          <w:snapToGrid w:val="0"/>
        </w:rPr>
        <w:noBreakHyphen/>
        <w:t xml:space="preserve">mortem examination of </w:t>
      </w:r>
      <w:r>
        <w:t xml:space="preserve">the person’s </w:t>
      </w:r>
      <w:r>
        <w:rPr>
          <w:snapToGrid w:val="0"/>
        </w:rPr>
        <w:t>body,</w:t>
      </w:r>
    </w:p>
    <w:p>
      <w:pPr>
        <w:pStyle w:val="Subsection"/>
        <w:keepNext/>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keepNext/>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 xml:space="preserve">The senior available next of kin of a person may make it known to a designated officer at any time when the person is unconscious before death that </w:t>
      </w:r>
      <w:r>
        <w:t>the senior available next of kin has</w:t>
      </w:r>
      <w:r>
        <w:rPr>
          <w:snapToGrid w:val="0"/>
        </w:rPr>
        <w:t xml:space="preserve"> no objection to a post</w:t>
      </w:r>
      <w:r>
        <w:rPr>
          <w:snapToGrid w:val="0"/>
        </w:rPr>
        <w:noBreakHyphen/>
        <w:t xml:space="preserve">mortem examination of the body of the person, but the designated officer </w:t>
      </w:r>
      <w:r>
        <w:t>must</w:t>
      </w:r>
      <w:r>
        <w:rPr>
          <w:snapToGrid w:val="0"/>
        </w:rP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7; No. 41 of 2022 s. 28 and 29.]</w:t>
      </w:r>
    </w:p>
    <w:p>
      <w:pPr>
        <w:pStyle w:val="Heading5"/>
        <w:rPr>
          <w:snapToGrid w:val="0"/>
        </w:rPr>
      </w:pPr>
      <w:bookmarkStart w:id="121" w:name="_Toc158113293"/>
      <w:bookmarkStart w:id="122" w:name="_Toc158110817"/>
      <w:r>
        <w:rPr>
          <w:rStyle w:val="CharSectno"/>
        </w:rPr>
        <w:t>26</w:t>
      </w:r>
      <w:r>
        <w:rPr>
          <w:snapToGrid w:val="0"/>
        </w:rPr>
        <w:t>.</w:t>
      </w:r>
      <w:r>
        <w:rPr>
          <w:snapToGrid w:val="0"/>
        </w:rPr>
        <w:tab/>
      </w:r>
      <w:r>
        <w:rPr>
          <w:snapToGrid w:val="0"/>
          <w:spacing w:val="-4"/>
        </w:rPr>
        <w:t>Next of kin may authorise post-mortem of body not in hospital</w:t>
      </w:r>
      <w:bookmarkEnd w:id="121"/>
      <w:bookmarkEnd w:id="122"/>
    </w:p>
    <w:p>
      <w:pPr>
        <w:pStyle w:val="Subsection"/>
        <w:keepNext/>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 xml:space="preserve">the deceased person had, during </w:t>
      </w:r>
      <w:r>
        <w:t>the person’s lifetime</w:t>
      </w:r>
      <w:r>
        <w:rPr>
          <w:snapToGrid w:val="0"/>
        </w:rPr>
        <w:t>, expressed an objection to a post</w:t>
      </w:r>
      <w:r>
        <w:rPr>
          <w:snapToGrid w:val="0"/>
        </w:rPr>
        <w:noBreakHyphen/>
        <w:t xml:space="preserve">mortem examination of </w:t>
      </w:r>
      <w:r>
        <w:t>the person’s body</w:t>
      </w:r>
      <w:r>
        <w:rPr>
          <w:snapToGrid w:val="0"/>
        </w:rPr>
        <w:t xml:space="preserve"> and had not withdrawn </w:t>
      </w:r>
      <w:r>
        <w:t>the objection</w:t>
      </w:r>
      <w:r>
        <w:rPr>
          <w:snapToGrid w:val="0"/>
        </w:rPr>
        <w:t>;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 xml:space="preserve">Where a deceased person, during </w:t>
      </w:r>
      <w:r>
        <w:t>the person’s lifetime</w:t>
      </w:r>
      <w:r>
        <w:rPr>
          <w:snapToGrid w:val="0"/>
        </w:rPr>
        <w:t>, expressed the wish for, or consented to, a post</w:t>
      </w:r>
      <w:r>
        <w:rPr>
          <w:snapToGrid w:val="0"/>
        </w:rPr>
        <w:noBreakHyphen/>
        <w:t xml:space="preserve">mortem examination of </w:t>
      </w:r>
      <w:r>
        <w:t>the person’s body</w:t>
      </w:r>
      <w:r>
        <w:rPr>
          <w:snapToGrid w:val="0"/>
        </w:rPr>
        <w:t xml:space="preserve">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8; No. 41 of 2022 s. 28.]</w:t>
      </w:r>
    </w:p>
    <w:p>
      <w:pPr>
        <w:pStyle w:val="Heading5"/>
        <w:rPr>
          <w:snapToGrid w:val="0"/>
        </w:rPr>
      </w:pPr>
      <w:bookmarkStart w:id="123" w:name="_Toc158113294"/>
      <w:bookmarkStart w:id="124" w:name="_Toc158110818"/>
      <w:r>
        <w:rPr>
          <w:rStyle w:val="CharSectno"/>
        </w:rPr>
        <w:t>27</w:t>
      </w:r>
      <w:r>
        <w:rPr>
          <w:snapToGrid w:val="0"/>
        </w:rPr>
        <w:t>.</w:t>
      </w:r>
      <w:r>
        <w:rPr>
          <w:snapToGrid w:val="0"/>
        </w:rPr>
        <w:tab/>
        <w:t>Coroner’s consent to post-mortem required in some cases</w:t>
      </w:r>
      <w:bookmarkEnd w:id="123"/>
      <w:bookmarkEnd w:id="124"/>
    </w:p>
    <w:p>
      <w:pPr>
        <w:pStyle w:val="Subsection"/>
        <w:rPr>
          <w:snapToGrid w:val="0"/>
        </w:rPr>
      </w:pPr>
      <w:r>
        <w:rPr>
          <w:snapToGrid w:val="0"/>
        </w:rPr>
        <w:tab/>
        <w:t>(1)</w:t>
      </w:r>
      <w:r>
        <w:rPr>
          <w:snapToGrid w:val="0"/>
        </w:rPr>
        <w:tab/>
        <w:t xml:space="preserve">If the designated officer for a hospital or, in a case to which section 26 applies, the senior available next of kin, has reason to believe that the death of a person is or may be a reportable death, the designated officer or the senior available next of kin, as the case may be, </w:t>
      </w:r>
      <w:r>
        <w:t>must</w:t>
      </w:r>
      <w:r>
        <w:rPr>
          <w:snapToGrid w:val="0"/>
        </w:rPr>
        <w:t xml:space="preserve"> not authorise a post</w:t>
      </w:r>
      <w:r>
        <w:rPr>
          <w:snapToGrid w:val="0"/>
        </w:rPr>
        <w:noBreakHyphen/>
        <w:t>mortem examination of the body of the deceased person unless the coroner has given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consent to the post</w:t>
      </w:r>
      <w:r>
        <w:rPr>
          <w:snapToGrid w:val="0"/>
        </w:rPr>
        <w:noBreakHyphen/>
        <w:t>mortem examination.</w:t>
      </w:r>
    </w:p>
    <w:p>
      <w:pPr>
        <w:pStyle w:val="Subsection"/>
        <w:rPr>
          <w:snapToGrid w:val="0"/>
        </w:rPr>
      </w:pPr>
      <w:r>
        <w:rPr>
          <w:snapToGrid w:val="0"/>
        </w:rPr>
        <w:tab/>
        <w:t>(3)</w:t>
      </w:r>
      <w:r>
        <w:rPr>
          <w:snapToGrid w:val="0"/>
        </w:rPr>
        <w:tab/>
        <w:t xml:space="preserve">A coroner may give a direction either before or after the death of a person that </w:t>
      </w:r>
      <w:r>
        <w:t>the coroner’s consent</w:t>
      </w:r>
      <w:r>
        <w:rPr>
          <w:snapToGrid w:val="0"/>
        </w:rPr>
        <w:t xml:space="preserve">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keepNext/>
        <w:rPr>
          <w:snapToGrid w:val="0"/>
        </w:rPr>
      </w:pPr>
      <w:r>
        <w:rPr>
          <w:snapToGrid w:val="0"/>
        </w:rPr>
        <w:tab/>
        <w:t>(5)</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27 amended: No. 2 of 1996 s. 61; No. 41 of 2022 s. 28 and 29.]</w:t>
      </w:r>
    </w:p>
    <w:p>
      <w:pPr>
        <w:pStyle w:val="Heading5"/>
        <w:rPr>
          <w:snapToGrid w:val="0"/>
        </w:rPr>
      </w:pPr>
      <w:bookmarkStart w:id="125" w:name="_Toc158113295"/>
      <w:bookmarkStart w:id="126" w:name="_Toc158110819"/>
      <w:r>
        <w:rPr>
          <w:rStyle w:val="CharSectno"/>
        </w:rPr>
        <w:t>28</w:t>
      </w:r>
      <w:r>
        <w:rPr>
          <w:snapToGrid w:val="0"/>
        </w:rPr>
        <w:t>.</w:t>
      </w:r>
      <w:r>
        <w:rPr>
          <w:snapToGrid w:val="0"/>
        </w:rPr>
        <w:tab/>
        <w:t>Effect of authority under this Part</w:t>
      </w:r>
      <w:bookmarkEnd w:id="125"/>
      <w:bookmarkEnd w:id="126"/>
      <w:r>
        <w:rPr>
          <w:snapToGrid w:val="0"/>
        </w:rPr>
        <w:t xml:space="preserve"> </w:t>
      </w:r>
    </w:p>
    <w:p>
      <w:pPr>
        <w:pStyle w:val="Subsection"/>
        <w:keepNext/>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keepNext/>
      </w:pPr>
      <w:r>
        <w:tab/>
        <w:t>(2)</w:t>
      </w:r>
      <w:r>
        <w:tab/>
        <w:t>An authority under this Part is authority for the use of tissue removed from the body of the deceased person as part of the post</w:t>
      </w:r>
      <w:r>
        <w:noBreakHyphen/>
        <w:t xml:space="preserve">mortem examination for the following purposes — </w:t>
      </w:r>
    </w:p>
    <w:p>
      <w:pPr>
        <w:pStyle w:val="Indenta"/>
      </w:pPr>
      <w:r>
        <w:tab/>
        <w:t>(a)</w:t>
      </w:r>
      <w:r>
        <w:tab/>
        <w:t>therapeutic, medical, teaching or scientific purposes;</w:t>
      </w:r>
    </w:p>
    <w:p>
      <w:pPr>
        <w:pStyle w:val="Indenta"/>
        <w:keepNext/>
      </w:pPr>
      <w:r>
        <w:tab/>
        <w:t>(b)</w:t>
      </w:r>
      <w:r>
        <w:tab/>
        <w:t>training, education or quality assurance relating to a use referred to in paragraph (a).</w:t>
      </w:r>
    </w:p>
    <w:p>
      <w:pPr>
        <w:pStyle w:val="Footnotesection"/>
      </w:pPr>
      <w:r>
        <w:tab/>
        <w:t>[Section 28 amended: No. 2 of 1996 s. 61; No. 25 of 1997 s. 9; No. 41 of 2022 s. 22.]</w:t>
      </w:r>
    </w:p>
    <w:p>
      <w:pPr>
        <w:pStyle w:val="Heading2"/>
      </w:pPr>
      <w:bookmarkStart w:id="127" w:name="_Toc157777205"/>
      <w:bookmarkStart w:id="128" w:name="_Toc158033717"/>
      <w:bookmarkStart w:id="129" w:name="_Toc158113296"/>
      <w:bookmarkStart w:id="130" w:name="_Toc158106337"/>
      <w:bookmarkStart w:id="131" w:name="_Toc158106630"/>
      <w:bookmarkStart w:id="132" w:name="_Toc158110820"/>
      <w:r>
        <w:rPr>
          <w:rStyle w:val="CharPartNo"/>
        </w:rPr>
        <w:t>Part 5</w:t>
      </w:r>
      <w:r>
        <w:t> — </w:t>
      </w:r>
      <w:r>
        <w:rPr>
          <w:rStyle w:val="CharPartText"/>
        </w:rPr>
        <w:t>Trading in tissue</w:t>
      </w:r>
      <w:bookmarkEnd w:id="127"/>
      <w:bookmarkEnd w:id="128"/>
      <w:bookmarkEnd w:id="129"/>
      <w:bookmarkEnd w:id="130"/>
      <w:bookmarkEnd w:id="131"/>
      <w:bookmarkEnd w:id="132"/>
    </w:p>
    <w:p>
      <w:pPr>
        <w:pStyle w:val="Footnoteheading"/>
      </w:pPr>
      <w:r>
        <w:tab/>
        <w:t>[Heading inserted: No. 41 of 2022 s. 23.]</w:t>
      </w:r>
    </w:p>
    <w:p>
      <w:pPr>
        <w:pStyle w:val="Heading5"/>
        <w:rPr>
          <w:ins w:id="133" w:author="Master Repository Process" w:date="2025-06-17T13:52:00Z"/>
        </w:rPr>
      </w:pPr>
      <w:bookmarkStart w:id="134" w:name="_Toc120008678"/>
      <w:bookmarkStart w:id="135" w:name="_Toc158113297"/>
      <w:bookmarkStart w:id="136" w:name="_Toc158110821"/>
      <w:r>
        <w:rPr>
          <w:rStyle w:val="CharSectno"/>
        </w:rPr>
        <w:t>29</w:t>
      </w:r>
      <w:r>
        <w:t>.</w:t>
      </w:r>
      <w:r>
        <w:tab/>
      </w:r>
      <w:del w:id="137" w:author="Master Repository Process" w:date="2025-06-17T13:52:00Z">
        <w:r>
          <w:rPr>
            <w:snapToGrid w:val="0"/>
          </w:rPr>
          <w:delText>Trading</w:delText>
        </w:r>
      </w:del>
      <w:ins w:id="138" w:author="Master Repository Process" w:date="2025-06-17T13:52:00Z">
        <w:r>
          <w:t xml:space="preserve">Part does not apply to trading regulated under </w:t>
        </w:r>
        <w:r>
          <w:rPr>
            <w:i/>
          </w:rPr>
          <w:t>Human Reproductive Technology Act 1991</w:t>
        </w:r>
        <w:bookmarkEnd w:id="134"/>
        <w:bookmarkEnd w:id="135"/>
      </w:ins>
    </w:p>
    <w:p>
      <w:pPr>
        <w:pStyle w:val="Subsection"/>
        <w:rPr>
          <w:ins w:id="139" w:author="Master Repository Process" w:date="2025-06-17T13:52:00Z"/>
        </w:rPr>
      </w:pPr>
      <w:ins w:id="140" w:author="Master Repository Process" w:date="2025-06-17T13:52:00Z">
        <w:r>
          <w:tab/>
        </w:r>
        <w:r>
          <w:tab/>
          <w:t>This Part does not apply to or in relation to the sale or supply of a human embryo, human sperm or a human egg.</w:t>
        </w:r>
      </w:ins>
    </w:p>
    <w:p>
      <w:pPr>
        <w:pStyle w:val="PermNoteHeading"/>
        <w:rPr>
          <w:ins w:id="141" w:author="Master Repository Process" w:date="2025-06-17T13:52:00Z"/>
        </w:rPr>
      </w:pPr>
      <w:ins w:id="142" w:author="Master Repository Process" w:date="2025-06-17T13:52:00Z">
        <w:r>
          <w:tab/>
          <w:t>Note for this section:</w:t>
        </w:r>
      </w:ins>
    </w:p>
    <w:p>
      <w:pPr>
        <w:pStyle w:val="PermNoteText"/>
        <w:rPr>
          <w:ins w:id="143" w:author="Master Repository Process" w:date="2025-06-17T13:52:00Z"/>
        </w:rPr>
      </w:pPr>
      <w:ins w:id="144" w:author="Master Repository Process" w:date="2025-06-17T13:52:00Z">
        <w:r>
          <w:tab/>
        </w:r>
        <w:r>
          <w:tab/>
          <w:t xml:space="preserve">The </w:t>
        </w:r>
        <w:r>
          <w:rPr>
            <w:i/>
          </w:rPr>
          <w:t>Human Reproductive Technology Act 1991</w:t>
        </w:r>
        <w:r>
          <w:t xml:space="preserve"> section 53Q regulates the sale and supply of human embryos, human sperm and human eggs.</w:t>
        </w:r>
      </w:ins>
    </w:p>
    <w:p>
      <w:pPr>
        <w:pStyle w:val="Footnotesection"/>
        <w:rPr>
          <w:ins w:id="145" w:author="Master Repository Process" w:date="2025-06-17T13:52:00Z"/>
        </w:rPr>
      </w:pPr>
      <w:ins w:id="146" w:author="Master Repository Process" w:date="2025-06-17T13:52:00Z">
        <w:r>
          <w:tab/>
          <w:t>[Section 29 inserted: No. 41 of 2022 s. 31.]</w:t>
        </w:r>
      </w:ins>
    </w:p>
    <w:p>
      <w:pPr>
        <w:pStyle w:val="Heading5"/>
      </w:pPr>
      <w:bookmarkStart w:id="147" w:name="_Toc120008679"/>
      <w:bookmarkStart w:id="148" w:name="_Toc158113298"/>
      <w:ins w:id="149" w:author="Master Repository Process" w:date="2025-06-17T13:52:00Z">
        <w:r>
          <w:rPr>
            <w:rStyle w:val="CharSectno"/>
          </w:rPr>
          <w:t>29A</w:t>
        </w:r>
        <w:r>
          <w:t>.</w:t>
        </w:r>
        <w:r>
          <w:tab/>
          <w:t>Unauthorised trading</w:t>
        </w:r>
      </w:ins>
      <w:r>
        <w:t xml:space="preserve"> in tissue</w:t>
      </w:r>
      <w:del w:id="150" w:author="Master Repository Process" w:date="2025-06-17T13:52:00Z">
        <w:r>
          <w:rPr>
            <w:snapToGrid w:val="0"/>
          </w:rPr>
          <w:delText>, legal consequences</w:delText>
        </w:r>
      </w:del>
      <w:bookmarkEnd w:id="136"/>
      <w:ins w:id="151" w:author="Master Repository Process" w:date="2025-06-17T13:52:00Z">
        <w:r>
          <w:t xml:space="preserve"> prohibited</w:t>
        </w:r>
      </w:ins>
      <w:bookmarkEnd w:id="147"/>
      <w:bookmarkEnd w:id="148"/>
    </w:p>
    <w:p>
      <w:pPr>
        <w:pStyle w:val="Subsection"/>
        <w:rPr>
          <w:ins w:id="152" w:author="Master Repository Process" w:date="2025-06-17T13:52:00Z"/>
        </w:rPr>
      </w:pPr>
      <w:r>
        <w:tab/>
        <w:t>(1)</w:t>
      </w:r>
      <w:r>
        <w:tab/>
      </w:r>
      <w:ins w:id="153" w:author="Master Repository Process" w:date="2025-06-17T13:52:00Z">
        <w:r>
          <w:t xml:space="preserve">In this section — </w:t>
        </w:r>
      </w:ins>
    </w:p>
    <w:p>
      <w:pPr>
        <w:pStyle w:val="Defstart"/>
        <w:rPr>
          <w:ins w:id="154" w:author="Master Repository Process" w:date="2025-06-17T13:52:00Z"/>
        </w:rPr>
      </w:pPr>
      <w:ins w:id="155" w:author="Master Repository Process" w:date="2025-06-17T13:52:00Z">
        <w:r>
          <w:tab/>
        </w:r>
        <w:r>
          <w:rPr>
            <w:rStyle w:val="CharDefText"/>
          </w:rPr>
          <w:t>exempt entity</w:t>
        </w:r>
        <w:r>
          <w:t>, in relation to the sale or supply of tissue, means an entity prescribed by the regulations that is a party to an agreement with the Commonwealth or the State for the sale or supply of the tissue;</w:t>
        </w:r>
      </w:ins>
    </w:p>
    <w:p>
      <w:pPr>
        <w:pStyle w:val="Defstart"/>
        <w:rPr>
          <w:ins w:id="156" w:author="Master Repository Process" w:date="2025-06-17T13:52:00Z"/>
        </w:rPr>
      </w:pPr>
      <w:ins w:id="157" w:author="Master Repository Process" w:date="2025-06-17T13:52:00Z">
        <w:r>
          <w:tab/>
        </w:r>
        <w:r>
          <w:rPr>
            <w:rStyle w:val="CharDefText"/>
          </w:rPr>
          <w:t>national product price list</w:t>
        </w:r>
        <w:r>
          <w:t xml:space="preserve"> means the annual national product price list approved by the Ministerial Council under the National Blood Agreement (as defined in the </w:t>
        </w:r>
        <w:r>
          <w:rPr>
            <w:i/>
          </w:rPr>
          <w:t>National Blood Authority Act 2003</w:t>
        </w:r>
        <w:r>
          <w:t xml:space="preserve"> (Commonwealth) section 3);</w:t>
        </w:r>
      </w:ins>
    </w:p>
    <w:p>
      <w:pPr>
        <w:pStyle w:val="Defstart"/>
        <w:rPr>
          <w:ins w:id="158" w:author="Master Repository Process" w:date="2025-06-17T13:52:00Z"/>
        </w:rPr>
      </w:pPr>
      <w:ins w:id="159" w:author="Master Repository Process" w:date="2025-06-17T13:52:00Z">
        <w:r>
          <w:tab/>
        </w:r>
        <w:r>
          <w:rPr>
            <w:rStyle w:val="CharDefText"/>
          </w:rPr>
          <w:t>TGA provision</w:t>
        </w:r>
        <w:r>
          <w:t xml:space="preserve"> means a provision of the Therapeutic Goods Act or any portion of regulations or rules made under that Act.</w:t>
        </w:r>
      </w:ins>
    </w:p>
    <w:p>
      <w:pPr>
        <w:pStyle w:val="Subsection"/>
      </w:pPr>
      <w:ins w:id="160" w:author="Master Repository Process" w:date="2025-06-17T13:52:00Z">
        <w:r>
          <w:tab/>
          <w:t>(2)</w:t>
        </w:r>
        <w:r>
          <w:tab/>
        </w:r>
      </w:ins>
      <w:r>
        <w:t xml:space="preserve">Subject to </w:t>
      </w:r>
      <w:del w:id="161" w:author="Master Repository Process" w:date="2025-06-17T13:52:00Z">
        <w:r>
          <w:rPr>
            <w:snapToGrid w:val="0"/>
          </w:rPr>
          <w:delText>this section</w:delText>
        </w:r>
      </w:del>
      <w:ins w:id="162" w:author="Master Repository Process" w:date="2025-06-17T13:52:00Z">
        <w:r>
          <w:t>subsection (4) and sections 29C, 29D(1) and 29E</w:t>
        </w:r>
      </w:ins>
      <w:r>
        <w:t xml:space="preserve">, a contract or arrangement </w:t>
      </w:r>
      <w:ins w:id="163" w:author="Master Repository Process" w:date="2025-06-17T13:52:00Z">
        <w:r>
          <w:t xml:space="preserve">is void if, </w:t>
        </w:r>
      </w:ins>
      <w:r>
        <w:t xml:space="preserve">under </w:t>
      </w:r>
      <w:del w:id="164" w:author="Master Repository Process" w:date="2025-06-17T13:52:00Z">
        <w:r>
          <w:rPr>
            <w:snapToGrid w:val="0"/>
          </w:rPr>
          <w:delText>which</w:delText>
        </w:r>
      </w:del>
      <w:ins w:id="165" w:author="Master Repository Process" w:date="2025-06-17T13:52:00Z">
        <w:r>
          <w:t>the contract or arrangement,</w:t>
        </w:r>
      </w:ins>
      <w:r>
        <w:t xml:space="preserve"> a person agrees, for valuable consideration, whether given or to be given to </w:t>
      </w:r>
      <w:del w:id="166" w:author="Master Repository Process" w:date="2025-06-17T13:52:00Z">
        <w:r>
          <w:rPr>
            <w:snapToGrid w:val="0"/>
          </w:rPr>
          <w:delText>himself</w:delText>
        </w:r>
      </w:del>
      <w:ins w:id="167" w:author="Master Repository Process" w:date="2025-06-17T13:52:00Z">
        <w:r>
          <w:t>that person</w:t>
        </w:r>
      </w:ins>
      <w:r>
        <w:t xml:space="preserve"> or to another person —</w:t>
      </w:r>
      <w:del w:id="168" w:author="Master Repository Process" w:date="2025-06-17T13:52:00Z">
        <w:r>
          <w:rPr>
            <w:snapToGrid w:val="0"/>
          </w:rPr>
          <w:delText> </w:delText>
        </w:r>
      </w:del>
      <w:ins w:id="169" w:author="Master Repository Process" w:date="2025-06-17T13:52:00Z">
        <w:r>
          <w:t xml:space="preserve"> </w:t>
        </w:r>
      </w:ins>
    </w:p>
    <w:p>
      <w:pPr>
        <w:pStyle w:val="Indenta"/>
      </w:pPr>
      <w:r>
        <w:tab/>
        <w:t>(a)</w:t>
      </w:r>
      <w:r>
        <w:tab/>
        <w:t xml:space="preserve">to the sale or supply of tissue from </w:t>
      </w:r>
      <w:del w:id="170" w:author="Master Repository Process" w:date="2025-06-17T13:52:00Z">
        <w:r>
          <w:rPr>
            <w:snapToGrid w:val="0"/>
          </w:rPr>
          <w:delText>his</w:delText>
        </w:r>
      </w:del>
      <w:ins w:id="171" w:author="Master Repository Process" w:date="2025-06-17T13:52:00Z">
        <w:r>
          <w:t>that person’s</w:t>
        </w:r>
      </w:ins>
      <w:r>
        <w:t xml:space="preserve"> body or from the body of another person, whether before or after </w:t>
      </w:r>
      <w:del w:id="172" w:author="Master Repository Process" w:date="2025-06-17T13:52:00Z">
        <w:r>
          <w:rPr>
            <w:snapToGrid w:val="0"/>
          </w:rPr>
          <w:delText>his</w:delText>
        </w:r>
      </w:del>
      <w:ins w:id="173" w:author="Master Repository Process" w:date="2025-06-17T13:52:00Z">
        <w:r>
          <w:t>that person’s</w:t>
        </w:r>
      </w:ins>
      <w:r>
        <w:t xml:space="preserve"> death or the death of the other person, as the case may be; or</w:t>
      </w:r>
    </w:p>
    <w:p>
      <w:pPr>
        <w:pStyle w:val="Indenta"/>
      </w:pPr>
      <w:r>
        <w:tab/>
        <w:t>(b)</w:t>
      </w:r>
      <w:r>
        <w:tab/>
        <w:t>to the post</w:t>
      </w:r>
      <w:r>
        <w:noBreakHyphen/>
        <w:t xml:space="preserve">mortem examination or anatomical examination of </w:t>
      </w:r>
      <w:del w:id="174" w:author="Master Repository Process" w:date="2025-06-17T13:52:00Z">
        <w:r>
          <w:rPr>
            <w:snapToGrid w:val="0"/>
          </w:rPr>
          <w:delText>his</w:delText>
        </w:r>
      </w:del>
      <w:ins w:id="175" w:author="Master Repository Process" w:date="2025-06-17T13:52:00Z">
        <w:r>
          <w:t>that person’s</w:t>
        </w:r>
      </w:ins>
      <w:r>
        <w:t xml:space="preserve"> body after </w:t>
      </w:r>
      <w:del w:id="176" w:author="Master Repository Process" w:date="2025-06-17T13:52:00Z">
        <w:r>
          <w:rPr>
            <w:snapToGrid w:val="0"/>
          </w:rPr>
          <w:delText xml:space="preserve">his </w:delText>
        </w:r>
      </w:del>
      <w:r>
        <w:t>death or of the body of another person after the death of the other person</w:t>
      </w:r>
      <w:del w:id="177" w:author="Master Repository Process" w:date="2025-06-17T13:52:00Z">
        <w:r>
          <w:rPr>
            <w:snapToGrid w:val="0"/>
          </w:rPr>
          <w:delText>,</w:delText>
        </w:r>
      </w:del>
      <w:ins w:id="178" w:author="Master Repository Process" w:date="2025-06-17T13:52:00Z">
        <w:r>
          <w:t>.</w:t>
        </w:r>
      </w:ins>
    </w:p>
    <w:p>
      <w:pPr>
        <w:pStyle w:val="Subsection"/>
        <w:rPr>
          <w:del w:id="179" w:author="Master Repository Process" w:date="2025-06-17T13:52:00Z"/>
          <w:snapToGrid w:val="0"/>
        </w:rPr>
      </w:pPr>
      <w:r>
        <w:tab/>
      </w:r>
      <w:del w:id="180" w:author="Master Repository Process" w:date="2025-06-17T13:52:00Z">
        <w:r>
          <w:rPr>
            <w:snapToGrid w:val="0"/>
          </w:rPr>
          <w:tab/>
          <w:delText>is void.</w:delText>
        </w:r>
      </w:del>
    </w:p>
    <w:p>
      <w:pPr>
        <w:pStyle w:val="Subsection"/>
      </w:pPr>
      <w:del w:id="181" w:author="Master Repository Process" w:date="2025-06-17T13:52:00Z">
        <w:r>
          <w:rPr>
            <w:snapToGrid w:val="0"/>
          </w:rPr>
          <w:tab/>
          <w:delText>(2</w:delText>
        </w:r>
      </w:del>
      <w:ins w:id="182" w:author="Master Repository Process" w:date="2025-06-17T13:52:00Z">
        <w:r>
          <w:t>(3</w:t>
        </w:r>
      </w:ins>
      <w:r>
        <w:t>)</w:t>
      </w:r>
      <w:r>
        <w:tab/>
        <w:t>A person who enters into a contract or arrangement of the kind referred to in subsection (</w:t>
      </w:r>
      <w:del w:id="183" w:author="Master Repository Process" w:date="2025-06-17T13:52:00Z">
        <w:r>
          <w:rPr>
            <w:snapToGrid w:val="0"/>
          </w:rPr>
          <w:delText>1</w:delText>
        </w:r>
      </w:del>
      <w:ins w:id="184" w:author="Master Repository Process" w:date="2025-06-17T13:52:00Z">
        <w:r>
          <w:t>2</w:t>
        </w:r>
      </w:ins>
      <w:r>
        <w:t>) and to which that subsection</w:t>
      </w:r>
      <w:del w:id="185" w:author="Master Repository Process" w:date="2025-06-17T13:52:00Z">
        <w:r>
          <w:rPr>
            <w:snapToGrid w:val="0"/>
          </w:rPr>
          <w:delText> </w:delText>
        </w:r>
      </w:del>
      <w:ins w:id="186" w:author="Master Repository Process" w:date="2025-06-17T13:52:00Z">
        <w:r>
          <w:t xml:space="preserve"> </w:t>
        </w:r>
      </w:ins>
      <w:r>
        <w:t>applies commits an offence.</w:t>
      </w:r>
    </w:p>
    <w:p>
      <w:pPr>
        <w:pStyle w:val="Penstart"/>
      </w:pPr>
      <w:r>
        <w:tab/>
        <w:t>Penalty</w:t>
      </w:r>
      <w:del w:id="187" w:author="Master Repository Process" w:date="2025-06-17T13:52:00Z">
        <w:r>
          <w:rPr>
            <w:snapToGrid w:val="0"/>
          </w:rPr>
          <w:delText>: $1</w:delText>
        </w:r>
      </w:del>
      <w:ins w:id="188" w:author="Master Repository Process" w:date="2025-06-17T13:52:00Z">
        <w:r>
          <w:t xml:space="preserve"> for this subsection: imprisonment for 12 months or a fine of $12</w:t>
        </w:r>
      </w:ins>
      <w:r>
        <w:t> 000.</w:t>
      </w:r>
    </w:p>
    <w:p>
      <w:pPr>
        <w:pStyle w:val="Subsection"/>
        <w:rPr>
          <w:ins w:id="189" w:author="Master Repository Process" w:date="2025-06-17T13:52:00Z"/>
        </w:rPr>
      </w:pPr>
      <w:del w:id="190" w:author="Master Repository Process" w:date="2025-06-17T13:52:00Z">
        <w:r>
          <w:rPr>
            <w:snapToGrid w:val="0"/>
          </w:rPr>
          <w:tab/>
          <w:delText>(3)</w:delText>
        </w:r>
        <w:r>
          <w:rPr>
            <w:snapToGrid w:val="0"/>
          </w:rPr>
          <w:tab/>
          <w:delText>Subsection (1</w:delText>
        </w:r>
      </w:del>
      <w:ins w:id="191" w:author="Master Repository Process" w:date="2025-06-17T13:52:00Z">
        <w:r>
          <w:tab/>
          <w:t>(4)</w:t>
        </w:r>
        <w:r>
          <w:tab/>
          <w:t>Except as provided in section 29D(2), subsection (2</w:t>
        </w:r>
      </w:ins>
      <w:r>
        <w:t xml:space="preserve">) does not apply to or in relation to </w:t>
      </w:r>
      <w:ins w:id="192" w:author="Master Repository Process" w:date="2025-06-17T13:52:00Z">
        <w:r>
          <w:t xml:space="preserve">the following contracts or arrangements — </w:t>
        </w:r>
      </w:ins>
    </w:p>
    <w:p>
      <w:pPr>
        <w:pStyle w:val="Indenta"/>
      </w:pPr>
      <w:ins w:id="193" w:author="Master Repository Process" w:date="2025-06-17T13:52:00Z">
        <w:r>
          <w:tab/>
          <w:t>(a)</w:t>
        </w:r>
        <w:r>
          <w:tab/>
        </w:r>
      </w:ins>
      <w:r>
        <w:t>a contract or arrangement providing only for the reimbursement of any expenses necessarily incurred by a person in relation to the removal of tissue in accordance with this Act</w:t>
      </w:r>
      <w:del w:id="194" w:author="Master Repository Process" w:date="2025-06-17T13:52:00Z">
        <w:r>
          <w:rPr>
            <w:snapToGrid w:val="0"/>
          </w:rPr>
          <w:delText>.</w:delText>
        </w:r>
      </w:del>
      <w:ins w:id="195" w:author="Master Repository Process" w:date="2025-06-17T13:52:00Z">
        <w:r>
          <w:t>;</w:t>
        </w:r>
      </w:ins>
    </w:p>
    <w:p>
      <w:pPr>
        <w:pStyle w:val="Indenta"/>
        <w:rPr>
          <w:ins w:id="196" w:author="Master Repository Process" w:date="2025-06-17T13:52:00Z"/>
        </w:rPr>
      </w:pPr>
      <w:ins w:id="197" w:author="Master Repository Process" w:date="2025-06-17T13:52:00Z">
        <w:r>
          <w:tab/>
          <w:t>(b)</w:t>
        </w:r>
        <w:r>
          <w:tab/>
          <w:t xml:space="preserve">a contract or arrangement providing for the sale or supply of blood or any of its constituents included on the national product price list if the sale or supply is carried out by or with — </w:t>
        </w:r>
      </w:ins>
    </w:p>
    <w:p>
      <w:pPr>
        <w:pStyle w:val="Indenti"/>
        <w:rPr>
          <w:ins w:id="198" w:author="Master Repository Process" w:date="2025-06-17T13:52:00Z"/>
        </w:rPr>
      </w:pPr>
      <w:ins w:id="199" w:author="Master Repository Process" w:date="2025-06-17T13:52:00Z">
        <w:r>
          <w:tab/>
          <w:t>(i)</w:t>
        </w:r>
        <w:r>
          <w:tab/>
          <w:t>an entity mentioned in the national product price list; or</w:t>
        </w:r>
      </w:ins>
    </w:p>
    <w:p>
      <w:pPr>
        <w:pStyle w:val="Indenti"/>
        <w:rPr>
          <w:ins w:id="200" w:author="Master Repository Process" w:date="2025-06-17T13:52:00Z"/>
        </w:rPr>
      </w:pPr>
      <w:ins w:id="201" w:author="Master Repository Process" w:date="2025-06-17T13:52:00Z">
        <w:r>
          <w:tab/>
          <w:t>(ii)</w:t>
        </w:r>
        <w:r>
          <w:tab/>
          <w:t>the Commonwealth for the benefit of an entity mentioned in the national product price list;</w:t>
        </w:r>
      </w:ins>
    </w:p>
    <w:p>
      <w:pPr>
        <w:pStyle w:val="Indenta"/>
        <w:rPr>
          <w:ins w:id="202" w:author="Master Repository Process" w:date="2025-06-17T13:52:00Z"/>
        </w:rPr>
      </w:pPr>
      <w:ins w:id="203" w:author="Master Repository Process" w:date="2025-06-17T13:52:00Z">
        <w:r>
          <w:tab/>
          <w:t>(c)</w:t>
        </w:r>
        <w:r>
          <w:tab/>
          <w:t xml:space="preserve">a contract or arrangement providing for the sale or supply of tissue if — </w:t>
        </w:r>
      </w:ins>
    </w:p>
    <w:p>
      <w:pPr>
        <w:pStyle w:val="Indenti"/>
        <w:rPr>
          <w:ins w:id="204" w:author="Master Repository Process" w:date="2025-06-17T13:52:00Z"/>
        </w:rPr>
      </w:pPr>
      <w:ins w:id="205" w:author="Master Repository Process" w:date="2025-06-17T13:52:00Z">
        <w:r>
          <w:tab/>
          <w:t>(i)</w:t>
        </w:r>
        <w:r>
          <w:tab/>
          <w:t>the sale or supply is carried out by or with an exempt entity or the Commonwealth for the benefit of an exempt entity; and</w:t>
        </w:r>
      </w:ins>
    </w:p>
    <w:p>
      <w:pPr>
        <w:pStyle w:val="Indenti"/>
        <w:rPr>
          <w:ins w:id="206" w:author="Master Repository Process" w:date="2025-06-17T13:52:00Z"/>
        </w:rPr>
      </w:pPr>
      <w:ins w:id="207" w:author="Master Repository Process" w:date="2025-06-17T13:52:00Z">
        <w:r>
          <w:tab/>
          <w:t>(ii)</w:t>
        </w:r>
        <w:r>
          <w:tab/>
          <w:t>the tissue is the subject of an agreement between the exempt entity and the Commonwealth or the State;</w:t>
        </w:r>
      </w:ins>
    </w:p>
    <w:p>
      <w:pPr>
        <w:pStyle w:val="Indenta"/>
        <w:rPr>
          <w:ins w:id="208" w:author="Master Repository Process" w:date="2025-06-17T13:52:00Z"/>
        </w:rPr>
      </w:pPr>
      <w:ins w:id="209" w:author="Master Repository Process" w:date="2025-06-17T13:52:00Z">
        <w:r>
          <w:tab/>
          <w:t>(d)</w:t>
        </w:r>
        <w:r>
          <w:tab/>
          <w:t xml:space="preserve">a contract or arrangement providing for the sale or supply of therapeutic goods that comprise, contain or are derived from tissue if — </w:t>
        </w:r>
      </w:ins>
    </w:p>
    <w:p>
      <w:pPr>
        <w:pStyle w:val="Indenti"/>
        <w:rPr>
          <w:ins w:id="210" w:author="Master Repository Process" w:date="2025-06-17T13:52:00Z"/>
        </w:rPr>
      </w:pPr>
      <w:ins w:id="211" w:author="Master Repository Process" w:date="2025-06-17T13:52:00Z">
        <w:r>
          <w:tab/>
          <w:t>(i)</w:t>
        </w:r>
        <w:r>
          <w:tab/>
          <w:t>the sale or supply is in accordance with an approval or authority given under a TGA provision; and</w:t>
        </w:r>
      </w:ins>
    </w:p>
    <w:p>
      <w:pPr>
        <w:pStyle w:val="Indenti"/>
        <w:rPr>
          <w:ins w:id="212" w:author="Master Repository Process" w:date="2025-06-17T13:52:00Z"/>
        </w:rPr>
      </w:pPr>
      <w:ins w:id="213" w:author="Master Repository Process" w:date="2025-06-17T13:52:00Z">
        <w:r>
          <w:tab/>
          <w:t>(ii)</w:t>
        </w:r>
        <w:r>
          <w:tab/>
          <w:t>the TGA provision is prescribed by the regulations for the purposes of this paragraph;</w:t>
        </w:r>
      </w:ins>
    </w:p>
    <w:p>
      <w:pPr>
        <w:pStyle w:val="Indenta"/>
        <w:rPr>
          <w:ins w:id="214" w:author="Master Repository Process" w:date="2025-06-17T13:52:00Z"/>
        </w:rPr>
      </w:pPr>
      <w:ins w:id="215" w:author="Master Repository Process" w:date="2025-06-17T13:52:00Z">
        <w:r>
          <w:tab/>
          <w:t>(e)</w:t>
        </w:r>
        <w:r>
          <w:tab/>
          <w:t xml:space="preserve">a contract or arrangement providing for the sale or supply of therapeutic goods that comprise, contain or are derived from tissue if — </w:t>
        </w:r>
      </w:ins>
    </w:p>
    <w:p>
      <w:pPr>
        <w:pStyle w:val="Indenti"/>
        <w:rPr>
          <w:ins w:id="216" w:author="Master Repository Process" w:date="2025-06-17T13:52:00Z"/>
        </w:rPr>
      </w:pPr>
      <w:ins w:id="217" w:author="Master Repository Process" w:date="2025-06-17T13:52:00Z">
        <w:r>
          <w:tab/>
          <w:t>(i)</w:t>
        </w:r>
        <w:r>
          <w:tab/>
          <w:t xml:space="preserve">the therapeutic goods are exempt under a TGA provision from the operation of Part 3.2 or Part 3.2A Division 4 of the Therapeutic Goods Act; and </w:t>
        </w:r>
      </w:ins>
    </w:p>
    <w:p>
      <w:pPr>
        <w:pStyle w:val="Indenti"/>
        <w:rPr>
          <w:ins w:id="218" w:author="Master Repository Process" w:date="2025-06-17T13:52:00Z"/>
        </w:rPr>
      </w:pPr>
      <w:ins w:id="219" w:author="Master Repository Process" w:date="2025-06-17T13:52:00Z">
        <w:r>
          <w:tab/>
          <w:t>(ii)</w:t>
        </w:r>
        <w:r>
          <w:tab/>
          <w:t>the sale or supply does not breach a condition of the exemption; and</w:t>
        </w:r>
      </w:ins>
    </w:p>
    <w:p>
      <w:pPr>
        <w:pStyle w:val="Indenti"/>
        <w:rPr>
          <w:ins w:id="220" w:author="Master Repository Process" w:date="2025-06-17T13:52:00Z"/>
        </w:rPr>
      </w:pPr>
      <w:ins w:id="221" w:author="Master Repository Process" w:date="2025-06-17T13:52:00Z">
        <w:r>
          <w:tab/>
          <w:t>(iii)</w:t>
        </w:r>
        <w:r>
          <w:tab/>
          <w:t>the TGA provision is prescribed for the purposes of this paragraph;</w:t>
        </w:r>
      </w:ins>
    </w:p>
    <w:p>
      <w:pPr>
        <w:pStyle w:val="Indenta"/>
        <w:rPr>
          <w:ins w:id="222" w:author="Master Repository Process" w:date="2025-06-17T13:52:00Z"/>
        </w:rPr>
      </w:pPr>
      <w:ins w:id="223" w:author="Master Repository Process" w:date="2025-06-17T13:52:00Z">
        <w:r>
          <w:tab/>
          <w:t>(f)</w:t>
        </w:r>
        <w:r>
          <w:tab/>
          <w:t>a contract or arrangement providing for the sale or supply of tissue where the sale or supply of the tissue meets the requirements set out in section 29B(3).</w:t>
        </w:r>
      </w:ins>
    </w:p>
    <w:p>
      <w:pPr>
        <w:pStyle w:val="Subsection"/>
        <w:rPr>
          <w:ins w:id="224" w:author="Master Repository Process" w:date="2025-06-17T13:52:00Z"/>
        </w:rPr>
      </w:pPr>
      <w:ins w:id="225" w:author="Master Repository Process" w:date="2025-06-17T13:52:00Z">
        <w:r>
          <w:tab/>
          <w:t>(5)</w:t>
        </w:r>
        <w: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an unauthorised contract or arrangement.</w:t>
        </w:r>
      </w:ins>
    </w:p>
    <w:p>
      <w:pPr>
        <w:pStyle w:val="Footnotesection"/>
        <w:rPr>
          <w:ins w:id="226" w:author="Master Repository Process" w:date="2025-06-17T13:52:00Z"/>
        </w:rPr>
      </w:pPr>
      <w:bookmarkStart w:id="227" w:name="_Toc120008680"/>
      <w:ins w:id="228" w:author="Master Repository Process" w:date="2025-06-17T13:52:00Z">
        <w:r>
          <w:tab/>
          <w:t>[Section 29A inserted: No. 41 of 2022 s. 31.]</w:t>
        </w:r>
      </w:ins>
    </w:p>
    <w:p>
      <w:pPr>
        <w:pStyle w:val="Heading5"/>
        <w:rPr>
          <w:ins w:id="229" w:author="Master Repository Process" w:date="2025-06-17T13:52:00Z"/>
        </w:rPr>
      </w:pPr>
      <w:bookmarkStart w:id="230" w:name="_Toc158113299"/>
      <w:ins w:id="231" w:author="Master Repository Process" w:date="2025-06-17T13:52:00Z">
        <w:r>
          <w:rPr>
            <w:rStyle w:val="CharSectno"/>
          </w:rPr>
          <w:t>29B</w:t>
        </w:r>
        <w:r>
          <w:t>.</w:t>
        </w:r>
        <w:r>
          <w:tab/>
          <w:t>Recovery of certain costs by authorised suppliers</w:t>
        </w:r>
        <w:bookmarkEnd w:id="227"/>
        <w:bookmarkEnd w:id="230"/>
      </w:ins>
    </w:p>
    <w:p>
      <w:pPr>
        <w:pStyle w:val="Subsection"/>
        <w:rPr>
          <w:ins w:id="232" w:author="Master Repository Process" w:date="2025-06-17T13:52:00Z"/>
        </w:rPr>
      </w:pPr>
      <w:ins w:id="233" w:author="Master Repository Process" w:date="2025-06-17T13:52:00Z">
        <w:r>
          <w:tab/>
          <w:t>(1)</w:t>
        </w:r>
        <w:r>
          <w:tab/>
          <w:t xml:space="preserve">In this section — </w:t>
        </w:r>
      </w:ins>
    </w:p>
    <w:p>
      <w:pPr>
        <w:pStyle w:val="Defstart"/>
        <w:rPr>
          <w:ins w:id="234" w:author="Master Repository Process" w:date="2025-06-17T13:52:00Z"/>
        </w:rPr>
      </w:pPr>
      <w:ins w:id="235" w:author="Master Repository Process" w:date="2025-06-17T13:52:00Z">
        <w:r>
          <w:tab/>
        </w:r>
        <w:r>
          <w:rPr>
            <w:rStyle w:val="CharDefText"/>
          </w:rPr>
          <w:t>authorised supplier</w:t>
        </w:r>
        <w:r>
          <w:t xml:space="preserve"> means — </w:t>
        </w:r>
      </w:ins>
    </w:p>
    <w:p>
      <w:pPr>
        <w:pStyle w:val="Defpara"/>
        <w:rPr>
          <w:ins w:id="236" w:author="Master Repository Process" w:date="2025-06-17T13:52:00Z"/>
        </w:rPr>
      </w:pPr>
      <w:ins w:id="237" w:author="Master Repository Process" w:date="2025-06-17T13:52:00Z">
        <w:r>
          <w:tab/>
          <w:t>(a)</w:t>
        </w:r>
        <w:r>
          <w:tab/>
          <w:t xml:space="preserve">a person who supplies therapeutic goods that — </w:t>
        </w:r>
      </w:ins>
    </w:p>
    <w:p>
      <w:pPr>
        <w:pStyle w:val="Defsubpara"/>
        <w:rPr>
          <w:ins w:id="238" w:author="Master Repository Process" w:date="2025-06-17T13:52:00Z"/>
        </w:rPr>
      </w:pPr>
      <w:ins w:id="239" w:author="Master Repository Process" w:date="2025-06-17T13:52:00Z">
        <w:r>
          <w:tab/>
          <w:t>(i)</w:t>
        </w:r>
        <w:r>
          <w:tab/>
          <w:t>comprise, contain or are derived from tissue; and</w:t>
        </w:r>
      </w:ins>
    </w:p>
    <w:p>
      <w:pPr>
        <w:pStyle w:val="Defsubpara"/>
        <w:rPr>
          <w:ins w:id="240" w:author="Master Repository Process" w:date="2025-06-17T13:52:00Z"/>
        </w:rPr>
      </w:pPr>
      <w:ins w:id="241" w:author="Master Repository Process" w:date="2025-06-17T13:52:00Z">
        <w:r>
          <w:tab/>
          <w:t>(ii)</w:t>
        </w:r>
        <w:r>
          <w:tab/>
          <w:t>are included in the Register under the Therapeutic Goods Act or are registered goods under that Act;</w:t>
        </w:r>
      </w:ins>
    </w:p>
    <w:p>
      <w:pPr>
        <w:pStyle w:val="Defpara"/>
        <w:rPr>
          <w:ins w:id="242" w:author="Master Repository Process" w:date="2025-06-17T13:52:00Z"/>
        </w:rPr>
      </w:pPr>
      <w:ins w:id="243" w:author="Master Repository Process" w:date="2025-06-17T13:52:00Z">
        <w:r>
          <w:tab/>
        </w:r>
        <w:r>
          <w:tab/>
          <w:t>or</w:t>
        </w:r>
      </w:ins>
    </w:p>
    <w:p>
      <w:pPr>
        <w:pStyle w:val="Defpara"/>
        <w:rPr>
          <w:ins w:id="244" w:author="Master Repository Process" w:date="2025-06-17T13:52:00Z"/>
        </w:rPr>
      </w:pPr>
      <w:ins w:id="245" w:author="Master Repository Process" w:date="2025-06-17T13:52:00Z">
        <w:r>
          <w:tab/>
          <w:t>(b)</w:t>
        </w:r>
        <w:r>
          <w:tab/>
          <w:t>a person who owns or controls a tissue bank;</w:t>
        </w:r>
      </w:ins>
    </w:p>
    <w:p>
      <w:pPr>
        <w:pStyle w:val="Defstart"/>
        <w:rPr>
          <w:ins w:id="246" w:author="Master Repository Process" w:date="2025-06-17T13:52:00Z"/>
        </w:rPr>
      </w:pPr>
      <w:ins w:id="247" w:author="Master Repository Process" w:date="2025-06-17T13:52:00Z">
        <w:r>
          <w:tab/>
        </w:r>
        <w:r>
          <w:rPr>
            <w:rStyle w:val="CharDefText"/>
          </w:rPr>
          <w:t>tissue bank</w:t>
        </w:r>
        <w:r>
          <w:t xml:space="preserve"> means a facility that is — </w:t>
        </w:r>
      </w:ins>
    </w:p>
    <w:p>
      <w:pPr>
        <w:pStyle w:val="Defpara"/>
        <w:rPr>
          <w:ins w:id="248" w:author="Master Repository Process" w:date="2025-06-17T13:52:00Z"/>
        </w:rPr>
      </w:pPr>
      <w:ins w:id="249" w:author="Master Repository Process" w:date="2025-06-17T13:52:00Z">
        <w:r>
          <w:tab/>
          <w:t>(a)</w:t>
        </w:r>
        <w:r>
          <w:tab/>
          <w:t>established for the purposes of the removal, evaluation, processing, storage and distribution of tissue, or any of those purposes; and</w:t>
        </w:r>
      </w:ins>
    </w:p>
    <w:p>
      <w:pPr>
        <w:pStyle w:val="Defpara"/>
        <w:rPr>
          <w:ins w:id="250" w:author="Master Repository Process" w:date="2025-06-17T13:52:00Z"/>
        </w:rPr>
      </w:pPr>
      <w:ins w:id="251" w:author="Master Repository Process" w:date="2025-06-17T13:52:00Z">
        <w:r>
          <w:tab/>
          <w:t>(b)</w:t>
        </w:r>
        <w:r>
          <w:tab/>
          <w:t>prescribed by the regulations.</w:t>
        </w:r>
      </w:ins>
    </w:p>
    <w:p>
      <w:pPr>
        <w:pStyle w:val="Subsection"/>
        <w:rPr>
          <w:ins w:id="252" w:author="Master Repository Process" w:date="2025-06-17T13:52:00Z"/>
        </w:rPr>
      </w:pPr>
      <w:ins w:id="253" w:author="Master Repository Process" w:date="2025-06-17T13:52:00Z">
        <w:r>
          <w:tab/>
          <w:t>(2)</w:t>
        </w:r>
        <w:r>
          <w:tab/>
          <w:t xml:space="preserve">Regulations prescribing a facility as a tissue bank cannot be made unless — </w:t>
        </w:r>
      </w:ins>
    </w:p>
    <w:p>
      <w:pPr>
        <w:pStyle w:val="Indenta"/>
        <w:rPr>
          <w:ins w:id="254" w:author="Master Repository Process" w:date="2025-06-17T13:52:00Z"/>
        </w:rPr>
      </w:pPr>
      <w:ins w:id="255" w:author="Master Repository Process" w:date="2025-06-17T13:52:00Z">
        <w:r>
          <w:tab/>
          <w:t>(a)</w:t>
        </w:r>
        <w:r>
          <w:tab/>
          <w:t>the Human Tissue Advisory Body has recommended the making of the regulations; and</w:t>
        </w:r>
      </w:ins>
    </w:p>
    <w:p>
      <w:pPr>
        <w:pStyle w:val="Indenta"/>
        <w:rPr>
          <w:ins w:id="256" w:author="Master Repository Process" w:date="2025-06-17T13:52:00Z"/>
        </w:rPr>
      </w:pPr>
      <w:ins w:id="257" w:author="Master Repository Process" w:date="2025-06-17T13:52:00Z">
        <w:r>
          <w:tab/>
          <w:t>(b)</w:t>
        </w:r>
        <w:r>
          <w:tab/>
          <w:t>the Minister has approved the recommendation.</w:t>
        </w:r>
      </w:ins>
    </w:p>
    <w:p>
      <w:pPr>
        <w:pStyle w:val="Subsection"/>
        <w:rPr>
          <w:ins w:id="258" w:author="Master Repository Process" w:date="2025-06-17T13:52:00Z"/>
        </w:rPr>
      </w:pPr>
      <w:ins w:id="259" w:author="Master Repository Process" w:date="2025-06-17T13:52:00Z">
        <w:r>
          <w:tab/>
          <w:t>(3)</w:t>
        </w:r>
        <w:r>
          <w:tab/>
          <w:t xml:space="preserve">For the purposes of section 29A(4)(f), the requirements for the sale or supply of the tissue are as follows — </w:t>
        </w:r>
      </w:ins>
    </w:p>
    <w:p>
      <w:pPr>
        <w:pStyle w:val="Indenta"/>
        <w:rPr>
          <w:ins w:id="260" w:author="Master Repository Process" w:date="2025-06-17T13:52:00Z"/>
        </w:rPr>
      </w:pPr>
      <w:ins w:id="261" w:author="Master Repository Process" w:date="2025-06-17T13:52:00Z">
        <w:r>
          <w:tab/>
          <w:t>(a)</w:t>
        </w:r>
        <w:r>
          <w:tab/>
          <w:t>the person selling or supplying the tissue must be an authorised supplier of the tissue;</w:t>
        </w:r>
      </w:ins>
    </w:p>
    <w:p>
      <w:pPr>
        <w:pStyle w:val="Indenta"/>
        <w:rPr>
          <w:ins w:id="262" w:author="Master Repository Process" w:date="2025-06-17T13:52:00Z"/>
        </w:rPr>
      </w:pPr>
      <w:ins w:id="263" w:author="Master Repository Process" w:date="2025-06-17T13:52:00Z">
        <w:r>
          <w:tab/>
          <w:t>(b)</w:t>
        </w:r>
        <w:r>
          <w:tab/>
          <w:t>the authorised supplier must be satisfied, after making reasonable enquiries, that the first sale or supply of the tissue was not for valuable consideration other than reimbursement of any expenses necessarily incurred in relation to the removal of the tissue;</w:t>
        </w:r>
      </w:ins>
    </w:p>
    <w:p>
      <w:pPr>
        <w:pStyle w:val="Indenta"/>
        <w:keepNext/>
        <w:rPr>
          <w:ins w:id="264" w:author="Master Repository Process" w:date="2025-06-17T13:52:00Z"/>
        </w:rPr>
      </w:pPr>
      <w:ins w:id="265" w:author="Master Repository Process" w:date="2025-06-17T13:52:00Z">
        <w:r>
          <w:tab/>
          <w:t>(c)</w:t>
        </w:r>
        <w:r>
          <w:tab/>
          <w:t>the tissue must have been subjected to processing or treatment;</w:t>
        </w:r>
      </w:ins>
    </w:p>
    <w:p>
      <w:pPr>
        <w:pStyle w:val="Indenta"/>
        <w:rPr>
          <w:ins w:id="266" w:author="Master Repository Process" w:date="2025-06-17T13:52:00Z"/>
        </w:rPr>
      </w:pPr>
      <w:ins w:id="267" w:author="Master Repository Process" w:date="2025-06-17T13:52:00Z">
        <w:r>
          <w:tab/>
          <w:t>(d)</w:t>
        </w:r>
        <w:r>
          <w:tab/>
          <w:t xml:space="preserve">the sale or supply of the tissue must be for the purpose of enabling the tissue to be used — </w:t>
        </w:r>
      </w:ins>
    </w:p>
    <w:p>
      <w:pPr>
        <w:pStyle w:val="Indenti"/>
        <w:rPr>
          <w:ins w:id="268" w:author="Master Repository Process" w:date="2025-06-17T13:52:00Z"/>
        </w:rPr>
      </w:pPr>
      <w:ins w:id="269" w:author="Master Repository Process" w:date="2025-06-17T13:52:00Z">
        <w:r>
          <w:tab/>
          <w:t>(i)</w:t>
        </w:r>
        <w:r>
          <w:tab/>
          <w:t>for therapeutic, medical or scientific purposes; or</w:t>
        </w:r>
      </w:ins>
    </w:p>
    <w:p>
      <w:pPr>
        <w:pStyle w:val="Indenti"/>
        <w:rPr>
          <w:ins w:id="270" w:author="Master Repository Process" w:date="2025-06-17T13:52:00Z"/>
        </w:rPr>
      </w:pPr>
      <w:ins w:id="271" w:author="Master Repository Process" w:date="2025-06-17T13:52:00Z">
        <w:r>
          <w:tab/>
          <w:t>(ii)</w:t>
        </w:r>
        <w:r>
          <w:tab/>
          <w:t>for the purposes of training, education or quality assurance relating to a use referred to in subparagraph (i);</w:t>
        </w:r>
      </w:ins>
    </w:p>
    <w:p>
      <w:pPr>
        <w:pStyle w:val="Indenta"/>
        <w:rPr>
          <w:ins w:id="272" w:author="Master Repository Process" w:date="2025-06-17T13:52:00Z"/>
        </w:rPr>
      </w:pPr>
      <w:ins w:id="273" w:author="Master Repository Process" w:date="2025-06-17T13:52:00Z">
        <w:r>
          <w:tab/>
          <w:t>(e)</w:t>
        </w:r>
        <w:r>
          <w:tab/>
          <w:t xml:space="preserve">the consideration given to the authorised supplier for the sale or supply of the tissue must consist only of an amount (a </w:t>
        </w:r>
        <w:r>
          <w:rPr>
            <w:rStyle w:val="CharDefText"/>
          </w:rPr>
          <w:t>cost</w:t>
        </w:r>
        <w:r>
          <w:rPr>
            <w:rStyle w:val="CharDefText"/>
          </w:rPr>
          <w:noBreakHyphen/>
          <w:t>recovery amount</w:t>
        </w:r>
        <w:r>
          <w:t xml:space="preserve">) that — </w:t>
        </w:r>
      </w:ins>
    </w:p>
    <w:p>
      <w:pPr>
        <w:pStyle w:val="Indenti"/>
        <w:rPr>
          <w:ins w:id="274" w:author="Master Repository Process" w:date="2025-06-17T13:52:00Z"/>
        </w:rPr>
      </w:pPr>
      <w:ins w:id="275" w:author="Master Repository Process" w:date="2025-06-17T13:52:00Z">
        <w:r>
          <w:tab/>
          <w:t>(i)</w:t>
        </w:r>
        <w:r>
          <w:tab/>
          <w:t>is necessarily incurred by the authorised supplier in relation to the removal, evaluation, processing, storage or distribution of the tissue or in relation to any other matter prescribed by the regulations; and</w:t>
        </w:r>
      </w:ins>
    </w:p>
    <w:p>
      <w:pPr>
        <w:pStyle w:val="Indenti"/>
        <w:rPr>
          <w:ins w:id="276" w:author="Master Repository Process" w:date="2025-06-17T13:52:00Z"/>
        </w:rPr>
      </w:pPr>
      <w:ins w:id="277" w:author="Master Repository Process" w:date="2025-06-17T13:52:00Z">
        <w:r>
          <w:tab/>
          <w:t>(ii)</w:t>
        </w:r>
        <w:r>
          <w:tab/>
          <w:t>complies with regulations (if any) made for the purposes of subsection (4).</w:t>
        </w:r>
      </w:ins>
    </w:p>
    <w:p>
      <w:pPr>
        <w:pStyle w:val="Subsection"/>
        <w:rPr>
          <w:ins w:id="278" w:author="Master Repository Process" w:date="2025-06-17T13:52:00Z"/>
        </w:rPr>
      </w:pPr>
      <w:r>
        <w:tab/>
        <w:t>(4)</w:t>
      </w:r>
      <w:r>
        <w:tab/>
        <w:t xml:space="preserve">The </w:t>
      </w:r>
      <w:del w:id="279" w:author="Master Repository Process" w:date="2025-06-17T13:52:00Z">
        <w:r>
          <w:rPr>
            <w:snapToGrid w:val="0"/>
          </w:rPr>
          <w:delText>Governor</w:delText>
        </w:r>
      </w:del>
      <w:ins w:id="280" w:author="Master Repository Process" w:date="2025-06-17T13:52:00Z">
        <w:r>
          <w:t>regulations</w:t>
        </w:r>
      </w:ins>
      <w:r>
        <w:t xml:space="preserve"> may</w:t>
      </w:r>
      <w:del w:id="281" w:author="Master Repository Process" w:date="2025-06-17T13:52:00Z">
        <w:r>
          <w:rPr>
            <w:snapToGrid w:val="0"/>
          </w:rPr>
          <w:delText>, by Order in Council</w:delText>
        </w:r>
      </w:del>
      <w:ins w:id="282" w:author="Master Repository Process" w:date="2025-06-17T13:52:00Z">
        <w:r>
          <w:t xml:space="preserve"> set out the components of a cost</w:t>
        </w:r>
        <w:r>
          <w:noBreakHyphen/>
          <w:t>recovery amount for a matter or otherwise regulate the charging of the cost</w:t>
        </w:r>
        <w:r>
          <w:noBreakHyphen/>
          <w:t>recovery amount.</w:t>
        </w:r>
      </w:ins>
    </w:p>
    <w:p>
      <w:pPr>
        <w:pStyle w:val="Footnotesection"/>
        <w:rPr>
          <w:ins w:id="283" w:author="Master Repository Process" w:date="2025-06-17T13:52:00Z"/>
        </w:rPr>
      </w:pPr>
      <w:ins w:id="284" w:author="Master Repository Process" w:date="2025-06-17T13:52:00Z">
        <w:r>
          <w:tab/>
          <w:t>[Section 29B inserted: No. 41 of 2022 s. 31.]</w:t>
        </w:r>
      </w:ins>
    </w:p>
    <w:p>
      <w:pPr>
        <w:pStyle w:val="Heading5"/>
        <w:rPr>
          <w:ins w:id="285" w:author="Master Repository Process" w:date="2025-06-17T13:52:00Z"/>
        </w:rPr>
      </w:pPr>
      <w:bookmarkStart w:id="286" w:name="_Toc120008681"/>
      <w:bookmarkStart w:id="287" w:name="_Toc158113300"/>
      <w:ins w:id="288" w:author="Master Repository Process" w:date="2025-06-17T13:52:00Z">
        <w:r>
          <w:rPr>
            <w:rStyle w:val="CharSectno"/>
          </w:rPr>
          <w:t>29C</w:t>
        </w:r>
        <w:r>
          <w:t>.</w:t>
        </w:r>
        <w:r>
          <w:tab/>
          <w:t>Recovery of certain costs by authorised school of anatomy</w:t>
        </w:r>
        <w:bookmarkEnd w:id="286"/>
        <w:bookmarkEnd w:id="287"/>
      </w:ins>
    </w:p>
    <w:p>
      <w:pPr>
        <w:pStyle w:val="Subsection"/>
        <w:rPr>
          <w:ins w:id="289" w:author="Master Repository Process" w:date="2025-06-17T13:52:00Z"/>
        </w:rPr>
      </w:pPr>
      <w:ins w:id="290" w:author="Master Repository Process" w:date="2025-06-17T13:52:00Z">
        <w:r>
          <w:tab/>
          <w:t>(1)</w:t>
        </w:r>
        <w:r>
          <w:tab/>
          <w:t xml:space="preserve">In this section — </w:t>
        </w:r>
      </w:ins>
    </w:p>
    <w:p>
      <w:pPr>
        <w:pStyle w:val="Defstart"/>
        <w:rPr>
          <w:ins w:id="291" w:author="Master Repository Process" w:date="2025-06-17T13:52:00Z"/>
        </w:rPr>
      </w:pPr>
      <w:ins w:id="292" w:author="Master Repository Process" w:date="2025-06-17T13:52:00Z">
        <w:r>
          <w:tab/>
        </w:r>
        <w:r>
          <w:rPr>
            <w:rStyle w:val="CharDefText"/>
          </w:rPr>
          <w:t>authorised school of anatomy</w:t>
        </w:r>
        <w:r>
          <w:t xml:space="preserve"> has the meaning given in the </w:t>
        </w:r>
        <w:r>
          <w:rPr>
            <w:i/>
          </w:rPr>
          <w:t>Anatomy Act 1930</w:t>
        </w:r>
        <w:r>
          <w:t xml:space="preserve"> section 2;</w:t>
        </w:r>
      </w:ins>
    </w:p>
    <w:p>
      <w:pPr>
        <w:pStyle w:val="Defstart"/>
        <w:rPr>
          <w:ins w:id="293" w:author="Master Repository Process" w:date="2025-06-17T13:52:00Z"/>
        </w:rPr>
      </w:pPr>
      <w:ins w:id="294" w:author="Master Repository Process" w:date="2025-06-17T13:52:00Z">
        <w:r>
          <w:tab/>
        </w:r>
        <w:r>
          <w:rPr>
            <w:rStyle w:val="CharDefText"/>
          </w:rPr>
          <w:t>donated body</w:t>
        </w:r>
        <w:r>
          <w:t xml:space="preserve"> means the body of a deceased person received or possessed by an authorised school of anatomy in accordance with the </w:t>
        </w:r>
        <w:r>
          <w:rPr>
            <w:i/>
          </w:rPr>
          <w:t>Anatomy Act 1930</w:t>
        </w:r>
        <w:r>
          <w:t>.</w:t>
        </w:r>
      </w:ins>
    </w:p>
    <w:p>
      <w:pPr>
        <w:pStyle w:val="Subsection"/>
        <w:rPr>
          <w:ins w:id="295" w:author="Master Repository Process" w:date="2025-06-17T13:52:00Z"/>
        </w:rPr>
      </w:pPr>
      <w:ins w:id="296" w:author="Master Repository Process" w:date="2025-06-17T13:52:00Z">
        <w:r>
          <w:tab/>
          <w:t>(2)</w:t>
        </w:r>
        <w:r>
          <w:tab/>
          <w:t xml:space="preserve">An authorised school of anatomy may charge an amount to recover the reasonable costs associated with supply of a donated body (including a prosected donated body) or portion or specimen part of a donated body — </w:t>
        </w:r>
      </w:ins>
    </w:p>
    <w:p>
      <w:pPr>
        <w:pStyle w:val="Indenta"/>
        <w:rPr>
          <w:ins w:id="297" w:author="Master Repository Process" w:date="2025-06-17T13:52:00Z"/>
        </w:rPr>
      </w:pPr>
      <w:ins w:id="298" w:author="Master Repository Process" w:date="2025-06-17T13:52:00Z">
        <w:r>
          <w:tab/>
          <w:t>(a)</w:t>
        </w:r>
        <w:r>
          <w:tab/>
          <w:t>to another authorised school of anatomy; or</w:t>
        </w:r>
      </w:ins>
    </w:p>
    <w:p>
      <w:pPr>
        <w:pStyle w:val="Indenta"/>
        <w:rPr>
          <w:ins w:id="299" w:author="Master Repository Process" w:date="2025-06-17T13:52:00Z"/>
        </w:rPr>
      </w:pPr>
      <w:ins w:id="300" w:author="Master Repository Process" w:date="2025-06-17T13:52:00Z">
        <w:r>
          <w:tab/>
          <w:t>(b)</w:t>
        </w:r>
        <w:r>
          <w:tab/>
          <w:t xml:space="preserve">to a person to whom the proviso to the </w:t>
        </w:r>
        <w:r>
          <w:rPr>
            <w:i/>
          </w:rPr>
          <w:t>Anatomy Act 1930</w:t>
        </w:r>
        <w:r>
          <w:t xml:space="preserve"> section 18 applies; or</w:t>
        </w:r>
      </w:ins>
    </w:p>
    <w:p>
      <w:pPr>
        <w:pStyle w:val="Indenta"/>
        <w:rPr>
          <w:ins w:id="301" w:author="Master Repository Process" w:date="2025-06-17T13:52:00Z"/>
        </w:rPr>
      </w:pPr>
      <w:ins w:id="302" w:author="Master Repository Process" w:date="2025-06-17T13:52:00Z">
        <w:r>
          <w:tab/>
          <w:t>(c)</w:t>
        </w:r>
        <w:r>
          <w:tab/>
          <w:t xml:space="preserve">for the purposes of the </w:t>
        </w:r>
        <w:r>
          <w:rPr>
            <w:i/>
          </w:rPr>
          <w:t>Anatomy Act 1930</w:t>
        </w:r>
        <w:r>
          <w:t xml:space="preserve"> section 10A.</w:t>
        </w:r>
      </w:ins>
    </w:p>
    <w:p>
      <w:pPr>
        <w:pStyle w:val="Subsection"/>
        <w:rPr>
          <w:ins w:id="303" w:author="Master Repository Process" w:date="2025-06-17T13:52:00Z"/>
        </w:rPr>
      </w:pPr>
      <w:ins w:id="304" w:author="Master Repository Process" w:date="2025-06-17T13:52:00Z">
        <w:r>
          <w:tab/>
          <w:t>(3)</w:t>
        </w:r>
        <w:r>
          <w:tab/>
          <w:t xml:space="preserve">For the purposes of subsection (2), </w:t>
        </w:r>
        <w:r>
          <w:rPr>
            <w:rStyle w:val="CharDefText"/>
          </w:rPr>
          <w:t>reasonable costs associated with supply</w:t>
        </w:r>
        <w:r>
          <w:t xml:space="preserve"> include reasonable costs for the following — </w:t>
        </w:r>
      </w:ins>
    </w:p>
    <w:p>
      <w:pPr>
        <w:pStyle w:val="Indenta"/>
        <w:rPr>
          <w:ins w:id="305" w:author="Master Repository Process" w:date="2025-06-17T13:52:00Z"/>
        </w:rPr>
      </w:pPr>
      <w:ins w:id="306" w:author="Master Repository Process" w:date="2025-06-17T13:52:00Z">
        <w:r>
          <w:tab/>
          <w:t>(a)</w:t>
        </w:r>
        <w:r>
          <w:tab/>
          <w:t>administration in respect of the supply;</w:t>
        </w:r>
      </w:ins>
    </w:p>
    <w:p>
      <w:pPr>
        <w:pStyle w:val="Indenta"/>
        <w:rPr>
          <w:ins w:id="307" w:author="Master Repository Process" w:date="2025-06-17T13:52:00Z"/>
        </w:rPr>
      </w:pPr>
      <w:ins w:id="308" w:author="Master Repository Process" w:date="2025-06-17T13:52:00Z">
        <w:r>
          <w:tab/>
          <w:t>(b)</w:t>
        </w:r>
        <w:r>
          <w:tab/>
          <w:t>the preparation, handling, transfer, receival, embalming, plastination, storage, maintenance and disposal of the body or portion or specimen part of the body;</w:t>
        </w:r>
      </w:ins>
    </w:p>
    <w:p>
      <w:pPr>
        <w:pStyle w:val="Indenta"/>
        <w:rPr>
          <w:ins w:id="309" w:author="Master Repository Process" w:date="2025-06-17T13:52:00Z"/>
        </w:rPr>
      </w:pPr>
      <w:ins w:id="310" w:author="Master Repository Process" w:date="2025-06-17T13:52:00Z">
        <w:r>
          <w:tab/>
          <w:t>(c)</w:t>
        </w:r>
        <w:r>
          <w:tab/>
          <w:t>security in respect of the body or portion or specimen part of the body.</w:t>
        </w:r>
      </w:ins>
    </w:p>
    <w:p>
      <w:pPr>
        <w:pStyle w:val="Subsection"/>
        <w:rPr>
          <w:ins w:id="311" w:author="Master Repository Process" w:date="2025-06-17T13:52:00Z"/>
        </w:rPr>
      </w:pPr>
      <w:ins w:id="312" w:author="Master Repository Process" w:date="2025-06-17T13:52:00Z">
        <w:r>
          <w:tab/>
          <w:t>(4)</w:t>
        </w:r>
        <w:r>
          <w:tab/>
          <w:t>Section 29A(2) does not apply to a contract or arrangement entered into for the purposes of subsection (2).</w:t>
        </w:r>
      </w:ins>
    </w:p>
    <w:p>
      <w:pPr>
        <w:pStyle w:val="Footnotesection"/>
        <w:rPr>
          <w:ins w:id="313" w:author="Master Repository Process" w:date="2025-06-17T13:52:00Z"/>
        </w:rPr>
      </w:pPr>
      <w:ins w:id="314" w:author="Master Repository Process" w:date="2025-06-17T13:52:00Z">
        <w:r>
          <w:tab/>
          <w:t>[Section 29C inserted: No. 41 of 2022 s. 31.]</w:t>
        </w:r>
      </w:ins>
    </w:p>
    <w:p>
      <w:pPr>
        <w:pStyle w:val="Heading5"/>
        <w:rPr>
          <w:ins w:id="315" w:author="Master Repository Process" w:date="2025-06-17T13:52:00Z"/>
        </w:rPr>
      </w:pPr>
      <w:bookmarkStart w:id="316" w:name="_Toc120008682"/>
      <w:bookmarkStart w:id="317" w:name="_Toc158113301"/>
      <w:ins w:id="318" w:author="Master Repository Process" w:date="2025-06-17T13:52:00Z">
        <w:r>
          <w:rPr>
            <w:rStyle w:val="CharSectno"/>
          </w:rPr>
          <w:t>29D</w:t>
        </w:r>
        <w:r>
          <w:t>.</w:t>
        </w:r>
        <w:r>
          <w:tab/>
          <w:t>Minister may make order as to application of section 29A</w:t>
        </w:r>
        <w:bookmarkEnd w:id="316"/>
        <w:bookmarkEnd w:id="317"/>
      </w:ins>
    </w:p>
    <w:p>
      <w:pPr>
        <w:pStyle w:val="Subsection"/>
      </w:pPr>
      <w:ins w:id="319" w:author="Master Repository Process" w:date="2025-06-17T13:52:00Z">
        <w:r>
          <w:tab/>
          <w:t>(1)</w:t>
        </w:r>
        <w:r>
          <w:tab/>
          <w:t>The Minister may, by order</w:t>
        </w:r>
      </w:ins>
      <w:r>
        <w:t xml:space="preserve"> published in the </w:t>
      </w:r>
      <w:r>
        <w:rPr>
          <w:i/>
        </w:rPr>
        <w:t>Gazette</w:t>
      </w:r>
      <w:r>
        <w:t xml:space="preserve">, declare that </w:t>
      </w:r>
      <w:del w:id="320" w:author="Master Repository Process" w:date="2025-06-17T13:52:00Z">
        <w:r>
          <w:rPr>
            <w:snapToGrid w:val="0"/>
          </w:rPr>
          <w:delText>subsection (1</w:delText>
        </w:r>
      </w:del>
      <w:ins w:id="321" w:author="Master Repository Process" w:date="2025-06-17T13:52:00Z">
        <w:r>
          <w:t>section 29A(2</w:t>
        </w:r>
      </w:ins>
      <w:r>
        <w:t xml:space="preserve">) does not apply to </w:t>
      </w:r>
      <w:ins w:id="322" w:author="Master Repository Process" w:date="2025-06-17T13:52:00Z">
        <w:r>
          <w:t xml:space="preserve">or in relation to </w:t>
        </w:r>
      </w:ins>
      <w:r>
        <w:t>the sale or supply</w:t>
      </w:r>
      <w:ins w:id="323" w:author="Master Repository Process" w:date="2025-06-17T13:52:00Z">
        <w:r>
          <w:t xml:space="preserve"> in accordance with the order</w:t>
        </w:r>
      </w:ins>
      <w:r>
        <w:t xml:space="preserve"> of a specified class or classes of product derived from tissue that has been subjected to processing or treatment.</w:t>
      </w:r>
    </w:p>
    <w:p>
      <w:pPr>
        <w:pStyle w:val="Subsection"/>
        <w:rPr>
          <w:ins w:id="324" w:author="Master Repository Process" w:date="2025-06-17T13:52:00Z"/>
        </w:rPr>
      </w:pPr>
      <w:r>
        <w:tab/>
        <w:t>(</w:t>
      </w:r>
      <w:del w:id="325" w:author="Master Repository Process" w:date="2025-06-17T13:52:00Z">
        <w:r>
          <w:delText>4a)</w:delText>
        </w:r>
        <w:r>
          <w:tab/>
          <w:delText>Where</w:delText>
        </w:r>
      </w:del>
      <w:ins w:id="326" w:author="Master Repository Process" w:date="2025-06-17T13:52:00Z">
        <w:r>
          <w:t>2)</w:t>
        </w:r>
        <w:r>
          <w:tab/>
          <w:t xml:space="preserve">The Minister may, by order published in the </w:t>
        </w:r>
        <w:r>
          <w:rPr>
            <w:i/>
          </w:rPr>
          <w:t>Gazette</w:t>
        </w:r>
        <w:r>
          <w:t>, declare that section 29A(2) applies to a specified contract or arrangement, or a contract or arrangement of a specified class, to which section 29A(4) would otherwise apply.</w:t>
        </w:r>
      </w:ins>
    </w:p>
    <w:p>
      <w:pPr>
        <w:pStyle w:val="Subsection"/>
        <w:rPr>
          <w:ins w:id="327" w:author="Master Repository Process" w:date="2025-06-17T13:52:00Z"/>
        </w:rPr>
      </w:pPr>
      <w:ins w:id="328" w:author="Master Repository Process" w:date="2025-06-17T13:52:00Z">
        <w:r>
          <w:tab/>
          <w:t>(3)</w:t>
        </w:r>
        <w:r>
          <w:tab/>
          <w:t>An order published under subsection (1) or (2) is subject to the conditions, if any, specified in the order.</w:t>
        </w:r>
      </w:ins>
    </w:p>
    <w:p>
      <w:pPr>
        <w:pStyle w:val="Subsection"/>
        <w:rPr>
          <w:ins w:id="329" w:author="Master Repository Process" w:date="2025-06-17T13:52:00Z"/>
        </w:rPr>
      </w:pPr>
      <w:ins w:id="330" w:author="Master Repository Process" w:date="2025-06-17T13:52:00Z">
        <w:r>
          <w:tab/>
          <w:t>(4)</w:t>
        </w:r>
        <w:r>
          <w:tab/>
          <w:t xml:space="preserve">The Minister may, by order published in the </w:t>
        </w:r>
        <w:r>
          <w:rPr>
            <w:i/>
          </w:rPr>
          <w:t>Gazette</w:t>
        </w:r>
        <w:r>
          <w:t>, amend or revoke an order published under subsection (1) or (2).</w:t>
        </w:r>
      </w:ins>
    </w:p>
    <w:p>
      <w:pPr>
        <w:pStyle w:val="Subsection"/>
        <w:rPr>
          <w:ins w:id="331" w:author="Master Repository Process" w:date="2025-06-17T13:52:00Z"/>
        </w:rPr>
      </w:pPr>
      <w:ins w:id="332" w:author="Master Repository Process" w:date="2025-06-17T13:52:00Z">
        <w:r>
          <w:tab/>
          <w:t>(5)</w:t>
        </w:r>
        <w:r>
          <w:tab/>
          <w:t xml:space="preserve">An order in effect under section 29(4) as in force immediately before the day on which the </w:t>
        </w:r>
        <w:r>
          <w:rPr>
            <w:i/>
          </w:rPr>
          <w:t xml:space="preserve">Human Tissue and Transplant Amendment Act 2022 </w:t>
        </w:r>
        <w:r>
          <w:t>section 31 comes into operation has effect as if it were an order published by the Minister under subsection (1) of this section, and subsection (4) applies accordingly.</w:t>
        </w:r>
      </w:ins>
    </w:p>
    <w:p>
      <w:pPr>
        <w:pStyle w:val="Footnotesection"/>
        <w:rPr>
          <w:ins w:id="333" w:author="Master Repository Process" w:date="2025-06-17T13:52:00Z"/>
        </w:rPr>
      </w:pPr>
      <w:ins w:id="334" w:author="Master Repository Process" w:date="2025-06-17T13:52:00Z">
        <w:r>
          <w:tab/>
          <w:t>[Section 29D inserted: No. 41 of 2022 s. 31.]</w:t>
        </w:r>
      </w:ins>
    </w:p>
    <w:p>
      <w:pPr>
        <w:pStyle w:val="Heading5"/>
        <w:rPr>
          <w:ins w:id="335" w:author="Master Repository Process" w:date="2025-06-17T13:52:00Z"/>
        </w:rPr>
      </w:pPr>
      <w:bookmarkStart w:id="336" w:name="_Toc120008683"/>
      <w:bookmarkStart w:id="337" w:name="_Toc158113302"/>
      <w:ins w:id="338" w:author="Master Repository Process" w:date="2025-06-17T13:52:00Z">
        <w:r>
          <w:rPr>
            <w:rStyle w:val="CharSectno"/>
          </w:rPr>
          <w:t>29E</w:t>
        </w:r>
        <w:r>
          <w:t>.</w:t>
        </w:r>
        <w:r>
          <w:tab/>
          <w:t>Minister may approve certain contracts</w:t>
        </w:r>
        <w:bookmarkEnd w:id="336"/>
        <w:bookmarkEnd w:id="337"/>
      </w:ins>
    </w:p>
    <w:p>
      <w:pPr>
        <w:pStyle w:val="Subsection"/>
        <w:rPr>
          <w:ins w:id="339" w:author="Master Repository Process" w:date="2025-06-17T13:52:00Z"/>
        </w:rPr>
      </w:pPr>
      <w:ins w:id="340" w:author="Master Repository Process" w:date="2025-06-17T13:52:00Z">
        <w:r>
          <w:tab/>
          <w:t>(1)</w:t>
        </w:r>
        <w:r>
          <w:tab/>
          <w:t>The Minister may, if</w:t>
        </w:r>
      </w:ins>
      <w:r>
        <w:t xml:space="preserve"> the Minister considers it desirable by reason of special circumstances</w:t>
      </w:r>
      <w:del w:id="341" w:author="Master Repository Process" w:date="2025-06-17T13:52:00Z">
        <w:r>
          <w:delText xml:space="preserve"> so to do, the Minister may, </w:delText>
        </w:r>
      </w:del>
      <w:ins w:id="342" w:author="Master Repository Process" w:date="2025-06-17T13:52:00Z">
        <w:r>
          <w:t xml:space="preserve">, approve </w:t>
        </w:r>
      </w:ins>
      <w:r>
        <w:t>in writing</w:t>
      </w:r>
      <w:del w:id="343" w:author="Master Repository Process" w:date="2025-06-17T13:52:00Z">
        <w:r>
          <w:delText>, approve</w:delText>
        </w:r>
      </w:del>
      <w:r>
        <w:t xml:space="preserve"> the entering into of a contract or arrangement that would, but for the approval, be void under </w:t>
      </w:r>
      <w:del w:id="344" w:author="Master Repository Process" w:date="2025-06-17T13:52:00Z">
        <w:r>
          <w:delText>subsection (1), and nothing</w:delText>
        </w:r>
      </w:del>
      <w:ins w:id="345" w:author="Master Repository Process" w:date="2025-06-17T13:52:00Z">
        <w:r>
          <w:t>section 29A(2).</w:t>
        </w:r>
      </w:ins>
    </w:p>
    <w:p>
      <w:pPr>
        <w:pStyle w:val="Subsection"/>
      </w:pPr>
      <w:ins w:id="346" w:author="Master Repository Process" w:date="2025-06-17T13:52:00Z">
        <w:r>
          <w:tab/>
          <w:t>(2)</w:t>
        </w:r>
        <w:r>
          <w:tab/>
          <w:t>Nothing</w:t>
        </w:r>
      </w:ins>
      <w:r>
        <w:t xml:space="preserve"> in </w:t>
      </w:r>
      <w:del w:id="347" w:author="Master Repository Process" w:date="2025-06-17T13:52:00Z">
        <w:r>
          <w:delText>subsection (1</w:delText>
        </w:r>
      </w:del>
      <w:ins w:id="348" w:author="Master Repository Process" w:date="2025-06-17T13:52:00Z">
        <w:r>
          <w:t>section 29A(2</w:t>
        </w:r>
      </w:ins>
      <w:r>
        <w:t>) or (</w:t>
      </w:r>
      <w:del w:id="349" w:author="Master Repository Process" w:date="2025-06-17T13:52:00Z">
        <w:r>
          <w:delText>2</w:delText>
        </w:r>
      </w:del>
      <w:ins w:id="350" w:author="Master Repository Process" w:date="2025-06-17T13:52:00Z">
        <w:r>
          <w:t>3</w:t>
        </w:r>
      </w:ins>
      <w:r>
        <w:t xml:space="preserve">) applies to or in relation to a contract or arrangement entered into in accordance with an approval under </w:t>
      </w:r>
      <w:del w:id="351" w:author="Master Repository Process" w:date="2025-06-17T13:52:00Z">
        <w:r>
          <w:delText xml:space="preserve">this </w:delText>
        </w:r>
      </w:del>
      <w:r>
        <w:t>subsection</w:t>
      </w:r>
      <w:del w:id="352" w:author="Master Repository Process" w:date="2025-06-17T13:52:00Z">
        <w:r>
          <w:delText>.</w:delText>
        </w:r>
      </w:del>
      <w:ins w:id="353" w:author="Master Repository Process" w:date="2025-06-17T13:52:00Z">
        <w:r>
          <w:t> (1).</w:t>
        </w:r>
      </w:ins>
    </w:p>
    <w:p>
      <w:pPr>
        <w:pStyle w:val="Subsection"/>
      </w:pPr>
      <w:r>
        <w:tab/>
        <w:t>(</w:t>
      </w:r>
      <w:del w:id="354" w:author="Master Repository Process" w:date="2025-06-17T13:52:00Z">
        <w:r>
          <w:delText>4b</w:delText>
        </w:r>
      </w:del>
      <w:ins w:id="355" w:author="Master Repository Process" w:date="2025-06-17T13:52:00Z">
        <w:r>
          <w:t>3</w:t>
        </w:r>
      </w:ins>
      <w:r>
        <w:t>)</w:t>
      </w:r>
      <w:r>
        <w:tab/>
        <w:t>The Minister must not give an approval under subsection</w:t>
      </w:r>
      <w:del w:id="356" w:author="Master Repository Process" w:date="2025-06-17T13:52:00Z">
        <w:r>
          <w:delText xml:space="preserve"> (4a</w:delText>
        </w:r>
      </w:del>
      <w:ins w:id="357" w:author="Master Repository Process" w:date="2025-06-17T13:52:00Z">
        <w:r>
          <w:t> (1</w:t>
        </w:r>
      </w:ins>
      <w:r>
        <w:t>) unless —</w:t>
      </w:r>
    </w:p>
    <w:p>
      <w:pPr>
        <w:pStyle w:val="Indenta"/>
        <w:rPr>
          <w:ins w:id="358" w:author="Master Repository Process" w:date="2025-06-17T13:52:00Z"/>
        </w:rPr>
      </w:pPr>
      <w:del w:id="359" w:author="Master Repository Process" w:date="2025-06-17T13:52:00Z">
        <w:r>
          <w:tab/>
          <w:delText>(a</w:delText>
        </w:r>
      </w:del>
      <w:ins w:id="360" w:author="Master Repository Process" w:date="2025-06-17T13:52:00Z">
        <w:r>
          <w:tab/>
          <w:t>(a)</w:t>
        </w:r>
        <w:r>
          <w:tab/>
          <w:t>in the case of a contract or arrangement in relation to non</w:t>
        </w:r>
        <w:r>
          <w:noBreakHyphen/>
          <w:t xml:space="preserve">regenerative tissue for the purposes of transplantation to the body of a living person — </w:t>
        </w:r>
      </w:ins>
    </w:p>
    <w:p>
      <w:pPr>
        <w:pStyle w:val="Indenti"/>
      </w:pPr>
      <w:ins w:id="361" w:author="Master Repository Process" w:date="2025-06-17T13:52:00Z">
        <w:r>
          <w:tab/>
          <w:t>(i</w:t>
        </w:r>
      </w:ins>
      <w:r>
        <w:t>)</w:t>
      </w:r>
      <w:r>
        <w:tab/>
        <w:t xml:space="preserve">the entering into of the contract or arrangement has been recommended by a body of medical practitioners prescribed by the regulations for the purposes of this </w:t>
      </w:r>
      <w:del w:id="362" w:author="Master Repository Process" w:date="2025-06-17T13:52:00Z">
        <w:r>
          <w:delText>subsection</w:delText>
        </w:r>
      </w:del>
      <w:ins w:id="363" w:author="Master Repository Process" w:date="2025-06-17T13:52:00Z">
        <w:r>
          <w:t>paragraph</w:t>
        </w:r>
      </w:ins>
      <w:r>
        <w:t>; and</w:t>
      </w:r>
    </w:p>
    <w:p>
      <w:pPr>
        <w:pStyle w:val="Indenti"/>
      </w:pPr>
      <w:r>
        <w:tab/>
        <w:t>(</w:t>
      </w:r>
      <w:del w:id="364" w:author="Master Repository Process" w:date="2025-06-17T13:52:00Z">
        <w:r>
          <w:delText>b</w:delText>
        </w:r>
      </w:del>
      <w:ins w:id="365" w:author="Master Repository Process" w:date="2025-06-17T13:52:00Z">
        <w:r>
          <w:t>ii</w:t>
        </w:r>
      </w:ins>
      <w:r>
        <w:t>)</w:t>
      </w:r>
      <w:r>
        <w:tab/>
        <w:t>the Minister is reasonably satisfied that no monetary payment or reward will be made, given or received for or in consideration of the contract or arrangement</w:t>
      </w:r>
      <w:del w:id="366" w:author="Master Repository Process" w:date="2025-06-17T13:52:00Z">
        <w:r>
          <w:delText>.</w:delText>
        </w:r>
      </w:del>
      <w:ins w:id="367" w:author="Master Repository Process" w:date="2025-06-17T13:52:00Z">
        <w:r>
          <w:t xml:space="preserve">; </w:t>
        </w:r>
      </w:ins>
    </w:p>
    <w:p>
      <w:pPr>
        <w:pStyle w:val="Indenta"/>
        <w:rPr>
          <w:ins w:id="368" w:author="Master Repository Process" w:date="2025-06-17T13:52:00Z"/>
        </w:rPr>
      </w:pPr>
      <w:del w:id="369" w:author="Master Repository Process" w:date="2025-06-17T13:52:00Z">
        <w:r>
          <w:rPr>
            <w:snapToGrid w:val="0"/>
          </w:rPr>
          <w:tab/>
          <w:delText>(5)</w:delText>
        </w:r>
        <w:r>
          <w:rPr>
            <w:snapToGrid w:val="0"/>
          </w:rPr>
          <w:tab/>
          <w:delText xml:space="preserve">A person who as vendor </w:delText>
        </w:r>
      </w:del>
      <w:ins w:id="370" w:author="Master Repository Process" w:date="2025-06-17T13:52:00Z">
        <w:r>
          <w:tab/>
        </w:r>
        <w:r>
          <w:tab/>
        </w:r>
      </w:ins>
      <w:r>
        <w:t>or</w:t>
      </w:r>
      <w:del w:id="371" w:author="Master Repository Process" w:date="2025-06-17T13:52:00Z">
        <w:r>
          <w:rPr>
            <w:snapToGrid w:val="0"/>
          </w:rPr>
          <w:delText xml:space="preserve"> supplier enters into a</w:delText>
        </w:r>
      </w:del>
    </w:p>
    <w:p>
      <w:pPr>
        <w:pStyle w:val="Indenta"/>
      </w:pPr>
      <w:ins w:id="372" w:author="Master Repository Process" w:date="2025-06-17T13:52:00Z">
        <w:r>
          <w:tab/>
          <w:t>(b)</w:t>
        </w:r>
        <w:r>
          <w:tab/>
          <w:t>in the case of any other</w:t>
        </w:r>
      </w:ins>
      <w:r>
        <w:t xml:space="preserve"> contract or arrangement </w:t>
      </w:r>
      <w:del w:id="373" w:author="Master Repository Process" w:date="2025-06-17T13:52:00Z">
        <w:r>
          <w:rPr>
            <w:snapToGrid w:val="0"/>
          </w:rPr>
          <w:delText>for the sale</w:delText>
        </w:r>
      </w:del>
      <w:ins w:id="374" w:author="Master Repository Process" w:date="2025-06-17T13:52:00Z">
        <w:r>
          <w:t>(irrespective of whether any monetary payment</w:t>
        </w:r>
      </w:ins>
      <w:r>
        <w:t xml:space="preserve"> or </w:t>
      </w:r>
      <w:del w:id="375" w:author="Master Repository Process" w:date="2025-06-17T13:52:00Z">
        <w:r>
          <w:rPr>
            <w:snapToGrid w:val="0"/>
          </w:rPr>
          <w:delText>supply of a product of a class specified in an order</w:delText>
        </w:r>
      </w:del>
      <w:ins w:id="376" w:author="Master Repository Process" w:date="2025-06-17T13:52:00Z">
        <w:r>
          <w:t>reward will be</w:t>
        </w:r>
      </w:ins>
      <w:r>
        <w:t xml:space="preserve"> made</w:t>
      </w:r>
      <w:del w:id="377" w:author="Master Repository Process" w:date="2025-06-17T13:52:00Z">
        <w:r>
          <w:rPr>
            <w:snapToGrid w:val="0"/>
          </w:rPr>
          <w:delText xml:space="preserve"> under subsection (4) commits an offence if the tissue from which the product was derived was obtained under a </w:delText>
        </w:r>
      </w:del>
      <w:ins w:id="378" w:author="Master Repository Process" w:date="2025-06-17T13:52:00Z">
        <w:r>
          <w:t xml:space="preserve">, given or received for or in consideration of the </w:t>
        </w:r>
      </w:ins>
      <w:r>
        <w:t>contract or arrangement</w:t>
      </w:r>
      <w:del w:id="379" w:author="Master Repository Process" w:date="2025-06-17T13:52:00Z">
        <w:r>
          <w:rPr>
            <w:snapToGrid w:val="0"/>
          </w:rPr>
          <w:delText xml:space="preserve"> that is void by reason of subsection (1).</w:delText>
        </w:r>
      </w:del>
      <w:ins w:id="380" w:author="Master Repository Process" w:date="2025-06-17T13:52:00Z">
        <w:r>
          <w:t>) — the entering into of the contract or arrangement has been recommended by the Human Tissue Advisory Body.</w:t>
        </w:r>
      </w:ins>
    </w:p>
    <w:p>
      <w:pPr>
        <w:pStyle w:val="Penstart"/>
        <w:rPr>
          <w:del w:id="381" w:author="Master Repository Process" w:date="2025-06-17T13:52:00Z"/>
          <w:snapToGrid w:val="0"/>
        </w:rPr>
      </w:pPr>
      <w:del w:id="382" w:author="Master Repository Process" w:date="2025-06-17T13:52:00Z">
        <w:r>
          <w:rPr>
            <w:snapToGrid w:val="0"/>
          </w:rPr>
          <w:tab/>
          <w:delText>Penalty: $1 000.</w:delText>
        </w:r>
      </w:del>
    </w:p>
    <w:p>
      <w:pPr>
        <w:pStyle w:val="Subsection"/>
        <w:rPr>
          <w:del w:id="383" w:author="Master Repository Process" w:date="2025-06-17T13:52:00Z"/>
          <w:snapToGrid w:val="0"/>
        </w:rPr>
      </w:pPr>
      <w:del w:id="384" w:author="Master Repository Process" w:date="2025-06-17T13:52:00Z">
        <w:r>
          <w:rPr>
            <w:snapToGrid w:val="0"/>
          </w:rPr>
          <w:tab/>
          <w:delText>(6)</w:delText>
        </w:r>
        <w:r>
          <w:rPr>
            <w:snapToGrid w:val="0"/>
          </w:rPr>
          <w:tab/>
          <w:delTex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delText>
        </w:r>
      </w:del>
    </w:p>
    <w:p>
      <w:pPr>
        <w:pStyle w:val="Footnotesection"/>
        <w:rPr>
          <w:ins w:id="385" w:author="Master Repository Process" w:date="2025-06-17T13:52:00Z"/>
        </w:rPr>
      </w:pPr>
      <w:r>
        <w:tab/>
        <w:t>[Section</w:t>
      </w:r>
      <w:del w:id="386" w:author="Master Repository Process" w:date="2025-06-17T13:52:00Z">
        <w:r>
          <w:delText xml:space="preserve"> 29 amended</w:delText>
        </w:r>
      </w:del>
      <w:ins w:id="387" w:author="Master Repository Process" w:date="2025-06-17T13:52:00Z">
        <w:r>
          <w:t> 29E inserted</w:t>
        </w:r>
      </w:ins>
      <w:r>
        <w:t>: No.</w:t>
      </w:r>
      <w:del w:id="388" w:author="Master Repository Process" w:date="2025-06-17T13:52:00Z">
        <w:r>
          <w:delText xml:space="preserve"> 14</w:delText>
        </w:r>
      </w:del>
      <w:ins w:id="389" w:author="Master Repository Process" w:date="2025-06-17T13:52:00Z">
        <w:r>
          <w:t> 41 of 2022 s. 31.]</w:t>
        </w:r>
      </w:ins>
    </w:p>
    <w:p>
      <w:pPr>
        <w:pStyle w:val="Heading5"/>
        <w:rPr>
          <w:ins w:id="390" w:author="Master Repository Process" w:date="2025-06-17T13:52:00Z"/>
        </w:rPr>
      </w:pPr>
      <w:bookmarkStart w:id="391" w:name="_Toc120008684"/>
      <w:bookmarkStart w:id="392" w:name="_Toc158113303"/>
      <w:ins w:id="393" w:author="Master Repository Process" w:date="2025-06-17T13:52:00Z">
        <w:r>
          <w:rPr>
            <w:rStyle w:val="CharSectno"/>
          </w:rPr>
          <w:t>29F</w:t>
        </w:r>
        <w:r>
          <w:t>.</w:t>
        </w:r>
        <w:r>
          <w:tab/>
          <w:t>Human Tissue Advisory Body</w:t>
        </w:r>
        <w:bookmarkEnd w:id="391"/>
        <w:bookmarkEnd w:id="392"/>
      </w:ins>
    </w:p>
    <w:p>
      <w:pPr>
        <w:pStyle w:val="Subsection"/>
        <w:rPr>
          <w:ins w:id="394" w:author="Master Repository Process" w:date="2025-06-17T13:52:00Z"/>
        </w:rPr>
      </w:pPr>
      <w:ins w:id="395" w:author="Master Repository Process" w:date="2025-06-17T13:52:00Z">
        <w:r>
          <w:tab/>
          <w:t>(1)</w:t>
        </w:r>
        <w:r>
          <w:tab/>
          <w:t>The Minister must, by instrument signed by the Minister, establish the Human Tissue Advisory Body to provide advice and recommendations to the Minister for the purposes of sections 29B(2)(a) and 29E(3)(b).</w:t>
        </w:r>
      </w:ins>
    </w:p>
    <w:p>
      <w:pPr>
        <w:pStyle w:val="Subsection"/>
        <w:rPr>
          <w:ins w:id="396" w:author="Master Repository Process" w:date="2025-06-17T13:52:00Z"/>
        </w:rPr>
      </w:pPr>
      <w:ins w:id="397" w:author="Master Repository Process" w:date="2025-06-17T13:52:00Z">
        <w:r>
          <w:tab/>
          <w:t>(2)</w:t>
        </w:r>
        <w:r>
          <w:tab/>
          <w:t xml:space="preserve">The instrument establishing the Human Tissue Advisory Body must — </w:t>
        </w:r>
      </w:ins>
    </w:p>
    <w:p>
      <w:pPr>
        <w:pStyle w:val="Indenta"/>
        <w:rPr>
          <w:ins w:id="398" w:author="Master Repository Process" w:date="2025-06-17T13:52:00Z"/>
        </w:rPr>
      </w:pPr>
      <w:ins w:id="399" w:author="Master Repository Process" w:date="2025-06-17T13:52:00Z">
        <w:r>
          <w:tab/>
          <w:t>(a)</w:t>
        </w:r>
        <w:r>
          <w:tab/>
          <w:t>identify the members of the Advisory Body or provide for the manner</w:t>
        </w:r>
      </w:ins>
      <w:r>
        <w:t xml:space="preserve"> of </w:t>
      </w:r>
      <w:del w:id="400" w:author="Master Repository Process" w:date="2025-06-17T13:52:00Z">
        <w:r>
          <w:delText>2006 s. 4</w:delText>
        </w:r>
      </w:del>
      <w:ins w:id="401" w:author="Master Repository Process" w:date="2025-06-17T13:52:00Z">
        <w:r>
          <w:t>appointing members of the Advisory Body; and</w:t>
        </w:r>
      </w:ins>
    </w:p>
    <w:p>
      <w:pPr>
        <w:pStyle w:val="Indenta"/>
        <w:rPr>
          <w:ins w:id="402" w:author="Master Repository Process" w:date="2025-06-17T13:52:00Z"/>
        </w:rPr>
      </w:pPr>
      <w:ins w:id="403" w:author="Master Repository Process" w:date="2025-06-17T13:52:00Z">
        <w:r>
          <w:tab/>
          <w:t>(b)</w:t>
        </w:r>
        <w:r>
          <w:tab/>
          <w:t>provide for the length and conditions of appointment; and</w:t>
        </w:r>
      </w:ins>
    </w:p>
    <w:p>
      <w:pPr>
        <w:pStyle w:val="Indenta"/>
        <w:rPr>
          <w:ins w:id="404" w:author="Master Repository Process" w:date="2025-06-17T13:52:00Z"/>
        </w:rPr>
      </w:pPr>
      <w:ins w:id="405" w:author="Master Repository Process" w:date="2025-06-17T13:52:00Z">
        <w:r>
          <w:tab/>
          <w:t>(c)</w:t>
        </w:r>
        <w:r>
          <w:tab/>
          <w:t>set out the duties and responsibilities of the Advisory Body and its members; and</w:t>
        </w:r>
      </w:ins>
    </w:p>
    <w:p>
      <w:pPr>
        <w:pStyle w:val="Indenta"/>
        <w:rPr>
          <w:ins w:id="406" w:author="Master Repository Process" w:date="2025-06-17T13:52:00Z"/>
        </w:rPr>
      </w:pPr>
      <w:ins w:id="407" w:author="Master Repository Process" w:date="2025-06-17T13:52:00Z">
        <w:r>
          <w:tab/>
          <w:t>(d)</w:t>
        </w:r>
        <w:r>
          <w:tab/>
          <w:t>set out any other matters in relation to the constitution, operation and procedures of the Advisory Body that the Minister considers appropriate.</w:t>
        </w:r>
      </w:ins>
    </w:p>
    <w:p>
      <w:pPr>
        <w:pStyle w:val="Subsection"/>
        <w:rPr>
          <w:ins w:id="408" w:author="Master Repository Process" w:date="2025-06-17T13:52:00Z"/>
        </w:rPr>
      </w:pPr>
      <w:ins w:id="409" w:author="Master Repository Process" w:date="2025-06-17T13:52:00Z">
        <w:r>
          <w:tab/>
          <w:t>(3)</w:t>
        </w:r>
        <w:r>
          <w:tab/>
          <w:t>The Minister may, by instrument signed by the Minister, amend or revoke the instrument establishing the Human Tissue Advisory Body.</w:t>
        </w:r>
      </w:ins>
    </w:p>
    <w:p>
      <w:pPr>
        <w:pStyle w:val="Subsection"/>
        <w:rPr>
          <w:ins w:id="410" w:author="Master Repository Process" w:date="2025-06-17T13:52:00Z"/>
        </w:rPr>
      </w:pPr>
      <w:ins w:id="411" w:author="Master Repository Process" w:date="2025-06-17T13:52:00Z">
        <w:r>
          <w:tab/>
          <w:t>(4)</w:t>
        </w:r>
        <w:r>
          <w:tab/>
          <w:t>Except to the extent that its procedures are set out in an instrument under subsection (2), the Advisory Body may determine its own procedures.</w:t>
        </w:r>
      </w:ins>
    </w:p>
    <w:p>
      <w:pPr>
        <w:pStyle w:val="Subsection"/>
        <w:rPr>
          <w:ins w:id="412" w:author="Master Repository Process" w:date="2025-06-17T13:52:00Z"/>
        </w:rPr>
      </w:pPr>
      <w:ins w:id="413" w:author="Master Repository Process" w:date="2025-06-17T13:52:00Z">
        <w:r>
          <w:tab/>
          <w:t>(5)</w:t>
        </w:r>
        <w:r>
          <w:tab/>
          <w:t>The members of the Advisory Body are entitled to any remuneration and allowances that the Minister may determine on the recommendation of the Public Sector Commissioner.</w:t>
        </w:r>
      </w:ins>
    </w:p>
    <w:p>
      <w:pPr>
        <w:pStyle w:val="Footnotesection"/>
      </w:pPr>
      <w:ins w:id="414" w:author="Master Repository Process" w:date="2025-06-17T13:52:00Z">
        <w:r>
          <w:tab/>
          <w:t>[Section 29F inserted: No. 41 of 2022 s. 31</w:t>
        </w:r>
      </w:ins>
      <w:r>
        <w:t>.]</w:t>
      </w:r>
    </w:p>
    <w:p>
      <w:pPr>
        <w:pStyle w:val="Heading5"/>
        <w:rPr>
          <w:snapToGrid w:val="0"/>
        </w:rPr>
      </w:pPr>
      <w:bookmarkStart w:id="415" w:name="_Toc158113304"/>
      <w:bookmarkStart w:id="416" w:name="_Toc158110822"/>
      <w:r>
        <w:rPr>
          <w:rStyle w:val="CharSectno"/>
        </w:rPr>
        <w:t>30</w:t>
      </w:r>
      <w:r>
        <w:rPr>
          <w:snapToGrid w:val="0"/>
        </w:rPr>
        <w:t>.</w:t>
      </w:r>
      <w:r>
        <w:rPr>
          <w:snapToGrid w:val="0"/>
        </w:rPr>
        <w:tab/>
        <w:t>Advertisements relating to buying human tissue prohibited</w:t>
      </w:r>
      <w:bookmarkEnd w:id="415"/>
      <w:bookmarkEnd w:id="416"/>
      <w:r>
        <w:rPr>
          <w:snapToGrid w:val="0"/>
        </w:rPr>
        <w:t xml:space="preserve"> </w:t>
      </w:r>
    </w:p>
    <w:p>
      <w:pPr>
        <w:pStyle w:val="Subsection"/>
        <w:rPr>
          <w:snapToGrid w:val="0"/>
        </w:rPr>
      </w:pPr>
      <w:r>
        <w:tab/>
      </w:r>
      <w:ins w:id="417" w:author="Master Repository Process" w:date="2025-06-17T13:52:00Z">
        <w:r>
          <w:t>(1)</w:t>
        </w:r>
      </w:ins>
      <w:r>
        <w:tab/>
        <w:t xml:space="preserve">A person </w:t>
      </w:r>
      <w:del w:id="418" w:author="Master Repository Process" w:date="2025-06-17T13:52:00Z">
        <w:r>
          <w:rPr>
            <w:snapToGrid w:val="0"/>
          </w:rPr>
          <w:delText>shall</w:delText>
        </w:r>
      </w:del>
      <w:ins w:id="419" w:author="Master Repository Process" w:date="2025-06-17T13:52:00Z">
        <w:r>
          <w:t>must</w:t>
        </w:r>
      </w:ins>
      <w:r>
        <w:rPr>
          <w:snapToGrid w:val="0"/>
        </w:rPr>
        <w:t xml:space="preserve">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keepNext/>
        <w:rPr>
          <w:snapToGrid w:val="0"/>
        </w:rPr>
      </w:pPr>
      <w:r>
        <w:rPr>
          <w:snapToGrid w:val="0"/>
        </w:rPr>
        <w:tab/>
      </w:r>
      <w:r>
        <w:rPr>
          <w:snapToGrid w:val="0"/>
        </w:rPr>
        <w:tab/>
        <w:t>an advertisement relating to the buying in Australia of human tissue or of the right to take tissue from the bodies of persons.</w:t>
      </w:r>
    </w:p>
    <w:p>
      <w:pPr>
        <w:pStyle w:val="Penstart"/>
      </w:pPr>
      <w:r>
        <w:tab/>
        <w:t>Penalty</w:t>
      </w:r>
      <w:del w:id="420" w:author="Master Repository Process" w:date="2025-06-17T13:52:00Z">
        <w:r>
          <w:rPr>
            <w:snapToGrid w:val="0"/>
          </w:rPr>
          <w:delText>: $1</w:delText>
        </w:r>
      </w:del>
      <w:ins w:id="421" w:author="Master Repository Process" w:date="2025-06-17T13:52:00Z">
        <w:r>
          <w:t xml:space="preserve"> for this subsection: imprisonment for 12 months or a fine of $12</w:t>
        </w:r>
      </w:ins>
      <w:r>
        <w:t> 000.</w:t>
      </w:r>
    </w:p>
    <w:p>
      <w:pPr>
        <w:pStyle w:val="Subsection"/>
        <w:rPr>
          <w:ins w:id="422" w:author="Master Repository Process" w:date="2025-06-17T13:52:00Z"/>
        </w:rPr>
      </w:pPr>
      <w:ins w:id="423" w:author="Master Repository Process" w:date="2025-06-17T13:52:00Z">
        <w:r>
          <w:tab/>
          <w:t>(2)</w:t>
        </w:r>
        <w:r>
          <w:tab/>
          <w:t xml:space="preserve">Subsection (1) does not apply in relation to an advertisement if the advertisement — </w:t>
        </w:r>
      </w:ins>
    </w:p>
    <w:p>
      <w:pPr>
        <w:pStyle w:val="Indenta"/>
        <w:rPr>
          <w:ins w:id="424" w:author="Master Repository Process" w:date="2025-06-17T13:52:00Z"/>
        </w:rPr>
      </w:pPr>
      <w:ins w:id="425" w:author="Master Repository Process" w:date="2025-06-17T13:52:00Z">
        <w:r>
          <w:tab/>
          <w:t>(a)</w:t>
        </w:r>
        <w:r>
          <w:tab/>
          <w:t>has been approved in writing by the Minister and contains a statement to that effect; or</w:t>
        </w:r>
      </w:ins>
    </w:p>
    <w:p>
      <w:pPr>
        <w:pStyle w:val="Indenta"/>
        <w:rPr>
          <w:ins w:id="426" w:author="Master Repository Process" w:date="2025-06-17T13:52:00Z"/>
        </w:rPr>
      </w:pPr>
      <w:ins w:id="427" w:author="Master Repository Process" w:date="2025-06-17T13:52:00Z">
        <w:r>
          <w:tab/>
          <w:t>(b)</w:t>
        </w:r>
        <w:r>
          <w:tab/>
          <w:t>belongs to a class of advertisement approved in writing by the Minister for the purposes of this section.</w:t>
        </w:r>
      </w:ins>
    </w:p>
    <w:p>
      <w:pPr>
        <w:pStyle w:val="Footnotesection"/>
      </w:pPr>
      <w:r>
        <w:tab/>
        <w:t>[Section 30 amended: No. 78 of 1995 s. 147</w:t>
      </w:r>
      <w:ins w:id="428" w:author="Master Repository Process" w:date="2025-06-17T13:52:00Z">
        <w:r>
          <w:t>; No. 41 of 2022 s. 32</w:t>
        </w:r>
      </w:ins>
      <w:r>
        <w:t>.]</w:t>
      </w:r>
    </w:p>
    <w:p>
      <w:pPr>
        <w:pStyle w:val="Heading2"/>
      </w:pPr>
      <w:bookmarkStart w:id="429" w:name="_Toc157777208"/>
      <w:bookmarkStart w:id="430" w:name="_Toc158033726"/>
      <w:bookmarkStart w:id="431" w:name="_Toc158113305"/>
      <w:bookmarkStart w:id="432" w:name="_Toc158106340"/>
      <w:bookmarkStart w:id="433" w:name="_Toc158106633"/>
      <w:bookmarkStart w:id="434" w:name="_Toc158110823"/>
      <w:r>
        <w:rPr>
          <w:rStyle w:val="CharPartNo"/>
        </w:rPr>
        <w:t>Part 6</w:t>
      </w:r>
      <w:r>
        <w:rPr>
          <w:rStyle w:val="CharDivNo"/>
        </w:rPr>
        <w:t> </w:t>
      </w:r>
      <w:r>
        <w:t>—</w:t>
      </w:r>
      <w:r>
        <w:rPr>
          <w:rStyle w:val="CharDivText"/>
        </w:rPr>
        <w:t> </w:t>
      </w:r>
      <w:r>
        <w:rPr>
          <w:rStyle w:val="CharPartText"/>
        </w:rPr>
        <w:t>Prohibition on the use of embryonic stem cell lines</w:t>
      </w:r>
      <w:bookmarkEnd w:id="429"/>
      <w:bookmarkEnd w:id="430"/>
      <w:bookmarkEnd w:id="431"/>
      <w:bookmarkEnd w:id="432"/>
      <w:bookmarkEnd w:id="433"/>
      <w:bookmarkEnd w:id="434"/>
    </w:p>
    <w:p>
      <w:pPr>
        <w:pStyle w:val="Footnoteheading"/>
        <w:tabs>
          <w:tab w:val="left" w:pos="851"/>
        </w:tabs>
      </w:pPr>
      <w:r>
        <w:tab/>
        <w:t>[Heading inserted: No. 18 of 2004 s. 11(3); amended: No. 41 of 2022 s. 24.]</w:t>
      </w:r>
    </w:p>
    <w:p>
      <w:pPr>
        <w:pStyle w:val="Heading5"/>
      </w:pPr>
      <w:bookmarkStart w:id="435" w:name="_Toc158113306"/>
      <w:bookmarkStart w:id="436" w:name="_Toc158110824"/>
      <w:r>
        <w:rPr>
          <w:rStyle w:val="CharSectno"/>
        </w:rPr>
        <w:t>30A</w:t>
      </w:r>
      <w:r>
        <w:t>.</w:t>
      </w:r>
      <w:r>
        <w:tab/>
        <w:t>Terms used</w:t>
      </w:r>
      <w:bookmarkEnd w:id="435"/>
      <w:bookmarkEnd w:id="436"/>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437" w:name="_Toc158113307"/>
      <w:bookmarkStart w:id="438" w:name="_Toc158110825"/>
      <w:r>
        <w:rPr>
          <w:rStyle w:val="CharSectno"/>
        </w:rPr>
        <w:t>30B</w:t>
      </w:r>
      <w:r>
        <w:t>.</w:t>
      </w:r>
      <w:r>
        <w:tab/>
        <w:t>Restriction on use of human embryonic stem cells lines</w:t>
      </w:r>
      <w:bookmarkEnd w:id="437"/>
      <w:bookmarkEnd w:id="438"/>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439" w:name="_Toc157777211"/>
      <w:bookmarkStart w:id="440" w:name="_Toc158033729"/>
      <w:bookmarkStart w:id="441" w:name="_Toc158113308"/>
      <w:bookmarkStart w:id="442" w:name="_Toc158106343"/>
      <w:bookmarkStart w:id="443" w:name="_Toc158106636"/>
      <w:bookmarkStart w:id="444" w:name="_Toc158110826"/>
      <w:r>
        <w:rPr>
          <w:rStyle w:val="CharPartNo"/>
        </w:rPr>
        <w:t>Part 7</w:t>
      </w:r>
      <w:r>
        <w:rPr>
          <w:rStyle w:val="CharDivNo"/>
        </w:rPr>
        <w:t> </w:t>
      </w:r>
      <w:r>
        <w:t>—</w:t>
      </w:r>
      <w:r>
        <w:rPr>
          <w:rStyle w:val="CharDivText"/>
        </w:rPr>
        <w:t> </w:t>
      </w:r>
      <w:r>
        <w:rPr>
          <w:rStyle w:val="CharPartText"/>
        </w:rPr>
        <w:t>Miscellaneous</w:t>
      </w:r>
      <w:bookmarkEnd w:id="439"/>
      <w:bookmarkEnd w:id="440"/>
      <w:bookmarkEnd w:id="441"/>
      <w:bookmarkEnd w:id="442"/>
      <w:bookmarkEnd w:id="443"/>
      <w:bookmarkEnd w:id="444"/>
      <w:r>
        <w:rPr>
          <w:rStyle w:val="CharPartText"/>
        </w:rPr>
        <w:t xml:space="preserve"> </w:t>
      </w:r>
    </w:p>
    <w:p>
      <w:pPr>
        <w:pStyle w:val="Footnoteheading"/>
      </w:pPr>
      <w:r>
        <w:tab/>
        <w:t>[Heading amended: No. 41 of 2022 s. 25.]</w:t>
      </w:r>
    </w:p>
    <w:p>
      <w:pPr>
        <w:pStyle w:val="Heading5"/>
        <w:rPr>
          <w:snapToGrid w:val="0"/>
        </w:rPr>
      </w:pPr>
      <w:bookmarkStart w:id="445" w:name="_Toc158113309"/>
      <w:bookmarkStart w:id="446" w:name="_Toc158110827"/>
      <w:r>
        <w:rPr>
          <w:rStyle w:val="CharSectno"/>
        </w:rPr>
        <w:t>31</w:t>
      </w:r>
      <w:r>
        <w:rPr>
          <w:snapToGrid w:val="0"/>
        </w:rPr>
        <w:t>.</w:t>
      </w:r>
      <w:r>
        <w:rPr>
          <w:snapToGrid w:val="0"/>
        </w:rPr>
        <w:tab/>
        <w:t>Exclusion of liability of persons acting in pursuance of consent, etc.</w:t>
      </w:r>
      <w:bookmarkEnd w:id="445"/>
      <w:bookmarkEnd w:id="446"/>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 xml:space="preserve">Without limiting the generality of the expression “in good faith”, a person </w:t>
      </w:r>
      <w:r>
        <w:t>is</w:t>
      </w:r>
      <w:r>
        <w:rPr>
          <w:snapToGrid w:val="0"/>
        </w:rPr>
        <w:t xml:space="preserve"> regarded as having done an act referred to in subsection (1) in good faith if the person establishes that —</w:t>
      </w:r>
    </w:p>
    <w:p>
      <w:pPr>
        <w:pStyle w:val="Indenta"/>
        <w:rPr>
          <w:snapToGrid w:val="0"/>
        </w:rPr>
      </w:pPr>
      <w:r>
        <w:rPr>
          <w:snapToGrid w:val="0"/>
        </w:rPr>
        <w:tab/>
        <w:t>(a)</w:t>
      </w:r>
      <w:r>
        <w:rPr>
          <w:snapToGrid w:val="0"/>
        </w:rPr>
        <w:tab/>
      </w:r>
      <w:r>
        <w:t>the person</w:t>
      </w:r>
      <w:r>
        <w:rPr>
          <w:snapToGrid w:val="0"/>
        </w:rPr>
        <w:t xml:space="preserv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r>
      <w:r>
        <w:t>the person</w:t>
      </w:r>
      <w:r>
        <w:rPr>
          <w:snapToGrid w:val="0"/>
        </w:rPr>
        <w:t xml:space="preserve"> had no reason to doubt that a consent, agreement or authority purporting to have been given in accordance with this Act for the doing of the act was a consent, agreement or authority given in accordance with this Act.</w:t>
      </w:r>
    </w:p>
    <w:p>
      <w:pPr>
        <w:pStyle w:val="Footnotesection"/>
      </w:pPr>
      <w:r>
        <w:tab/>
        <w:t>[Section 31 amended: No. 41 of 2022 s. 28 and 29.]</w:t>
      </w:r>
    </w:p>
    <w:p>
      <w:pPr>
        <w:pStyle w:val="Heading5"/>
        <w:rPr>
          <w:snapToGrid w:val="0"/>
        </w:rPr>
      </w:pPr>
      <w:bookmarkStart w:id="447" w:name="_Toc158113310"/>
      <w:bookmarkStart w:id="448" w:name="_Toc158110828"/>
      <w:r>
        <w:rPr>
          <w:rStyle w:val="CharSectno"/>
        </w:rPr>
        <w:t>32</w:t>
      </w:r>
      <w:r>
        <w:rPr>
          <w:snapToGrid w:val="0"/>
        </w:rPr>
        <w:t>.</w:t>
      </w:r>
      <w:r>
        <w:rPr>
          <w:snapToGrid w:val="0"/>
        </w:rPr>
        <w:tab/>
        <w:t>Act does not prevent specified removals of tissue etc.</w:t>
      </w:r>
      <w:bookmarkEnd w:id="447"/>
      <w:bookmarkEnd w:id="448"/>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keepNext/>
        <w:rPr>
          <w:snapToGrid w:val="0"/>
        </w:rPr>
      </w:pPr>
      <w:r>
        <w:rPr>
          <w:snapToGrid w:val="0"/>
        </w:rPr>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w:t>
      </w:r>
      <w:r>
        <w:t>Part 2</w:t>
      </w:r>
      <w:r>
        <w:rPr>
          <w:snapToGrid w:val="0"/>
        </w:rPr>
        <w:t>.</w:t>
      </w:r>
    </w:p>
    <w:p>
      <w:pPr>
        <w:pStyle w:val="Footnotesection"/>
      </w:pPr>
      <w:r>
        <w:tab/>
        <w:t>[Section 32 amended: No. 41 of 2022 s. 29.]</w:t>
      </w:r>
    </w:p>
    <w:p>
      <w:pPr>
        <w:pStyle w:val="Heading5"/>
      </w:pPr>
      <w:bookmarkStart w:id="449" w:name="_Toc158113311"/>
      <w:bookmarkStart w:id="450" w:name="_Toc158110829"/>
      <w:r>
        <w:rPr>
          <w:rStyle w:val="CharSectno"/>
        </w:rPr>
        <w:t>32A</w:t>
      </w:r>
      <w:r>
        <w:t>.</w:t>
      </w:r>
      <w:r>
        <w:tab/>
        <w:t>Codes of practice</w:t>
      </w:r>
      <w:bookmarkEnd w:id="449"/>
      <w:bookmarkEnd w:id="450"/>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 xml:space="preserve">A code of practice </w:t>
      </w:r>
      <w:r>
        <w:t>has</w:t>
      </w:r>
      <w:r>
        <w:rPr>
          <w:spacing w:val="-2"/>
        </w:rPr>
        <w:t xml:space="preser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keepNext/>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No. 25 of 1997 s. 10; amended: No. 19 of 2016 s. 102; No. 41 of 2022 s. 29.]</w:t>
      </w:r>
    </w:p>
    <w:p>
      <w:pPr>
        <w:pStyle w:val="Heading5"/>
      </w:pPr>
      <w:bookmarkStart w:id="451" w:name="_Toc158113312"/>
      <w:bookmarkStart w:id="452" w:name="_Toc158110830"/>
      <w:r>
        <w:rPr>
          <w:rStyle w:val="CharSectno"/>
        </w:rPr>
        <w:t>32B</w:t>
      </w:r>
      <w:r>
        <w:t>.</w:t>
      </w:r>
      <w:r>
        <w:tab/>
        <w:t>Enforcement of directions contained in a code of practice</w:t>
      </w:r>
      <w:bookmarkEnd w:id="451"/>
      <w:bookmarkEnd w:id="452"/>
    </w:p>
    <w:p>
      <w:pPr>
        <w:pStyle w:val="Subsection"/>
        <w:keepNext/>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keepNext/>
      </w:pPr>
      <w:r>
        <w:tab/>
        <w:t>(2)</w:t>
      </w:r>
      <w:r>
        <w:tab/>
        <w:t>Where a person enters into a written undertaking under subsection (1) the Chief Health Officer must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keepNext/>
      </w:pPr>
      <w:r>
        <w:tab/>
        <w:t>(4)</w:t>
      </w:r>
      <w:r>
        <w:tab/>
        <w:t>A person who fails — </w:t>
      </w:r>
    </w:p>
    <w:p>
      <w:pPr>
        <w:pStyle w:val="Indenta"/>
      </w:pPr>
      <w:r>
        <w:tab/>
        <w:t>(a)</w:t>
      </w:r>
      <w:r>
        <w:tab/>
        <w:t>to enter into a written undertaking when requested under this section to do so by the Chief Health Officer; or</w:t>
      </w:r>
    </w:p>
    <w:p>
      <w:pPr>
        <w:pStyle w:val="Indenta"/>
        <w:keepNext/>
      </w:pPr>
      <w:r>
        <w:tab/>
        <w:t>(b)</w:t>
      </w:r>
      <w:r>
        <w:tab/>
        <w:t>to observe such an undertaking entered into by that person,</w:t>
      </w:r>
    </w:p>
    <w:p>
      <w:pPr>
        <w:pStyle w:val="Subsection"/>
        <w:keepNext/>
      </w:pPr>
      <w:r>
        <w:tab/>
      </w:r>
      <w:r>
        <w:tab/>
        <w:t>commits an offence.</w:t>
      </w:r>
    </w:p>
    <w:p>
      <w:pPr>
        <w:pStyle w:val="Penstart"/>
      </w:pPr>
      <w:r>
        <w:tab/>
        <w:t>Penalty for this subsection: a fine of $1 000.</w:t>
      </w:r>
    </w:p>
    <w:p>
      <w:pPr>
        <w:pStyle w:val="Subsection"/>
      </w:pPr>
      <w:r>
        <w:tab/>
        <w:t>(5)</w:t>
      </w:r>
      <w:r>
        <w:tab/>
        <w:t>A prosecution for an offence under subsection (4) must not be commenced without the approval of the Chief Health Officer.</w:t>
      </w:r>
    </w:p>
    <w:p>
      <w:pPr>
        <w:pStyle w:val="Subsection"/>
        <w:keepNext/>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 No. 41 of 2022 s. 29.]</w:t>
      </w:r>
    </w:p>
    <w:p>
      <w:pPr>
        <w:pStyle w:val="Heading5"/>
        <w:rPr>
          <w:snapToGrid w:val="0"/>
        </w:rPr>
      </w:pPr>
      <w:bookmarkStart w:id="453" w:name="_Toc158113313"/>
      <w:bookmarkStart w:id="454" w:name="_Toc158110831"/>
      <w:r>
        <w:rPr>
          <w:rStyle w:val="CharSectno"/>
        </w:rPr>
        <w:t>33</w:t>
      </w:r>
      <w:r>
        <w:rPr>
          <w:snapToGrid w:val="0"/>
        </w:rPr>
        <w:t>.</w:t>
      </w:r>
      <w:r>
        <w:rPr>
          <w:snapToGrid w:val="0"/>
        </w:rPr>
        <w:tab/>
        <w:t>Offences in relation to removal of tissue</w:t>
      </w:r>
      <w:bookmarkEnd w:id="453"/>
      <w:bookmarkEnd w:id="454"/>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 </w:t>
      </w:r>
    </w:p>
    <w:p>
      <w:pPr>
        <w:pStyle w:val="Indenta"/>
        <w:rPr>
          <w:snapToGrid w:val="0"/>
        </w:rPr>
      </w:pPr>
      <w:r>
        <w:rPr>
          <w:snapToGrid w:val="0"/>
        </w:rPr>
        <w:tab/>
        <w:t>(a)</w:t>
      </w:r>
      <w:r>
        <w:rPr>
          <w:snapToGrid w:val="0"/>
        </w:rPr>
        <w:tab/>
        <w:t xml:space="preserve">remove tissue other than blood from the body of a living person for use for a purpose specified in sections 8, 9 or 13 except in pursuance of a consent or authority that is under </w:t>
      </w:r>
      <w:r>
        <w:t xml:space="preserve">Part 2 Division 4 </w:t>
      </w:r>
      <w:r>
        <w:rPr>
          <w:snapToGrid w:val="0"/>
        </w:rPr>
        <w:t>sufficient authority for the person to remove the tissue for use for that purpose; or</w:t>
      </w:r>
    </w:p>
    <w:p>
      <w:pPr>
        <w:pStyle w:val="Indenta"/>
        <w:rPr>
          <w:snapToGrid w:val="0"/>
        </w:rPr>
      </w:pPr>
      <w:r>
        <w:rPr>
          <w:snapToGrid w:val="0"/>
        </w:rPr>
        <w:tab/>
        <w:t>(b)</w:t>
      </w:r>
      <w:r>
        <w:rPr>
          <w:snapToGrid w:val="0"/>
        </w:rPr>
        <w:tab/>
        <w:t xml:space="preserve">remove blood from the body of a living person for transfusion or a use specified in </w:t>
      </w:r>
      <w:r>
        <w:t xml:space="preserve">section 18(2) </w:t>
      </w:r>
      <w:r>
        <w:rPr>
          <w:snapToGrid w:val="0"/>
        </w:rPr>
        <w:t xml:space="preserve">except in pursuance of a consent that is under </w:t>
      </w:r>
      <w:r>
        <w:t xml:space="preserve">Part 2 Division 5 </w:t>
      </w:r>
      <w:r>
        <w:rPr>
          <w:snapToGrid w:val="0"/>
        </w:rPr>
        <w:t>sufficient authority for the removal of the blood; or</w:t>
      </w:r>
    </w:p>
    <w:p>
      <w:pPr>
        <w:pStyle w:val="Indenta"/>
        <w:rPr>
          <w:snapToGrid w:val="0"/>
        </w:rPr>
      </w:pPr>
      <w:r>
        <w:rPr>
          <w:snapToGrid w:val="0"/>
        </w:rPr>
        <w:tab/>
        <w:t>(c)</w:t>
      </w:r>
      <w:r>
        <w:rPr>
          <w:snapToGrid w:val="0"/>
        </w:rPr>
        <w:tab/>
        <w:t xml:space="preserve">remove tissue from the body of a deceased person for a purpose or use referred to in section 22(1) except in pursuance of an authority that is under </w:t>
      </w:r>
      <w:r>
        <w:t xml:space="preserve">Part 3 </w:t>
      </w:r>
      <w:r>
        <w:rPr>
          <w:snapToGrid w:val="0"/>
        </w:rPr>
        <w:t>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 xml:space="preserve">mortem examination is made in pursuance of an authority that is under </w:t>
      </w:r>
      <w:r>
        <w:t xml:space="preserve">Part 4 </w:t>
      </w:r>
      <w:r>
        <w:rPr>
          <w:snapToGrid w:val="0"/>
        </w:rPr>
        <w:t>sufficient authority for the person to conduct the post</w:t>
      </w:r>
      <w:r>
        <w:rPr>
          <w:snapToGrid w:val="0"/>
        </w:rPr>
        <w:noBreakHyphen/>
        <w:t>mortem examination; or</w:t>
      </w:r>
    </w:p>
    <w:p>
      <w:pPr>
        <w:pStyle w:val="Indenta"/>
        <w:keepNext/>
        <w:rPr>
          <w:snapToGrid w:val="0"/>
        </w:rPr>
      </w:pPr>
      <w:r>
        <w:rPr>
          <w:snapToGrid w:val="0"/>
        </w:rPr>
        <w:tab/>
        <w:t>(e)</w:t>
      </w:r>
      <w:r>
        <w:rPr>
          <w:snapToGrid w:val="0"/>
        </w:rPr>
        <w:tab/>
      </w:r>
      <w:r>
        <w:t>except as authorised under Part 4, in conducting</w:t>
      </w:r>
      <w:r>
        <w:rPr>
          <w:snapToGrid w:val="0"/>
        </w:rPr>
        <w:t xml:space="preserve">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 xml:space="preserve">A designated officer for a hospital or a person to whom a designated officer has lawfully delegated any of </w:t>
      </w:r>
      <w:r>
        <w:t>the designated officer’s</w:t>
      </w:r>
      <w:r>
        <w:rPr>
          <w:snapToGrid w:val="0"/>
        </w:rPr>
        <w:t xml:space="preserve">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(3)</w:t>
      </w:r>
      <w:r>
        <w:rPr>
          <w:snapToGrid w:val="0"/>
        </w:rPr>
        <w:tab/>
        <w:t xml:space="preserve">Nothing in subsection (1) applies to or in relation </w:t>
      </w:r>
      <w:r>
        <w:t xml:space="preserve">to the following — </w:t>
      </w:r>
    </w:p>
    <w:p>
      <w:pPr>
        <w:pStyle w:val="Indenta"/>
        <w:rPr>
          <w:snapToGrid w:val="0"/>
        </w:rPr>
      </w:pPr>
      <w:r>
        <w:rPr>
          <w:snapToGrid w:val="0"/>
        </w:rPr>
        <w:tab/>
        <w:t>(a)</w:t>
      </w:r>
      <w:r>
        <w:rPr>
          <w:snapToGrid w:val="0"/>
        </w:rPr>
        <w:tab/>
        <w:t xml:space="preserve">any act for which a person is not, by reason of section 31, criminally liable; </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xml:space="preserve">; </w:t>
      </w:r>
    </w:p>
    <w:p>
      <w:pPr>
        <w:pStyle w:val="Indenta"/>
      </w:pPr>
      <w:r>
        <w:tab/>
        <w:t>(ba)</w:t>
      </w:r>
      <w:r>
        <w:tab/>
        <w:t xml:space="preserve">anything done under the </w:t>
      </w:r>
      <w:r>
        <w:rPr>
          <w:i/>
        </w:rPr>
        <w:t>Anatomy Act 1930</w:t>
      </w:r>
      <w:r>
        <w:t>;</w:t>
      </w:r>
    </w:p>
    <w:p>
      <w:pPr>
        <w:pStyle w:val="Indenta"/>
        <w:rPr>
          <w:snapToGrid w:val="0"/>
        </w:rPr>
      </w:pPr>
      <w:r>
        <w:rPr>
          <w:snapToGrid w:val="0"/>
        </w:rPr>
        <w:tab/>
        <w:t>(c)</w:t>
      </w:r>
      <w:r>
        <w:rPr>
          <w:snapToGrid w:val="0"/>
        </w:rPr>
        <w:tab/>
        <w:t>any other act authorised by law.</w:t>
      </w:r>
    </w:p>
    <w:p>
      <w:pPr>
        <w:pStyle w:val="Footnotesection"/>
      </w:pPr>
      <w:r>
        <w:tab/>
        <w:t>[Section 33 amended: No. 2 of 1996 s. 61; No. 41 of 2022 s. 26, 28 and 29.]</w:t>
      </w:r>
    </w:p>
    <w:p>
      <w:pPr>
        <w:pStyle w:val="Heading5"/>
        <w:rPr>
          <w:snapToGrid w:val="0"/>
        </w:rPr>
      </w:pPr>
      <w:bookmarkStart w:id="455" w:name="_Toc158113314"/>
      <w:bookmarkStart w:id="456" w:name="_Toc158110832"/>
      <w:r>
        <w:rPr>
          <w:rStyle w:val="CharSectno"/>
        </w:rPr>
        <w:t>34</w:t>
      </w:r>
      <w:r>
        <w:rPr>
          <w:snapToGrid w:val="0"/>
        </w:rPr>
        <w:t>.</w:t>
      </w:r>
      <w:r>
        <w:rPr>
          <w:snapToGrid w:val="0"/>
        </w:rPr>
        <w:tab/>
        <w:t>Disclosure of information</w:t>
      </w:r>
      <w:bookmarkEnd w:id="455"/>
      <w:bookmarkEnd w:id="456"/>
      <w:r>
        <w:rPr>
          <w:snapToGrid w:val="0"/>
        </w:rPr>
        <w:t xml:space="preserve"> </w:t>
      </w:r>
    </w:p>
    <w:p>
      <w:pPr>
        <w:pStyle w:val="Subsection"/>
        <w:keepNext/>
        <w:rPr>
          <w:snapToGrid w:val="0"/>
        </w:rPr>
      </w:pPr>
      <w:r>
        <w:rPr>
          <w:snapToGrid w:val="0"/>
        </w:rPr>
        <w:tab/>
        <w:t>(1)</w:t>
      </w:r>
      <w:r>
        <w:rPr>
          <w:snapToGrid w:val="0"/>
        </w:rPr>
        <w:tab/>
        <w:t xml:space="preserve">Subject to this section, a person </w:t>
      </w:r>
      <w:r>
        <w:t>must</w:t>
      </w:r>
      <w:r>
        <w:rPr>
          <w:snapToGrid w:val="0"/>
        </w:rPr>
        <w:t xml:space="preserve">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keepNext/>
        <w:rPr>
          <w:snapToGrid w:val="0"/>
        </w:rPr>
      </w:pPr>
      <w:r>
        <w:rPr>
          <w:snapToGrid w:val="0"/>
        </w:rPr>
        <w:tab/>
        <w:t>(c)</w:t>
      </w:r>
      <w:r>
        <w:rPr>
          <w:snapToGrid w:val="0"/>
        </w:rPr>
        <w:tab/>
        <w:t>into whose body tissue has been, is being, or may be, transplanted,</w:t>
      </w:r>
    </w:p>
    <w:p>
      <w:pPr>
        <w:pStyle w:val="Subsection"/>
        <w:keepNext/>
        <w:rPr>
          <w:snapToGrid w:val="0"/>
        </w:rPr>
      </w:pPr>
      <w:r>
        <w:rPr>
          <w:snapToGrid w:val="0"/>
        </w:rPr>
        <w:tab/>
      </w:r>
      <w:r>
        <w:rPr>
          <w:snapToGrid w:val="0"/>
        </w:rPr>
        <w:tab/>
        <w:t>may become publicly known.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Footnotesection"/>
      </w:pPr>
      <w:r>
        <w:tab/>
        <w:t>[Section 34 amended: No. 41 of 2022 s. 29.]</w:t>
      </w:r>
    </w:p>
    <w:p>
      <w:pPr>
        <w:pStyle w:val="Heading5"/>
        <w:rPr>
          <w:snapToGrid w:val="0"/>
        </w:rPr>
      </w:pPr>
      <w:bookmarkStart w:id="457" w:name="_Toc158113315"/>
      <w:bookmarkStart w:id="458" w:name="_Toc158110833"/>
      <w:r>
        <w:rPr>
          <w:rStyle w:val="CharSectno"/>
        </w:rPr>
        <w:t>35</w:t>
      </w:r>
      <w:r>
        <w:rPr>
          <w:snapToGrid w:val="0"/>
        </w:rPr>
        <w:t>.</w:t>
      </w:r>
      <w:r>
        <w:rPr>
          <w:snapToGrid w:val="0"/>
        </w:rPr>
        <w:tab/>
        <w:t>Regulations</w:t>
      </w:r>
      <w:bookmarkEnd w:id="457"/>
      <w:bookmarkEnd w:id="45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pStyle w:val="Heading5"/>
      </w:pPr>
      <w:bookmarkStart w:id="459" w:name="_Toc158113316"/>
      <w:bookmarkStart w:id="460" w:name="_Toc158110834"/>
      <w:r>
        <w:rPr>
          <w:rStyle w:val="CharSectno"/>
        </w:rPr>
        <w:t>37</w:t>
      </w:r>
      <w:r>
        <w:t>.</w:t>
      </w:r>
      <w:r>
        <w:tab/>
        <w:t>Regulations may adopt codes or legislation</w:t>
      </w:r>
      <w:bookmarkEnd w:id="459"/>
      <w:bookmarkEnd w:id="460"/>
    </w:p>
    <w:p>
      <w:pPr>
        <w:pStyle w:val="Subsection"/>
        <w:keepNext/>
      </w:pPr>
      <w:r>
        <w:tab/>
        <w:t>(1)</w:t>
      </w:r>
      <w:r>
        <w:tab/>
        <w:t xml:space="preserve">In this section — </w:t>
      </w:r>
    </w:p>
    <w:p>
      <w:pPr>
        <w:pStyle w:val="Defstart"/>
      </w:pPr>
      <w:r>
        <w:tab/>
      </w:r>
      <w:r>
        <w:rPr>
          <w:rStyle w:val="CharDefText"/>
        </w:rPr>
        <w:t>code</w:t>
      </w:r>
      <w:r>
        <w:t xml:space="preserve"> means a code, standard, rule, specification, administrative procedure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keepNext/>
      </w:pPr>
      <w:r>
        <w:tab/>
        <w:t>(4)</w:t>
      </w:r>
      <w:r>
        <w:tab/>
        <w:t xml:space="preserve">If the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Particulars of any code or subsidiary legislation adopted by reference must be published on, or accessible through, the website of the department principally assisting in the administration of this Act.</w:t>
      </w:r>
    </w:p>
    <w:p>
      <w:pPr>
        <w:pStyle w:val="Footnotesection"/>
      </w:pPr>
      <w:r>
        <w:tab/>
        <w:t>[Section 37 inserted: No. 41 of 2022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461" w:name="_Toc157777220"/>
      <w:bookmarkStart w:id="462" w:name="_Toc158033738"/>
      <w:bookmarkStart w:id="463" w:name="_Toc158113317"/>
      <w:bookmarkStart w:id="464" w:name="_Toc158106352"/>
      <w:bookmarkStart w:id="465" w:name="_Toc158106645"/>
      <w:bookmarkStart w:id="466" w:name="_Toc158110835"/>
      <w:r>
        <w:t>Notes</w:t>
      </w:r>
      <w:bookmarkEnd w:id="461"/>
      <w:bookmarkEnd w:id="462"/>
      <w:bookmarkEnd w:id="463"/>
      <w:bookmarkEnd w:id="464"/>
      <w:bookmarkEnd w:id="465"/>
      <w:bookmarkEnd w:id="466"/>
    </w:p>
    <w:p>
      <w:pPr>
        <w:pStyle w:val="nStatement"/>
      </w:pPr>
      <w:r>
        <w:t xml:space="preserve">This is a compilation of the </w:t>
      </w:r>
      <w:r>
        <w:rPr>
          <w:i/>
          <w:noProof/>
        </w:rPr>
        <w:t>Human Tissue and Transplant Act 1982</w:t>
      </w:r>
      <w:r>
        <w:t xml:space="preserve"> and includes amendments made by other written laws. For provisions that have come into operation, and for information about any reprints, see the compilation table. </w:t>
      </w:r>
      <w:del w:id="467" w:author="Master Repository Process" w:date="2025-06-17T13:52:00Z">
        <w:r>
          <w:delText>For provisions that have not yet come into operation see the uncommenced provisions table.</w:delText>
        </w:r>
      </w:del>
    </w:p>
    <w:p>
      <w:pPr>
        <w:pStyle w:val="nHeading3"/>
      </w:pPr>
      <w:bookmarkStart w:id="468" w:name="_Toc158113318"/>
      <w:bookmarkStart w:id="469" w:name="_Toc158110836"/>
      <w:r>
        <w:t>Compilation table</w:t>
      </w:r>
      <w:bookmarkEnd w:id="468"/>
      <w:bookmarkEnd w:id="46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tcBorders>
              <w:top w:val="single" w:sz="8" w:space="0" w:color="auto"/>
            </w:tcBorders>
          </w:tcPr>
          <w:p>
            <w:pPr>
              <w:pStyle w:val="nTable"/>
              <w:spacing w:after="40"/>
            </w:pPr>
            <w:r>
              <w:t>1 Mar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2" w:type="dxa"/>
          </w:tcPr>
          <w:p>
            <w:pPr>
              <w:pStyle w:val="nTable"/>
              <w:spacing w:after="40"/>
            </w:pPr>
            <w:r>
              <w:t>29 May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2" w:type="dxa"/>
          </w:tcPr>
          <w:p>
            <w:pPr>
              <w:pStyle w:val="nTable"/>
              <w:spacing w:after="40"/>
            </w:pPr>
            <w:r>
              <w:t>24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2" w:type="dxa"/>
          </w:tcPr>
          <w:p>
            <w:pPr>
              <w:pStyle w:val="nTable"/>
              <w:spacing w:after="40"/>
            </w:pPr>
            <w:r>
              <w:t xml:space="preserve">1 Dec 2004 (see s. 2 and </w:t>
            </w:r>
            <w:r>
              <w:rPr>
                <w:i/>
                <w:iCs/>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2" w:type="dxa"/>
          </w:tcPr>
          <w:p>
            <w:pPr>
              <w:pStyle w:val="nTable"/>
              <w:spacing w:after="40"/>
            </w:pPr>
            <w:r>
              <w:t>11 May 2006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rPr>
          <w:cantSplit/>
        </w:trPr>
        <w:tc>
          <w:tcPr>
            <w:tcW w:w="2268"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r>
        <w:trPr>
          <w:cantSplit/>
        </w:trPr>
        <w:tc>
          <w:tcPr>
            <w:tcW w:w="2268" w:type="dxa"/>
            <w:tcBorders>
              <w:top w:val="nil"/>
              <w:bottom w:val="single" w:sz="8" w:space="0" w:color="auto"/>
            </w:tcBorders>
            <w:shd w:val="clear" w:color="auto" w:fill="auto"/>
          </w:tcPr>
          <w:p>
            <w:pPr>
              <w:pStyle w:val="nTable"/>
              <w:spacing w:after="40"/>
              <w:rPr>
                <w:b/>
                <w:snapToGrid w:val="0"/>
              </w:rPr>
            </w:pPr>
            <w:r>
              <w:rPr>
                <w:i/>
              </w:rPr>
              <w:t>Human Tissue and Transplant Amendment Act 2022</w:t>
            </w:r>
            <w:r>
              <w:t xml:space="preserve"> </w:t>
            </w:r>
            <w:del w:id="470" w:author="Master Repository Process" w:date="2025-06-17T13:52:00Z">
              <w:r>
                <w:delText>Pt. 2 Div. 1 and 2</w:delText>
              </w:r>
            </w:del>
          </w:p>
        </w:tc>
        <w:tc>
          <w:tcPr>
            <w:tcW w:w="1134" w:type="dxa"/>
            <w:tcBorders>
              <w:top w:val="nil"/>
              <w:bottom w:val="single" w:sz="8" w:space="0" w:color="auto"/>
            </w:tcBorders>
            <w:shd w:val="clear" w:color="auto" w:fill="auto"/>
          </w:tcPr>
          <w:p>
            <w:pPr>
              <w:pStyle w:val="nTable"/>
              <w:spacing w:after="40"/>
              <w:rPr>
                <w:b/>
                <w:snapToGrid w:val="0"/>
              </w:rPr>
            </w:pPr>
            <w:r>
              <w:t>41 of 2022</w:t>
            </w:r>
          </w:p>
        </w:tc>
        <w:tc>
          <w:tcPr>
            <w:tcW w:w="1134" w:type="dxa"/>
            <w:tcBorders>
              <w:top w:val="nil"/>
              <w:bottom w:val="single" w:sz="8" w:space="0" w:color="auto"/>
            </w:tcBorders>
            <w:shd w:val="clear" w:color="auto" w:fill="auto"/>
          </w:tcPr>
          <w:p>
            <w:pPr>
              <w:pStyle w:val="nTable"/>
              <w:spacing w:after="40"/>
              <w:rPr>
                <w:b/>
                <w:snapToGrid w:val="0"/>
              </w:rPr>
            </w:pPr>
            <w:r>
              <w:t>21 Nov 2022</w:t>
            </w:r>
          </w:p>
        </w:tc>
        <w:tc>
          <w:tcPr>
            <w:tcW w:w="2552" w:type="dxa"/>
            <w:tcBorders>
              <w:top w:val="nil"/>
              <w:bottom w:val="single" w:sz="8" w:space="0" w:color="auto"/>
            </w:tcBorders>
            <w:shd w:val="clear" w:color="auto" w:fill="auto"/>
          </w:tcPr>
          <w:p>
            <w:pPr>
              <w:pStyle w:val="nTable"/>
              <w:spacing w:after="40"/>
              <w:rPr>
                <w:snapToGrid w:val="0"/>
              </w:rPr>
            </w:pPr>
            <w:ins w:id="471" w:author="Master Repository Process" w:date="2025-06-17T13:52:00Z">
              <w:r>
                <w:t xml:space="preserve">Pt. 2 Div. 1 and 2: </w:t>
              </w:r>
            </w:ins>
            <w:r>
              <w:rPr>
                <w:snapToGrid w:val="0"/>
              </w:rPr>
              <w:t>22 Nov 2022 (see s. 2(b</w:t>
            </w:r>
            <w:del w:id="472" w:author="Master Repository Process" w:date="2025-06-17T13:52:00Z">
              <w:r>
                <w:rPr>
                  <w:snapToGrid w:val="0"/>
                </w:rPr>
                <w:delText>))</w:delText>
              </w:r>
            </w:del>
            <w:ins w:id="473" w:author="Master Repository Process" w:date="2025-06-17T13:52:00Z">
              <w:r>
                <w:rPr>
                  <w:snapToGrid w:val="0"/>
                </w:rPr>
                <w:t>));</w:t>
              </w:r>
              <w:r>
                <w:rPr>
                  <w:snapToGrid w:val="0"/>
                </w:rPr>
                <w:br/>
                <w:t>Pt. 2 Div. 3: 19 Feb 2024 (see s. 2(c) and SL 2024/11 cl. 2)</w:t>
              </w:r>
            </w:ins>
          </w:p>
        </w:tc>
      </w:tr>
    </w:tbl>
    <w:p>
      <w:pPr>
        <w:pStyle w:val="nHeading3"/>
        <w:rPr>
          <w:del w:id="474" w:author="Master Repository Process" w:date="2025-06-17T13:52:00Z"/>
        </w:rPr>
      </w:pPr>
      <w:bookmarkStart w:id="475" w:name="_Toc158110837"/>
      <w:del w:id="476" w:author="Master Repository Process" w:date="2025-06-17T13:52:00Z">
        <w:r>
          <w:delText>Uncommenced provisions table</w:delText>
        </w:r>
        <w:bookmarkEnd w:id="475"/>
      </w:del>
    </w:p>
    <w:p>
      <w:pPr>
        <w:pStyle w:val="nStatement"/>
        <w:keepNext/>
        <w:spacing w:after="240"/>
        <w:rPr>
          <w:del w:id="477" w:author="Master Repository Process" w:date="2025-06-17T13:52:00Z"/>
        </w:rPr>
      </w:pPr>
      <w:del w:id="478" w:author="Master Repository Process" w:date="2025-06-17T13:5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79" w:author="Master Repository Process" w:date="2025-06-17T13:52:00Z"/>
        </w:trPr>
        <w:tc>
          <w:tcPr>
            <w:tcW w:w="2268" w:type="dxa"/>
          </w:tcPr>
          <w:p>
            <w:pPr>
              <w:pStyle w:val="nTable"/>
              <w:spacing w:after="40"/>
              <w:rPr>
                <w:del w:id="480" w:author="Master Repository Process" w:date="2025-06-17T13:52:00Z"/>
                <w:b/>
              </w:rPr>
            </w:pPr>
            <w:del w:id="481" w:author="Master Repository Process" w:date="2025-06-17T13:52:00Z">
              <w:r>
                <w:rPr>
                  <w:b/>
                </w:rPr>
                <w:delText>Short title</w:delText>
              </w:r>
            </w:del>
          </w:p>
        </w:tc>
        <w:tc>
          <w:tcPr>
            <w:tcW w:w="1134" w:type="dxa"/>
          </w:tcPr>
          <w:p>
            <w:pPr>
              <w:pStyle w:val="nTable"/>
              <w:spacing w:after="40"/>
              <w:rPr>
                <w:del w:id="482" w:author="Master Repository Process" w:date="2025-06-17T13:52:00Z"/>
                <w:b/>
              </w:rPr>
            </w:pPr>
            <w:del w:id="483" w:author="Master Repository Process" w:date="2025-06-17T13:52:00Z">
              <w:r>
                <w:rPr>
                  <w:b/>
                </w:rPr>
                <w:delText>Number and year</w:delText>
              </w:r>
            </w:del>
          </w:p>
        </w:tc>
        <w:tc>
          <w:tcPr>
            <w:tcW w:w="1134" w:type="dxa"/>
          </w:tcPr>
          <w:p>
            <w:pPr>
              <w:pStyle w:val="nTable"/>
              <w:spacing w:after="40"/>
              <w:rPr>
                <w:del w:id="484" w:author="Master Repository Process" w:date="2025-06-17T13:52:00Z"/>
                <w:b/>
              </w:rPr>
            </w:pPr>
            <w:del w:id="485" w:author="Master Repository Process" w:date="2025-06-17T13:52:00Z">
              <w:r>
                <w:rPr>
                  <w:b/>
                </w:rPr>
                <w:delText>Assent</w:delText>
              </w:r>
            </w:del>
          </w:p>
        </w:tc>
        <w:tc>
          <w:tcPr>
            <w:tcW w:w="2552" w:type="dxa"/>
          </w:tcPr>
          <w:p>
            <w:pPr>
              <w:pStyle w:val="nTable"/>
              <w:spacing w:after="40"/>
              <w:rPr>
                <w:del w:id="486" w:author="Master Repository Process" w:date="2025-06-17T13:52:00Z"/>
                <w:b/>
              </w:rPr>
            </w:pPr>
            <w:del w:id="487" w:author="Master Repository Process" w:date="2025-06-17T13:52:00Z">
              <w:r>
                <w:rPr>
                  <w:b/>
                </w:rPr>
                <w:delText>Commencement</w:delText>
              </w:r>
            </w:del>
          </w:p>
        </w:tc>
      </w:tr>
      <w:tr>
        <w:trPr>
          <w:del w:id="488" w:author="Master Repository Process" w:date="2025-06-17T13:52:00Z"/>
        </w:trPr>
        <w:tc>
          <w:tcPr>
            <w:tcW w:w="2268" w:type="dxa"/>
          </w:tcPr>
          <w:p>
            <w:pPr>
              <w:pStyle w:val="nTable"/>
              <w:spacing w:after="40"/>
              <w:rPr>
                <w:del w:id="489" w:author="Master Repository Process" w:date="2025-06-17T13:52:00Z"/>
              </w:rPr>
            </w:pPr>
            <w:del w:id="490" w:author="Master Repository Process" w:date="2025-06-17T13:52:00Z">
              <w:r>
                <w:rPr>
                  <w:i/>
                </w:rPr>
                <w:delText>Human Tissue and Transplant Amendment Act 2022</w:delText>
              </w:r>
              <w:r>
                <w:delText xml:space="preserve"> Pt. 2 Div. 3</w:delText>
              </w:r>
            </w:del>
          </w:p>
        </w:tc>
        <w:tc>
          <w:tcPr>
            <w:tcW w:w="1134" w:type="dxa"/>
          </w:tcPr>
          <w:p>
            <w:pPr>
              <w:pStyle w:val="nTable"/>
              <w:spacing w:after="40"/>
              <w:rPr>
                <w:del w:id="491" w:author="Master Repository Process" w:date="2025-06-17T13:52:00Z"/>
              </w:rPr>
            </w:pPr>
            <w:del w:id="492" w:author="Master Repository Process" w:date="2025-06-17T13:52:00Z">
              <w:r>
                <w:delText>41 of 2022</w:delText>
              </w:r>
            </w:del>
          </w:p>
        </w:tc>
        <w:tc>
          <w:tcPr>
            <w:tcW w:w="1134" w:type="dxa"/>
          </w:tcPr>
          <w:p>
            <w:pPr>
              <w:pStyle w:val="nTable"/>
              <w:spacing w:after="40"/>
              <w:rPr>
                <w:del w:id="493" w:author="Master Repository Process" w:date="2025-06-17T13:52:00Z"/>
              </w:rPr>
            </w:pPr>
            <w:del w:id="494" w:author="Master Repository Process" w:date="2025-06-17T13:52:00Z">
              <w:r>
                <w:delText>21 Nov 2022</w:delText>
              </w:r>
            </w:del>
          </w:p>
        </w:tc>
        <w:tc>
          <w:tcPr>
            <w:tcW w:w="2552" w:type="dxa"/>
          </w:tcPr>
          <w:p>
            <w:pPr>
              <w:pStyle w:val="nTable"/>
              <w:spacing w:after="40"/>
              <w:rPr>
                <w:del w:id="495" w:author="Master Repository Process" w:date="2025-06-17T13:52:00Z"/>
              </w:rPr>
            </w:pPr>
            <w:del w:id="496" w:author="Master Repository Process" w:date="2025-06-17T13:52:00Z">
              <w:r>
                <w:delText>19 Feb 2024 (see s. 2(c) and SL 2024/11 cl. 2)</w:delText>
              </w:r>
            </w:del>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8" w:author="Master Repository Process" w:date="2025-06-17T13:52:00Z">
                              <w:r>
                                <w:rPr>
                                  <w:sz w:val="16"/>
                                </w:rPr>
                                <w:delText>2022</w:delText>
                              </w:r>
                            </w:del>
                            <w:ins w:id="499" w:author="Master Repository Process" w:date="2025-06-17T13:5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0" w:author="Master Repository Process" w:date="2025-06-17T13:52:00Z">
                              <w:r>
                                <w:rPr>
                                  <w:sz w:val="16"/>
                                </w:rPr>
                                <w:delText>2022</w:delText>
                              </w:r>
                            </w:del>
                            <w:ins w:id="501" w:author="Master Repository Process" w:date="2025-06-17T13:5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2" w:author="Master Repository Process" w:date="2025-06-17T13:52:00Z">
                        <w:r>
                          <w:rPr>
                            <w:sz w:val="16"/>
                          </w:rPr>
                          <w:delText>2022</w:delText>
                        </w:r>
                      </w:del>
                      <w:ins w:id="503" w:author="Master Repository Process" w:date="2025-06-17T13:5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4" w:author="Master Repository Process" w:date="2025-06-17T13:52:00Z">
                        <w:r>
                          <w:rPr>
                            <w:sz w:val="16"/>
                          </w:rPr>
                          <w:delText>2022</w:delText>
                        </w:r>
                      </w:del>
                      <w:ins w:id="505" w:author="Master Repository Process" w:date="2025-06-17T13:5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7" w:name="Compilation"/>
    <w:bookmarkEnd w:id="4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6" w:name="Coversheet"/>
    <w:bookmarkEnd w:id="5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9A0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C4F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8E95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F8F0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20A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651B0B"/>
    <w:multiLevelType w:val="hybridMultilevel"/>
    <w:tmpl w:val="277C1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02143617"/>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 w:name="WAFER_2022111812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706_GUID" w:val="361d0863-732d-4312-ade8-16c4679bb9b9"/>
    <w:docVar w:name="WAFER_2024020214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02143617_GUID" w:val="45f81adc-796a-486d-b98c-57ce1c9a0c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11373</Words>
  <Characters>53344</Characters>
  <Application>Microsoft Office Word</Application>
  <DocSecurity>0</DocSecurity>
  <Lines>1441</Lines>
  <Paragraphs>743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03-b0-01 - 03-c0-00</dc:title>
  <dc:subject/>
  <dc:creator/>
  <cp:keywords/>
  <dc:description/>
  <cp:lastModifiedBy>Master Repository Process</cp:lastModifiedBy>
  <cp:revision>2</cp:revision>
  <cp:lastPrinted>2017-05-29T05:55:00Z</cp:lastPrinted>
  <dcterms:created xsi:type="dcterms:W3CDTF">2025-06-17T05:52:00Z</dcterms:created>
  <dcterms:modified xsi:type="dcterms:W3CDTF">2025-06-17T05:52:00Z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CommencementDate">
    <vt:lpwstr>20240219</vt:lpwstr>
  </property>
  <property fmtid="{D5CDD505-2E9C-101B-9397-08002B2CF9AE}" pid="8" name="CommencementAsAt">
    <vt:filetime>2024-02-18T16:00:00Z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03-b0-01</vt:lpwstr>
  </property>
  <property fmtid="{D5CDD505-2E9C-101B-9397-08002B2CF9AE}" pid="12" name="FromAsAtDate">
    <vt:lpwstr>22 Nov 2022</vt:lpwstr>
  </property>
  <property fmtid="{D5CDD505-2E9C-101B-9397-08002B2CF9AE}" pid="13" name="ToSuffix">
    <vt:lpwstr>03-c0-00</vt:lpwstr>
  </property>
  <property fmtid="{D5CDD505-2E9C-101B-9397-08002B2CF9AE}" pid="14" name="ToAsAtDate">
    <vt:lpwstr>19 Feb 2024</vt:lpwstr>
  </property>
</Properties>
</file>