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(Yakanarra Restricted Area) Regulations 2010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Apr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(Yakanarra Restricted Area) Regulations 2010</w:t>
      </w:r>
    </w:p>
    <w:p>
      <w:pPr>
        <w:pStyle w:val="Heading5"/>
      </w:pPr>
      <w:bookmarkStart w:id="1" w:name="_Toc158990489"/>
      <w:bookmarkStart w:id="2" w:name="_Toc6876798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(Yakanarra Restricted Area) Regulations 2010</w:t>
      </w:r>
      <w:r>
        <w:t>.</w:t>
      </w:r>
    </w:p>
    <w:p>
      <w:pPr>
        <w:pStyle w:val="Heading5"/>
        <w:rPr>
          <w:spacing w:val="-2"/>
        </w:rPr>
      </w:pPr>
      <w:bookmarkStart w:id="4" w:name="_Toc158990490"/>
      <w:bookmarkStart w:id="5" w:name="_Toc687679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6" w:name="_Toc158990491"/>
      <w:bookmarkStart w:id="7" w:name="_Toc68767984"/>
      <w:r>
        <w:rPr>
          <w:rStyle w:val="CharSectno"/>
        </w:rPr>
        <w:t>3</w:t>
      </w:r>
      <w:r>
        <w:t>.</w:t>
      </w:r>
      <w:r>
        <w:tab/>
        <w:t>Term used: Yakanarra Aboriginal Community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Yakanarra Aboriginal Community</w:t>
      </w:r>
      <w:r>
        <w:t xml:space="preserve"> means the area of the land the subject of —</w:t>
      </w:r>
    </w:p>
    <w:p>
      <w:pPr>
        <w:pStyle w:val="Defpara"/>
      </w:pPr>
      <w:r>
        <w:tab/>
        <w:t>(a)</w:t>
      </w:r>
      <w:r>
        <w:tab/>
        <w:t>Record of Qualified Certificate of Crown Land Title Volume LR3028 Folio 178; and</w:t>
      </w:r>
    </w:p>
    <w:p>
      <w:pPr>
        <w:pStyle w:val="Defpara"/>
      </w:pPr>
      <w:r>
        <w:tab/>
        <w:t>(b)</w:t>
      </w:r>
      <w:r>
        <w:tab/>
        <w:t>Record of Certificate of Crown Land Title Volume LR3157 Folio 227.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2021/41 r. 4.]</w:t>
      </w:r>
    </w:p>
    <w:p>
      <w:pPr>
        <w:pStyle w:val="Heading5"/>
      </w:pPr>
      <w:bookmarkStart w:id="8" w:name="_Toc158990492"/>
      <w:bookmarkStart w:id="9" w:name="_Toc68767985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8"/>
      <w:bookmarkEnd w:id="9"/>
    </w:p>
    <w:p>
      <w:pPr>
        <w:pStyle w:val="Subsection"/>
      </w:pPr>
      <w:r>
        <w:tab/>
      </w:r>
      <w:r>
        <w:tab/>
        <w:t>The Yakanarra Aboriginal Community is declared to be a restricted area for the purposes of section 175(1a) of the Act.</w:t>
      </w:r>
    </w:p>
    <w:p>
      <w:pPr>
        <w:pStyle w:val="Heading5"/>
      </w:pPr>
      <w:bookmarkStart w:id="10" w:name="_Toc158990493"/>
      <w:bookmarkStart w:id="11" w:name="_Toc68767986"/>
      <w:r>
        <w:rPr>
          <w:rStyle w:val="CharSectno"/>
        </w:rPr>
        <w:lastRenderedPageBreak/>
        <w:t>6</w:t>
      </w:r>
      <w:r>
        <w:t>.</w:t>
      </w:r>
      <w:r>
        <w:tab/>
        <w:t>Notice of restricted area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Director of Liquor Licensing must take all reasonable steps to cause to be posted, and while the Yakanarra Aboriginal Community continues to be a restricted area by operation of regulation 5 to be kept posted, at each place where a customary access route enters the Yakanarra Aboriginal Community a notice — </w:t>
      </w:r>
    </w:p>
    <w:p>
      <w:pPr>
        <w:pStyle w:val="Indenta"/>
      </w:pPr>
      <w:r>
        <w:tab/>
        <w:t>(a)</w:t>
      </w:r>
      <w:r>
        <w:tab/>
        <w:t>describing the offences set out in regulation 7; and</w:t>
      </w:r>
    </w:p>
    <w:p>
      <w:pPr>
        <w:pStyle w:val="Indenta"/>
      </w:pPr>
      <w:r>
        <w:tab/>
        <w:t>(b)</w:t>
      </w:r>
      <w:r>
        <w:tab/>
        <w:t>specifying the penalties for those offences.</w:t>
      </w:r>
    </w:p>
    <w:p>
      <w:pPr>
        <w:pStyle w:val="Subsection"/>
      </w:pPr>
      <w:r>
        <w:tab/>
        <w:t>(2)</w:t>
      </w:r>
      <w:r>
        <w:tab/>
        <w:t>A failure to comply with subregulation (1) does not invalidate the declaration in regulation 5.</w:t>
      </w:r>
    </w:p>
    <w:p>
      <w:pPr>
        <w:pStyle w:val="Heading5"/>
      </w:pPr>
      <w:bookmarkStart w:id="12" w:name="_Toc158990494"/>
      <w:bookmarkStart w:id="13" w:name="_Toc68767987"/>
      <w:r>
        <w:rPr>
          <w:rStyle w:val="CharSectno"/>
        </w:rPr>
        <w:t>7</w:t>
      </w:r>
      <w:r>
        <w:t>.</w:t>
      </w:r>
      <w:r>
        <w:tab/>
        <w:t>Prohibitions as to liquor in Yakanarra Aboriginal Community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A person who — </w:t>
      </w:r>
    </w:p>
    <w:p>
      <w:pPr>
        <w:pStyle w:val="Indenta"/>
      </w:pPr>
      <w:r>
        <w:tab/>
        <w:t>(a)</w:t>
      </w:r>
      <w:r>
        <w:tab/>
        <w:t>brings liquor into, or causes liquor to be brought into, the Yakanarra Aboriginal Community; or</w:t>
      </w:r>
    </w:p>
    <w:p>
      <w:pPr>
        <w:pStyle w:val="Indenta"/>
      </w:pPr>
      <w:r>
        <w:tab/>
        <w:t>(b)</w:t>
      </w:r>
      <w:r>
        <w:tab/>
        <w:t>has liquor in his or her possession in the Yakanarra Aboriginal Community,</w:t>
      </w:r>
    </w:p>
    <w:p>
      <w:pPr>
        <w:pStyle w:val="Subsection"/>
      </w:pPr>
      <w:r>
        <w:tab/>
      </w:r>
      <w:r>
        <w:tab/>
        <w:t>commits an offence.</w:t>
      </w:r>
    </w:p>
    <w:p>
      <w:pPr>
        <w:pStyle w:val="Penstart"/>
      </w:pPr>
      <w:r>
        <w:tab/>
        <w:t xml:space="preserve">Penalty: </w:t>
      </w:r>
    </w:p>
    <w:p>
      <w:pPr>
        <w:pStyle w:val="Penpara"/>
      </w:pPr>
      <w:r>
        <w:tab/>
        <w:t>(a)</w:t>
      </w:r>
      <w:r>
        <w:tab/>
        <w:t>if subregulation (2) applies — a fine of $5 000;</w:t>
      </w:r>
    </w:p>
    <w:p>
      <w:pPr>
        <w:pStyle w:val="Penpara"/>
      </w:pPr>
      <w:r>
        <w:tab/>
        <w:t>(b)</w:t>
      </w:r>
      <w:r>
        <w:tab/>
        <w:t>in any other case — a fine of $2 000.</w:t>
      </w:r>
    </w:p>
    <w:p>
      <w:pPr>
        <w:pStyle w:val="Subsection"/>
      </w:pPr>
      <w:r>
        <w:tab/>
        <w:t>(2)</w:t>
      </w:r>
      <w:r>
        <w:tab/>
        <w:t>This subregulation applies to an offence under subregulation (1) committed by a licensee, a manager of licensed premises or a director of a body corporate that holds a licence.</w:t>
      </w:r>
    </w:p>
    <w:p>
      <w:pPr>
        <w:pStyle w:val="Heading5"/>
      </w:pPr>
      <w:bookmarkStart w:id="14" w:name="_Toc158990495"/>
      <w:bookmarkStart w:id="15" w:name="_Toc68767988"/>
      <w:r>
        <w:rPr>
          <w:rStyle w:val="CharSectno"/>
        </w:rPr>
        <w:t>8</w:t>
      </w:r>
      <w:r>
        <w:t>.</w:t>
      </w:r>
      <w:r>
        <w:tab/>
        <w:t>Seizure and disposal of containers of liquor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Despite section 155(4) and (5) of the Act, a member of the Police Force may seize and, as soon as is practicable, dispose of any opened or unopened container of liquor suspected on </w:t>
      </w:r>
      <w:r>
        <w:lastRenderedPageBreak/>
        <w:t>reasonable grounds to be the subject of an offence under regulation 7.</w:t>
      </w:r>
    </w:p>
    <w:p>
      <w:pPr>
        <w:pStyle w:val="Heading5"/>
      </w:pPr>
      <w:bookmarkStart w:id="16" w:name="_Toc158990496"/>
      <w:bookmarkStart w:id="17" w:name="_Toc68767989"/>
      <w:r>
        <w:rPr>
          <w:rStyle w:val="CharSectno"/>
        </w:rPr>
        <w:t>9</w:t>
      </w:r>
      <w:r>
        <w:t>.</w:t>
      </w:r>
      <w:r>
        <w:tab/>
        <w:t>Period during which these regulations have effect</w:t>
      </w:r>
      <w:bookmarkEnd w:id="16"/>
      <w:bookmarkEnd w:id="17"/>
    </w:p>
    <w:p>
      <w:pPr>
        <w:pStyle w:val="Subsection"/>
      </w:pPr>
      <w:r>
        <w:tab/>
      </w:r>
      <w:r>
        <w:tab/>
        <w:t>Unless sooner repealed, these regulations have effect for the period that ends at the close of 30 April </w:t>
      </w:r>
      <w:del w:id="18" w:author="Master Repository Process" w:date="2025-06-17T14:52:00Z">
        <w:r>
          <w:delText>2024</w:delText>
        </w:r>
        <w:r>
          <w:rPr>
            <w:vertAlign w:val="superscript"/>
          </w:rPr>
          <w:delText> 1</w:delText>
        </w:r>
      </w:del>
      <w:ins w:id="19" w:author="Master Repository Process" w:date="2025-06-17T14:52:00Z">
        <w:r>
          <w:t>2034</w:t>
        </w:r>
      </w:ins>
      <w:r>
        <w:t>.</w:t>
      </w:r>
    </w:p>
    <w:p>
      <w:pPr>
        <w:pStyle w:val="Footnotesection"/>
      </w:pPr>
      <w:r>
        <w:tab/>
        <w:t>[Regulation 9 inserted: SL 2021/41 r. </w:t>
      </w:r>
      <w:del w:id="20" w:author="Master Repository Process" w:date="2025-06-17T14:52:00Z">
        <w:r>
          <w:delText>5</w:delText>
        </w:r>
      </w:del>
      <w:ins w:id="21" w:author="Master Repository Process" w:date="2025-06-17T14:52:00Z">
        <w:r>
          <w:t>5; amended: SL 2024/13 r. 8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  <w:rPr>
          <w:i w:val="0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158985376"/>
      <w:bookmarkStart w:id="23" w:name="_Toc158986841"/>
      <w:bookmarkStart w:id="24" w:name="_Toc158990497"/>
      <w:bookmarkStart w:id="25" w:name="_Toc68695990"/>
      <w:bookmarkStart w:id="26" w:name="_Toc68767990"/>
      <w:bookmarkStart w:id="27" w:name="_Toc68695226"/>
      <w:r>
        <w:t>Notes</w:t>
      </w:r>
      <w:bookmarkEnd w:id="22"/>
      <w:bookmarkEnd w:id="23"/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(Yakanarra Restricted Area) Regulations 2010</w:t>
      </w:r>
      <w:r>
        <w:rPr>
          <w:noProof/>
        </w:rPr>
        <w:t xml:space="preserve"> </w:t>
      </w:r>
      <w:r>
        <w:t>and includes amendments made by other written laws. For provisions that have come into operation see the compilation table.</w:t>
      </w:r>
    </w:p>
    <w:p>
      <w:pPr>
        <w:pStyle w:val="nHeading3"/>
      </w:pPr>
      <w:bookmarkStart w:id="28" w:name="_Toc158990498"/>
      <w:bookmarkStart w:id="29" w:name="_Toc68767991"/>
      <w:r>
        <w:t>Compilation table</w:t>
      </w:r>
      <w:bookmarkEnd w:id="28"/>
      <w:bookmarkEnd w:id="2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(Yakanarra Restricted Area) Regulations 2010</w:t>
            </w:r>
            <w:ins w:id="30" w:author="Master Repository Process" w:date="2025-06-17T14:52:00Z">
              <w:r>
                <w:rPr>
                  <w:iCs/>
                  <w:vertAlign w:val="superscript"/>
                </w:rPr>
                <w:t> 1</w:t>
              </w:r>
            </w:ins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1625-9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r. 1 and 2: 30 Apr 2010 (see r. 2(a));</w:t>
            </w:r>
            <w:r>
              <w:br/>
              <w:t>Regulations other than r. 1 and 2: 1 May 2010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 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Apr 2012 p. 1767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27 Apr 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 Mar 2015 p. 1046-7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24 Mar 2015 (see r. 2(a));</w:t>
            </w:r>
            <w:r>
              <w:rPr>
                <w:snapToGrid w:val="0"/>
                <w:spacing w:val="-2"/>
              </w:rPr>
              <w:br/>
              <w:t>Regulations other than r. 1 and 2: 25 Mar 2015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17 Apr 2018 p. 1305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Apr 2018 (see r. 2(a));</w:t>
            </w:r>
            <w:r>
              <w:rPr>
                <w:snapToGrid w:val="0"/>
                <w:spacing w:val="-2"/>
              </w:rPr>
              <w:br/>
              <w:t>Regulations other than r. 1 and 2: 18 Apr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 2021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2021/41 9 Apr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9 Apr 2021 (see r. 2(a));</w:t>
            </w:r>
            <w:r>
              <w:rPr>
                <w:snapToGrid w:val="0"/>
                <w:spacing w:val="-2"/>
              </w:rPr>
              <w:br/>
              <w:t>Regulations other than r. 1 and 2: 10 Apr 2021 (see r. 2(b))</w:t>
            </w:r>
          </w:p>
        </w:tc>
      </w:tr>
      <w:tr>
        <w:trPr>
          <w:ins w:id="31" w:author="Master Repository Process" w:date="2025-06-17T14:52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2" w:author="Master Repository Process" w:date="2025-06-17T14:52:00Z"/>
                <w:iCs/>
              </w:rPr>
            </w:pPr>
            <w:ins w:id="33" w:author="Master Repository Process" w:date="2025-06-17T14:52:00Z">
              <w:r>
                <w:rPr>
                  <w:i/>
                </w:rPr>
                <w:t xml:space="preserve">Racing and Gaming Regulations Amendment (Liquor Control) Regulations 2024 </w:t>
              </w:r>
              <w:r>
                <w:rPr>
                  <w:iCs/>
                </w:rPr>
                <w:t>Pt. 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5-06-17T14:52:00Z"/>
              </w:rPr>
            </w:pPr>
            <w:ins w:id="35" w:author="Master Repository Process" w:date="2025-06-17T14:52:00Z">
              <w:r>
                <w:t>SL 2024/13 21 Feb 2024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5-06-17T14:52:00Z"/>
                <w:snapToGrid w:val="0"/>
                <w:spacing w:val="-2"/>
              </w:rPr>
            </w:pPr>
            <w:ins w:id="37" w:author="Master Repository Process" w:date="2025-06-17T14:52:00Z">
              <w:r>
                <w:rPr>
                  <w:snapToGrid w:val="0"/>
                  <w:spacing w:val="-2"/>
                </w:rPr>
                <w:t>22 Feb 2024 (see r. 2(b))</w:t>
              </w:r>
            </w:ins>
          </w:p>
        </w:tc>
      </w:tr>
    </w:tbl>
    <w:p>
      <w:pPr>
        <w:pStyle w:val="nHeading3"/>
      </w:pPr>
      <w:bookmarkStart w:id="38" w:name="_Toc158990499"/>
      <w:bookmarkStart w:id="39" w:name="_Toc68767992"/>
      <w:r>
        <w:t>Other notes</w:t>
      </w:r>
      <w:bookmarkEnd w:id="38"/>
      <w:bookmarkEnd w:id="39"/>
    </w:p>
    <w:p>
      <w:pPr>
        <w:pStyle w:val="nNote"/>
      </w:pPr>
      <w:r>
        <w:rPr>
          <w:vertAlign w:val="superscript"/>
        </w:rPr>
        <w:t>1</w:t>
      </w:r>
      <w:r>
        <w:tab/>
        <w:t>These regulations expire at the close of 30 </w:t>
      </w:r>
      <w:del w:id="40" w:author="Master Repository Process" w:date="2025-06-17T14:52:00Z">
        <w:r>
          <w:delText>Apr 2024</w:delText>
        </w:r>
      </w:del>
      <w:ins w:id="41" w:author="Master Repository Process" w:date="2025-06-17T14:52:00Z">
        <w:r>
          <w:t>April 2034</w:t>
        </w:r>
      </w:ins>
      <w:r>
        <w:t xml:space="preserve"> (see r. 9).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27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Apr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Compilation"/>
    <w:bookmarkEnd w:id="4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16141416"/>
    <w:docVar w:name="WAFER_20150323155022" w:val="ResetPageSize,UpdateArrangement,UpdateNTable"/>
    <w:docVar w:name="WAFER_20150323155022_GUID" w:val="0a1b4180-e09f-498a-b1ab-6c36bb890c86"/>
    <w:docVar w:name="WAFER_20151126102930" w:val="UpdateStyles"/>
    <w:docVar w:name="WAFER_20151126102930_GUID" w:val="35fa455c-5ffe-4a6d-8e65-b1ebc69ef577"/>
    <w:docVar w:name="WAFER_20151126103942" w:val="UsedStyles"/>
    <w:docVar w:name="WAFER_20151126103942_GUID" w:val="7290687e-22e5-4026-a815-4c211340c8b3"/>
    <w:docVar w:name="WAFER_2021040713381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407133811_GUID" w:val="a5ab9bfa-1902-415b-a72e-0b3455c5d643"/>
    <w:docVar w:name="WAFER_202402161414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216141416_GUID" w:val="e7905769-c0f0-4217-9ee8-b2925246a8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C2D84D3-2D27-4AC8-8994-EB440236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737</Words>
  <Characters>3584</Characters>
  <Application>Microsoft Office Word</Application>
  <DocSecurity>0</DocSecurity>
  <Lines>132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(Yakanarra Restricted Area) Regulations 2010 00-e0-00 - 00-f0-00</dc:title>
  <dc:subject/>
  <dc:creator/>
  <cp:keywords/>
  <dc:description/>
  <cp:lastModifiedBy>Master Repository Process</cp:lastModifiedBy>
  <cp:revision>2</cp:revision>
  <cp:lastPrinted>2010-02-22T02:01:00Z</cp:lastPrinted>
  <dcterms:created xsi:type="dcterms:W3CDTF">2025-06-17T06:51:00Z</dcterms:created>
  <dcterms:modified xsi:type="dcterms:W3CDTF">2025-06-17T06:52:00Z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Apr 2010 p 1625-9</vt:lpwstr>
  </property>
  <property fmtid="{D5CDD505-2E9C-101B-9397-08002B2CF9AE}" pid="3" name="OWLSUId">
    <vt:i4>461</vt:i4>
  </property>
  <property fmtid="{D5CDD505-2E9C-101B-9397-08002B2CF9AE}" pid="4" name="DocumentType">
    <vt:lpwstr>Reg</vt:lpwstr>
  </property>
  <property fmtid="{D5CDD505-2E9C-101B-9397-08002B2CF9AE}" pid="5" name="CommencementDate">
    <vt:lpwstr>20240222</vt:lpwstr>
  </property>
  <property fmtid="{D5CDD505-2E9C-101B-9397-08002B2CF9AE}" pid="6" name="CommencementAsAt">
    <vt:filetime>2024-02-21T16:00:00Z</vt:filetime>
  </property>
  <property fmtid="{D5CDD505-2E9C-101B-9397-08002B2CF9AE}" pid="7" name="CommencementYear">
    <vt:lpwstr>2024</vt:lpwstr>
  </property>
  <property fmtid="{D5CDD505-2E9C-101B-9397-08002B2CF9AE}" pid="8" name="Official">
    <vt:lpwstr/>
  </property>
  <property fmtid="{D5CDD505-2E9C-101B-9397-08002B2CF9AE}" pid="9" name="FromSuffix">
    <vt:lpwstr>00-e0-00</vt:lpwstr>
  </property>
  <property fmtid="{D5CDD505-2E9C-101B-9397-08002B2CF9AE}" pid="10" name="FromAsAtDate">
    <vt:lpwstr>10 Apr 2021</vt:lpwstr>
  </property>
  <property fmtid="{D5CDD505-2E9C-101B-9397-08002B2CF9AE}" pid="11" name="ToSuffix">
    <vt:lpwstr>00-f0-00</vt:lpwstr>
  </property>
  <property fmtid="{D5CDD505-2E9C-101B-9397-08002B2CF9AE}" pid="12" name="ToAsAtDate">
    <vt:lpwstr>22 Feb 2024</vt:lpwstr>
  </property>
</Properties>
</file>