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Parking Management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08 Mar 2024</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1200"/>
      </w:pPr>
      <w:r>
        <w:t>Perth Parking Management Act 1999</w:t>
      </w:r>
    </w:p>
    <w:p>
      <w:pPr>
        <w:pStyle w:val="LongTitle"/>
        <w:suppressLineNumbers/>
        <w:rPr>
          <w:snapToGrid w:val="0"/>
        </w:rPr>
      </w:pPr>
      <w:r>
        <w:rPr>
          <w:snapToGrid w:val="0"/>
        </w:rPr>
        <w:t>An Act to provide for the management of parking in certain parts of the Perth metropolitan area and for related purposes.</w:t>
      </w:r>
    </w:p>
    <w:p>
      <w:pPr>
        <w:pStyle w:val="Heading2"/>
      </w:pPr>
      <w:bookmarkStart w:id="1" w:name="_Toc160807292"/>
      <w:bookmarkStart w:id="2" w:name="_Toc160808161"/>
      <w:bookmarkStart w:id="3" w:name="_Toc160808787"/>
      <w:bookmarkStart w:id="4" w:name="_Toc75346690"/>
      <w:bookmarkStart w:id="5" w:name="_Toc75346925"/>
      <w:bookmarkStart w:id="6" w:name="_Toc7542191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160808788"/>
      <w:bookmarkStart w:id="8" w:name="_Toc75421915"/>
      <w:r>
        <w:rPr>
          <w:rStyle w:val="CharSectno"/>
        </w:rPr>
        <w:t>1</w:t>
      </w:r>
      <w:r>
        <w:rPr>
          <w:snapToGrid w:val="0"/>
        </w:rPr>
        <w:t>.</w:t>
      </w:r>
      <w:r>
        <w:rPr>
          <w:snapToGrid w:val="0"/>
        </w:rPr>
        <w:tab/>
        <w:t>Short title</w:t>
      </w:r>
      <w:bookmarkEnd w:id="7"/>
      <w:bookmarkEnd w:id="8"/>
    </w:p>
    <w:p>
      <w:pPr>
        <w:pStyle w:val="Subsection"/>
        <w:ind w:right="566"/>
        <w:rPr>
          <w:snapToGrid w:val="0"/>
        </w:rPr>
      </w:pPr>
      <w:r>
        <w:rPr>
          <w:snapToGrid w:val="0"/>
        </w:rPr>
        <w:tab/>
      </w:r>
      <w:r>
        <w:rPr>
          <w:snapToGrid w:val="0"/>
        </w:rPr>
        <w:tab/>
        <w:t>This Act may be cited as the</w:t>
      </w:r>
      <w:r>
        <w:rPr>
          <w:i/>
          <w:snapToGrid w:val="0"/>
        </w:rPr>
        <w:t xml:space="preserve"> Perth Parking Management Act 1999</w:t>
      </w:r>
      <w:r>
        <w:rPr>
          <w:iCs/>
          <w:snapToGrid w:val="0"/>
        </w:rPr>
        <w:t>.</w:t>
      </w:r>
    </w:p>
    <w:p>
      <w:pPr>
        <w:pStyle w:val="Heading5"/>
        <w:rPr>
          <w:snapToGrid w:val="0"/>
        </w:rPr>
      </w:pPr>
      <w:bookmarkStart w:id="9" w:name="_Toc160808789"/>
      <w:bookmarkStart w:id="10" w:name="_Toc75421916"/>
      <w:r>
        <w:rPr>
          <w:rStyle w:val="CharSectno"/>
        </w:rPr>
        <w:t>2</w:t>
      </w:r>
      <w:r>
        <w:rPr>
          <w:snapToGrid w:val="0"/>
        </w:rPr>
        <w:t>.</w:t>
      </w:r>
      <w:r>
        <w:rPr>
          <w:snapToGrid w:val="0"/>
        </w:rPr>
        <w:tab/>
        <w:t>Commencement</w:t>
      </w:r>
      <w:bookmarkEnd w:id="9"/>
      <w:bookmarkEnd w:id="10"/>
    </w:p>
    <w:p>
      <w:pPr>
        <w:pStyle w:val="Subsection"/>
      </w:pPr>
      <w:r>
        <w:tab/>
      </w:r>
      <w:r>
        <w:tab/>
        <w:t>This Act comes into operation on such day as is, or such days as are respectively, fixed by proclamation.</w:t>
      </w:r>
    </w:p>
    <w:p>
      <w:pPr>
        <w:pStyle w:val="Heading5"/>
        <w:rPr>
          <w:snapToGrid w:val="0"/>
        </w:rPr>
      </w:pPr>
      <w:bookmarkStart w:id="11" w:name="_Toc160808790"/>
      <w:bookmarkStart w:id="12" w:name="_Toc75421917"/>
      <w:r>
        <w:rPr>
          <w:rStyle w:val="CharSectno"/>
        </w:rPr>
        <w:t>3</w:t>
      </w:r>
      <w:r>
        <w:rPr>
          <w:snapToGrid w:val="0"/>
        </w:rPr>
        <w:t>.</w:t>
      </w:r>
      <w:r>
        <w:rPr>
          <w:snapToGrid w:val="0"/>
        </w:rPr>
        <w:tab/>
        <w:t>Application</w:t>
      </w:r>
      <w:bookmarkEnd w:id="11"/>
      <w:bookmarkEnd w:id="12"/>
    </w:p>
    <w:p>
      <w:pPr>
        <w:pStyle w:val="Subsection"/>
      </w:pPr>
      <w:r>
        <w:tab/>
      </w:r>
      <w:r>
        <w:tab/>
        <w:t>This Act binds the Crown.</w:t>
      </w:r>
    </w:p>
    <w:p>
      <w:pPr>
        <w:pStyle w:val="Heading5"/>
      </w:pPr>
      <w:bookmarkStart w:id="13" w:name="_Toc160808791"/>
      <w:bookmarkStart w:id="14" w:name="_Toc75421918"/>
      <w:r>
        <w:rPr>
          <w:rStyle w:val="CharSectno"/>
        </w:rPr>
        <w:t>4</w:t>
      </w:r>
      <w:r>
        <w:t>.</w:t>
      </w:r>
      <w:r>
        <w:tab/>
        <w:t>Terms used</w:t>
      </w:r>
      <w:bookmarkEnd w:id="13"/>
      <w:bookmarkEnd w:id="14"/>
    </w:p>
    <w:p>
      <w:pPr>
        <w:pStyle w:val="Subsection"/>
      </w:pPr>
      <w:r>
        <w:tab/>
      </w:r>
      <w:r>
        <w:tab/>
        <w:t>In this Act, unless the contrary intention appears —</w:t>
      </w:r>
    </w:p>
    <w:p>
      <w:pPr>
        <w:pStyle w:val="Defstart"/>
      </w:pPr>
      <w:r>
        <w:tab/>
      </w:r>
      <w:r>
        <w:rPr>
          <w:rStyle w:val="CharDefText"/>
        </w:rPr>
        <w:t>CEO</w:t>
      </w:r>
      <w:r>
        <w:t xml:space="preserve"> means the chief executive officer as defined in the </w:t>
      </w:r>
      <w:r>
        <w:rPr>
          <w:i/>
        </w:rPr>
        <w:t>Interpretation Act 1984</w:t>
      </w:r>
      <w:r>
        <w:t>;</w:t>
      </w:r>
    </w:p>
    <w:p>
      <w:pPr>
        <w:pStyle w:val="Defstart"/>
      </w:pPr>
      <w:r>
        <w:tab/>
      </w:r>
      <w:r>
        <w:rPr>
          <w:rStyle w:val="CharDefText"/>
        </w:rPr>
        <w:t>common property</w:t>
      </w:r>
      <w:r>
        <w:t xml:space="preserve"> means —</w:t>
      </w:r>
    </w:p>
    <w:p>
      <w:pPr>
        <w:pStyle w:val="Defpara"/>
      </w:pPr>
      <w:r>
        <w:tab/>
        <w:t>(a)</w:t>
      </w:r>
      <w:r>
        <w:tab/>
        <w:t xml:space="preserve">common property within the meaning of the </w:t>
      </w:r>
      <w:r>
        <w:rPr>
          <w:i/>
        </w:rPr>
        <w:t xml:space="preserve">Community Titles Act 2018 </w:t>
      </w:r>
      <w:r>
        <w:t>section 3(1); or</w:t>
      </w:r>
    </w:p>
    <w:p>
      <w:pPr>
        <w:pStyle w:val="Defpara"/>
      </w:pPr>
      <w:r>
        <w:tab/>
        <w:t>(b)</w:t>
      </w:r>
      <w:r>
        <w:tab/>
        <w:t xml:space="preserve">common property within the meaning of the </w:t>
      </w:r>
      <w:r>
        <w:rPr>
          <w:i/>
        </w:rPr>
        <w:t>Strata Titles Act 1985</w:t>
      </w:r>
      <w:r>
        <w:t xml:space="preserve"> section 3(1);</w:t>
      </w:r>
    </w:p>
    <w:p>
      <w:pPr>
        <w:pStyle w:val="Defstart"/>
      </w:pPr>
      <w:r>
        <w:tab/>
      </w:r>
      <w:r>
        <w:rPr>
          <w:rStyle w:val="CharDefText"/>
        </w:rPr>
        <w:t>community titles scheme</w:t>
      </w:r>
      <w:r>
        <w:t xml:space="preserve"> has the meaning given in the </w:t>
      </w:r>
      <w:r>
        <w:rPr>
          <w:i/>
        </w:rPr>
        <w:t xml:space="preserve">Community Titles Act 2018 </w:t>
      </w:r>
      <w:r>
        <w:t>section 3(1);</w:t>
      </w:r>
    </w:p>
    <w:p>
      <w:pPr>
        <w:pStyle w:val="Defstart"/>
      </w:pPr>
      <w:r>
        <w:tab/>
      </w:r>
      <w:r>
        <w:rPr>
          <w:rStyle w:val="CharDefText"/>
        </w:rPr>
        <w:t>infringement notice</w:t>
      </w:r>
      <w:r>
        <w:t xml:space="preserve"> means a notice issued under section 19(1);</w:t>
      </w:r>
    </w:p>
    <w:p>
      <w:pPr>
        <w:pStyle w:val="Defstart"/>
      </w:pPr>
      <w:r>
        <w:tab/>
      </w:r>
      <w:r>
        <w:rPr>
          <w:rStyle w:val="CharDefText"/>
        </w:rPr>
        <w:t>inspector</w:t>
      </w:r>
      <w:r>
        <w:t xml:space="preserve"> means an inspector appointed under section 20;</w:t>
      </w:r>
    </w:p>
    <w:p>
      <w:pPr>
        <w:pStyle w:val="Defstart"/>
      </w:pPr>
      <w:r>
        <w:tab/>
      </w:r>
      <w:r>
        <w:rPr>
          <w:rStyle w:val="CharDefText"/>
        </w:rPr>
        <w:t>licensee</w:t>
      </w:r>
      <w:r>
        <w:t xml:space="preserve"> means the holder of a parking bay licence;</w:t>
      </w:r>
    </w:p>
    <w:p>
      <w:pPr>
        <w:pStyle w:val="Defstart"/>
        <w:keepNext/>
      </w:pPr>
      <w:r>
        <w:tab/>
      </w:r>
      <w:r>
        <w:rPr>
          <w:rStyle w:val="CharDefText"/>
        </w:rPr>
        <w:t>lot</w:t>
      </w:r>
      <w:r>
        <w:t xml:space="preserve"> means —</w:t>
      </w:r>
    </w:p>
    <w:p>
      <w:pPr>
        <w:pStyle w:val="Defpara"/>
      </w:pPr>
      <w:r>
        <w:tab/>
        <w:t>(a)</w:t>
      </w:r>
      <w:r>
        <w:tab/>
        <w:t xml:space="preserve">in relation to a community titles scheme, a lot within the meaning of the </w:t>
      </w:r>
      <w:r>
        <w:rPr>
          <w:i/>
        </w:rPr>
        <w:t xml:space="preserve">Community Titles Act 2018 </w:t>
      </w:r>
      <w:r>
        <w:t>section 3(1); or</w:t>
      </w:r>
    </w:p>
    <w:p>
      <w:pPr>
        <w:pStyle w:val="Defpara"/>
      </w:pPr>
      <w:r>
        <w:lastRenderedPageBreak/>
        <w:tab/>
        <w:t>(b)</w:t>
      </w:r>
      <w:r>
        <w:tab/>
        <w:t xml:space="preserve">in relation to a strata titles scheme, a lot within the meaning of the </w:t>
      </w:r>
      <w:r>
        <w:rPr>
          <w:i/>
        </w:rPr>
        <w:t>Strata Titles Act 1985</w:t>
      </w:r>
      <w:r>
        <w:t xml:space="preserve"> section 3(1);</w:t>
      </w:r>
    </w:p>
    <w:p>
      <w:pPr>
        <w:pStyle w:val="Defstart"/>
      </w:pPr>
      <w:r>
        <w:tab/>
      </w:r>
      <w:r>
        <w:rPr>
          <w:rStyle w:val="CharDefText"/>
        </w:rPr>
        <w:t>motor vehicle</w:t>
      </w:r>
      <w:r>
        <w:t xml:space="preserve"> means a self</w:t>
      </w:r>
      <w:r>
        <w:noBreakHyphen/>
        <w:t>propelled vehicle (except an aircraft or a vessel) that is not operated on rails;</w:t>
      </w:r>
    </w:p>
    <w:p>
      <w:pPr>
        <w:pStyle w:val="Defstart"/>
        <w:keepNext/>
      </w:pPr>
      <w:r>
        <w:tab/>
      </w:r>
      <w:r>
        <w:rPr>
          <w:rStyle w:val="CharDefText"/>
        </w:rPr>
        <w:t>owner</w:t>
      </w:r>
      <w:r>
        <w:t>, in relation to land or a building, means —</w:t>
      </w:r>
    </w:p>
    <w:p>
      <w:pPr>
        <w:pStyle w:val="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pPr>
        <w:pStyle w:val="Defpara"/>
      </w:pPr>
      <w:r>
        <w:tab/>
        <w:t>(a)</w:t>
      </w:r>
      <w:r>
        <w:tab/>
        <w:t xml:space="preserve">if the land or building is part or all of the common property or a lot in a strata titles scheme within the meaning of the </w:t>
      </w:r>
      <w:r>
        <w:rPr>
          <w:i/>
        </w:rPr>
        <w:t>Strata Titles Act 1985</w:t>
      </w:r>
      <w:r>
        <w:t xml:space="preserve"> section 3(1) — the strata company for that scheme, within the meaning of that Act; or</w:t>
      </w:r>
    </w:p>
    <w:p>
      <w:pPr>
        <w:pStyle w:val="Defpara"/>
      </w:pPr>
      <w:r>
        <w:tab/>
        <w:t>(b)</w:t>
      </w:r>
      <w:r>
        <w:tab/>
        <w:t>if the land or building is under the control of an authority of the government of the Commonwealth, a State or a Territory, or of a local government — the authority; or</w:t>
      </w:r>
    </w:p>
    <w:p>
      <w:pPr>
        <w:pStyle w:val="Defpara"/>
      </w:pPr>
      <w:r>
        <w:tab/>
        <w:t>(c)</w:t>
      </w:r>
      <w:r>
        <w:tab/>
        <w:t>in any other case — the person who owns the land or building;</w:t>
      </w:r>
    </w:p>
    <w:p>
      <w:pPr>
        <w:pStyle w:val="Defstart"/>
      </w:pPr>
      <w:r>
        <w:tab/>
      </w:r>
      <w:r>
        <w:rPr>
          <w:rStyle w:val="CharDefText"/>
        </w:rPr>
        <w:t>parking bay licence</w:t>
      </w:r>
      <w:r>
        <w:t xml:space="preserve"> means a licence issued under section 9;</w:t>
      </w:r>
    </w:p>
    <w:p>
      <w:pPr>
        <w:pStyle w:val="Defstart"/>
      </w:pPr>
      <w:r>
        <w:tab/>
      </w:r>
      <w:r>
        <w:rPr>
          <w:rStyle w:val="CharDefText"/>
        </w:rPr>
        <w:t>Perth Parking Licensing Account</w:t>
      </w:r>
      <w:r>
        <w:t xml:space="preserve"> means the account established under section 23;</w:t>
      </w:r>
    </w:p>
    <w:p>
      <w:pPr>
        <w:pStyle w:val="Defstart"/>
      </w:pPr>
      <w:r>
        <w:tab/>
      </w:r>
      <w:r>
        <w:rPr>
          <w:rStyle w:val="CharDefText"/>
        </w:rPr>
        <w:t>Perth parking management area</w:t>
      </w:r>
      <w:r>
        <w:t xml:space="preserve"> means the area prescribed under section 6;</w:t>
      </w:r>
    </w:p>
    <w:p>
      <w:pPr>
        <w:pStyle w:val="Defstart"/>
      </w:pPr>
      <w:r>
        <w:tab/>
      </w:r>
      <w:r>
        <w:rPr>
          <w:rStyle w:val="CharDefText"/>
        </w:rPr>
        <w:t>Perth Parking Policy</w:t>
      </w:r>
      <w:r>
        <w:t xml:space="preserve"> means the Perth Parking Policy referred to in section 5, as amended from time to time;</w:t>
      </w:r>
    </w:p>
    <w:p>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pPr>
        <w:pStyle w:val="Defstart"/>
      </w:pPr>
      <w:r>
        <w:tab/>
      </w:r>
      <w:r>
        <w:rPr>
          <w:rStyle w:val="CharDefText"/>
        </w:rPr>
        <w:t>strata titles scheme</w:t>
      </w:r>
      <w:r>
        <w:t xml:space="preserve"> has the meaning given in the </w:t>
      </w:r>
      <w:r>
        <w:rPr>
          <w:i/>
        </w:rPr>
        <w:t>Strata Titles Act 1985</w:t>
      </w:r>
      <w:r>
        <w:t xml:space="preserve"> section 3(1);</w:t>
      </w:r>
    </w:p>
    <w:p>
      <w:pPr>
        <w:pStyle w:val="Defstart"/>
        <w:keepNext/>
      </w:pPr>
      <w:r>
        <w:tab/>
      </w:r>
      <w:r>
        <w:rPr>
          <w:rStyle w:val="CharDefText"/>
        </w:rPr>
        <w:t>vehicle</w:t>
      </w:r>
      <w:r>
        <w:t xml:space="preserve"> means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keepNext/>
      </w:pPr>
      <w:r>
        <w:tab/>
        <w:t>(c)</w:t>
      </w:r>
      <w:r>
        <w:tab/>
        <w:t>a vehicle drawn by an animal, or an animal used for drawing a vehicle.</w:t>
      </w:r>
    </w:p>
    <w:p>
      <w:pPr>
        <w:pStyle w:val="Footnotesection"/>
      </w:pPr>
      <w:r>
        <w:tab/>
        <w:t>[Section 4 amended: No. 7 of 2002 s. 19; No. 30 of 2018 s. 159; No. 32 of 2018 s. 221.]</w:t>
      </w:r>
    </w:p>
    <w:p>
      <w:pPr>
        <w:pStyle w:val="Heading5"/>
      </w:pPr>
      <w:bookmarkStart w:id="15" w:name="_Toc160808792"/>
      <w:bookmarkStart w:id="16" w:name="_Toc75421919"/>
      <w:r>
        <w:rPr>
          <w:rStyle w:val="CharSectno"/>
        </w:rPr>
        <w:t>5</w:t>
      </w:r>
      <w:r>
        <w:t>.</w:t>
      </w:r>
      <w:r>
        <w:tab/>
        <w:t>Perth Parking Policy</w:t>
      </w:r>
      <w:bookmarkEnd w:id="15"/>
      <w:bookmarkEnd w:id="16"/>
    </w:p>
    <w:p>
      <w:pPr>
        <w:pStyle w:val="Subsection"/>
      </w:pPr>
      <w:r>
        <w:tab/>
      </w:r>
      <w:r>
        <w:tab/>
        <w:t xml:space="preserve">For the purposes of this Act, the Perth Parking Policy is the policy of that name developed by the CEO in cooperation with the City of Perth, and published in the </w:t>
      </w:r>
      <w:r>
        <w:rPr>
          <w:i/>
        </w:rPr>
        <w:t xml:space="preserve">Gazette </w:t>
      </w:r>
      <w:r>
        <w:t>with the approval of the Minister, after consultation with —</w:t>
      </w:r>
    </w:p>
    <w:p>
      <w:pPr>
        <w:pStyle w:val="Indenta"/>
      </w:pPr>
      <w:r>
        <w:tab/>
        <w:t>(a)</w:t>
      </w:r>
      <w:r>
        <w:tab/>
        <w:t xml:space="preserve">the Minister to whom the administration of the </w:t>
      </w:r>
      <w:r>
        <w:rPr>
          <w:i/>
          <w:iCs/>
        </w:rPr>
        <w:t>Planning and Development Act 2005</w:t>
      </w:r>
      <w:r>
        <w:t xml:space="preserve"> is for the time being committed by the Governor; and</w:t>
      </w:r>
    </w:p>
    <w:p>
      <w:pPr>
        <w:pStyle w:val="Indenta"/>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 No. 7 of 2002 s. 20; No. 38 of 2005 s. 15.]</w:t>
      </w:r>
    </w:p>
    <w:p>
      <w:pPr>
        <w:pStyle w:val="Heading5"/>
      </w:pPr>
      <w:bookmarkStart w:id="17" w:name="_Toc160808793"/>
      <w:bookmarkStart w:id="18" w:name="_Toc75421920"/>
      <w:r>
        <w:rPr>
          <w:rStyle w:val="CharSectno"/>
        </w:rPr>
        <w:t>6</w:t>
      </w:r>
      <w:r>
        <w:t>.</w:t>
      </w:r>
      <w:r>
        <w:tab/>
        <w:t>Perth parking management area</w:t>
      </w:r>
      <w:bookmarkEnd w:id="17"/>
      <w:bookmarkEnd w:id="18"/>
    </w:p>
    <w:p>
      <w:pPr>
        <w:pStyle w:val="Subsection"/>
      </w:pPr>
      <w:r>
        <w:tab/>
      </w:r>
      <w:r>
        <w:tab/>
        <w:t xml:space="preserve">An area within the Perth metropolitan area is to be prescribed as the Perth parking management area for the purposes of this Act. </w:t>
      </w:r>
    </w:p>
    <w:p>
      <w:pPr>
        <w:pStyle w:val="Heading5"/>
      </w:pPr>
      <w:bookmarkStart w:id="19" w:name="_Toc160808794"/>
      <w:bookmarkStart w:id="20" w:name="_Toc75421921"/>
      <w:r>
        <w:rPr>
          <w:rStyle w:val="CharSectno"/>
        </w:rPr>
        <w:t>7</w:t>
      </w:r>
      <w:r>
        <w:t>.</w:t>
      </w:r>
      <w:r>
        <w:tab/>
        <w:t>Restricted parking in Perth parking management area</w:t>
      </w:r>
      <w:bookmarkEnd w:id="19"/>
      <w:bookmarkEnd w:id="20"/>
    </w:p>
    <w:p>
      <w:pPr>
        <w:pStyle w:val="Subsection"/>
        <w:keepNext/>
        <w:keepLines/>
      </w:pPr>
      <w:r>
        <w:tab/>
      </w:r>
      <w:r>
        <w:tab/>
        <w:t>The owner of land or a building in the Perth parking management area must not permit a vehicle to be parked on the land or in or on the building unless —</w:t>
      </w:r>
    </w:p>
    <w:p>
      <w:pPr>
        <w:pStyle w:val="Indenta"/>
      </w:pPr>
      <w:r>
        <w:tab/>
        <w:t>(a)</w:t>
      </w:r>
      <w:r>
        <w:tab/>
        <w:t>the land or building is used solely for private residential purposes; or</w:t>
      </w:r>
    </w:p>
    <w:p>
      <w:pPr>
        <w:pStyle w:val="Indenta"/>
      </w:pPr>
      <w:r>
        <w:tab/>
        <w:t>(b)</w:t>
      </w:r>
      <w:r>
        <w:tab/>
        <w:t>the owner has a parking bay licence that permits the vehicle to be parked there; or</w:t>
      </w:r>
    </w:p>
    <w:p>
      <w:pPr>
        <w:pStyle w:val="Indenta"/>
      </w:pPr>
      <w:r>
        <w:tab/>
        <w:t>(c)</w:t>
      </w:r>
      <w:r>
        <w:tab/>
        <w:t>the vehicle is a prescribed vehicle or is parked in prescribed circumstances.</w:t>
      </w:r>
    </w:p>
    <w:p>
      <w:pPr>
        <w:pStyle w:val="Penstart"/>
        <w:spacing w:before="120"/>
      </w:pPr>
      <w:r>
        <w:tab/>
        <w:t>Penalty: $5 000.</w:t>
      </w:r>
    </w:p>
    <w:p>
      <w:pPr>
        <w:pStyle w:val="Heading2"/>
      </w:pPr>
      <w:bookmarkStart w:id="21" w:name="_Toc160807300"/>
      <w:bookmarkStart w:id="22" w:name="_Toc160808169"/>
      <w:bookmarkStart w:id="23" w:name="_Toc160808795"/>
      <w:bookmarkStart w:id="24" w:name="_Toc75346698"/>
      <w:bookmarkStart w:id="25" w:name="_Toc75346933"/>
      <w:bookmarkStart w:id="26" w:name="_Toc75421922"/>
      <w:r>
        <w:rPr>
          <w:rStyle w:val="CharPartNo"/>
        </w:rPr>
        <w:t>Part 2</w:t>
      </w:r>
      <w:r>
        <w:rPr>
          <w:rStyle w:val="CharDivNo"/>
        </w:rPr>
        <w:t xml:space="preserve"> </w:t>
      </w:r>
      <w:r>
        <w:t>—</w:t>
      </w:r>
      <w:r>
        <w:rPr>
          <w:rStyle w:val="CharDivText"/>
        </w:rPr>
        <w:t xml:space="preserve"> </w:t>
      </w:r>
      <w:r>
        <w:rPr>
          <w:rStyle w:val="CharPartText"/>
        </w:rPr>
        <w:t>Parking bay licences</w:t>
      </w:r>
      <w:bookmarkEnd w:id="21"/>
      <w:bookmarkEnd w:id="22"/>
      <w:bookmarkEnd w:id="23"/>
      <w:bookmarkEnd w:id="24"/>
      <w:bookmarkEnd w:id="25"/>
      <w:bookmarkEnd w:id="26"/>
    </w:p>
    <w:p>
      <w:pPr>
        <w:pStyle w:val="Heading5"/>
      </w:pPr>
      <w:bookmarkStart w:id="27" w:name="_Toc160808796"/>
      <w:bookmarkStart w:id="28" w:name="_Toc75421923"/>
      <w:r>
        <w:rPr>
          <w:rStyle w:val="CharSectno"/>
        </w:rPr>
        <w:t>8</w:t>
      </w:r>
      <w:r>
        <w:t>.</w:t>
      </w:r>
      <w:r>
        <w:tab/>
        <w:t>Applications for parking bay licence</w:t>
      </w:r>
      <w:bookmarkEnd w:id="27"/>
      <w:bookmarkEnd w:id="28"/>
    </w:p>
    <w:p>
      <w:pPr>
        <w:pStyle w:val="Subsection"/>
      </w:pPr>
      <w:r>
        <w:tab/>
        <w:t>(1)</w:t>
      </w:r>
      <w:r>
        <w:tab/>
        <w:t>The owner of land or a building in the Perth parking management area may apply to the CEO for a parking bay licence.</w:t>
      </w:r>
    </w:p>
    <w:p>
      <w:pPr>
        <w:pStyle w:val="Subsection"/>
      </w:pPr>
      <w:r>
        <w:tab/>
        <w:t>(2)</w:t>
      </w:r>
      <w:r>
        <w:tab/>
        <w:t>An application must —</w:t>
      </w:r>
    </w:p>
    <w:p>
      <w:pPr>
        <w:pStyle w:val="Indenta"/>
      </w:pPr>
      <w:r>
        <w:tab/>
        <w:t>(a)</w:t>
      </w:r>
      <w:r>
        <w:tab/>
        <w:t>be in a form approved by the CEO; and</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29" w:name="_Toc160808797"/>
      <w:bookmarkStart w:id="30" w:name="_Toc75421924"/>
      <w:r>
        <w:rPr>
          <w:rStyle w:val="CharSectno"/>
        </w:rPr>
        <w:t>9</w:t>
      </w:r>
      <w:r>
        <w:t>.</w:t>
      </w:r>
      <w:r>
        <w:tab/>
        <w:t>Issue of parking bay licences</w:t>
      </w:r>
      <w:bookmarkEnd w:id="29"/>
      <w:bookmarkEnd w:id="30"/>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the amenity of the environment in the Perth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Subsection"/>
      </w:pPr>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Footnotesection"/>
      </w:pPr>
      <w:r>
        <w:tab/>
        <w:t>[Section 9 amended: No. 38 of 2005 s. 15; No. 42 of 2011 s. 101.]</w:t>
      </w:r>
    </w:p>
    <w:p>
      <w:pPr>
        <w:pStyle w:val="Heading5"/>
      </w:pPr>
      <w:bookmarkStart w:id="31" w:name="_Toc160808798"/>
      <w:bookmarkStart w:id="32" w:name="_Toc75421925"/>
      <w:r>
        <w:rPr>
          <w:rStyle w:val="CharSectno"/>
        </w:rPr>
        <w:t>10</w:t>
      </w:r>
      <w:r>
        <w:t>.</w:t>
      </w:r>
      <w:r>
        <w:tab/>
        <w:t>Conditions on parking bay licences</w:t>
      </w:r>
      <w:bookmarkEnd w:id="31"/>
      <w:bookmarkEnd w:id="32"/>
    </w:p>
    <w:p>
      <w:pPr>
        <w:pStyle w:val="Subsection"/>
      </w:pPr>
      <w:r>
        <w:tab/>
        <w:t>(1)</w:t>
      </w:r>
      <w:r>
        <w:tab/>
        <w:t>When issuing or varying a parking bay licence, the CEO may impose on the licence any conditions necessary to ensure that the likely effect on the Perth parking management area of parking vehicles in accordance with the licence is or will be, as far as practicable, consistent with the Perth Parking Policy.</w:t>
      </w:r>
    </w:p>
    <w:p>
      <w:pPr>
        <w:pStyle w:val="Subsection"/>
        <w:keepNext/>
      </w:pPr>
      <w:r>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33" w:name="_Toc160808799"/>
      <w:bookmarkStart w:id="34" w:name="_Toc75421926"/>
      <w:r>
        <w:rPr>
          <w:rStyle w:val="CharSectno"/>
        </w:rPr>
        <w:t>11</w:t>
      </w:r>
      <w:r>
        <w:t>.</w:t>
      </w:r>
      <w:r>
        <w:tab/>
        <w:t>Parking bay licence fees</w:t>
      </w:r>
      <w:bookmarkEnd w:id="33"/>
      <w:bookmarkEnd w:id="34"/>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tab/>
        <w:t>(5)</w:t>
      </w:r>
      <w:r>
        <w:tab/>
        <w:t xml:space="preserve">This subsection imposes the prescribed licence fees except to the extent that the fees are taxes imposed by the </w:t>
      </w:r>
      <w:r>
        <w:rPr>
          <w:i/>
        </w:rPr>
        <w:t>Perth Parking Management (Taxing) Act 1999</w:t>
      </w:r>
      <w:r>
        <w:t>.</w:t>
      </w:r>
    </w:p>
    <w:p>
      <w:pPr>
        <w:pStyle w:val="Heading5"/>
      </w:pPr>
      <w:bookmarkStart w:id="35" w:name="_Toc160808800"/>
      <w:bookmarkStart w:id="36" w:name="_Toc75421927"/>
      <w:r>
        <w:rPr>
          <w:rStyle w:val="CharSectno"/>
        </w:rPr>
        <w:t>12</w:t>
      </w:r>
      <w:r>
        <w:t>.</w:t>
      </w:r>
      <w:r>
        <w:tab/>
        <w:t>Duration of parking bay licences</w:t>
      </w:r>
      <w:bookmarkEnd w:id="35"/>
      <w:bookmarkEnd w:id="36"/>
    </w:p>
    <w:p>
      <w:pPr>
        <w:pStyle w:val="Subsection"/>
      </w:pPr>
      <w:r>
        <w:tab/>
      </w:r>
      <w:r>
        <w:tab/>
        <w:t>Unless sooner cancelled under section 13(2) or 14(7), a parking bay licence remains in force —</w:t>
      </w:r>
    </w:p>
    <w:p>
      <w:pPr>
        <w:pStyle w:val="Indenta"/>
        <w:spacing w:before="60"/>
      </w:pPr>
      <w:r>
        <w:tab/>
        <w:t>(a)</w:t>
      </w:r>
      <w:r>
        <w:tab/>
        <w:t>if an expiry date is set out in the licence — up to and including the expiry date; or</w:t>
      </w:r>
    </w:p>
    <w:p>
      <w:pPr>
        <w:pStyle w:val="Indenta"/>
        <w:spacing w:before="60"/>
      </w:pPr>
      <w:r>
        <w:tab/>
        <w:t>(b)</w:t>
      </w:r>
      <w:r>
        <w:tab/>
        <w:t>if no expiry date is set out in the licence — until 30 June in the financial year during which the licence is in force.</w:t>
      </w:r>
    </w:p>
    <w:p>
      <w:pPr>
        <w:pStyle w:val="Heading5"/>
      </w:pPr>
      <w:bookmarkStart w:id="37" w:name="_Toc160808801"/>
      <w:bookmarkStart w:id="38" w:name="_Toc75421928"/>
      <w:r>
        <w:rPr>
          <w:rStyle w:val="CharSectno"/>
        </w:rPr>
        <w:t>13</w:t>
      </w:r>
      <w:r>
        <w:t>.</w:t>
      </w:r>
      <w:r>
        <w:tab/>
        <w:t>Suspension or cancellation of parking bay licences</w:t>
      </w:r>
      <w:bookmarkEnd w:id="37"/>
      <w:bookmarkEnd w:id="38"/>
    </w:p>
    <w:p>
      <w:pPr>
        <w:pStyle w:val="Subsection"/>
      </w:pPr>
      <w:r>
        <w:tab/>
        <w:t>(1)</w:t>
      </w:r>
      <w:r>
        <w:tab/>
        <w:t>The CEO may suspend or cancel a parking bay licence if there are reasonable grounds for believing that —</w:t>
      </w:r>
    </w:p>
    <w:p>
      <w:pPr>
        <w:pStyle w:val="Indenta"/>
        <w:spacing w:before="60"/>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spacing w:before="60"/>
      </w:pPr>
      <w:r>
        <w:tab/>
        <w:t>(b)</w:t>
      </w:r>
      <w:r>
        <w:tab/>
        <w:t>the licensee has contravened or is contravening a condition of the licence.</w:t>
      </w:r>
    </w:p>
    <w:p>
      <w:pPr>
        <w:pStyle w:val="Subsection"/>
      </w:pPr>
      <w:r>
        <w:tab/>
        <w:t>(2)</w:t>
      </w:r>
      <w:r>
        <w:tab/>
        <w:t>The CEO may suspend or cancel a parking bay licence if the licence fee, or an instalment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39" w:name="_Toc160808802"/>
      <w:bookmarkStart w:id="40" w:name="_Toc75421929"/>
      <w:r>
        <w:rPr>
          <w:rStyle w:val="CharSectno"/>
        </w:rPr>
        <w:t>14</w:t>
      </w:r>
      <w:r>
        <w:t>.</w:t>
      </w:r>
      <w:r>
        <w:tab/>
        <w:t>Change of ownership of licensed land or building</w:t>
      </w:r>
      <w:bookmarkEnd w:id="39"/>
      <w:bookmarkEnd w:id="40"/>
    </w:p>
    <w:p>
      <w:pPr>
        <w:pStyle w:val="Subsection"/>
        <w:spacing w:before="150"/>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spacing w:before="150"/>
      </w:pPr>
      <w:r>
        <w:tab/>
        <w:t>(2)</w:t>
      </w:r>
      <w:r>
        <w:tab/>
        <w:t>When giving notice, the new owner must —</w:t>
      </w:r>
    </w:p>
    <w:p>
      <w:pPr>
        <w:pStyle w:val="Indenta"/>
        <w:spacing w:before="60"/>
      </w:pPr>
      <w:r>
        <w:tab/>
        <w:t>(a)</w:t>
      </w:r>
      <w:r>
        <w:tab/>
        <w:t>apply to the CEO to transfer the licence to the new owner; or</w:t>
      </w:r>
    </w:p>
    <w:p>
      <w:pPr>
        <w:pStyle w:val="Indenta"/>
        <w:spacing w:before="60"/>
      </w:pPr>
      <w:r>
        <w:tab/>
        <w:t>(b)</w:t>
      </w:r>
      <w:r>
        <w:tab/>
        <w:t>surrender the licence to the CEO.</w:t>
      </w:r>
    </w:p>
    <w:p>
      <w:pPr>
        <w:pStyle w:val="Subsection"/>
      </w:pPr>
      <w:r>
        <w:tab/>
        <w:t>(3)</w:t>
      </w:r>
      <w:r>
        <w:tab/>
        <w:t>An application for the transfer of the licence must —</w:t>
      </w:r>
    </w:p>
    <w:p>
      <w:pPr>
        <w:pStyle w:val="Indenta"/>
        <w:spacing w:before="60"/>
      </w:pPr>
      <w:r>
        <w:tab/>
        <w:t>(a)</w:t>
      </w:r>
      <w:r>
        <w:tab/>
        <w:t>be in a form approved by the CEO; and</w:t>
      </w:r>
    </w:p>
    <w:p>
      <w:pPr>
        <w:pStyle w:val="Indenta"/>
        <w:spacing w:before="60"/>
      </w:pPr>
      <w:r>
        <w:tab/>
        <w:t>(b)</w:t>
      </w:r>
      <w:r>
        <w:tab/>
        <w:t>be accompanied by any prescribed documents or prescribed information.</w:t>
      </w:r>
    </w:p>
    <w:p>
      <w:pPr>
        <w:pStyle w:val="Subsection"/>
        <w:spacing w:before="140"/>
      </w:pPr>
      <w:r>
        <w:tab/>
        <w:t>(4)</w:t>
      </w:r>
      <w:r>
        <w:tab/>
        <w:t>On receiving an application, the CEO must transfer the licence unless grounds for suspending or cancelling it under section 13 exist or would exist if it were transferred.</w:t>
      </w:r>
    </w:p>
    <w:p>
      <w:pPr>
        <w:pStyle w:val="Subsection"/>
        <w:spacing w:before="140"/>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spacing w:before="140"/>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spacing w:before="60"/>
      </w:pPr>
      <w:r>
        <w:tab/>
        <w:t>(a)</w:t>
      </w:r>
      <w:r>
        <w:tab/>
        <w:t>the CEO transfers the licence to the new owner; or</w:t>
      </w:r>
    </w:p>
    <w:p>
      <w:pPr>
        <w:pStyle w:val="Indenta"/>
        <w:spacing w:before="60"/>
      </w:pPr>
      <w:r>
        <w:tab/>
        <w:t>(b)</w:t>
      </w:r>
      <w:r>
        <w:tab/>
        <w:t>if the CEO decides not to transfer the licence — notice of the decision is served on the new owner.</w:t>
      </w:r>
    </w:p>
    <w:p>
      <w:pPr>
        <w:pStyle w:val="Subsection"/>
        <w:spacing w:before="140"/>
      </w:pPr>
      <w:r>
        <w:tab/>
        <w:t>(7)</w:t>
      </w:r>
      <w:r>
        <w:tab/>
        <w:t>If the CEO decides not to transfer the licence, it is taken to have been cancelled when notice of the decision is served on the new owner with a statement of the reasons for the decision.</w:t>
      </w:r>
    </w:p>
    <w:p>
      <w:pPr>
        <w:pStyle w:val="Heading5"/>
        <w:spacing w:before="200"/>
      </w:pPr>
      <w:bookmarkStart w:id="41" w:name="_Toc160808803"/>
      <w:bookmarkStart w:id="42" w:name="_Toc75421930"/>
      <w:r>
        <w:rPr>
          <w:rStyle w:val="CharSectno"/>
        </w:rPr>
        <w:t>15</w:t>
      </w:r>
      <w:r>
        <w:t>.</w:t>
      </w:r>
      <w:r>
        <w:tab/>
        <w:t>Variation of parking bay licences</w:t>
      </w:r>
      <w:bookmarkEnd w:id="41"/>
      <w:bookmarkEnd w:id="42"/>
    </w:p>
    <w:p>
      <w:pPr>
        <w:pStyle w:val="Subsection"/>
        <w:spacing w:before="140"/>
      </w:pPr>
      <w:r>
        <w:tab/>
        <w:t>(1)</w:t>
      </w:r>
      <w:r>
        <w:tab/>
        <w:t>A licensee may apply to the CEO for the parking bay licence to be varied.</w:t>
      </w:r>
    </w:p>
    <w:p>
      <w:pPr>
        <w:pStyle w:val="Subsection"/>
        <w:spacing w:before="140"/>
      </w:pPr>
      <w:r>
        <w:tab/>
        <w:t>(2)</w:t>
      </w:r>
      <w:r>
        <w:tab/>
        <w:t>The application must —</w:t>
      </w:r>
    </w:p>
    <w:p>
      <w:pPr>
        <w:pStyle w:val="Indenta"/>
        <w:spacing w:before="60"/>
      </w:pPr>
      <w:r>
        <w:tab/>
        <w:t>(a)</w:t>
      </w:r>
      <w:r>
        <w:tab/>
        <w:t>be in a form approved by the CEO; and</w:t>
      </w:r>
    </w:p>
    <w:p>
      <w:pPr>
        <w:pStyle w:val="Indenta"/>
        <w:spacing w:before="60"/>
      </w:pPr>
      <w:r>
        <w:tab/>
        <w:t>(b)</w:t>
      </w:r>
      <w:r>
        <w:tab/>
        <w:t>be accompanied by any prescribed documents or prescribed information.</w:t>
      </w:r>
    </w:p>
    <w:p>
      <w:pPr>
        <w:pStyle w:val="Subsection"/>
        <w:spacing w:before="140"/>
      </w:pPr>
      <w:r>
        <w:tab/>
        <w:t>(3)</w:t>
      </w:r>
      <w:r>
        <w:tab/>
        <w:t>The CEO may vary the licence if he or she would be able to issue a licence under section 9 in the same terms as the proposed varied licence.</w:t>
      </w:r>
    </w:p>
    <w:p>
      <w:pPr>
        <w:pStyle w:val="Heading5"/>
      </w:pPr>
      <w:bookmarkStart w:id="43" w:name="_Toc160808804"/>
      <w:bookmarkStart w:id="44" w:name="_Toc75421931"/>
      <w:r>
        <w:rPr>
          <w:rStyle w:val="CharSectno"/>
        </w:rPr>
        <w:t>16</w:t>
      </w:r>
      <w:r>
        <w:t>.</w:t>
      </w:r>
      <w:r>
        <w:tab/>
        <w:t>Renewal of parking bay licences</w:t>
      </w:r>
      <w:bookmarkEnd w:id="43"/>
      <w:bookmarkEnd w:id="44"/>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 and</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45" w:name="_Toc160808805"/>
      <w:bookmarkStart w:id="46" w:name="_Toc75421932"/>
      <w:r>
        <w:rPr>
          <w:rStyle w:val="CharSectno"/>
        </w:rPr>
        <w:t>17</w:t>
      </w:r>
      <w:r>
        <w:t>.</w:t>
      </w:r>
      <w:r>
        <w:tab/>
        <w:t>Review of CEO’s decisions</w:t>
      </w:r>
      <w:bookmarkEnd w:id="45"/>
      <w:bookmarkEnd w:id="46"/>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 No. 55 of 2004 s. 910.]</w:t>
      </w:r>
    </w:p>
    <w:p>
      <w:pPr>
        <w:pStyle w:val="Heading2"/>
      </w:pPr>
      <w:bookmarkStart w:id="47" w:name="_Toc160807311"/>
      <w:bookmarkStart w:id="48" w:name="_Toc160808180"/>
      <w:bookmarkStart w:id="49" w:name="_Toc160808806"/>
      <w:bookmarkStart w:id="50" w:name="_Toc75346709"/>
      <w:bookmarkStart w:id="51" w:name="_Toc75346944"/>
      <w:bookmarkStart w:id="52" w:name="_Toc75421933"/>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47"/>
      <w:bookmarkEnd w:id="48"/>
      <w:bookmarkEnd w:id="49"/>
      <w:bookmarkEnd w:id="50"/>
      <w:bookmarkEnd w:id="51"/>
      <w:bookmarkEnd w:id="52"/>
    </w:p>
    <w:p>
      <w:pPr>
        <w:pStyle w:val="Heading5"/>
      </w:pPr>
      <w:bookmarkStart w:id="53" w:name="_Toc160808807"/>
      <w:bookmarkStart w:id="54" w:name="_Toc75421934"/>
      <w:r>
        <w:rPr>
          <w:rStyle w:val="CharSectno"/>
        </w:rPr>
        <w:t>18</w:t>
      </w:r>
      <w:r>
        <w:t>.</w:t>
      </w:r>
      <w:r>
        <w:tab/>
        <w:t>Offences</w:t>
      </w:r>
      <w:bookmarkEnd w:id="53"/>
      <w:bookmarkEnd w:id="54"/>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An owner of land or a building in the Perth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55" w:name="_Toc160808808"/>
      <w:bookmarkStart w:id="56" w:name="_Toc75421935"/>
      <w:r>
        <w:rPr>
          <w:rStyle w:val="CharSectno"/>
        </w:rPr>
        <w:t>19</w:t>
      </w:r>
      <w:r>
        <w:t>.</w:t>
      </w:r>
      <w:r>
        <w:tab/>
        <w:t>Infringement notices</w:t>
      </w:r>
      <w:bookmarkEnd w:id="55"/>
      <w:bookmarkEnd w:id="56"/>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 xml:space="preserve">[Section 19 amended: No. 84 of 2004 s. 80.] </w:t>
      </w:r>
    </w:p>
    <w:p>
      <w:pPr>
        <w:pStyle w:val="Heading2"/>
      </w:pPr>
      <w:bookmarkStart w:id="57" w:name="_Toc160807314"/>
      <w:bookmarkStart w:id="58" w:name="_Toc160808183"/>
      <w:bookmarkStart w:id="59" w:name="_Toc160808809"/>
      <w:bookmarkStart w:id="60" w:name="_Toc75346712"/>
      <w:bookmarkStart w:id="61" w:name="_Toc75346947"/>
      <w:bookmarkStart w:id="62" w:name="_Toc75421936"/>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57"/>
      <w:bookmarkEnd w:id="58"/>
      <w:bookmarkEnd w:id="59"/>
      <w:bookmarkEnd w:id="60"/>
      <w:bookmarkEnd w:id="61"/>
      <w:bookmarkEnd w:id="62"/>
    </w:p>
    <w:p>
      <w:pPr>
        <w:pStyle w:val="Heading5"/>
      </w:pPr>
      <w:bookmarkStart w:id="63" w:name="_Toc160808810"/>
      <w:bookmarkStart w:id="64" w:name="_Toc75421937"/>
      <w:r>
        <w:rPr>
          <w:rStyle w:val="CharSectno"/>
        </w:rPr>
        <w:t>20</w:t>
      </w:r>
      <w:r>
        <w:t>.</w:t>
      </w:r>
      <w:r>
        <w:tab/>
        <w:t>Appointment of inspectors</w:t>
      </w:r>
      <w:bookmarkEnd w:id="63"/>
      <w:bookmarkEnd w:id="64"/>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65" w:name="_Toc160808811"/>
      <w:bookmarkStart w:id="66" w:name="_Toc75421938"/>
      <w:r>
        <w:rPr>
          <w:rStyle w:val="CharSectno"/>
        </w:rPr>
        <w:t>21</w:t>
      </w:r>
      <w:r>
        <w:t>.</w:t>
      </w:r>
      <w:r>
        <w:tab/>
        <w:t>Powers of inspectors</w:t>
      </w:r>
      <w:bookmarkEnd w:id="65"/>
      <w:bookmarkEnd w:id="66"/>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enter and inspect any land or building in the Perth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67" w:name="_Toc160808812"/>
      <w:bookmarkStart w:id="68" w:name="_Toc75421939"/>
      <w:r>
        <w:rPr>
          <w:rStyle w:val="CharSectno"/>
        </w:rPr>
        <w:t>22</w:t>
      </w:r>
      <w:r>
        <w:t>.</w:t>
      </w:r>
      <w:r>
        <w:tab/>
        <w:t>Obstruction of inspectors</w:t>
      </w:r>
      <w:bookmarkEnd w:id="67"/>
      <w:bookmarkEnd w:id="68"/>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 or</w:t>
      </w:r>
    </w:p>
    <w:p>
      <w:pPr>
        <w:pStyle w:val="Indenta"/>
      </w:pPr>
      <w:r>
        <w:tab/>
        <w:t>(b)</w:t>
      </w:r>
      <w:r>
        <w:tab/>
        <w:t>refuses or fails to give information when required to do so under section 21; or</w:t>
      </w:r>
    </w:p>
    <w:p>
      <w:pPr>
        <w:pStyle w:val="Indenta"/>
      </w:pPr>
      <w:r>
        <w:tab/>
        <w:t>(c)</w:t>
      </w:r>
      <w:r>
        <w:tab/>
        <w:t>refuses or fails to produce a document when required to do so under section 21; or</w:t>
      </w:r>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69" w:name="_Toc160808813"/>
      <w:bookmarkStart w:id="70" w:name="_Toc75421940"/>
      <w:r>
        <w:rPr>
          <w:rStyle w:val="CharSectno"/>
        </w:rPr>
        <w:t>23</w:t>
      </w:r>
      <w:r>
        <w:t>.</w:t>
      </w:r>
      <w:r>
        <w:tab/>
        <w:t>Perth Parking Licensing Account</w:t>
      </w:r>
      <w:bookmarkEnd w:id="69"/>
      <w:bookmarkEnd w:id="70"/>
    </w:p>
    <w:p>
      <w:pPr>
        <w:pStyle w:val="Subsection"/>
        <w:rPr>
          <w:ins w:id="71" w:author="Master Repository Process" w:date="2025-06-17T15:34:00Z"/>
        </w:rPr>
      </w:pPr>
      <w:bookmarkStart w:id="72" w:name="_Hlk160807591"/>
      <w:ins w:id="73" w:author="Master Repository Process" w:date="2025-06-17T15:34:00Z">
        <w:r>
          <w:tab/>
          <w:t>(1A)</w:t>
        </w:r>
        <w:r>
          <w:tab/>
          <w:t xml:space="preserve">In this section — </w:t>
        </w:r>
      </w:ins>
    </w:p>
    <w:p>
      <w:pPr>
        <w:pStyle w:val="Defstart"/>
        <w:rPr>
          <w:ins w:id="74" w:author="Master Repository Process" w:date="2025-06-17T15:34:00Z"/>
        </w:rPr>
      </w:pPr>
      <w:ins w:id="75" w:author="Master Repository Process" w:date="2025-06-17T15:34:00Z">
        <w:r>
          <w:tab/>
        </w:r>
        <w:r>
          <w:rPr>
            <w:rStyle w:val="CharDefText"/>
          </w:rPr>
          <w:t>fundable project</w:t>
        </w:r>
        <w:r>
          <w:t xml:space="preserve">, in relation to the Perth parking management area — </w:t>
        </w:r>
      </w:ins>
    </w:p>
    <w:p>
      <w:pPr>
        <w:pStyle w:val="Defpara"/>
        <w:rPr>
          <w:ins w:id="76" w:author="Master Repository Process" w:date="2025-06-17T15:34:00Z"/>
        </w:rPr>
      </w:pPr>
      <w:ins w:id="77" w:author="Master Repository Process" w:date="2025-06-17T15:34:00Z">
        <w:r>
          <w:tab/>
          <w:t>(a)</w:t>
        </w:r>
        <w:r>
          <w:tab/>
          <w:t xml:space="preserve">means any of the following — </w:t>
        </w:r>
      </w:ins>
    </w:p>
    <w:p>
      <w:pPr>
        <w:pStyle w:val="Defsubpara"/>
        <w:rPr>
          <w:ins w:id="78" w:author="Master Repository Process" w:date="2025-06-17T15:34:00Z"/>
        </w:rPr>
      </w:pPr>
      <w:ins w:id="79" w:author="Master Repository Process" w:date="2025-06-17T15:34:00Z">
        <w:r>
          <w:tab/>
          <w:t>(i)</w:t>
        </w:r>
        <w:r>
          <w:tab/>
          <w:t xml:space="preserve">transport or accessibility infrastructure, projects or services within the area to promote a sustainable balance between different modes of transport; </w:t>
        </w:r>
      </w:ins>
    </w:p>
    <w:p>
      <w:pPr>
        <w:pStyle w:val="Defsubpara"/>
        <w:rPr>
          <w:ins w:id="80" w:author="Master Repository Process" w:date="2025-06-17T15:34:00Z"/>
        </w:rPr>
      </w:pPr>
      <w:ins w:id="81" w:author="Master Repository Process" w:date="2025-06-17T15:34:00Z">
        <w:r>
          <w:tab/>
          <w:t>(ii)</w:t>
        </w:r>
        <w:r>
          <w:tab/>
          <w:t xml:space="preserve">infrastructure, projects or services (not related to transport or accessibility) within the area to improve economic activity or urban amenity; </w:t>
        </w:r>
      </w:ins>
    </w:p>
    <w:p>
      <w:pPr>
        <w:pStyle w:val="Defsubpara"/>
        <w:rPr>
          <w:ins w:id="82" w:author="Master Repository Process" w:date="2025-06-17T15:34:00Z"/>
        </w:rPr>
      </w:pPr>
      <w:ins w:id="83" w:author="Master Repository Process" w:date="2025-06-17T15:34:00Z">
        <w:r>
          <w:tab/>
          <w:t>(iii)</w:t>
        </w:r>
        <w:r>
          <w:tab/>
          <w:t>traffic management within the area;</w:t>
        </w:r>
      </w:ins>
    </w:p>
    <w:p>
      <w:pPr>
        <w:pStyle w:val="Defpara"/>
        <w:rPr>
          <w:ins w:id="84" w:author="Master Repository Process" w:date="2025-06-17T15:34:00Z"/>
        </w:rPr>
      </w:pPr>
      <w:ins w:id="85" w:author="Master Repository Process" w:date="2025-06-17T15:34:00Z">
        <w:r>
          <w:tab/>
        </w:r>
        <w:r>
          <w:tab/>
          <w:t>but</w:t>
        </w:r>
      </w:ins>
    </w:p>
    <w:p>
      <w:pPr>
        <w:pStyle w:val="Defpara"/>
        <w:rPr>
          <w:ins w:id="86" w:author="Master Repository Process" w:date="2025-06-17T15:34:00Z"/>
        </w:rPr>
      </w:pPr>
      <w:ins w:id="87" w:author="Master Repository Process" w:date="2025-06-17T15:34:00Z">
        <w:r>
          <w:tab/>
          <w:t>(b)</w:t>
        </w:r>
        <w:r>
          <w:tab/>
          <w:t>does not include an event of a sporting, cultural or other nature (other than traffic management for the event).</w:t>
        </w:r>
      </w:ins>
    </w:p>
    <w:bookmarkEnd w:id="72"/>
    <w:p>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r>
        <w:rPr>
          <w:i/>
        </w:rPr>
        <w:t>Perth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There shall be charged to the Perth Parking Licensing Account, with the approval of the Minister, after consultation with the City of Perth,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w:t>
      </w:r>
      <w:del w:id="88" w:author="Master Repository Process" w:date="2025-06-17T15:34:00Z">
        <w:r>
          <w:delText>.</w:delText>
        </w:r>
      </w:del>
      <w:ins w:id="89" w:author="Master Repository Process" w:date="2025-06-17T15:34:00Z">
        <w:r>
          <w:t>; or</w:t>
        </w:r>
      </w:ins>
    </w:p>
    <w:p>
      <w:pPr>
        <w:pStyle w:val="Indenta"/>
        <w:rPr>
          <w:ins w:id="90" w:author="Master Repository Process" w:date="2025-06-17T15:34:00Z"/>
        </w:rPr>
      </w:pPr>
      <w:ins w:id="91" w:author="Master Repository Process" w:date="2025-06-17T15:34:00Z">
        <w:r>
          <w:tab/>
          <w:t>(c)</w:t>
        </w:r>
        <w:r>
          <w:tab/>
          <w:t xml:space="preserve">for the purpose of a fundable project, or a purpose connected with a fundable project, within the Perth parking management area. </w:t>
        </w:r>
      </w:ins>
    </w:p>
    <w:p>
      <w:pPr>
        <w:pStyle w:val="Subsection"/>
        <w:rPr>
          <w:ins w:id="92" w:author="Master Repository Process" w:date="2025-06-17T15:34:00Z"/>
        </w:rPr>
      </w:pPr>
      <w:ins w:id="93" w:author="Master Repository Process" w:date="2025-06-17T15:34:00Z">
        <w:r>
          <w:tab/>
          <w:t>(4)</w:t>
        </w:r>
        <w:r>
          <w:tab/>
          <w:t xml:space="preserve">Infrastructure, projects or services referred to in this section may include 1 or more of the following — </w:t>
        </w:r>
      </w:ins>
    </w:p>
    <w:p>
      <w:pPr>
        <w:pStyle w:val="Indenta"/>
        <w:rPr>
          <w:ins w:id="94" w:author="Master Repository Process" w:date="2025-06-17T15:34:00Z"/>
        </w:rPr>
      </w:pPr>
      <w:ins w:id="95" w:author="Master Repository Process" w:date="2025-06-17T15:34:00Z">
        <w:r>
          <w:tab/>
          <w:t>(a)</w:t>
        </w:r>
        <w:r>
          <w:tab/>
          <w:t>capital costs relating to the infrastructure, projects or services;</w:t>
        </w:r>
      </w:ins>
    </w:p>
    <w:p>
      <w:pPr>
        <w:pStyle w:val="Indenta"/>
        <w:rPr>
          <w:ins w:id="96" w:author="Master Repository Process" w:date="2025-06-17T15:34:00Z"/>
        </w:rPr>
      </w:pPr>
      <w:ins w:id="97" w:author="Master Repository Process" w:date="2025-06-17T15:34:00Z">
        <w:r>
          <w:tab/>
          <w:t>(b)</w:t>
        </w:r>
        <w:r>
          <w:tab/>
          <w:t>costs other than capital costs including running or administration costs relating to the infrastructure, projects or services.</w:t>
        </w:r>
      </w:ins>
    </w:p>
    <w:p>
      <w:pPr>
        <w:pStyle w:val="Footnotesection"/>
      </w:pPr>
      <w:r>
        <w:tab/>
        <w:t>[Section 23 amended: No. 7 of 2002 s. 21(1); No. 77 of 2006 Sch. 1 cl. 124</w:t>
      </w:r>
      <w:ins w:id="98" w:author="Master Repository Process" w:date="2025-06-17T15:34:00Z">
        <w:r>
          <w:t>; No. 2 of 2024 s. 193</w:t>
        </w:r>
      </w:ins>
      <w:r>
        <w:t>.]</w:t>
      </w:r>
    </w:p>
    <w:p>
      <w:pPr>
        <w:pStyle w:val="Heading5"/>
      </w:pPr>
      <w:bookmarkStart w:id="99" w:name="_Toc160808814"/>
      <w:bookmarkStart w:id="100" w:name="_Toc75421941"/>
      <w:r>
        <w:rPr>
          <w:rStyle w:val="CharSectno"/>
        </w:rPr>
        <w:t>24</w:t>
      </w:r>
      <w:r>
        <w:t>.</w:t>
      </w:r>
      <w:r>
        <w:tab/>
        <w:t>Delegation of CEO’s functions</w:t>
      </w:r>
      <w:bookmarkEnd w:id="99"/>
      <w:bookmarkEnd w:id="100"/>
    </w:p>
    <w:p>
      <w:pPr>
        <w:pStyle w:val="Subsection"/>
      </w:pPr>
      <w:r>
        <w:tab/>
        <w:t>(1)</w:t>
      </w:r>
      <w:r>
        <w:tab/>
        <w:t>The CEO may delegate any or all of his or her functions under this Act to a person (</w:t>
      </w:r>
      <w:r>
        <w:rPr>
          <w:rStyle w:val="CharDefText"/>
        </w:rPr>
        <w:t>original delegate</w:t>
      </w:r>
      <w:r>
        <w:t>).</w:t>
      </w:r>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101" w:name="_Toc160808815"/>
      <w:bookmarkStart w:id="102" w:name="_Toc75421942"/>
      <w:r>
        <w:rPr>
          <w:rStyle w:val="CharSectno"/>
        </w:rPr>
        <w:t>25</w:t>
      </w:r>
      <w:r>
        <w:t>.</w:t>
      </w:r>
      <w:r>
        <w:tab/>
        <w:t>Requirement to pay fees or provide information</w:t>
      </w:r>
      <w:bookmarkEnd w:id="101"/>
      <w:bookmarkEnd w:id="102"/>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103" w:name="_Toc160808816"/>
      <w:bookmarkStart w:id="104" w:name="_Toc75421943"/>
      <w:r>
        <w:rPr>
          <w:rStyle w:val="CharSectno"/>
        </w:rPr>
        <w:t>26</w:t>
      </w:r>
      <w:r>
        <w:t>.</w:t>
      </w:r>
      <w:r>
        <w:tab/>
        <w:t>Regulations</w:t>
      </w:r>
      <w:bookmarkEnd w:id="103"/>
      <w:bookmarkEnd w:id="104"/>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 and</w:t>
      </w:r>
    </w:p>
    <w:p>
      <w:pPr>
        <w:pStyle w:val="Indenta"/>
      </w:pPr>
      <w:r>
        <w:tab/>
        <w:t>(b)</w:t>
      </w:r>
      <w:r>
        <w:tab/>
        <w:t>prescribe offences for the purposes of section 19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pStyle w:val="Heading2"/>
        <w:rPr>
          <w:ins w:id="105" w:author="Master Repository Process" w:date="2025-06-17T15:34:00Z"/>
        </w:rPr>
      </w:pPr>
      <w:bookmarkStart w:id="106" w:name="_Toc160790664"/>
      <w:bookmarkStart w:id="107" w:name="_Toc160790925"/>
      <w:bookmarkStart w:id="108" w:name="_Toc160794515"/>
      <w:bookmarkStart w:id="109" w:name="_Toc160808191"/>
      <w:bookmarkStart w:id="110" w:name="_Toc160808817"/>
      <w:ins w:id="111" w:author="Master Repository Process" w:date="2025-06-17T15:34:00Z">
        <w:r>
          <w:rPr>
            <w:rStyle w:val="CharPartNo"/>
          </w:rPr>
          <w:t>Part 5</w:t>
        </w:r>
        <w:r>
          <w:t> — </w:t>
        </w:r>
        <w:r>
          <w:rPr>
            <w:rStyle w:val="CharPartText"/>
          </w:rPr>
          <w:t xml:space="preserve">Transitional provision for </w:t>
        </w:r>
        <w:r>
          <w:rPr>
            <w:rStyle w:val="CharPartText"/>
            <w:i/>
          </w:rPr>
          <w:t>Perth Parking Management Act 2024</w:t>
        </w:r>
        <w:bookmarkEnd w:id="106"/>
        <w:bookmarkEnd w:id="107"/>
        <w:bookmarkEnd w:id="108"/>
        <w:bookmarkEnd w:id="109"/>
        <w:bookmarkEnd w:id="110"/>
      </w:ins>
    </w:p>
    <w:p>
      <w:pPr>
        <w:pStyle w:val="Footnoteheading"/>
        <w:rPr>
          <w:ins w:id="112" w:author="Master Repository Process" w:date="2025-06-17T15:34:00Z"/>
        </w:rPr>
      </w:pPr>
      <w:bookmarkStart w:id="113" w:name="_Toc160794516"/>
      <w:ins w:id="114" w:author="Master Repository Process" w:date="2025-06-17T15:34:00Z">
        <w:r>
          <w:tab/>
          <w:t>[Heading inserted: No. 2 of 2024 s. 194.]</w:t>
        </w:r>
      </w:ins>
    </w:p>
    <w:p>
      <w:pPr>
        <w:pStyle w:val="Heading5"/>
        <w:rPr>
          <w:ins w:id="115" w:author="Master Repository Process" w:date="2025-06-17T15:34:00Z"/>
        </w:rPr>
      </w:pPr>
      <w:bookmarkStart w:id="116" w:name="_Toc160808818"/>
      <w:ins w:id="117" w:author="Master Repository Process" w:date="2025-06-17T15:34:00Z">
        <w:r>
          <w:rPr>
            <w:rStyle w:val="CharSectno"/>
          </w:rPr>
          <w:t>27</w:t>
        </w:r>
        <w:r>
          <w:t>.</w:t>
        </w:r>
        <w:r>
          <w:tab/>
          <w:t>Money credited to Perth Parking Licensing Account before commencement day may be used for fundable project</w:t>
        </w:r>
        <w:bookmarkEnd w:id="113"/>
        <w:bookmarkEnd w:id="116"/>
      </w:ins>
    </w:p>
    <w:p>
      <w:pPr>
        <w:pStyle w:val="Subsection"/>
        <w:rPr>
          <w:ins w:id="118" w:author="Master Repository Process" w:date="2025-06-17T15:34:00Z"/>
        </w:rPr>
      </w:pPr>
      <w:ins w:id="119" w:author="Master Repository Process" w:date="2025-06-17T15:34:00Z">
        <w:r>
          <w:tab/>
          <w:t>(1)</w:t>
        </w:r>
        <w:r>
          <w:tab/>
          <w:t xml:space="preserve">In this section — </w:t>
        </w:r>
      </w:ins>
    </w:p>
    <w:p>
      <w:pPr>
        <w:pStyle w:val="Defstart"/>
        <w:rPr>
          <w:ins w:id="120" w:author="Master Repository Process" w:date="2025-06-17T15:34:00Z"/>
        </w:rPr>
      </w:pPr>
      <w:ins w:id="121" w:author="Master Repository Process" w:date="2025-06-17T15:34:00Z">
        <w:r>
          <w:tab/>
        </w:r>
        <w:r>
          <w:rPr>
            <w:rStyle w:val="CharDefText"/>
          </w:rPr>
          <w:t>commencement day</w:t>
        </w:r>
        <w:r>
          <w:t xml:space="preserve"> means the day on which the </w:t>
        </w:r>
        <w:r>
          <w:rPr>
            <w:i/>
          </w:rPr>
          <w:t>Perth Parking Management Act 2024</w:t>
        </w:r>
        <w:r>
          <w:t xml:space="preserve"> Part 12 comes into operation.</w:t>
        </w:r>
      </w:ins>
    </w:p>
    <w:p>
      <w:pPr>
        <w:pStyle w:val="Subsection"/>
        <w:rPr>
          <w:ins w:id="122" w:author="Master Repository Process" w:date="2025-06-17T15:34:00Z"/>
        </w:rPr>
      </w:pPr>
      <w:ins w:id="123" w:author="Master Repository Process" w:date="2025-06-17T15:34:00Z">
        <w:r>
          <w:tab/>
          <w:t>(2)</w:t>
        </w:r>
        <w:r>
          <w:tab/>
          <w:t>Section 23(1A), (3)(c) and (4) apply in relation to an amount charged to the Perth Parking Licensing Account whether or not the amount was credited to the Account before or after commencement day.</w:t>
        </w:r>
      </w:ins>
    </w:p>
    <w:p>
      <w:pPr>
        <w:pStyle w:val="Footnotesection"/>
        <w:rPr>
          <w:ins w:id="124" w:author="Master Repository Process" w:date="2025-06-17T15:34:00Z"/>
        </w:rPr>
      </w:pPr>
      <w:ins w:id="125" w:author="Master Repository Process" w:date="2025-06-17T15:34:00Z">
        <w:r>
          <w:tab/>
          <w:t>[Section 27 inserted: No. 2 of 2024 s. 194.]</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26" w:name="_Toc160807322"/>
      <w:bookmarkStart w:id="127" w:name="_Toc160808193"/>
      <w:bookmarkStart w:id="128" w:name="_Toc160808819"/>
      <w:bookmarkStart w:id="129" w:name="_Toc75346720"/>
      <w:bookmarkStart w:id="130" w:name="_Toc75346955"/>
      <w:bookmarkStart w:id="131" w:name="_Toc75421944"/>
      <w:r>
        <w:t>Notes</w:t>
      </w:r>
      <w:bookmarkEnd w:id="126"/>
      <w:bookmarkEnd w:id="127"/>
      <w:bookmarkEnd w:id="128"/>
      <w:bookmarkEnd w:id="129"/>
      <w:bookmarkEnd w:id="130"/>
      <w:bookmarkEnd w:id="131"/>
    </w:p>
    <w:p>
      <w:pPr>
        <w:pStyle w:val="nStatement"/>
      </w:pPr>
      <w:r>
        <w:t xml:space="preserve">This is a compilation of the </w:t>
      </w:r>
      <w:r>
        <w:rPr>
          <w:i/>
          <w:noProof/>
        </w:rPr>
        <w:t>Perth Parking Management Act 1999</w:t>
      </w:r>
      <w:r>
        <w:t xml:space="preserve"> and includes amendments made by other written laws. For provisions that have come into operation, and for information about any reprints, see the compilation table. </w:t>
      </w:r>
      <w:ins w:id="132" w:author="Master Repository Process" w:date="2025-06-17T15:34:00Z">
        <w:r>
          <w:t>For provisions that have not yet come into operation see the uncommenced provisions table.</w:t>
        </w:r>
      </w:ins>
    </w:p>
    <w:p>
      <w:pPr>
        <w:pStyle w:val="nHeading3"/>
      </w:pPr>
      <w:bookmarkStart w:id="133" w:name="_Toc160808820"/>
      <w:bookmarkStart w:id="134" w:name="_Toc75421945"/>
      <w:r>
        <w:t>Compilation table</w:t>
      </w:r>
      <w:bookmarkEnd w:id="133"/>
      <w:bookmarkEnd w:id="13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snapToGrid w:val="0"/>
              </w:rPr>
              <w:t>Perth Parking Management Act 1999</w:t>
            </w:r>
          </w:p>
        </w:tc>
        <w:tc>
          <w:tcPr>
            <w:tcW w:w="1134" w:type="dxa"/>
          </w:tcPr>
          <w:p>
            <w:pPr>
              <w:pStyle w:val="nTable"/>
              <w:spacing w:after="40"/>
            </w:pPr>
            <w:r>
              <w:t>14 of 1999</w:t>
            </w:r>
          </w:p>
        </w:tc>
        <w:tc>
          <w:tcPr>
            <w:tcW w:w="1134" w:type="dxa"/>
          </w:tcPr>
          <w:p>
            <w:pPr>
              <w:pStyle w:val="nTable"/>
              <w:spacing w:after="40"/>
            </w:pPr>
            <w:r>
              <w:t>19 May 1999</w:t>
            </w:r>
          </w:p>
        </w:tc>
        <w:tc>
          <w:tcPr>
            <w:tcW w:w="2551" w:type="dxa"/>
          </w:tcPr>
          <w:p>
            <w:pPr>
              <w:pStyle w:val="nTable"/>
              <w:spacing w:after="40"/>
            </w:pPr>
            <w:r>
              <w:t>s. 1 and 2: 19 May 1999;</w:t>
            </w:r>
            <w:r>
              <w:br/>
              <w:t xml:space="preserve">Act other than s. 1 and 2: 16 Jul 1999 (see s. 2 and </w:t>
            </w:r>
            <w:r>
              <w:rPr>
                <w:i/>
              </w:rPr>
              <w:t>Gazette</w:t>
            </w:r>
            <w:r>
              <w:t xml:space="preserve"> 16 Jul 1999 p. 3183)</w:t>
            </w:r>
          </w:p>
        </w:tc>
      </w:tr>
      <w:tr>
        <w:tc>
          <w:tcPr>
            <w:tcW w:w="2268" w:type="dxa"/>
          </w:tcPr>
          <w:p>
            <w:pPr>
              <w:pStyle w:val="nTable"/>
              <w:spacing w:after="40"/>
              <w:rPr>
                <w:i/>
                <w:snapToGrid w:val="0"/>
                <w:vertAlign w:val="superscript"/>
              </w:rPr>
            </w:pPr>
            <w:r>
              <w:rPr>
                <w:i/>
                <w:snapToGrid w:val="0"/>
              </w:rPr>
              <w:t xml:space="preserve">Machinery of Government (Planning and Infrastructure) Amendment Act 2002 </w:t>
            </w:r>
            <w:r>
              <w:rPr>
                <w:snapToGrid w:val="0"/>
              </w:rPr>
              <w:t>Pt. 5</w:t>
            </w:r>
            <w:r>
              <w:rPr>
                <w:snapToGrid w:val="0"/>
                <w:vertAlign w:val="superscript"/>
              </w:rPr>
              <w:t> 1</w:t>
            </w:r>
          </w:p>
        </w:tc>
        <w:tc>
          <w:tcPr>
            <w:tcW w:w="1134"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c>
          <w:tcPr>
            <w:tcW w:w="2268" w:type="dxa"/>
          </w:tcPr>
          <w:p>
            <w:pPr>
              <w:pStyle w:val="nTable"/>
              <w:spacing w:after="40"/>
              <w:rPr>
                <w:i/>
                <w:snapToGrid w:val="0"/>
                <w:spacing w:val="6"/>
                <w:vertAlign w:val="superscript"/>
              </w:rPr>
            </w:pPr>
            <w:r>
              <w:rPr>
                <w:i/>
                <w:iCs/>
              </w:rPr>
              <w:t>State Administrative Tribunal (Conferral of Jurisdiction) Amendment and Repeal Act 2004</w:t>
            </w:r>
            <w:r>
              <w:t xml:space="preserve"> Pt. 2 Div. 96</w:t>
            </w:r>
            <w:r>
              <w:rPr>
                <w:vertAlign w:val="superscript"/>
              </w:rPr>
              <w:t> 2</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snapToGrid w:val="0"/>
              </w:rPr>
              <w:t xml:space="preserve">Reprint 1: The </w:t>
            </w:r>
            <w:r>
              <w:rPr>
                <w:b/>
                <w:bCs/>
                <w:i/>
                <w:snapToGrid w:val="0"/>
              </w:rPr>
              <w:t>Perth Parking Management Act 1999</w:t>
            </w:r>
            <w:r>
              <w:rPr>
                <w:b/>
                <w:bCs/>
                <w:snapToGrid w:val="0"/>
              </w:rPr>
              <w:t xml:space="preserve"> as at 28 Oct 2005</w:t>
            </w:r>
            <w:r>
              <w:rPr>
                <w:snapToGrid w:val="0"/>
              </w:rPr>
              <w:t xml:space="preserve"> (includes amendments listed above)</w:t>
            </w:r>
          </w:p>
        </w:tc>
      </w:tr>
      <w:tr>
        <w:tc>
          <w:tcPr>
            <w:tcW w:w="2268" w:type="dxa"/>
          </w:tcPr>
          <w:p>
            <w:pPr>
              <w:pStyle w:val="nTable"/>
              <w:spacing w:after="40"/>
              <w:rPr>
                <w:i/>
                <w:iCs/>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Sch. 1 cl. 124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shd w:val="clear" w:color="auto" w:fill="auto"/>
          </w:tcPr>
          <w:p>
            <w:pPr>
              <w:pStyle w:val="nTable"/>
              <w:spacing w:after="40"/>
              <w:rPr>
                <w:i/>
                <w:snapToGrid w:val="0"/>
              </w:rPr>
            </w:pPr>
            <w:r>
              <w:rPr>
                <w:i/>
                <w:snapToGrid w:val="0"/>
              </w:rPr>
              <w:t>Personal Property Securities (Consequential Repeals and Amendments) Act 2011</w:t>
            </w:r>
            <w:r>
              <w:rPr>
                <w:snapToGrid w:val="0"/>
              </w:rPr>
              <w:t xml:space="preserve"> Pt. 12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c>
          <w:tcPr>
            <w:tcW w:w="7087" w:type="dxa"/>
            <w:gridSpan w:val="4"/>
            <w:shd w:val="clear" w:color="auto" w:fill="auto"/>
          </w:tcPr>
          <w:p>
            <w:pPr>
              <w:pStyle w:val="nTable"/>
              <w:keepNext/>
              <w:spacing w:after="40"/>
              <w:rPr>
                <w:snapToGrid w:val="0"/>
              </w:rPr>
            </w:pPr>
            <w:r>
              <w:rPr>
                <w:b/>
                <w:bCs/>
                <w:snapToGrid w:val="0"/>
              </w:rPr>
              <w:t xml:space="preserve">Reprint 2: The </w:t>
            </w:r>
            <w:r>
              <w:rPr>
                <w:b/>
                <w:bCs/>
                <w:i/>
                <w:snapToGrid w:val="0"/>
              </w:rPr>
              <w:t>Perth Parking Management Act 1999</w:t>
            </w:r>
            <w:r>
              <w:rPr>
                <w:b/>
                <w:bCs/>
                <w:snapToGrid w:val="0"/>
              </w:rPr>
              <w:t xml:space="preserve"> as at 15 Aug 2014</w:t>
            </w:r>
            <w:r>
              <w:rPr>
                <w:snapToGrid w:val="0"/>
              </w:rPr>
              <w:t xml:space="preserve"> (includes amendments listed above)</w:t>
            </w:r>
          </w:p>
        </w:tc>
      </w:tr>
      <w:tr>
        <w:tc>
          <w:tcPr>
            <w:tcW w:w="2268" w:type="dxa"/>
            <w:shd w:val="clear" w:color="auto" w:fill="auto"/>
          </w:tcPr>
          <w:p>
            <w:pPr>
              <w:pStyle w:val="nTable"/>
              <w:spacing w:after="40"/>
              <w:rPr>
                <w:i/>
                <w:snapToGrid w:val="0"/>
              </w:rPr>
            </w:pPr>
            <w:r>
              <w:rPr>
                <w:i/>
              </w:rPr>
              <w:t>Strata Titles Amendment Act 2018</w:t>
            </w:r>
            <w:r>
              <w:t xml:space="preserve"> Pt. 3 Div. 13</w:t>
            </w:r>
          </w:p>
        </w:tc>
        <w:tc>
          <w:tcPr>
            <w:tcW w:w="1134" w:type="dxa"/>
            <w:shd w:val="clear" w:color="auto" w:fill="auto"/>
          </w:tcPr>
          <w:p>
            <w:pPr>
              <w:pStyle w:val="nTable"/>
              <w:spacing w:after="40"/>
              <w:rPr>
                <w:snapToGrid w:val="0"/>
              </w:rPr>
            </w:pPr>
            <w:r>
              <w:t>30 of 2018</w:t>
            </w:r>
          </w:p>
        </w:tc>
        <w:tc>
          <w:tcPr>
            <w:tcW w:w="1134" w:type="dxa"/>
            <w:shd w:val="clear" w:color="auto" w:fill="auto"/>
          </w:tcPr>
          <w:p>
            <w:pPr>
              <w:pStyle w:val="nTable"/>
              <w:spacing w:after="40"/>
              <w:rPr>
                <w:snapToGrid w:val="0"/>
              </w:rPr>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c>
          <w:tcPr>
            <w:tcW w:w="2268" w:type="dxa"/>
            <w:shd w:val="clear" w:color="auto" w:fill="auto"/>
          </w:tcPr>
          <w:p>
            <w:pPr>
              <w:pStyle w:val="nTable"/>
              <w:spacing w:after="40"/>
              <w:rPr>
                <w:i/>
              </w:rPr>
            </w:pPr>
            <w:r>
              <w:rPr>
                <w:i/>
              </w:rPr>
              <w:t>Community Titles Act 2018</w:t>
            </w:r>
            <w:r>
              <w:t xml:space="preserve"> Pt. 14 Div. 13</w:t>
            </w:r>
          </w:p>
        </w:tc>
        <w:tc>
          <w:tcPr>
            <w:tcW w:w="1134" w:type="dxa"/>
            <w:shd w:val="clear" w:color="auto" w:fill="auto"/>
          </w:tcPr>
          <w:p>
            <w:pPr>
              <w:pStyle w:val="nTable"/>
              <w:spacing w:after="40"/>
            </w:pPr>
            <w:r>
              <w:t>32 of 2018</w:t>
            </w:r>
          </w:p>
        </w:tc>
        <w:tc>
          <w:tcPr>
            <w:tcW w:w="1134"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ins w:id="135" w:author="Master Repository Process" w:date="2025-06-17T15:34:00Z"/>
        </w:trPr>
        <w:tc>
          <w:tcPr>
            <w:tcW w:w="2268" w:type="dxa"/>
            <w:tcBorders>
              <w:bottom w:val="single" w:sz="4" w:space="0" w:color="auto"/>
            </w:tcBorders>
            <w:shd w:val="clear" w:color="auto" w:fill="auto"/>
          </w:tcPr>
          <w:p>
            <w:pPr>
              <w:pStyle w:val="nTable"/>
              <w:spacing w:after="40"/>
              <w:rPr>
                <w:ins w:id="136" w:author="Master Repository Process" w:date="2025-06-17T15:34:00Z"/>
                <w:i/>
              </w:rPr>
            </w:pPr>
            <w:ins w:id="137" w:author="Master Repository Process" w:date="2025-06-17T15:34:00Z">
              <w:r>
                <w:rPr>
                  <w:i/>
                  <w:noProof/>
                </w:rPr>
                <w:t xml:space="preserve">Perth Parking Management Act 2024 </w:t>
              </w:r>
              <w:r>
                <w:rPr>
                  <w:iCs/>
                  <w:noProof/>
                </w:rPr>
                <w:t>Pt. 12</w:t>
              </w:r>
            </w:ins>
          </w:p>
        </w:tc>
        <w:tc>
          <w:tcPr>
            <w:tcW w:w="1134" w:type="dxa"/>
            <w:tcBorders>
              <w:bottom w:val="single" w:sz="4" w:space="0" w:color="auto"/>
            </w:tcBorders>
            <w:shd w:val="clear" w:color="auto" w:fill="auto"/>
          </w:tcPr>
          <w:p>
            <w:pPr>
              <w:pStyle w:val="nTable"/>
              <w:spacing w:after="40"/>
              <w:rPr>
                <w:ins w:id="138" w:author="Master Repository Process" w:date="2025-06-17T15:34:00Z"/>
              </w:rPr>
            </w:pPr>
            <w:ins w:id="139" w:author="Master Repository Process" w:date="2025-06-17T15:34:00Z">
              <w:r>
                <w:t>2 of 2024</w:t>
              </w:r>
            </w:ins>
          </w:p>
        </w:tc>
        <w:tc>
          <w:tcPr>
            <w:tcW w:w="1134" w:type="dxa"/>
            <w:tcBorders>
              <w:bottom w:val="single" w:sz="4" w:space="0" w:color="auto"/>
            </w:tcBorders>
            <w:shd w:val="clear" w:color="auto" w:fill="auto"/>
          </w:tcPr>
          <w:p>
            <w:pPr>
              <w:pStyle w:val="nTable"/>
              <w:spacing w:after="40"/>
              <w:rPr>
                <w:ins w:id="140" w:author="Master Repository Process" w:date="2025-06-17T15:34:00Z"/>
              </w:rPr>
            </w:pPr>
            <w:ins w:id="141" w:author="Master Repository Process" w:date="2025-06-17T15:34:00Z">
              <w:r>
                <w:t>7 Mar 2024</w:t>
              </w:r>
            </w:ins>
          </w:p>
        </w:tc>
        <w:tc>
          <w:tcPr>
            <w:tcW w:w="2551" w:type="dxa"/>
            <w:tcBorders>
              <w:bottom w:val="single" w:sz="4" w:space="0" w:color="auto"/>
            </w:tcBorders>
            <w:shd w:val="clear" w:color="auto" w:fill="auto"/>
          </w:tcPr>
          <w:p>
            <w:pPr>
              <w:pStyle w:val="nTable"/>
              <w:spacing w:after="40"/>
              <w:rPr>
                <w:ins w:id="142" w:author="Master Repository Process" w:date="2025-06-17T15:34:00Z"/>
              </w:rPr>
            </w:pPr>
            <w:ins w:id="143" w:author="Master Repository Process" w:date="2025-06-17T15:34:00Z">
              <w:r>
                <w:t>8 Mar 2024 (see s. 2(b))</w:t>
              </w:r>
            </w:ins>
          </w:p>
        </w:tc>
      </w:tr>
    </w:tbl>
    <w:p>
      <w:pPr>
        <w:pStyle w:val="nHeading3"/>
        <w:rPr>
          <w:ins w:id="144" w:author="Master Repository Process" w:date="2025-06-17T15:34:00Z"/>
        </w:rPr>
      </w:pPr>
      <w:bookmarkStart w:id="145" w:name="_Toc160808821"/>
      <w:ins w:id="146" w:author="Master Repository Process" w:date="2025-06-17T15:34:00Z">
        <w:r>
          <w:t>Uncommenced provisions table</w:t>
        </w:r>
        <w:bookmarkEnd w:id="145"/>
      </w:ins>
    </w:p>
    <w:p>
      <w:pPr>
        <w:pStyle w:val="nStatement"/>
        <w:keepNext/>
        <w:spacing w:after="240"/>
        <w:rPr>
          <w:ins w:id="147" w:author="Master Repository Process" w:date="2025-06-17T15:34:00Z"/>
        </w:rPr>
      </w:pPr>
      <w:ins w:id="148" w:author="Master Repository Process" w:date="2025-06-17T15:34: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49" w:author="Master Repository Process" w:date="2025-06-17T15:34:00Z"/>
        </w:trPr>
        <w:tc>
          <w:tcPr>
            <w:tcW w:w="2268" w:type="dxa"/>
          </w:tcPr>
          <w:p>
            <w:pPr>
              <w:pStyle w:val="nTable"/>
              <w:spacing w:after="40"/>
              <w:rPr>
                <w:ins w:id="150" w:author="Master Repository Process" w:date="2025-06-17T15:34:00Z"/>
                <w:b/>
              </w:rPr>
            </w:pPr>
            <w:ins w:id="151" w:author="Master Repository Process" w:date="2025-06-17T15:34:00Z">
              <w:r>
                <w:rPr>
                  <w:b/>
                </w:rPr>
                <w:t>Short title</w:t>
              </w:r>
            </w:ins>
          </w:p>
        </w:tc>
        <w:tc>
          <w:tcPr>
            <w:tcW w:w="1134" w:type="dxa"/>
          </w:tcPr>
          <w:p>
            <w:pPr>
              <w:pStyle w:val="nTable"/>
              <w:spacing w:after="40"/>
              <w:rPr>
                <w:ins w:id="152" w:author="Master Repository Process" w:date="2025-06-17T15:34:00Z"/>
                <w:b/>
              </w:rPr>
            </w:pPr>
            <w:ins w:id="153" w:author="Master Repository Process" w:date="2025-06-17T15:34:00Z">
              <w:r>
                <w:rPr>
                  <w:b/>
                </w:rPr>
                <w:t>Number and year</w:t>
              </w:r>
            </w:ins>
          </w:p>
        </w:tc>
        <w:tc>
          <w:tcPr>
            <w:tcW w:w="1134" w:type="dxa"/>
          </w:tcPr>
          <w:p>
            <w:pPr>
              <w:pStyle w:val="nTable"/>
              <w:spacing w:after="40"/>
              <w:rPr>
                <w:ins w:id="154" w:author="Master Repository Process" w:date="2025-06-17T15:34:00Z"/>
                <w:b/>
              </w:rPr>
            </w:pPr>
            <w:ins w:id="155" w:author="Master Repository Process" w:date="2025-06-17T15:34:00Z">
              <w:r>
                <w:rPr>
                  <w:b/>
                </w:rPr>
                <w:t>Assent</w:t>
              </w:r>
            </w:ins>
          </w:p>
        </w:tc>
        <w:tc>
          <w:tcPr>
            <w:tcW w:w="2552" w:type="dxa"/>
          </w:tcPr>
          <w:p>
            <w:pPr>
              <w:pStyle w:val="nTable"/>
              <w:spacing w:after="40"/>
              <w:rPr>
                <w:ins w:id="156" w:author="Master Repository Process" w:date="2025-06-17T15:34:00Z"/>
                <w:b/>
              </w:rPr>
            </w:pPr>
            <w:ins w:id="157" w:author="Master Repository Process" w:date="2025-06-17T15:34:00Z">
              <w:r>
                <w:rPr>
                  <w:b/>
                </w:rPr>
                <w:t>Commencement</w:t>
              </w:r>
            </w:ins>
          </w:p>
        </w:tc>
      </w:tr>
      <w:tr>
        <w:trPr>
          <w:ins w:id="158" w:author="Master Repository Process" w:date="2025-06-17T15:34:00Z"/>
        </w:trPr>
        <w:tc>
          <w:tcPr>
            <w:tcW w:w="2268" w:type="dxa"/>
          </w:tcPr>
          <w:p>
            <w:pPr>
              <w:pStyle w:val="nTable"/>
              <w:spacing w:after="40"/>
              <w:rPr>
                <w:ins w:id="159" w:author="Master Repository Process" w:date="2025-06-17T15:34:00Z"/>
              </w:rPr>
            </w:pPr>
            <w:ins w:id="160" w:author="Master Repository Process" w:date="2025-06-17T15:34:00Z">
              <w:r>
                <w:rPr>
                  <w:i/>
                  <w:noProof/>
                </w:rPr>
                <w:t xml:space="preserve">Perth Parking Management Act 2024 </w:t>
              </w:r>
              <w:r>
                <w:rPr>
                  <w:iCs/>
                  <w:noProof/>
                </w:rPr>
                <w:t>s. 157</w:t>
              </w:r>
            </w:ins>
          </w:p>
        </w:tc>
        <w:tc>
          <w:tcPr>
            <w:tcW w:w="1134" w:type="dxa"/>
          </w:tcPr>
          <w:p>
            <w:pPr>
              <w:pStyle w:val="nTable"/>
              <w:spacing w:after="40"/>
              <w:rPr>
                <w:ins w:id="161" w:author="Master Repository Process" w:date="2025-06-17T15:34:00Z"/>
              </w:rPr>
            </w:pPr>
            <w:ins w:id="162" w:author="Master Repository Process" w:date="2025-06-17T15:34:00Z">
              <w:r>
                <w:t>2 of 2024</w:t>
              </w:r>
            </w:ins>
          </w:p>
        </w:tc>
        <w:tc>
          <w:tcPr>
            <w:tcW w:w="1134" w:type="dxa"/>
          </w:tcPr>
          <w:p>
            <w:pPr>
              <w:pStyle w:val="nTable"/>
              <w:spacing w:after="40"/>
              <w:rPr>
                <w:ins w:id="163" w:author="Master Repository Process" w:date="2025-06-17T15:34:00Z"/>
              </w:rPr>
            </w:pPr>
            <w:ins w:id="164" w:author="Master Repository Process" w:date="2025-06-17T15:34:00Z">
              <w:r>
                <w:t>7 Mar 2024</w:t>
              </w:r>
            </w:ins>
          </w:p>
        </w:tc>
        <w:tc>
          <w:tcPr>
            <w:tcW w:w="2552" w:type="dxa"/>
          </w:tcPr>
          <w:p>
            <w:pPr>
              <w:pStyle w:val="nTable"/>
              <w:spacing w:after="40"/>
              <w:rPr>
                <w:ins w:id="165" w:author="Master Repository Process" w:date="2025-06-17T15:34:00Z"/>
              </w:rPr>
            </w:pPr>
            <w:ins w:id="166" w:author="Master Repository Process" w:date="2025-06-17T15:34:00Z">
              <w:r>
                <w:t>To be proclaimed (see s. 2(c))</w:t>
              </w:r>
            </w:ins>
          </w:p>
        </w:tc>
      </w:tr>
    </w:tbl>
    <w:p>
      <w:pPr>
        <w:pStyle w:val="nHeading3"/>
      </w:pPr>
      <w:bookmarkStart w:id="167" w:name="_Toc160808822"/>
      <w:bookmarkStart w:id="168" w:name="_Toc75421946"/>
      <w:r>
        <w:t>Other notes</w:t>
      </w:r>
      <w:bookmarkEnd w:id="167"/>
      <w:bookmarkEnd w:id="168"/>
    </w:p>
    <w:p>
      <w:pPr>
        <w:pStyle w:val="nNote"/>
        <w:rPr>
          <w:snapToGrid w:val="0"/>
        </w:rPr>
      </w:pPr>
      <w:r>
        <w:rPr>
          <w:vertAlign w:val="superscript"/>
        </w:rPr>
        <w:t>1</w:t>
      </w:r>
      <w:r>
        <w:tab/>
        <w:t xml:space="preserve">The </w:t>
      </w:r>
      <w:r>
        <w:rPr>
          <w:i/>
          <w:snapToGrid w:val="0"/>
        </w:rPr>
        <w:t xml:space="preserve">Machinery of Government (Planning and Infrastructure) Amendment Act 2002 </w:t>
      </w:r>
      <w:r>
        <w:rPr>
          <w:snapToGrid w:val="0"/>
        </w:rPr>
        <w:t>s. 21(2) and (3) read as follows:</w:t>
      </w:r>
    </w:p>
    <w:p>
      <w:pPr>
        <w:pStyle w:val="BlankOpen"/>
      </w:pPr>
    </w:p>
    <w:p>
      <w:pPr>
        <w:pStyle w:val="nzSubsection"/>
        <w:spacing w:before="0"/>
      </w:pPr>
      <w:r>
        <w:tab/>
        <w:t>(2)</w:t>
      </w:r>
      <w:r>
        <w:tab/>
        <w:t xml:space="preserve">The balance of the Perth Parking Licensing Account as it was before this section came into operation is to be the opening balance of the account of that name established under the </w:t>
      </w:r>
      <w:r>
        <w:rPr>
          <w:i/>
        </w:rPr>
        <w:t>Perth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BlankClose"/>
      </w:pPr>
    </w:p>
    <w:p>
      <w:pPr>
        <w:pStyle w:val="nNote"/>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del w:id="169" w:author="Master Repository Process" w:date="2025-06-17T15:34:00Z"/>
        </w:rPr>
      </w:pPr>
    </w:p>
    <w:p>
      <w:pPr>
        <w:rPr>
          <w:del w:id="170" w:author="Master Repository Process" w:date="2025-06-17T15:34:00Z"/>
        </w:rPr>
        <w:sectPr>
          <w:headerReference w:type="even" r:id="rId21"/>
          <w:headerReference w:type="default" r:id="rId22"/>
          <w:pgSz w:w="11907" w:h="16840" w:code="9"/>
          <w:pgMar w:top="2376" w:right="2405" w:bottom="3542" w:left="2405" w:header="706" w:footer="3380" w:gutter="0"/>
          <w:cols w:space="720"/>
          <w:noEndnote/>
          <w:docGrid w:linePitch="326"/>
        </w:sectPr>
      </w:pPr>
    </w:p>
    <w:p>
      <w:pPr>
        <w:rPr>
          <w:ins w:id="171" w:author="Master Repository Process" w:date="2025-06-17T15:34:00Z"/>
        </w:rPr>
        <w:sectPr>
          <w:headerReference w:type="even" r:id="rId23"/>
          <w:headerReference w:type="default" r:id="rId24"/>
          <w:pgSz w:w="11907" w:h="16840" w:code="9"/>
          <w:pgMar w:top="2376" w:right="2405" w:bottom="3542" w:left="2405" w:header="706" w:footer="3544" w:gutter="0"/>
          <w:cols w:space="720"/>
          <w:noEndnote/>
          <w:docGrid w:linePitch="326"/>
        </w:sectPr>
      </w:pPr>
    </w:p>
    <w:p>
      <w:ins w:id="173" w:author="Master Repository Process" w:date="2025-06-17T15:3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74" w:author="Master Repository Process" w:date="2025-06-17T15:34:00Z"/>
                                  <w:sz w:val="16"/>
                                </w:rPr>
                              </w:pPr>
                              <w:ins w:id="175" w:author="Master Repository Process" w:date="2025-06-17T15: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76" w:author="Master Repository Process" w:date="2025-06-17T15:34:00Z"/>
                                  <w:sz w:val="16"/>
                                </w:rPr>
                              </w:pPr>
                              <w:ins w:id="177" w:author="Master Repository Process" w:date="2025-06-17T15: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8" w:author="Master Repository Process" w:date="2025-06-17T15:34:00Z"/>
                                  <w:sz w:val="16"/>
                                </w:rPr>
                              </w:pPr>
                              <w:ins w:id="179" w:author="Master Repository Process" w:date="2025-06-17T15: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80" w:author="Master Repository Process" w:date="2025-06-17T15:34:00Z"/>
                                  <w:rFonts w:ascii="Arial" w:hAnsi="Arial" w:cs="Arial"/>
                                  <w:sz w:val="12"/>
                                </w:rPr>
                              </w:pPr>
                              <w:ins w:id="181" w:author="Master Repository Process" w:date="2025-06-17T15:3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82" w:author="Master Repository Process" w:date="2025-06-17T15:34:00Z"/>
                            <w:sz w:val="16"/>
                          </w:rPr>
                        </w:pPr>
                        <w:ins w:id="183" w:author="Master Repository Process" w:date="2025-06-17T15: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84" w:author="Master Repository Process" w:date="2025-06-17T15:34:00Z"/>
                            <w:sz w:val="16"/>
                          </w:rPr>
                        </w:pPr>
                        <w:ins w:id="185" w:author="Master Repository Process" w:date="2025-06-17T15: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6" w:author="Master Repository Process" w:date="2025-06-17T15:34:00Z"/>
                            <w:sz w:val="16"/>
                          </w:rPr>
                        </w:pPr>
                        <w:ins w:id="187" w:author="Master Repository Process" w:date="2025-06-17T15: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88" w:author="Master Repository Process" w:date="2025-06-17T15:34:00Z"/>
                            <w:rFonts w:ascii="Arial" w:hAnsi="Arial" w:cs="Arial"/>
                            <w:sz w:val="12"/>
                          </w:rPr>
                        </w:pPr>
                        <w:ins w:id="189" w:author="Master Repository Process" w:date="2025-06-17T15:3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CA8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08161929"/>
    <w:docVar w:name="WAFER_20140123102939" w:val="RemoveTocBookmarks,RemoveUnusedBookmarks,RemoveLanguageTags,UsedStyles,ResetPageSize,UpdateArrangement"/>
    <w:docVar w:name="WAFER_20140123102939_GUID" w:val="3f1073b6-8804-4060-8469-508fa4314ef3"/>
    <w:docVar w:name="WAFER_20140123111131" w:val="RemoveTocBookmarks,RunningHeaders"/>
    <w:docVar w:name="WAFER_20140123111131_GUID" w:val="59e7add0-8158-402b-9d58-bc3bb347be2f"/>
    <w:docVar w:name="WAFER_20140214163707" w:val="ResetStyles"/>
    <w:docVar w:name="WAFER_20140214163707_GUID" w:val="00eb4a1b-e484-4fcd-b147-32caccd167d3"/>
    <w:docVar w:name="WAFER_20140709154809" w:val="RemoveTocBookmarks,RemoveUnusedBookmarks,RemoveLanguageTags,UsedStyles,ResetPageSize,RemoveCustomizations,UpdateArrangement"/>
    <w:docVar w:name="WAFER_20140709154809_GUID" w:val="5c1ae22a-d688-43b8-8eae-b6819a02f334"/>
    <w:docVar w:name="WAFER_20140808093228" w:val="RemoveTocBookmarks,RemoveUnusedBookmarks,RemoveLanguageTags,UsedStyles,RemoveTrackChanges"/>
    <w:docVar w:name="WAFER_20140808093228_GUID" w:val="2e8ef28c-ec5b-4955-b26d-b4ea555f194b"/>
    <w:docVar w:name="WAFER_20140808093245" w:val="RemoveTocBookmarks,RemoveLanguageTags,RemoveTrackChanges,RunningHeaders"/>
    <w:docVar w:name="WAFER_20140808093245_GUID" w:val="6b57faba-3f5b-4f82-8b1a-b8553a904c59"/>
    <w:docVar w:name="WAFER_20150709161000" w:val="ResetPageSize,UpdateArrangement,UpdateNTable"/>
    <w:docVar w:name="WAFER_20150709161000_GUID" w:val="34be5c5b-015b-4388-ad28-59fbea8dafe9"/>
    <w:docVar w:name="WAFER_20151109112256" w:val="UpdateStyles,UsedStyles"/>
    <w:docVar w:name="WAFER_20151109112256_GUID" w:val="7b44c71e-c059-46ab-aef5-45db5492ea45"/>
    <w:docVar w:name="WAFER_20181121094705" w:val="RemoveTocBookmarks,RemoveUnusedBookmarks,RemoveLanguageTags,UsedStyles,ResetPageSize"/>
    <w:docVar w:name="WAFER_20181121094705_GUID" w:val="b7b35cc7-8f27-4720-af41-b959ea647b4d"/>
    <w:docVar w:name="WAFER_20200211144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56_GUID" w:val="5cd73320-9dc8-4b63-a9eb-a9825a0bdc40"/>
    <w:docVar w:name="WAFER_20200220101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1630_GUID" w:val="5f46d968-0572-4037-bcf1-19c7a17752ef"/>
    <w:docVar w:name="WAFER_202106151216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03_GUID" w:val="7c11dc5a-ac65-4dad-aaca-8707fc59c39f"/>
    <w:docVar w:name="WAFER_202106231316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25_GUID" w:val="253d9cc0-86cb-41fc-bb4a-16dbed745667"/>
    <w:docVar w:name="WAFER_20240308161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08161929_GUID" w:val="e04ac3eb-b653-42ba-82da-af588cc40d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4937</Words>
  <Characters>23007</Characters>
  <Application>Microsoft Office Word</Application>
  <DocSecurity>0</DocSecurity>
  <Lines>657</Lines>
  <Paragraphs>367</Paragraphs>
  <ScaleCrop>false</ScaleCrop>
  <HeadingPairs>
    <vt:vector size="2" baseType="variant">
      <vt:variant>
        <vt:lpstr>Title</vt:lpstr>
      </vt:variant>
      <vt:variant>
        <vt:i4>1</vt:i4>
      </vt:variant>
    </vt:vector>
  </HeadingPairs>
  <TitlesOfParts>
    <vt:vector size="1" baseType="lpstr">
      <vt:lpstr>Perth Parking Management Act 1999</vt:lpstr>
    </vt:vector>
  </TitlesOfParts>
  <Manager/>
  <Company/>
  <LinksUpToDate>false</LinksUpToDate>
  <CharactersWithSpaces>27577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02-d0-00 - 02-e0-00</dc:title>
  <dc:subject/>
  <dc:creator/>
  <cp:keywords/>
  <dc:description/>
  <cp:lastModifiedBy>Master Repository Process</cp:lastModifiedBy>
  <cp:revision>2</cp:revision>
  <cp:lastPrinted>2014-08-08T01:40:00Z</cp:lastPrinted>
  <dcterms:created xsi:type="dcterms:W3CDTF">2025-06-17T07:34:00Z</dcterms:created>
  <dcterms:modified xsi:type="dcterms:W3CDTF">2025-06-17T07:34:00Z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DocumentType">
    <vt:lpwstr>Act</vt:lpwstr>
  </property>
  <property fmtid="{D5CDD505-2E9C-101B-9397-08002B2CF9AE}" pid="4" name="OwlsUID">
    <vt:i4>1938</vt:i4>
  </property>
  <property fmtid="{D5CDD505-2E9C-101B-9397-08002B2CF9AE}" pid="5" name="ThisVersion">
    <vt:lpwstr>01-d0-05</vt:lpwstr>
  </property>
  <property fmtid="{D5CDD505-2E9C-101B-9397-08002B2CF9AE}" pid="6" name="ReprintNo">
    <vt:lpwstr>2</vt:lpwstr>
  </property>
  <property fmtid="{D5CDD505-2E9C-101B-9397-08002B2CF9AE}" pid="7" name="ReprintedAsAt">
    <vt:filetime>2014-08-14T16:00:00Z</vt:filetime>
  </property>
  <property fmtid="{D5CDD505-2E9C-101B-9397-08002B2CF9AE}" pid="8" name="CommencementDate">
    <vt:lpwstr>20240308</vt:lpwstr>
  </property>
  <property fmtid="{D5CDD505-2E9C-101B-9397-08002B2CF9AE}" pid="9" name="CommencementAsAt">
    <vt:filetime>2024-03-07T16:00:00Z</vt:filetime>
  </property>
  <property fmtid="{D5CDD505-2E9C-101B-9397-08002B2CF9AE}" pid="10" name="CommencementYear">
    <vt:lpwstr>2024</vt:lpwstr>
  </property>
  <property fmtid="{D5CDD505-2E9C-101B-9397-08002B2CF9AE}" pid="11" name="Official">
    <vt:lpwstr/>
  </property>
  <property fmtid="{D5CDD505-2E9C-101B-9397-08002B2CF9AE}" pid="12" name="FromSuffix">
    <vt:lpwstr>02-d0-00</vt:lpwstr>
  </property>
  <property fmtid="{D5CDD505-2E9C-101B-9397-08002B2CF9AE}" pid="13" name="FromAsAtDate">
    <vt:lpwstr>30 Jun 2021</vt:lpwstr>
  </property>
  <property fmtid="{D5CDD505-2E9C-101B-9397-08002B2CF9AE}" pid="14" name="ToSuffix">
    <vt:lpwstr>02-e0-00</vt:lpwstr>
  </property>
  <property fmtid="{D5CDD505-2E9C-101B-9397-08002B2CF9AE}" pid="15" name="ToAsAtDate">
    <vt:lpwstr>08 Mar 2024</vt:lpwstr>
  </property>
</Properties>
</file>