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2024</w:t>
      </w:r>
      <w:r>
        <w:fldChar w:fldCharType="end"/>
      </w:r>
      <w:r>
        <w:t xml:space="preserve">, </w:t>
      </w:r>
      <w:r>
        <w:fldChar w:fldCharType="begin"/>
      </w:r>
      <w:r>
        <w:instrText xml:space="preserve"> DocProperty FromSuffix </w:instrText>
      </w:r>
      <w:r>
        <w:fldChar w:fldCharType="separate"/>
      </w:r>
      <w:r>
        <w:t>14-aj0-00</w:t>
      </w:r>
      <w:r>
        <w:fldChar w:fldCharType="end"/>
      </w:r>
      <w:r>
        <w:t>] and [</w:t>
      </w:r>
      <w:r>
        <w:fldChar w:fldCharType="begin"/>
      </w:r>
      <w:r>
        <w:instrText xml:space="preserve"> DocProperty ToAsAtDate</w:instrText>
      </w:r>
      <w:r>
        <w:fldChar w:fldCharType="separate"/>
      </w:r>
      <w:r>
        <w:t>21 Mar 2024</w:t>
      </w:r>
      <w:r>
        <w:fldChar w:fldCharType="end"/>
      </w:r>
      <w:r>
        <w:t xml:space="preserve">, </w:t>
      </w:r>
      <w:r>
        <w:fldChar w:fldCharType="begin"/>
      </w:r>
      <w:r>
        <w:instrText xml:space="preserve"> DocProperty ToSuffix</w:instrText>
      </w:r>
      <w:r>
        <w:fldChar w:fldCharType="separate"/>
      </w:r>
      <w:r>
        <w:t>14-ak0-00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161409653"/>
      <w:bookmarkStart w:id="2" w:name="_Toc154062555"/>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161409654"/>
      <w:bookmarkStart w:id="4" w:name="_Toc154062556"/>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161409655"/>
      <w:bookmarkStart w:id="6" w:name="_Toc154062557"/>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7" w:name="_Toc161409656"/>
      <w:bookmarkStart w:id="8" w:name="_Toc154062558"/>
      <w:r>
        <w:rPr>
          <w:rStyle w:val="CharSectno"/>
        </w:rPr>
        <w:lastRenderedPageBreak/>
        <w:t>3A</w:t>
      </w:r>
      <w:r>
        <w:rPr>
          <w:snapToGrid w:val="0"/>
        </w:rPr>
        <w:t>.</w:t>
      </w:r>
      <w:r>
        <w:rPr>
          <w:snapToGrid w:val="0"/>
        </w:rPr>
        <w:tab/>
        <w:t>Terms used</w:t>
      </w:r>
      <w:bookmarkEnd w:id="7"/>
      <w:bookmarkEnd w:id="8"/>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9" w:name="_Toc161409657"/>
      <w:bookmarkStart w:id="10" w:name="_Toc154062559"/>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1" w:name="_Toc161409658"/>
      <w:bookmarkStart w:id="12" w:name="_Toc154062560"/>
      <w:r>
        <w:rPr>
          <w:rStyle w:val="CharSectno"/>
        </w:rPr>
        <w:t>3AC</w:t>
      </w:r>
      <w:r>
        <w:t>.</w:t>
      </w:r>
      <w:r>
        <w:tab/>
        <w:t xml:space="preserve">Kind of liquor prescribed (aerosol containing ethanol) (Act s. 3(1) </w:t>
      </w:r>
      <w:r>
        <w:rPr>
          <w:i/>
        </w:rPr>
        <w:t>kind</w:t>
      </w:r>
      <w:r>
        <w:t>)</w:t>
      </w:r>
      <w:bookmarkEnd w:id="11"/>
      <w:bookmarkEnd w:id="12"/>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3" w:name="_Toc161409659"/>
      <w:bookmarkStart w:id="14" w:name="_Toc154062561"/>
      <w:r>
        <w:rPr>
          <w:rStyle w:val="CharSectno"/>
        </w:rPr>
        <w:t>3AD</w:t>
      </w:r>
      <w:r>
        <w:t>.</w:t>
      </w:r>
      <w:r>
        <w:tab/>
        <w:t xml:space="preserve">Kind of liquor prescribed (powdered alcohol)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5" w:name="_Toc161409660"/>
      <w:bookmarkStart w:id="16" w:name="_Toc154062562"/>
      <w:r>
        <w:rPr>
          <w:rStyle w:val="CharSectno"/>
        </w:rPr>
        <w:t>4</w:t>
      </w:r>
      <w:r>
        <w:rPr>
          <w:snapToGrid w:val="0"/>
        </w:rPr>
        <w:t>.</w:t>
      </w:r>
      <w:r>
        <w:rPr>
          <w:snapToGrid w:val="0"/>
        </w:rPr>
        <w:tab/>
        <w:t xml:space="preserve">Level prescribed </w:t>
      </w:r>
      <w:r>
        <w:t xml:space="preserve">(Act s. 3(1) </w:t>
      </w:r>
      <w:r>
        <w:rPr>
          <w:i/>
        </w:rPr>
        <w:t>low alcohol liquor</w:t>
      </w:r>
      <w:r>
        <w:t>)</w:t>
      </w:r>
      <w:bookmarkEnd w:id="15"/>
      <w:bookmarkEnd w:id="16"/>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7" w:name="_Toc161409661"/>
      <w:bookmarkStart w:id="18" w:name="_Toc15406256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7"/>
      <w:bookmarkEnd w:id="18"/>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9" w:name="_Toc161409662"/>
      <w:bookmarkStart w:id="20" w:name="_Toc154062564"/>
      <w:r>
        <w:rPr>
          <w:rStyle w:val="CharSectno"/>
        </w:rPr>
        <w:t>4A</w:t>
      </w:r>
      <w:r>
        <w:rPr>
          <w:snapToGrid w:val="0"/>
        </w:rPr>
        <w:t>.</w:t>
      </w:r>
      <w:r>
        <w:rPr>
          <w:snapToGrid w:val="0"/>
        </w:rPr>
        <w:tab/>
        <w:t xml:space="preserve">Substances prescribed (food items) </w:t>
      </w:r>
      <w:r>
        <w:t xml:space="preserve">(Act s. 3(1) </w:t>
      </w:r>
      <w:r>
        <w:rPr>
          <w:i/>
        </w:rPr>
        <w:t>liquor</w:t>
      </w:r>
      <w:r>
        <w:t>)</w:t>
      </w:r>
      <w:bookmarkEnd w:id="19"/>
      <w:bookmarkEnd w:id="20"/>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1" w:name="_Toc161409663"/>
      <w:bookmarkStart w:id="22" w:name="_Toc154062565"/>
      <w:r>
        <w:rPr>
          <w:rStyle w:val="CharSectno"/>
        </w:rPr>
        <w:t>4AB</w:t>
      </w:r>
      <w:r>
        <w:t>.</w:t>
      </w:r>
      <w:r>
        <w:tab/>
        <w:t>Substance prescribed (mist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3" w:name="_Toc161409664"/>
      <w:bookmarkStart w:id="24" w:name="_Toc154062566"/>
      <w:r>
        <w:rPr>
          <w:rStyle w:val="CharSectno"/>
        </w:rPr>
        <w:t>4AC</w:t>
      </w:r>
      <w:r>
        <w:t>.</w:t>
      </w:r>
      <w:r>
        <w:tab/>
        <w:t xml:space="preserve">Substance prescribed (aerosol containing ethanol) (Act s. 3(1) </w:t>
      </w:r>
      <w:r>
        <w:rPr>
          <w:i/>
        </w:rPr>
        <w:t>liquor</w:t>
      </w:r>
      <w:r>
        <w:t>)</w:t>
      </w:r>
      <w:bookmarkEnd w:id="23"/>
      <w:bookmarkEnd w:id="2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5" w:name="_Toc161409665"/>
      <w:bookmarkStart w:id="26" w:name="_Toc154062567"/>
      <w:r>
        <w:rPr>
          <w:rStyle w:val="CharSectno"/>
        </w:rPr>
        <w:t>4AD</w:t>
      </w:r>
      <w:r>
        <w:t>.</w:t>
      </w:r>
      <w:r>
        <w:tab/>
        <w:t xml:space="preserve">Substance prescribed (powdered alcohol) (Act s. 3(1) </w:t>
      </w:r>
      <w:r>
        <w:rPr>
          <w:i/>
        </w:rPr>
        <w:t>liquor</w:t>
      </w:r>
      <w:r>
        <w:t>)</w:t>
      </w:r>
      <w:bookmarkEnd w:id="25"/>
      <w:bookmarkEnd w:id="26"/>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7" w:name="_Toc161409666"/>
      <w:bookmarkStart w:id="28" w:name="_Toc154062568"/>
      <w:r>
        <w:rPr>
          <w:rStyle w:val="CharSectno"/>
        </w:rPr>
        <w:t>4AE</w:t>
      </w:r>
      <w:r>
        <w:t>.</w:t>
      </w:r>
      <w:r>
        <w:rPr>
          <w:rStyle w:val="CharSectno"/>
        </w:rPr>
        <w:tab/>
      </w:r>
      <w:r>
        <w:t>Substance prescribed (liqueur chocolate) (Act s. 3(1) liquor)</w:t>
      </w:r>
      <w:bookmarkEnd w:id="27"/>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29" w:name="_Toc161409667"/>
      <w:bookmarkStart w:id="30" w:name="_Toc15406256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9"/>
      <w:bookmarkEnd w:id="30"/>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1" w:name="_Toc161409668"/>
      <w:bookmarkStart w:id="32" w:name="_Toc154062570"/>
      <w:r>
        <w:rPr>
          <w:rStyle w:val="CharSectno"/>
        </w:rPr>
        <w:t>5A</w:t>
      </w:r>
      <w:r>
        <w:t>.</w:t>
      </w:r>
      <w:r>
        <w:tab/>
        <w:t xml:space="preserve">Quantities prescribed </w:t>
      </w:r>
      <w:r>
        <w:rPr>
          <w:snapToGrid w:val="0"/>
        </w:rPr>
        <w:t>(Act s.</w:t>
      </w:r>
      <w:r>
        <w:t xml:space="preserve"> 3(1) </w:t>
      </w:r>
      <w:r>
        <w:rPr>
          <w:i/>
        </w:rPr>
        <w:t>sample</w:t>
      </w:r>
      <w:r>
        <w:t>)</w:t>
      </w:r>
      <w:bookmarkEnd w:id="31"/>
      <w:bookmarkEnd w:id="32"/>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3" w:name="_Toc161409669"/>
      <w:bookmarkStart w:id="34" w:name="_Toc154062571"/>
      <w:r>
        <w:rPr>
          <w:rStyle w:val="CharSectno"/>
        </w:rPr>
        <w:t>5B</w:t>
      </w:r>
      <w:r>
        <w:t>.</w:t>
      </w:r>
      <w:r>
        <w:tab/>
        <w:t xml:space="preserve">Positions of authority in body corporate prescribed </w:t>
      </w:r>
      <w:r>
        <w:rPr>
          <w:snapToGrid w:val="0"/>
        </w:rPr>
        <w:t>(Act s.</w:t>
      </w:r>
      <w:r>
        <w:t> 3(4)(d))</w:t>
      </w:r>
      <w:bookmarkEnd w:id="33"/>
      <w:bookmarkEnd w:id="3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5" w:name="_Toc161409670"/>
      <w:bookmarkStart w:id="36" w:name="_Toc154062572"/>
      <w:r>
        <w:rPr>
          <w:rStyle w:val="CharSectno"/>
        </w:rPr>
        <w:t>5C</w:t>
      </w:r>
      <w:r>
        <w:t>.</w:t>
      </w:r>
      <w:r>
        <w:tab/>
        <w:t>Types of special facility licence prescribed (Act s. 4(6))</w:t>
      </w:r>
      <w:bookmarkEnd w:id="35"/>
      <w:bookmarkEnd w:id="36"/>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7" w:name="_Toc161409671"/>
      <w:bookmarkStart w:id="38" w:name="_Toc154062573"/>
      <w:r>
        <w:rPr>
          <w:rStyle w:val="CharSectno"/>
        </w:rPr>
        <w:t>7</w:t>
      </w:r>
      <w:r>
        <w:rPr>
          <w:snapToGrid w:val="0"/>
        </w:rPr>
        <w:t>.</w:t>
      </w:r>
      <w:r>
        <w:rPr>
          <w:snapToGrid w:val="0"/>
        </w:rPr>
        <w:tab/>
        <w:t>Approved courses (Act s. 6(1)(c))</w:t>
      </w:r>
      <w:bookmarkEnd w:id="37"/>
      <w:bookmarkEnd w:id="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39" w:name="_Toc161409672"/>
      <w:bookmarkStart w:id="40" w:name="_Toc154062574"/>
      <w:r>
        <w:rPr>
          <w:rStyle w:val="CharSectno"/>
        </w:rPr>
        <w:t>8</w:t>
      </w:r>
      <w:r>
        <w:rPr>
          <w:snapToGrid w:val="0"/>
        </w:rPr>
        <w:t>.</w:t>
      </w:r>
      <w:r>
        <w:rPr>
          <w:snapToGrid w:val="0"/>
        </w:rPr>
        <w:tab/>
        <w:t>Exemption from Act, certain sales etc.</w:t>
      </w:r>
      <w:bookmarkEnd w:id="39"/>
      <w:bookmarkEnd w:id="40"/>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41" w:name="_Toc161409673"/>
      <w:bookmarkStart w:id="42" w:name="_Toc154062575"/>
      <w:r>
        <w:rPr>
          <w:rStyle w:val="CharSectno"/>
        </w:rPr>
        <w:t>8A</w:t>
      </w:r>
      <w:r>
        <w:t>.</w:t>
      </w:r>
      <w:r>
        <w:tab/>
        <w:t>Exemption from Act, consumption at live entertainment venues</w:t>
      </w:r>
      <w:bookmarkEnd w:id="41"/>
      <w:bookmarkEnd w:id="4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3" w:name="_Toc161409674"/>
      <w:bookmarkStart w:id="44" w:name="_Toc154062576"/>
      <w:r>
        <w:rPr>
          <w:rStyle w:val="CharSectno"/>
        </w:rPr>
        <w:t>8B</w:t>
      </w:r>
      <w:r>
        <w:t>.</w:t>
      </w:r>
      <w:r>
        <w:tab/>
        <w:t>Exemption from Act, sales etc. at certain functions</w:t>
      </w:r>
      <w:bookmarkEnd w:id="43"/>
      <w:bookmarkEnd w:id="4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5" w:name="_Toc161409675"/>
      <w:bookmarkStart w:id="46" w:name="_Toc154062577"/>
      <w:r>
        <w:rPr>
          <w:rStyle w:val="CharSectno"/>
        </w:rPr>
        <w:t>8C</w:t>
      </w:r>
      <w:r>
        <w:t>.</w:t>
      </w:r>
      <w:r>
        <w:tab/>
        <w:t>Exemption from Act, complimentary supply by business</w:t>
      </w:r>
      <w:bookmarkEnd w:id="45"/>
      <w:bookmarkEnd w:id="46"/>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7" w:name="_Toc161409676"/>
      <w:bookmarkStart w:id="48" w:name="_Toc154062578"/>
      <w:r>
        <w:rPr>
          <w:rStyle w:val="CharSectno"/>
        </w:rPr>
        <w:t>8CA</w:t>
      </w:r>
      <w:r>
        <w:t>.</w:t>
      </w:r>
      <w:r>
        <w:tab/>
        <w:t>Exemption for complimentary supply by tourism businesses</w:t>
      </w:r>
      <w:bookmarkEnd w:id="47"/>
      <w:bookmarkEnd w:id="48"/>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49" w:name="_Toc161409677"/>
      <w:bookmarkStart w:id="50" w:name="_Toc154062579"/>
      <w:r>
        <w:rPr>
          <w:rStyle w:val="CharSectno"/>
        </w:rPr>
        <w:t>8D</w:t>
      </w:r>
      <w:r>
        <w:t>.</w:t>
      </w:r>
      <w:r>
        <w:tab/>
        <w:t>Exemption from Act, sales etc. at farmers’ markets</w:t>
      </w:r>
      <w:bookmarkEnd w:id="49"/>
      <w:bookmarkEnd w:id="50"/>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1" w:name="_Toc161409678"/>
      <w:bookmarkStart w:id="52" w:name="_Toc154062580"/>
      <w:r>
        <w:rPr>
          <w:rStyle w:val="CharSectno"/>
        </w:rPr>
        <w:t>8E</w:t>
      </w:r>
      <w:r>
        <w:t>.</w:t>
      </w:r>
      <w:r>
        <w:tab/>
        <w:t>Exemption from Act, sales etc. at functions on licensed premises</w:t>
      </w:r>
      <w:bookmarkEnd w:id="51"/>
      <w:bookmarkEnd w:id="52"/>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3" w:name="_Toc161409679"/>
      <w:bookmarkStart w:id="54" w:name="_Toc154062581"/>
      <w:r>
        <w:rPr>
          <w:rStyle w:val="CharSectno"/>
        </w:rPr>
        <w:t>8F</w:t>
      </w:r>
      <w:r>
        <w:t>.</w:t>
      </w:r>
      <w:r>
        <w:tab/>
        <w:t>Exemption from Act for consumption in on</w:t>
      </w:r>
      <w:r>
        <w:noBreakHyphen/>
        <w:t>demand charter vehicle (Act s. 6(1)(o))</w:t>
      </w:r>
      <w:bookmarkEnd w:id="53"/>
      <w:bookmarkEnd w:id="54"/>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55" w:name="_Toc161409680"/>
      <w:bookmarkStart w:id="56" w:name="_Toc154062582"/>
      <w:r>
        <w:rPr>
          <w:rStyle w:val="CharSectno"/>
        </w:rPr>
        <w:t>8G</w:t>
      </w:r>
      <w:r>
        <w:t>.</w:t>
      </w:r>
      <w:r>
        <w:tab/>
        <w:t>Exemption from Act in relation to liquor competition (Act s. 6(1)(o))</w:t>
      </w:r>
      <w:bookmarkEnd w:id="55"/>
      <w:bookmarkEnd w:id="56"/>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57" w:name="_Toc161409681"/>
      <w:bookmarkStart w:id="58" w:name="_Toc154062583"/>
      <w:r>
        <w:rPr>
          <w:rStyle w:val="CharSectno"/>
        </w:rPr>
        <w:t>9</w:t>
      </w:r>
      <w:r>
        <w:rPr>
          <w:snapToGrid w:val="0"/>
        </w:rPr>
        <w:t>.</w:t>
      </w:r>
      <w:r>
        <w:rPr>
          <w:snapToGrid w:val="0"/>
        </w:rPr>
        <w:tab/>
        <w:t>Persons who may take and administer oaths and affirmations (Act s. 18(3)(c))</w:t>
      </w:r>
      <w:bookmarkEnd w:id="57"/>
      <w:bookmarkEnd w:id="58"/>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59" w:name="_Toc161409682"/>
      <w:bookmarkStart w:id="60" w:name="_Toc154062584"/>
      <w:r>
        <w:rPr>
          <w:rStyle w:val="CharSectno"/>
        </w:rPr>
        <w:t>9AA</w:t>
      </w:r>
      <w:r>
        <w:t>.</w:t>
      </w:r>
      <w:r>
        <w:tab/>
        <w:t xml:space="preserve">Distance prescribed </w:t>
      </w:r>
      <w:r>
        <w:rPr>
          <w:snapToGrid w:val="0"/>
        </w:rPr>
        <w:t>(Act s.</w:t>
      </w:r>
      <w:r>
        <w:t> 36A(2)(b))</w:t>
      </w:r>
      <w:bookmarkEnd w:id="59"/>
      <w:bookmarkEnd w:id="60"/>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61" w:name="_Toc161409683"/>
      <w:bookmarkStart w:id="62" w:name="_Toc154062585"/>
      <w:r>
        <w:rPr>
          <w:rStyle w:val="CharSectno"/>
        </w:rPr>
        <w:t>9AAA</w:t>
      </w:r>
      <w:r>
        <w:t>.</w:t>
      </w:r>
      <w:r>
        <w:tab/>
        <w:t>Area prescribed (Act s. 36B)</w:t>
      </w:r>
      <w:bookmarkEnd w:id="61"/>
      <w:bookmarkEnd w:id="6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3" w:name="_Toc161409684"/>
      <w:bookmarkStart w:id="64" w:name="_Toc154062586"/>
      <w:r>
        <w:rPr>
          <w:rStyle w:val="CharSectno"/>
        </w:rPr>
        <w:t>9AAB</w:t>
      </w:r>
      <w:r>
        <w:t>.</w:t>
      </w:r>
      <w:r>
        <w:tab/>
        <w:t>Distance prescribed (Act s. 36B)</w:t>
      </w:r>
      <w:bookmarkEnd w:id="63"/>
      <w:bookmarkEnd w:id="64"/>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5" w:name="_Toc161409685"/>
      <w:bookmarkStart w:id="66" w:name="_Toc154062587"/>
      <w:r>
        <w:rPr>
          <w:rStyle w:val="CharSectno"/>
        </w:rPr>
        <w:t>9A</w:t>
      </w:r>
      <w:r>
        <w:t>.</w:t>
      </w:r>
      <w:r>
        <w:tab/>
      </w:r>
      <w:r>
        <w:rPr>
          <w:snapToGrid w:val="0"/>
        </w:rPr>
        <w:t>Special facility licence, purposes for which may be granted</w:t>
      </w:r>
      <w:bookmarkEnd w:id="65"/>
      <w:bookmarkEnd w:id="66"/>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7" w:name="_Toc161409686"/>
      <w:bookmarkStart w:id="68" w:name="_Toc154062588"/>
      <w:r>
        <w:rPr>
          <w:rStyle w:val="CharSectno"/>
        </w:rPr>
        <w:t>9AB</w:t>
      </w:r>
      <w:r>
        <w:t>.</w:t>
      </w:r>
      <w:r>
        <w:tab/>
        <w:t xml:space="preserve">Kind of extended trading permit prescribed </w:t>
      </w:r>
      <w:r>
        <w:rPr>
          <w:snapToGrid w:val="0"/>
        </w:rPr>
        <w:t>(Act s.</w:t>
      </w:r>
      <w:r>
        <w:t> 25(5a))</w:t>
      </w:r>
      <w:bookmarkEnd w:id="67"/>
      <w:bookmarkEnd w:id="68"/>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69" w:name="_Toc161409687"/>
      <w:bookmarkStart w:id="70" w:name="_Toc154062589"/>
      <w:r>
        <w:rPr>
          <w:rStyle w:val="CharSectno"/>
        </w:rPr>
        <w:t>9B</w:t>
      </w:r>
      <w:r>
        <w:rPr>
          <w:snapToGrid w:val="0"/>
        </w:rPr>
        <w:t>.</w:t>
      </w:r>
      <w:r>
        <w:rPr>
          <w:snapToGrid w:val="0"/>
        </w:rPr>
        <w:tab/>
        <w:t>Special facility licence, effect of as to sale of packaged liquor</w:t>
      </w:r>
      <w:bookmarkEnd w:id="69"/>
      <w:bookmarkEnd w:id="7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1" w:name="_Toc161409688"/>
      <w:bookmarkStart w:id="72" w:name="_Toc154062590"/>
      <w:r>
        <w:rPr>
          <w:rStyle w:val="CharSectno"/>
        </w:rPr>
        <w:t>9C</w:t>
      </w:r>
      <w:r>
        <w:t>.</w:t>
      </w:r>
      <w:r>
        <w:tab/>
        <w:t>Types of special facility licence prescribed (Act s. 46(6))</w:t>
      </w:r>
      <w:bookmarkEnd w:id="71"/>
      <w:bookmarkEnd w:id="72"/>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73" w:name="_Toc161409689"/>
      <w:bookmarkStart w:id="74" w:name="_Toc154062591"/>
      <w:r>
        <w:rPr>
          <w:rStyle w:val="CharSectno"/>
        </w:rPr>
        <w:t>9D</w:t>
      </w:r>
      <w:r>
        <w:t>.</w:t>
      </w:r>
      <w:r>
        <w:tab/>
      </w:r>
      <w:r>
        <w:rPr>
          <w:snapToGrid w:val="0"/>
        </w:rPr>
        <w:t>Act s.</w:t>
      </w:r>
      <w:r>
        <w:t> 33(6b) modified as to occasional licences</w:t>
      </w:r>
      <w:bookmarkEnd w:id="73"/>
      <w:bookmarkEnd w:id="74"/>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5" w:name="_Toc161409690"/>
      <w:bookmarkStart w:id="76" w:name="_Toc154062592"/>
      <w:r>
        <w:rPr>
          <w:rStyle w:val="CharSectno"/>
        </w:rPr>
        <w:t>9E</w:t>
      </w:r>
      <w:r>
        <w:t>.</w:t>
      </w:r>
      <w:r>
        <w:tab/>
        <w:t>Period prescribed (Act s. 33(6D)(b))</w:t>
      </w:r>
      <w:bookmarkEnd w:id="75"/>
      <w:bookmarkEnd w:id="76"/>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7" w:name="_Toc161409691"/>
      <w:bookmarkStart w:id="78" w:name="_Toc154062593"/>
      <w:r>
        <w:rPr>
          <w:rStyle w:val="CharSectno"/>
        </w:rPr>
        <w:t>9EA</w:t>
      </w:r>
      <w:r>
        <w:t>.</w:t>
      </w:r>
      <w:r>
        <w:tab/>
        <w:t>Kinds of licence prescribed (Act s. 38(1)(a))</w:t>
      </w:r>
      <w:bookmarkEnd w:id="77"/>
      <w:bookmarkEnd w:id="78"/>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79" w:name="_Toc161409692"/>
      <w:bookmarkStart w:id="80" w:name="_Toc154062594"/>
      <w:r>
        <w:rPr>
          <w:rStyle w:val="CharSectno"/>
        </w:rPr>
        <w:t>9F</w:t>
      </w:r>
      <w:r>
        <w:t>.</w:t>
      </w:r>
      <w:r>
        <w:tab/>
        <w:t>Kinds of permit prescribed (Act s. 38(1)(b))</w:t>
      </w:r>
      <w:bookmarkEnd w:id="79"/>
      <w:bookmarkEnd w:id="80"/>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1" w:name="_Toc161409693"/>
      <w:bookmarkStart w:id="82" w:name="_Toc154062595"/>
      <w:r>
        <w:rPr>
          <w:rStyle w:val="CharSectno"/>
        </w:rPr>
        <w:t>10</w:t>
      </w:r>
      <w:r>
        <w:rPr>
          <w:snapToGrid w:val="0"/>
        </w:rPr>
        <w:t>.</w:t>
      </w:r>
      <w:r>
        <w:rPr>
          <w:snapToGrid w:val="0"/>
        </w:rPr>
        <w:tab/>
        <w:t>Requirements prescribed (Act s. </w:t>
      </w:r>
      <w:r>
        <w:t>57(2)(d)</w:t>
      </w:r>
      <w:r>
        <w:rPr>
          <w:snapToGrid w:val="0"/>
        </w:rPr>
        <w:t>)</w:t>
      </w:r>
      <w:bookmarkEnd w:id="81"/>
      <w:bookmarkEnd w:id="8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3" w:name="_Toc161409694"/>
      <w:bookmarkStart w:id="84" w:name="_Toc154062596"/>
      <w:r>
        <w:rPr>
          <w:rStyle w:val="CharSectno"/>
        </w:rPr>
        <w:t>10A</w:t>
      </w:r>
      <w:r>
        <w:rPr>
          <w:snapToGrid w:val="0"/>
        </w:rPr>
        <w:t>.</w:t>
      </w:r>
      <w:r>
        <w:rPr>
          <w:snapToGrid w:val="0"/>
        </w:rPr>
        <w:tab/>
        <w:t>Condition prescribed (Act s. 55(2))</w:t>
      </w:r>
      <w:bookmarkEnd w:id="83"/>
      <w:bookmarkEnd w:id="84"/>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5" w:name="_Toc161409695"/>
      <w:bookmarkStart w:id="86" w:name="_Toc154062597"/>
      <w:r>
        <w:rPr>
          <w:rStyle w:val="CharSectno"/>
        </w:rPr>
        <w:t>10B</w:t>
      </w:r>
      <w:r>
        <w:t>.</w:t>
      </w:r>
      <w:r>
        <w:tab/>
        <w:t>Days for making application prescribed (Act s. 64(1BA))</w:t>
      </w:r>
      <w:bookmarkEnd w:id="85"/>
      <w:bookmarkEnd w:id="86"/>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87" w:name="_Toc161409696"/>
      <w:bookmarkStart w:id="88" w:name="_Toc154062598"/>
      <w:r>
        <w:rPr>
          <w:rStyle w:val="CharSectno"/>
        </w:rPr>
        <w:t>10C</w:t>
      </w:r>
      <w:r>
        <w:t>.</w:t>
      </w:r>
      <w:r>
        <w:tab/>
        <w:t>Prescribed requirements for sale and delivery of packaged liquor or liquor for consumption off licensed premises (Act s. 65(1)(b))</w:t>
      </w:r>
      <w:bookmarkEnd w:id="87"/>
      <w:bookmarkEnd w:id="88"/>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89" w:name="_Toc161409697"/>
      <w:bookmarkStart w:id="90" w:name="_Toc154062599"/>
      <w:r>
        <w:rPr>
          <w:rStyle w:val="CharSectno"/>
        </w:rPr>
        <w:t>11</w:t>
      </w:r>
      <w:r>
        <w:rPr>
          <w:snapToGrid w:val="0"/>
        </w:rPr>
        <w:t>.</w:t>
      </w:r>
      <w:r>
        <w:rPr>
          <w:snapToGrid w:val="0"/>
        </w:rPr>
        <w:tab/>
        <w:t>Plans and specifications, requirements for (Act s. 66(4) and (5))</w:t>
      </w:r>
      <w:bookmarkEnd w:id="89"/>
      <w:bookmarkEnd w:id="9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1" w:name="_Toc161409698"/>
      <w:bookmarkStart w:id="92" w:name="_Toc154062600"/>
      <w:r>
        <w:rPr>
          <w:rStyle w:val="CharSectno"/>
        </w:rPr>
        <w:t>13</w:t>
      </w:r>
      <w:r>
        <w:rPr>
          <w:snapToGrid w:val="0"/>
        </w:rPr>
        <w:t>.</w:t>
      </w:r>
      <w:r>
        <w:rPr>
          <w:snapToGrid w:val="0"/>
        </w:rPr>
        <w:tab/>
        <w:t>Records as to applicant, requirements for (Act s. 68(1)(b))</w:t>
      </w:r>
      <w:bookmarkEnd w:id="91"/>
      <w:bookmarkEnd w:id="9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3" w:name="_Toc161409699"/>
      <w:bookmarkStart w:id="94" w:name="_Toc154062601"/>
      <w:r>
        <w:rPr>
          <w:rStyle w:val="CharSectno"/>
        </w:rPr>
        <w:t>14A</w:t>
      </w:r>
      <w:r>
        <w:t>.</w:t>
      </w:r>
      <w:r>
        <w:tab/>
        <w:t xml:space="preserve">Types etc. of premises prescribed </w:t>
      </w:r>
      <w:r>
        <w:rPr>
          <w:snapToGrid w:val="0"/>
        </w:rPr>
        <w:t>(Act s. 77(5a)(b))</w:t>
      </w:r>
      <w:bookmarkEnd w:id="93"/>
      <w:bookmarkEnd w:id="9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5" w:name="_Toc161409700"/>
      <w:bookmarkStart w:id="96" w:name="_Toc154062602"/>
      <w:r>
        <w:rPr>
          <w:rStyle w:val="CharSectno"/>
        </w:rPr>
        <w:t>14AA</w:t>
      </w:r>
      <w:r>
        <w:t>.</w:t>
      </w:r>
      <w:r>
        <w:tab/>
        <w:t>Area prescribed (Act s. 77A)</w:t>
      </w:r>
      <w:bookmarkEnd w:id="95"/>
      <w:bookmarkEnd w:id="96"/>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7" w:name="_Toc161409701"/>
      <w:bookmarkStart w:id="98" w:name="_Toc154062603"/>
      <w:r>
        <w:rPr>
          <w:rStyle w:val="CharSectno"/>
        </w:rPr>
        <w:t>14AAA</w:t>
      </w:r>
      <w:r>
        <w:t>.</w:t>
      </w:r>
      <w:r>
        <w:tab/>
        <w:t>Distance prescribed (Act s. 77A)</w:t>
      </w:r>
      <w:bookmarkEnd w:id="97"/>
      <w:bookmarkEnd w:id="98"/>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99" w:name="_Toc161409702"/>
      <w:bookmarkStart w:id="100" w:name="_Toc154062604"/>
      <w:r>
        <w:rPr>
          <w:rStyle w:val="CharSectno"/>
        </w:rPr>
        <w:t>14AB</w:t>
      </w:r>
      <w:r>
        <w:t>.</w:t>
      </w:r>
      <w:r>
        <w:tab/>
        <w:t xml:space="preserve">Requirement for lodgment of application prescribed </w:t>
      </w:r>
      <w:r>
        <w:rPr>
          <w:snapToGrid w:val="0"/>
        </w:rPr>
        <w:t>(Act s. </w:t>
      </w:r>
      <w:r>
        <w:t>75(1)(b))</w:t>
      </w:r>
      <w:bookmarkEnd w:id="99"/>
      <w:bookmarkEnd w:id="10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01" w:name="_Toc161409703"/>
      <w:bookmarkStart w:id="102" w:name="_Toc154062605"/>
      <w:r>
        <w:rPr>
          <w:rStyle w:val="CharSectno"/>
        </w:rPr>
        <w:t>14AC</w:t>
      </w:r>
      <w:r>
        <w:t>.</w:t>
      </w:r>
      <w:r>
        <w:tab/>
        <w:t xml:space="preserve">Requirement for lodgment of application prescribed </w:t>
      </w:r>
      <w:r>
        <w:rPr>
          <w:snapToGrid w:val="0"/>
        </w:rPr>
        <w:t>(Act s. </w:t>
      </w:r>
      <w:r>
        <w:t>76(1)(b))</w:t>
      </w:r>
      <w:bookmarkEnd w:id="101"/>
      <w:bookmarkEnd w:id="10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03" w:name="_Toc161409704"/>
      <w:bookmarkStart w:id="104" w:name="_Toc154062606"/>
      <w:r>
        <w:rPr>
          <w:rStyle w:val="CharSectno"/>
        </w:rPr>
        <w:t>14ADA</w:t>
      </w:r>
      <w:r>
        <w:t>.</w:t>
      </w:r>
      <w:r>
        <w:tab/>
        <w:t>Manager’s approval, application for (Act s. 102B)</w:t>
      </w:r>
      <w:bookmarkEnd w:id="103"/>
      <w:bookmarkEnd w:id="10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5" w:name="_Toc161409705"/>
      <w:bookmarkStart w:id="106" w:name="_Toc154062607"/>
      <w:r>
        <w:rPr>
          <w:rStyle w:val="CharSectno"/>
        </w:rPr>
        <w:t>14ADB</w:t>
      </w:r>
      <w:r>
        <w:t>.</w:t>
      </w:r>
      <w:r>
        <w:tab/>
        <w:t>Manager’s approval, conditions on (Act s. 102C)</w:t>
      </w:r>
      <w:bookmarkEnd w:id="105"/>
      <w:bookmarkEnd w:id="106"/>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7" w:name="_Toc161409706"/>
      <w:bookmarkStart w:id="108" w:name="_Toc154062608"/>
      <w:r>
        <w:rPr>
          <w:rStyle w:val="CharSectno"/>
        </w:rPr>
        <w:t>14ADC</w:t>
      </w:r>
      <w:r>
        <w:t>.</w:t>
      </w:r>
      <w:r>
        <w:tab/>
        <w:t>Manager’s approval, duration of (Act s. 102D)</w:t>
      </w:r>
      <w:bookmarkEnd w:id="107"/>
      <w:bookmarkEnd w:id="10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09" w:name="_Toc161409707"/>
      <w:bookmarkStart w:id="110" w:name="_Toc154062609"/>
      <w:r>
        <w:rPr>
          <w:rStyle w:val="CharSectno"/>
        </w:rPr>
        <w:t>14ADD</w:t>
      </w:r>
      <w:r>
        <w:t>.</w:t>
      </w:r>
      <w:r>
        <w:tab/>
        <w:t>Manager’s approval, renewal of (Act s. 102E)</w:t>
      </w:r>
      <w:bookmarkEnd w:id="109"/>
      <w:bookmarkEnd w:id="110"/>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1" w:name="_Toc161409708"/>
      <w:bookmarkStart w:id="112" w:name="_Toc154062610"/>
      <w:r>
        <w:rPr>
          <w:rStyle w:val="CharSectno"/>
        </w:rPr>
        <w:t>14ADE</w:t>
      </w:r>
      <w:r>
        <w:t>.</w:t>
      </w:r>
      <w:r>
        <w:tab/>
        <w:t>Approved manager, identification card for</w:t>
      </w:r>
      <w:bookmarkEnd w:id="111"/>
      <w:bookmarkEnd w:id="11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3" w:name="_Toc161409709"/>
      <w:bookmarkStart w:id="114" w:name="_Toc154062611"/>
      <w:r>
        <w:rPr>
          <w:rStyle w:val="CharSectno"/>
        </w:rPr>
        <w:t>14ADF</w:t>
      </w:r>
      <w:r>
        <w:t>.</w:t>
      </w:r>
      <w:r>
        <w:tab/>
        <w:t>Lost etc. identification card, replacement of</w:t>
      </w:r>
      <w:bookmarkEnd w:id="113"/>
      <w:bookmarkEnd w:id="114"/>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5" w:name="_Toc161409710"/>
      <w:bookmarkStart w:id="116" w:name="_Toc154062612"/>
      <w:r>
        <w:rPr>
          <w:rStyle w:val="CharSectno"/>
        </w:rPr>
        <w:t>14ADG</w:t>
      </w:r>
      <w:r>
        <w:t>.</w:t>
      </w:r>
      <w:r>
        <w:tab/>
        <w:t>Transitioned approvals (Act Sch. 1B)</w:t>
      </w:r>
      <w:bookmarkEnd w:id="115"/>
      <w:bookmarkEnd w:id="11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7" w:name="_Toc161409711"/>
      <w:bookmarkStart w:id="118" w:name="_Toc154062613"/>
      <w:r>
        <w:rPr>
          <w:rStyle w:val="CharSectno"/>
        </w:rPr>
        <w:t>14AD</w:t>
      </w:r>
      <w:r>
        <w:t>.</w:t>
      </w:r>
      <w:r>
        <w:tab/>
        <w:t xml:space="preserve">Responsible practices in selling etc. liquor, courses on required </w:t>
      </w:r>
      <w:r>
        <w:rPr>
          <w:snapToGrid w:val="0"/>
        </w:rPr>
        <w:t>(Act s. </w:t>
      </w:r>
      <w:r>
        <w:t>103A(1)(a))</w:t>
      </w:r>
      <w:bookmarkEnd w:id="117"/>
      <w:bookmarkEnd w:id="11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19" w:name="_Toc161409712"/>
      <w:bookmarkStart w:id="120" w:name="_Toc154062614"/>
      <w:r>
        <w:rPr>
          <w:rStyle w:val="CharSectno"/>
        </w:rPr>
        <w:t>14AE</w:t>
      </w:r>
      <w:r>
        <w:t>.</w:t>
      </w:r>
      <w:r>
        <w:tab/>
        <w:t>Offences for r. 14AD</w:t>
      </w:r>
      <w:bookmarkEnd w:id="119"/>
      <w:bookmarkEnd w:id="120"/>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1" w:name="_Toc161409713"/>
      <w:bookmarkStart w:id="122" w:name="_Toc154062615"/>
      <w:r>
        <w:rPr>
          <w:rStyle w:val="CharSectno"/>
        </w:rPr>
        <w:t>14AG</w:t>
      </w:r>
      <w:r>
        <w:t>.</w:t>
      </w:r>
      <w:r>
        <w:tab/>
        <w:t>Licensee to maintain register </w:t>
      </w:r>
      <w:r>
        <w:rPr>
          <w:snapToGrid w:val="0"/>
        </w:rPr>
        <w:t>(Act s. </w:t>
      </w:r>
      <w:r>
        <w:t>103A(1)(b))</w:t>
      </w:r>
      <w:bookmarkEnd w:id="121"/>
      <w:bookmarkEnd w:id="12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3" w:name="_Toc161409714"/>
      <w:bookmarkStart w:id="124" w:name="_Toc154062616"/>
      <w:r>
        <w:rPr>
          <w:rStyle w:val="CharSectno"/>
        </w:rPr>
        <w:t>16</w:t>
      </w:r>
      <w:r>
        <w:rPr>
          <w:snapToGrid w:val="0"/>
        </w:rPr>
        <w:t>.</w:t>
      </w:r>
      <w:r>
        <w:rPr>
          <w:snapToGrid w:val="0"/>
        </w:rPr>
        <w:tab/>
        <w:t>Amount of liability prescribed (Act s. 107)</w:t>
      </w:r>
      <w:bookmarkEnd w:id="123"/>
      <w:bookmarkEnd w:id="12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5" w:name="_Toc161409715"/>
      <w:bookmarkStart w:id="126" w:name="_Toc154062617"/>
      <w:r>
        <w:rPr>
          <w:rStyle w:val="CharSectno"/>
        </w:rPr>
        <w:t>16AA</w:t>
      </w:r>
      <w:r>
        <w:t>.</w:t>
      </w:r>
      <w:r>
        <w:tab/>
        <w:t>Quantity and area for offence (Act s. 109A)</w:t>
      </w:r>
      <w:bookmarkEnd w:id="125"/>
      <w:bookmarkEnd w:id="126"/>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127" w:name="_Toc161409716"/>
      <w:bookmarkStart w:id="128" w:name="_Toc154062618"/>
      <w:r>
        <w:rPr>
          <w:rStyle w:val="CharSectno"/>
        </w:rPr>
        <w:t>16AB</w:t>
      </w:r>
      <w:r>
        <w:t>.</w:t>
      </w:r>
      <w:r>
        <w:tab/>
        <w:t>Persons of prescribed class (Act s. 109A(4)(b))</w:t>
      </w:r>
      <w:bookmarkEnd w:id="127"/>
      <w:bookmarkEnd w:id="128"/>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129" w:name="_Toc161409717"/>
      <w:bookmarkStart w:id="130" w:name="_Toc154062619"/>
      <w:r>
        <w:rPr>
          <w:rStyle w:val="CharSectno"/>
        </w:rPr>
        <w:t>16AC</w:t>
      </w:r>
      <w:r>
        <w:t>.</w:t>
      </w:r>
      <w:r>
        <w:tab/>
        <w:t>Vehicles of prescribed class (Act s. 109A(4)(c))</w:t>
      </w:r>
      <w:bookmarkEnd w:id="129"/>
      <w:bookmarkEnd w:id="130"/>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tab/>
        <w:t>(c)</w:t>
      </w:r>
      <w:r>
        <w:tab/>
        <w:t>a vehicle being driven by a police officer in the course of duty.</w:t>
      </w:r>
    </w:p>
    <w:p>
      <w:pPr>
        <w:pStyle w:val="Footnotesection"/>
      </w:pPr>
      <w:r>
        <w:tab/>
        <w:t>[Regulation 16AC inserted: SL 2021/163 r. 4.]</w:t>
      </w:r>
    </w:p>
    <w:p>
      <w:pPr>
        <w:pStyle w:val="Heading5"/>
      </w:pPr>
      <w:bookmarkStart w:id="131" w:name="_Toc161409718"/>
      <w:bookmarkStart w:id="132" w:name="_Toc154062620"/>
      <w:r>
        <w:rPr>
          <w:rStyle w:val="CharSectno"/>
        </w:rPr>
        <w:t>16AD</w:t>
      </w:r>
      <w:r>
        <w:t>.</w:t>
      </w:r>
      <w:r>
        <w:tab/>
        <w:t>Prescribed circumstance (Act s. 109A(4)(d))</w:t>
      </w:r>
      <w:bookmarkEnd w:id="131"/>
      <w:bookmarkEnd w:id="132"/>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133" w:name="_Toc161409719"/>
      <w:bookmarkStart w:id="134" w:name="_Toc154062621"/>
      <w:r>
        <w:rPr>
          <w:rStyle w:val="CharSectno"/>
        </w:rPr>
        <w:t>16A</w:t>
      </w:r>
      <w:r>
        <w:t>.</w:t>
      </w:r>
      <w:r>
        <w:tab/>
        <w:t xml:space="preserve">Sports arenas prescribed (Act s. 110(4B) </w:t>
      </w:r>
      <w:r>
        <w:rPr>
          <w:i/>
        </w:rPr>
        <w:t>sports arena</w:t>
      </w:r>
      <w:r>
        <w:t>)</w:t>
      </w:r>
      <w:bookmarkEnd w:id="133"/>
      <w:bookmarkEnd w:id="134"/>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35" w:name="_Toc161409720"/>
      <w:bookmarkStart w:id="136" w:name="_Toc154062622"/>
      <w:r>
        <w:rPr>
          <w:rStyle w:val="CharSectno"/>
        </w:rPr>
        <w:t>17</w:t>
      </w:r>
      <w:r>
        <w:rPr>
          <w:snapToGrid w:val="0"/>
        </w:rPr>
        <w:t>.</w:t>
      </w:r>
      <w:r>
        <w:rPr>
          <w:snapToGrid w:val="0"/>
        </w:rPr>
        <w:tab/>
        <w:t>Out of bounds area, notice for (Act s. 121(6))</w:t>
      </w:r>
      <w:bookmarkEnd w:id="135"/>
      <w:bookmarkEnd w:id="13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37" w:name="_Toc161409721"/>
      <w:bookmarkStart w:id="138" w:name="_Toc154062623"/>
      <w:r>
        <w:rPr>
          <w:rStyle w:val="CharSectno"/>
        </w:rPr>
        <w:t>18</w:t>
      </w:r>
      <w:r>
        <w:t>.</w:t>
      </w:r>
      <w:r>
        <w:tab/>
        <w:t>Premises prescribed to be regulated premises (Act s. 122(1)(f))</w:t>
      </w:r>
      <w:bookmarkEnd w:id="137"/>
      <w:bookmarkEnd w:id="138"/>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139" w:name="_Toc161409722"/>
      <w:bookmarkStart w:id="140" w:name="_Toc154062624"/>
      <w:r>
        <w:rPr>
          <w:rStyle w:val="CharSectno"/>
        </w:rPr>
        <w:t>18A</w:t>
      </w:r>
      <w:r>
        <w:rPr>
          <w:snapToGrid w:val="0"/>
        </w:rPr>
        <w:t>.</w:t>
      </w:r>
      <w:r>
        <w:rPr>
          <w:snapToGrid w:val="0"/>
        </w:rPr>
        <w:tab/>
        <w:t>Documents prescribed as evidence of age etc. (Act s. 126(1)(b)(i)(III) and s. 160(1))</w:t>
      </w:r>
      <w:bookmarkEnd w:id="139"/>
      <w:bookmarkEnd w:id="14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41" w:name="_Toc161409723"/>
      <w:bookmarkStart w:id="142" w:name="_Toc154062625"/>
      <w:r>
        <w:rPr>
          <w:rStyle w:val="CharSectno"/>
        </w:rPr>
        <w:t>18B</w:t>
      </w:r>
      <w:r>
        <w:rPr>
          <w:snapToGrid w:val="0"/>
        </w:rPr>
        <w:t>.</w:t>
      </w:r>
      <w:r>
        <w:rPr>
          <w:snapToGrid w:val="0"/>
        </w:rPr>
        <w:tab/>
        <w:t>Proof of age card, issue of etc.</w:t>
      </w:r>
      <w:bookmarkEnd w:id="141"/>
      <w:bookmarkEnd w:id="14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43" w:name="_Toc161409724"/>
      <w:bookmarkStart w:id="144" w:name="_Toc154062626"/>
      <w:r>
        <w:rPr>
          <w:rStyle w:val="CharSectno"/>
        </w:rPr>
        <w:t>18C</w:t>
      </w:r>
      <w:r>
        <w:rPr>
          <w:snapToGrid w:val="0"/>
        </w:rPr>
        <w:t>.</w:t>
      </w:r>
      <w:r>
        <w:rPr>
          <w:snapToGrid w:val="0"/>
        </w:rPr>
        <w:tab/>
        <w:t>Proof of age card, form etc. of (r. 18B)</w:t>
      </w:r>
      <w:bookmarkEnd w:id="143"/>
      <w:bookmarkEnd w:id="14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145" w:name="_Toc161409725"/>
      <w:bookmarkStart w:id="146" w:name="_Toc154062627"/>
      <w:r>
        <w:rPr>
          <w:rStyle w:val="CharSectno"/>
        </w:rPr>
        <w:t>18D</w:t>
      </w:r>
      <w:r>
        <w:rPr>
          <w:snapToGrid w:val="0"/>
        </w:rPr>
        <w:t>.</w:t>
      </w:r>
      <w:r>
        <w:rPr>
          <w:snapToGrid w:val="0"/>
        </w:rPr>
        <w:tab/>
        <w:t>Lost etc. proof of age card, replacement of</w:t>
      </w:r>
      <w:bookmarkEnd w:id="145"/>
      <w:bookmarkEnd w:id="14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47" w:name="_Toc161409726"/>
      <w:bookmarkStart w:id="148" w:name="_Toc154062628"/>
      <w:r>
        <w:rPr>
          <w:rStyle w:val="CharSectno"/>
        </w:rPr>
        <w:t>18E</w:t>
      </w:r>
      <w:r>
        <w:rPr>
          <w:snapToGrid w:val="0"/>
        </w:rPr>
        <w:t>.</w:t>
      </w:r>
      <w:r>
        <w:rPr>
          <w:snapToGrid w:val="0"/>
        </w:rPr>
        <w:tab/>
        <w:t>Agreement or arrangement prescribed (Act s. 104(2))</w:t>
      </w:r>
      <w:bookmarkEnd w:id="147"/>
      <w:bookmarkEnd w:id="14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49" w:name="_Toc161409727"/>
      <w:bookmarkStart w:id="150" w:name="_Toc154062629"/>
      <w:r>
        <w:rPr>
          <w:rStyle w:val="CharSectno"/>
        </w:rPr>
        <w:t>18EA</w:t>
      </w:r>
      <w:r>
        <w:t>.</w:t>
      </w:r>
      <w:r>
        <w:tab/>
        <w:t>Information prescribed for websites (Act s. 113A)</w:t>
      </w:r>
      <w:bookmarkEnd w:id="149"/>
      <w:bookmarkEnd w:id="150"/>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51" w:name="_Toc161409728"/>
      <w:bookmarkStart w:id="152" w:name="_Toc154062630"/>
      <w:r>
        <w:rPr>
          <w:rStyle w:val="CharSectno"/>
        </w:rPr>
        <w:t>18EBA</w:t>
      </w:r>
      <w:r>
        <w:t>.</w:t>
      </w:r>
      <w:r>
        <w:tab/>
        <w:t xml:space="preserve">Persons prescribed (Act s. 115AC(1A), 152K(1A), 152NZC(1), 152NZT(1) </w:t>
      </w:r>
      <w:r>
        <w:rPr>
          <w:i/>
        </w:rPr>
        <w:t>secure webpage</w:t>
      </w:r>
      <w:r>
        <w:t>)</w:t>
      </w:r>
      <w:bookmarkEnd w:id="151"/>
      <w:bookmarkEnd w:id="152"/>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153" w:name="_Toc161409729"/>
      <w:bookmarkStart w:id="154" w:name="_Toc154062631"/>
      <w:r>
        <w:rPr>
          <w:rStyle w:val="CharSectno"/>
        </w:rPr>
        <w:t>18EBB</w:t>
      </w:r>
      <w:r>
        <w:t>.</w:t>
      </w:r>
      <w:r>
        <w:tab/>
        <w:t>Prescribed class of persons (Act s. 115AC(1AA)(b))</w:t>
      </w:r>
      <w:bookmarkEnd w:id="153"/>
      <w:bookmarkEnd w:id="154"/>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155" w:name="_Toc161409730"/>
      <w:bookmarkStart w:id="156" w:name="_Toc154062632"/>
      <w:r>
        <w:rPr>
          <w:rStyle w:val="CharSectno"/>
        </w:rPr>
        <w:t>18EB</w:t>
      </w:r>
      <w:r>
        <w:t>.</w:t>
      </w:r>
      <w:r>
        <w:tab/>
        <w:t>Incidents and information prescribed for register (Act s. 116A)</w:t>
      </w:r>
      <w:bookmarkEnd w:id="155"/>
      <w:bookmarkEnd w:id="156"/>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157" w:name="_Toc161409731"/>
      <w:bookmarkStart w:id="158" w:name="_Toc154062633"/>
      <w:r>
        <w:rPr>
          <w:rStyle w:val="CharSectno"/>
        </w:rPr>
        <w:t>18EC</w:t>
      </w:r>
      <w:r>
        <w:t>.</w:t>
      </w:r>
      <w:r>
        <w:tab/>
        <w:t>Prescribed incidents involving physical force</w:t>
      </w:r>
      <w:bookmarkEnd w:id="157"/>
      <w:bookmarkEnd w:id="15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59" w:name="_Toc161409732"/>
      <w:bookmarkStart w:id="160" w:name="_Toc154062634"/>
      <w:r>
        <w:rPr>
          <w:rStyle w:val="CharSectno"/>
        </w:rPr>
        <w:t>18F</w:t>
      </w:r>
      <w:r>
        <w:t>.</w:t>
      </w:r>
      <w:r>
        <w:tab/>
        <w:t>Training courses prescribed (Act s. 121(11)(d))</w:t>
      </w:r>
      <w:bookmarkEnd w:id="159"/>
      <w:bookmarkEnd w:id="160"/>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161" w:name="_Toc161409733"/>
      <w:bookmarkStart w:id="162" w:name="_Toc154062635"/>
      <w:r>
        <w:rPr>
          <w:rStyle w:val="CharSectno"/>
        </w:rPr>
        <w:t>18G</w:t>
      </w:r>
      <w:r>
        <w:t>.</w:t>
      </w:r>
      <w:r>
        <w:tab/>
        <w:t>Confiscated document, how to be dealt with (Act s. 126(2b))</w:t>
      </w:r>
      <w:bookmarkEnd w:id="161"/>
      <w:bookmarkEnd w:id="16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63" w:name="_Toc161409734"/>
      <w:bookmarkStart w:id="164" w:name="_Toc154062636"/>
      <w:r>
        <w:rPr>
          <w:rStyle w:val="CharSectno"/>
        </w:rPr>
        <w:t>18H</w:t>
      </w:r>
      <w:r>
        <w:t>.</w:t>
      </w:r>
      <w:r>
        <w:tab/>
        <w:t>Provisions prescribed (Act s. 126E(4))</w:t>
      </w:r>
      <w:bookmarkEnd w:id="163"/>
      <w:bookmarkEnd w:id="164"/>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65" w:name="_Toc161409735"/>
      <w:bookmarkStart w:id="166" w:name="_Toc154062637"/>
      <w:r>
        <w:rPr>
          <w:rStyle w:val="CharSectno"/>
        </w:rPr>
        <w:t>19</w:t>
      </w:r>
      <w:r>
        <w:rPr>
          <w:snapToGrid w:val="0"/>
        </w:rPr>
        <w:t>.</w:t>
      </w:r>
      <w:r>
        <w:rPr>
          <w:snapToGrid w:val="0"/>
        </w:rPr>
        <w:tab/>
        <w:t>Subsidy, application for</w:t>
      </w:r>
      <w:bookmarkEnd w:id="165"/>
      <w:bookmarkEnd w:id="166"/>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167" w:name="_Toc161409736"/>
      <w:bookmarkStart w:id="168" w:name="_Toc154062638"/>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67"/>
      <w:bookmarkEnd w:id="168"/>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69" w:name="_Toc161409737"/>
      <w:bookmarkStart w:id="170" w:name="_Toc154062639"/>
      <w:r>
        <w:rPr>
          <w:rStyle w:val="CharSectno"/>
        </w:rPr>
        <w:t>21</w:t>
      </w:r>
      <w:r>
        <w:t>.</w:t>
      </w:r>
      <w:r>
        <w:tab/>
        <w:t>Wholesaler, subsidy for (Act s. 130)</w:t>
      </w:r>
      <w:bookmarkEnd w:id="169"/>
      <w:bookmarkEnd w:id="170"/>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71" w:name="_Toc161409738"/>
      <w:bookmarkStart w:id="172" w:name="_Toc154062640"/>
      <w:r>
        <w:rPr>
          <w:rStyle w:val="CharSectno"/>
        </w:rPr>
        <w:t>21A</w:t>
      </w:r>
      <w:r>
        <w:t>.</w:t>
      </w:r>
      <w:r>
        <w:tab/>
        <w:t>Wine producer, subsidy for (Act s. 130)</w:t>
      </w:r>
      <w:bookmarkEnd w:id="171"/>
      <w:bookmarkEnd w:id="172"/>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73" w:name="_Toc161409739"/>
      <w:bookmarkStart w:id="174" w:name="_Toc154062641"/>
      <w:r>
        <w:rPr>
          <w:rStyle w:val="CharSectno"/>
        </w:rPr>
        <w:t>21AC</w:t>
      </w:r>
      <w:r>
        <w:rPr>
          <w:snapToGrid w:val="0"/>
        </w:rPr>
        <w:t>.</w:t>
      </w:r>
      <w:r>
        <w:rPr>
          <w:snapToGrid w:val="0"/>
        </w:rPr>
        <w:tab/>
        <w:t>Subsidy payable once in respect of sale of liquor</w:t>
      </w:r>
      <w:bookmarkEnd w:id="173"/>
      <w:bookmarkEnd w:id="174"/>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75" w:name="_Toc161409740"/>
      <w:bookmarkStart w:id="176" w:name="_Toc154062642"/>
      <w:r>
        <w:rPr>
          <w:rStyle w:val="CharSectno"/>
        </w:rPr>
        <w:t>21B</w:t>
      </w:r>
      <w:r>
        <w:rPr>
          <w:snapToGrid w:val="0"/>
        </w:rPr>
        <w:t>.</w:t>
      </w:r>
      <w:r>
        <w:rPr>
          <w:snapToGrid w:val="0"/>
        </w:rPr>
        <w:tab/>
        <w:t xml:space="preserve">Subsidy, conditions imposed by Director as to </w:t>
      </w:r>
      <w:r>
        <w:t>(Act s. 130(2))</w:t>
      </w:r>
      <w:bookmarkEnd w:id="175"/>
      <w:bookmarkEnd w:id="176"/>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77" w:name="_Toc161409741"/>
      <w:bookmarkStart w:id="178" w:name="_Toc154062643"/>
      <w:r>
        <w:rPr>
          <w:rStyle w:val="CharSectno"/>
        </w:rPr>
        <w:t>21C</w:t>
      </w:r>
      <w:r>
        <w:rPr>
          <w:snapToGrid w:val="0"/>
        </w:rPr>
        <w:t>.</w:t>
      </w:r>
      <w:r>
        <w:rPr>
          <w:snapToGrid w:val="0"/>
        </w:rPr>
        <w:tab/>
        <w:t>Licensees prescribed </w:t>
      </w:r>
      <w:r>
        <w:t>(Act s. </w:t>
      </w:r>
      <w:r>
        <w:rPr>
          <w:snapToGrid w:val="0"/>
        </w:rPr>
        <w:t>145(1))</w:t>
      </w:r>
      <w:bookmarkEnd w:id="177"/>
      <w:bookmarkEnd w:id="17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79" w:name="_Toc161409742"/>
      <w:bookmarkStart w:id="180" w:name="_Toc154062644"/>
      <w:r>
        <w:rPr>
          <w:rStyle w:val="CharSectno"/>
        </w:rPr>
        <w:t>22</w:t>
      </w:r>
      <w:r>
        <w:rPr>
          <w:snapToGrid w:val="0"/>
        </w:rPr>
        <w:t>.</w:t>
      </w:r>
      <w:r>
        <w:rPr>
          <w:snapToGrid w:val="0"/>
        </w:rPr>
        <w:tab/>
        <w:t xml:space="preserve">Records prescribed etc. </w:t>
      </w:r>
      <w:r>
        <w:t>(Act s. </w:t>
      </w:r>
      <w:r>
        <w:rPr>
          <w:snapToGrid w:val="0"/>
        </w:rPr>
        <w:t>145)</w:t>
      </w:r>
      <w:bookmarkEnd w:id="179"/>
      <w:bookmarkEnd w:id="180"/>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81" w:name="_Toc161409743"/>
      <w:bookmarkStart w:id="182" w:name="_Toc154062645"/>
      <w:r>
        <w:rPr>
          <w:rStyle w:val="CharSectno"/>
        </w:rPr>
        <w:t>23</w:t>
      </w:r>
      <w:r>
        <w:rPr>
          <w:snapToGrid w:val="0"/>
        </w:rPr>
        <w:t>.</w:t>
      </w:r>
      <w:r>
        <w:rPr>
          <w:snapToGrid w:val="0"/>
        </w:rPr>
        <w:tab/>
        <w:t xml:space="preserve">Returns, verification and lodgment of </w:t>
      </w:r>
      <w:r>
        <w:t>(Act s. 146)</w:t>
      </w:r>
      <w:bookmarkEnd w:id="181"/>
      <w:bookmarkEnd w:id="18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83" w:name="_Toc161409744"/>
      <w:bookmarkStart w:id="184" w:name="_Toc154062646"/>
      <w:r>
        <w:rPr>
          <w:rStyle w:val="CharSectno"/>
        </w:rPr>
        <w:t>24</w:t>
      </w:r>
      <w:r>
        <w:rPr>
          <w:snapToGrid w:val="0"/>
        </w:rPr>
        <w:t>.</w:t>
      </w:r>
      <w:r>
        <w:rPr>
          <w:snapToGrid w:val="0"/>
        </w:rPr>
        <w:tab/>
        <w:t xml:space="preserve">Return of information required etc. </w:t>
      </w:r>
      <w:r>
        <w:t>(Act s. 145)</w:t>
      </w:r>
      <w:bookmarkEnd w:id="183"/>
      <w:bookmarkEnd w:id="184"/>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85" w:name="_Toc161409745"/>
      <w:bookmarkStart w:id="186" w:name="_Toc154062647"/>
      <w:r>
        <w:rPr>
          <w:rStyle w:val="CharSectno"/>
        </w:rPr>
        <w:t>24AA</w:t>
      </w:r>
      <w:r>
        <w:t>.</w:t>
      </w:r>
      <w:r>
        <w:tab/>
        <w:t>Prescribed class of persons (Act s. 152K(2AA)(b))</w:t>
      </w:r>
      <w:bookmarkEnd w:id="185"/>
      <w:bookmarkEnd w:id="186"/>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187" w:name="_Toc161409746"/>
      <w:bookmarkStart w:id="188" w:name="_Toc154062648"/>
      <w:r>
        <w:rPr>
          <w:rStyle w:val="CharSectno"/>
        </w:rPr>
        <w:t>24A</w:t>
      </w:r>
      <w:r>
        <w:t>.</w:t>
      </w:r>
      <w:r>
        <w:tab/>
        <w:t>Electronic means of service of documents under Part 5AA of Act (Act s. 152NZQ(4)(c))</w:t>
      </w:r>
      <w:bookmarkEnd w:id="187"/>
      <w:bookmarkEnd w:id="188"/>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189" w:name="_Toc161409747"/>
      <w:bookmarkStart w:id="190" w:name="_Toc154062649"/>
      <w:r>
        <w:rPr>
          <w:rStyle w:val="CharSectno"/>
        </w:rPr>
        <w:t>24B</w:t>
      </w:r>
      <w:r>
        <w:t>.</w:t>
      </w:r>
      <w:r>
        <w:tab/>
        <w:t>Consent to service of documents under Part 5AA of Act (Act s. 152NZQ(5))</w:t>
      </w:r>
      <w:bookmarkEnd w:id="189"/>
      <w:bookmarkEnd w:id="190"/>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191" w:name="_Toc161409748"/>
      <w:bookmarkStart w:id="192" w:name="_Toc154062650"/>
      <w:r>
        <w:rPr>
          <w:rStyle w:val="CharSectno"/>
        </w:rPr>
        <w:t>24C</w:t>
      </w:r>
      <w:r>
        <w:t>.</w:t>
      </w:r>
      <w:r>
        <w:tab/>
        <w:t>Time when documents under Part 5AA of Act are served (Act s. 152NZR(6))</w:t>
      </w:r>
      <w:bookmarkEnd w:id="191"/>
      <w:bookmarkEnd w:id="192"/>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193" w:name="_Toc161409749"/>
      <w:bookmarkStart w:id="194" w:name="_Toc154062651"/>
      <w:r>
        <w:rPr>
          <w:rStyle w:val="CharSectno"/>
        </w:rPr>
        <w:t>25A</w:t>
      </w:r>
      <w:r>
        <w:t>.</w:t>
      </w:r>
      <w:r>
        <w:tab/>
        <w:t>Class of persons prescribed (Act s. 152P(4)(b))</w:t>
      </w:r>
      <w:bookmarkEnd w:id="193"/>
      <w:bookmarkEnd w:id="19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195" w:name="_Toc161409750"/>
      <w:bookmarkStart w:id="196" w:name="_Toc154062652"/>
      <w:r>
        <w:rPr>
          <w:rStyle w:val="CharSectno"/>
        </w:rPr>
        <w:t>25B</w:t>
      </w:r>
      <w:r>
        <w:t>.</w:t>
      </w:r>
      <w:r>
        <w:tab/>
        <w:t>Fee payable for review of decision related to banned drinker orders (Act s. 152YY(1))</w:t>
      </w:r>
      <w:bookmarkEnd w:id="195"/>
      <w:bookmarkEnd w:id="196"/>
    </w:p>
    <w:p>
      <w:pPr>
        <w:pStyle w:val="Subsection"/>
      </w:pPr>
      <w:r>
        <w:tab/>
        <w:t>(1)</w:t>
      </w:r>
      <w:r>
        <w:tab/>
        <w:t>A fee of $272.50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 amended: SL 2023/196 r. 13.]</w:t>
      </w:r>
    </w:p>
    <w:p>
      <w:pPr>
        <w:pStyle w:val="Heading5"/>
      </w:pPr>
      <w:bookmarkStart w:id="197" w:name="_Toc161409751"/>
      <w:bookmarkStart w:id="198" w:name="_Toc154062653"/>
      <w:r>
        <w:rPr>
          <w:rStyle w:val="CharSectno"/>
        </w:rPr>
        <w:t>25C</w:t>
      </w:r>
      <w:r>
        <w:t>.</w:t>
      </w:r>
      <w:r>
        <w:tab/>
        <w:t>Disclosure of information about banned drinker order and banned drinker (Act s. 152ZC(2)(d))</w:t>
      </w:r>
      <w:bookmarkEnd w:id="197"/>
      <w:bookmarkEnd w:id="198"/>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199" w:name="_Toc161409752"/>
      <w:bookmarkStart w:id="200" w:name="_Toc154062654"/>
      <w:r>
        <w:rPr>
          <w:rStyle w:val="CharSectno"/>
        </w:rPr>
        <w:t>25</w:t>
      </w:r>
      <w:r>
        <w:rPr>
          <w:snapToGrid w:val="0"/>
        </w:rPr>
        <w:t>.</w:t>
      </w:r>
      <w:r>
        <w:rPr>
          <w:snapToGrid w:val="0"/>
        </w:rPr>
        <w:tab/>
        <w:t>Money payable under Act, how payable</w:t>
      </w:r>
      <w:bookmarkEnd w:id="199"/>
      <w:bookmarkEnd w:id="200"/>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201" w:name="_Toc161409753"/>
      <w:bookmarkStart w:id="202" w:name="_Toc154062655"/>
      <w:r>
        <w:rPr>
          <w:rStyle w:val="CharSectno"/>
        </w:rPr>
        <w:t>26</w:t>
      </w:r>
      <w:r>
        <w:rPr>
          <w:snapToGrid w:val="0"/>
        </w:rPr>
        <w:t>.</w:t>
      </w:r>
      <w:r>
        <w:rPr>
          <w:snapToGrid w:val="0"/>
        </w:rPr>
        <w:tab/>
        <w:t>Fees generally (Sch. 3)</w:t>
      </w:r>
      <w:bookmarkEnd w:id="201"/>
      <w:bookmarkEnd w:id="20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$311.50; or</w:t>
      </w:r>
    </w:p>
    <w:p>
      <w:pPr>
        <w:pStyle w:val="Indenta"/>
      </w:pPr>
      <w:r>
        <w:tab/>
        <w:t>(b)</w:t>
      </w:r>
      <w:r>
        <w:tab/>
        <w:t>if 3 or more such permits have been issued — an additional amount of $628.</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 SL 2023/156 r. 12.]</w:t>
      </w:r>
    </w:p>
    <w:p>
      <w:pPr>
        <w:pStyle w:val="Heading5"/>
      </w:pPr>
      <w:bookmarkStart w:id="203" w:name="_Toc161409754"/>
      <w:bookmarkStart w:id="204" w:name="_Toc154062656"/>
      <w:r>
        <w:rPr>
          <w:rStyle w:val="CharSectno"/>
        </w:rPr>
        <w:t>27A</w:t>
      </w:r>
      <w:r>
        <w:t>.</w:t>
      </w:r>
      <w:r>
        <w:tab/>
        <w:t>Reduction in licence fee for new licences</w:t>
      </w:r>
      <w:bookmarkEnd w:id="203"/>
      <w:bookmarkEnd w:id="204"/>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205" w:name="_Toc161409755"/>
      <w:bookmarkStart w:id="206" w:name="_Toc154062657"/>
      <w:r>
        <w:rPr>
          <w:rStyle w:val="CharSectno"/>
        </w:rPr>
        <w:t>27</w:t>
      </w:r>
      <w:r>
        <w:rPr>
          <w:snapToGrid w:val="0"/>
        </w:rPr>
        <w:t>.</w:t>
      </w:r>
      <w:r>
        <w:rPr>
          <w:snapToGrid w:val="0"/>
        </w:rPr>
        <w:tab/>
      </w:r>
      <w:r>
        <w:t>Prescribed offences for infringement notices (Act s. 167(2))</w:t>
      </w:r>
      <w:bookmarkEnd w:id="205"/>
      <w:bookmarkEnd w:id="206"/>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rPr>
          <w:ins w:id="207" w:author="Master Repository Process" w:date="2025-06-18T09:08:00Z"/>
        </w:trPr>
        <w:tc>
          <w:tcPr>
            <w:tcW w:w="5245" w:type="dxa"/>
          </w:tcPr>
          <w:p>
            <w:pPr>
              <w:pStyle w:val="TableNAm"/>
              <w:rPr>
                <w:ins w:id="208" w:author="Master Repository Process" w:date="2025-06-18T09:08:00Z"/>
                <w:i/>
              </w:rPr>
            </w:pPr>
            <w:ins w:id="209" w:author="Master Repository Process" w:date="2025-06-18T09:08:00Z">
              <w:r>
                <w:rPr>
                  <w:i/>
                </w:rPr>
                <w:t>Liquor Control (Weymul Restricted Area) Regulations 2024</w:t>
              </w:r>
              <w:r>
                <w:t xml:space="preserve"> </w:t>
              </w:r>
              <w:r>
                <w:rPr>
                  <w:szCs w:val="24"/>
                </w:rPr>
                <w:t>regulation 6(1)</w:t>
              </w:r>
            </w:ins>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w:t>
      </w:r>
      <w:ins w:id="210" w:author="Master Repository Process" w:date="2025-06-18T09:08:00Z">
        <w:r>
          <w:t> 10; SL 2024/37 r.</w:t>
        </w:r>
      </w:ins>
      <w:r>
        <w:t> 10.]</w:t>
      </w:r>
    </w:p>
    <w:p>
      <w:pPr>
        <w:pStyle w:val="Heading5"/>
      </w:pPr>
      <w:bookmarkStart w:id="211" w:name="_Toc161409756"/>
      <w:bookmarkStart w:id="212" w:name="_Toc154062658"/>
      <w:r>
        <w:rPr>
          <w:rStyle w:val="CharSectno"/>
        </w:rPr>
        <w:t>28</w:t>
      </w:r>
      <w:r>
        <w:t>.</w:t>
      </w:r>
      <w:r>
        <w:tab/>
        <w:t>Protected entertainment precincts (Act s. 175(1E))</w:t>
      </w:r>
      <w:bookmarkEnd w:id="211"/>
      <w:bookmarkEnd w:id="212"/>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w:t>
      </w:r>
    </w:p>
    <w:p>
      <w:pPr>
        <w:pStyle w:val="Heading5"/>
      </w:pPr>
      <w:bookmarkStart w:id="213" w:name="_Toc161409757"/>
      <w:bookmarkStart w:id="214" w:name="_Toc154062659"/>
      <w:r>
        <w:rPr>
          <w:rStyle w:val="CharSectno"/>
        </w:rPr>
        <w:t>29</w:t>
      </w:r>
      <w:r>
        <w:t>.</w:t>
      </w:r>
      <w:r>
        <w:tab/>
        <w:t>Banned drinker areas (Act s. 175(1G))</w:t>
      </w:r>
      <w:bookmarkEnd w:id="213"/>
      <w:bookmarkEnd w:id="214"/>
    </w:p>
    <w:p>
      <w:pPr>
        <w:pStyle w:val="Subsection"/>
      </w:pPr>
      <w:r>
        <w:tab/>
        <w:t>(1)</w:t>
      </w:r>
      <w:r>
        <w:tab/>
        <w:t>Each area of the State described in the Table, other than an area described in subregulation (2), is a banned drinker area.</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yScheduleHeading"/>
      </w:pPr>
      <w:bookmarkStart w:id="215" w:name="_Toc161316443"/>
      <w:bookmarkStart w:id="216" w:name="_Toc161316831"/>
      <w:bookmarkStart w:id="217" w:name="_Toc161409758"/>
      <w:bookmarkStart w:id="218" w:name="_Toc153979932"/>
      <w:bookmarkStart w:id="219" w:name="_Toc153982529"/>
      <w:bookmarkStart w:id="220" w:name="_Toc154046049"/>
      <w:bookmarkStart w:id="221" w:name="_Toc154062456"/>
      <w:bookmarkStart w:id="222" w:name="_Toc154062660"/>
      <w:r>
        <w:rPr>
          <w:rStyle w:val="CharSchNo"/>
        </w:rPr>
        <w:t>Schedule 1</w:t>
      </w:r>
      <w:bookmarkEnd w:id="215"/>
      <w:bookmarkEnd w:id="216"/>
      <w:bookmarkEnd w:id="217"/>
      <w:bookmarkEnd w:id="218"/>
      <w:bookmarkEnd w:id="219"/>
      <w:bookmarkEnd w:id="220"/>
      <w:bookmarkEnd w:id="221"/>
      <w:bookmarkEnd w:id="222"/>
    </w:p>
    <w:p>
      <w:pPr>
        <w:pStyle w:val="yShoulderClause"/>
        <w:spacing w:before="60"/>
        <w:rPr>
          <w:snapToGrid w:val="0"/>
        </w:rPr>
      </w:pPr>
      <w:r>
        <w:rPr>
          <w:snapToGrid w:val="0"/>
        </w:rPr>
        <w:t>[Regulation 3]</w:t>
      </w:r>
    </w:p>
    <w:p>
      <w:pPr>
        <w:pStyle w:val="yHeading2"/>
      </w:pPr>
      <w:bookmarkStart w:id="223" w:name="_Toc161316444"/>
      <w:bookmarkStart w:id="224" w:name="_Toc161316832"/>
      <w:bookmarkStart w:id="225" w:name="_Toc161409759"/>
      <w:bookmarkStart w:id="226" w:name="_Toc153979933"/>
      <w:bookmarkStart w:id="227" w:name="_Toc153982530"/>
      <w:bookmarkStart w:id="228" w:name="_Toc154046050"/>
      <w:bookmarkStart w:id="229" w:name="_Toc154062457"/>
      <w:bookmarkStart w:id="230" w:name="_Toc154062661"/>
      <w:r>
        <w:rPr>
          <w:rStyle w:val="CharSchText"/>
        </w:rPr>
        <w:t>Forms</w:t>
      </w:r>
      <w:bookmarkEnd w:id="223"/>
      <w:bookmarkEnd w:id="224"/>
      <w:bookmarkEnd w:id="225"/>
      <w:bookmarkEnd w:id="226"/>
      <w:bookmarkEnd w:id="227"/>
      <w:bookmarkEnd w:id="228"/>
      <w:bookmarkEnd w:id="229"/>
      <w:bookmarkEnd w:id="230"/>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231" w:name="_Toc161316445"/>
      <w:bookmarkStart w:id="232" w:name="_Toc161316833"/>
      <w:bookmarkStart w:id="233" w:name="_Toc161409760"/>
      <w:bookmarkStart w:id="234" w:name="_Toc153979934"/>
      <w:bookmarkStart w:id="235" w:name="_Toc153982531"/>
      <w:bookmarkStart w:id="236" w:name="_Toc154046051"/>
      <w:bookmarkStart w:id="237" w:name="_Toc154062458"/>
      <w:bookmarkStart w:id="238" w:name="_Toc154062662"/>
      <w:r>
        <w:rPr>
          <w:rStyle w:val="CharSchNo"/>
        </w:rPr>
        <w:t>Schedule 2</w:t>
      </w:r>
      <w:bookmarkEnd w:id="231"/>
      <w:bookmarkEnd w:id="232"/>
      <w:bookmarkEnd w:id="233"/>
      <w:bookmarkEnd w:id="234"/>
      <w:bookmarkEnd w:id="235"/>
      <w:bookmarkEnd w:id="236"/>
      <w:bookmarkEnd w:id="237"/>
      <w:bookmarkEnd w:id="238"/>
    </w:p>
    <w:p>
      <w:pPr>
        <w:pStyle w:val="yShoulderClause"/>
        <w:spacing w:before="60"/>
        <w:rPr>
          <w:snapToGrid w:val="0"/>
        </w:rPr>
      </w:pPr>
      <w:r>
        <w:rPr>
          <w:snapToGrid w:val="0"/>
        </w:rPr>
        <w:t>[Regulation 13]</w:t>
      </w:r>
    </w:p>
    <w:p>
      <w:pPr>
        <w:pStyle w:val="yHeading2"/>
        <w:spacing w:before="120" w:after="80"/>
      </w:pPr>
      <w:bookmarkStart w:id="239" w:name="_Toc161316446"/>
      <w:bookmarkStart w:id="240" w:name="_Toc161316834"/>
      <w:bookmarkStart w:id="241" w:name="_Toc161409761"/>
      <w:bookmarkStart w:id="242" w:name="_Toc153979935"/>
      <w:bookmarkStart w:id="243" w:name="_Toc153982532"/>
      <w:bookmarkStart w:id="244" w:name="_Toc154046052"/>
      <w:bookmarkStart w:id="245" w:name="_Toc154062459"/>
      <w:bookmarkStart w:id="246" w:name="_Toc154062663"/>
      <w:r>
        <w:rPr>
          <w:rStyle w:val="CharSchText"/>
        </w:rPr>
        <w:t>Details of applicant</w:t>
      </w:r>
      <w:bookmarkEnd w:id="239"/>
      <w:bookmarkEnd w:id="240"/>
      <w:bookmarkEnd w:id="241"/>
      <w:bookmarkEnd w:id="242"/>
      <w:bookmarkEnd w:id="243"/>
      <w:bookmarkEnd w:id="244"/>
      <w:bookmarkEnd w:id="245"/>
      <w:bookmarkEnd w:id="24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47" w:name="_Toc161316447"/>
      <w:bookmarkStart w:id="248" w:name="_Toc161316835"/>
      <w:bookmarkStart w:id="249" w:name="_Toc161409762"/>
      <w:bookmarkStart w:id="250" w:name="_Toc148012908"/>
      <w:bookmarkStart w:id="251" w:name="_Toc148012994"/>
      <w:bookmarkStart w:id="252" w:name="_Toc148013143"/>
      <w:bookmarkStart w:id="253" w:name="_Toc148435728"/>
      <w:bookmarkStart w:id="254" w:name="_Toc153982533"/>
      <w:bookmarkStart w:id="255" w:name="_Toc154046053"/>
      <w:bookmarkStart w:id="256" w:name="_Toc154062460"/>
      <w:bookmarkStart w:id="257" w:name="_Toc154062664"/>
      <w:bookmarkStart w:id="258" w:name="_Toc153979936"/>
      <w:r>
        <w:rPr>
          <w:rStyle w:val="CharSchNo"/>
        </w:rPr>
        <w:t>Schedule 3</w:t>
      </w:r>
      <w:r>
        <w:t> — </w:t>
      </w:r>
      <w:r>
        <w:rPr>
          <w:rStyle w:val="CharSchText"/>
        </w:rPr>
        <w:t>Fees</w:t>
      </w:r>
      <w:bookmarkEnd w:id="247"/>
      <w:bookmarkEnd w:id="248"/>
      <w:bookmarkEnd w:id="249"/>
      <w:bookmarkEnd w:id="250"/>
      <w:bookmarkEnd w:id="251"/>
      <w:bookmarkEnd w:id="252"/>
      <w:bookmarkEnd w:id="253"/>
      <w:bookmarkEnd w:id="254"/>
      <w:bookmarkEnd w:id="255"/>
      <w:bookmarkEnd w:id="256"/>
      <w:bookmarkEnd w:id="257"/>
    </w:p>
    <w:p>
      <w:pPr>
        <w:pStyle w:val="yShoulderClause"/>
      </w:pPr>
      <w:r>
        <w:t>[r. 11, 14ADF, 18B, 26 and 27A]</w:t>
      </w:r>
    </w:p>
    <w:p>
      <w:pPr>
        <w:pStyle w:val="yFootnoteheading"/>
      </w:pPr>
      <w:r>
        <w:tab/>
        <w:t>[Heading inserted: SL 2023/156 r. 13.]</w:t>
      </w:r>
    </w:p>
    <w:tbl>
      <w:tblPr>
        <w:tblW w:w="7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noWrap/>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s>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3 911.50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1 003</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transfer of a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960</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Licence fee for any licence other than a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660.50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Licence fee for a club restricted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324.50</w:t>
            </w:r>
          </w:p>
        </w:tc>
      </w:tr>
      <w:tr>
        <w:tc>
          <w:tcPr>
            <w:tcW w:w="684" w:type="dxa"/>
            <w:tcBorders>
              <w:top w:val="single" w:sz="4" w:space="0" w:color="auto"/>
              <w:left w:val="single" w:sz="4" w:space="0" w:color="auto"/>
              <w:bottom w:val="nil"/>
              <w:right w:val="single" w:sz="4" w:space="0" w:color="auto"/>
            </w:tcBorders>
            <w:noWrap/>
          </w:tcPr>
          <w:p>
            <w:pPr>
              <w:pStyle w:val="yTableNAm"/>
            </w:pPr>
            <w:r>
              <w:t>6.</w:t>
            </w:r>
          </w:p>
        </w:tc>
        <w:tc>
          <w:tcPr>
            <w:tcW w:w="5270" w:type="dxa"/>
            <w:tcBorders>
              <w:top w:val="single" w:sz="4" w:space="0" w:color="auto"/>
              <w:left w:val="single" w:sz="4" w:space="0" w:color="auto"/>
              <w:bottom w:val="nil"/>
              <w:right w:val="single" w:sz="4" w:space="0" w:color="auto"/>
            </w:tcBorders>
            <w:noWrap/>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noWrap/>
            <w:vAlign w:val="bottom"/>
          </w:tcPr>
          <w:p>
            <w:pPr>
              <w:pStyle w:val="yTableNAm"/>
              <w:tabs>
                <w:tab w:val="clear" w:pos="567"/>
                <w:tab w:val="right" w:pos="659"/>
              </w:tabs>
              <w:ind w:right="48"/>
              <w:jc w:val="right"/>
              <w:rPr>
                <w:szCs w:val="22"/>
              </w:rPr>
            </w:pPr>
            <w:r>
              <w:rPr>
                <w:szCs w:val="22"/>
              </w:rPr>
              <w:t>58.50</w:t>
            </w:r>
          </w:p>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253</w:t>
            </w:r>
            <w:r>
              <w:t>.00</w:t>
            </w:r>
          </w:p>
          <w:p>
            <w:pPr>
              <w:pStyle w:val="yTableNAm"/>
              <w:tabs>
                <w:tab w:val="clear" w:pos="567"/>
                <w:tab w:val="right" w:pos="659"/>
              </w:tabs>
              <w:ind w:right="48"/>
              <w:jc w:val="right"/>
            </w:pPr>
            <w:r>
              <w:rPr>
                <w:szCs w:val="22"/>
              </w:rPr>
              <w:t>1 285.50</w:t>
            </w:r>
          </w:p>
          <w:p>
            <w:pPr>
              <w:pStyle w:val="yTableNAm"/>
              <w:tabs>
                <w:tab w:val="clear" w:pos="567"/>
                <w:tab w:val="right" w:pos="659"/>
              </w:tabs>
              <w:ind w:right="48"/>
              <w:jc w:val="right"/>
            </w:pPr>
            <w:r>
              <w:rPr>
                <w:szCs w:val="22"/>
              </w:rPr>
              <w:t>2 575.50</w:t>
            </w:r>
          </w:p>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nil"/>
              <w:right w:val="single" w:sz="4" w:space="0" w:color="auto"/>
            </w:tcBorders>
            <w:noWrap/>
          </w:tcPr>
          <w:p>
            <w:pPr>
              <w:pStyle w:val="yTableNAm"/>
            </w:pPr>
            <w:r>
              <w:t>7.</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for a period of over 21 days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16" w:hanging="516"/>
            </w:pPr>
            <w:r>
              <w:t>(a)</w:t>
            </w:r>
            <w:r>
              <w:tab/>
              <w:t xml:space="preserve">issued for the purpose referred to in </w:t>
            </w:r>
            <w:r>
              <w:br/>
              <w:t xml:space="preserve">section 60(4)(e) </w:t>
            </w:r>
            <w:r>
              <w:tab/>
            </w:r>
          </w:p>
          <w:p>
            <w:pPr>
              <w:pStyle w:val="yTableNAm"/>
              <w:tabs>
                <w:tab w:val="clear" w:pos="567"/>
                <w:tab w:val="right" w:leader="dot" w:pos="6237"/>
              </w:tabs>
              <w:ind w:left="516" w:hanging="516"/>
            </w:pPr>
            <w:r>
              <w:t>(b)</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br/>
              <w:t>392.50</w:t>
            </w:r>
          </w:p>
          <w:p>
            <w:pPr>
              <w:pStyle w:val="yTableNAm"/>
              <w:tabs>
                <w:tab w:val="clear" w:pos="567"/>
                <w:tab w:val="right" w:pos="659"/>
              </w:tabs>
              <w:ind w:right="48"/>
              <w:jc w:val="right"/>
            </w:pPr>
            <w:r>
              <w:br/>
            </w:r>
            <w:r>
              <w:rPr>
                <w:szCs w:val="22"/>
              </w:rPr>
              <w:t>392.50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943"/>
              </w:tabs>
              <w:ind w:left="518" w:hanging="518"/>
            </w:pPr>
            <w:r>
              <w:t>(c)</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noWrap/>
            <w:vAlign w:val="bottom"/>
          </w:tcPr>
          <w:p>
            <w:pPr>
              <w:pStyle w:val="yTableNAm"/>
              <w:tabs>
                <w:tab w:val="clear" w:pos="567"/>
                <w:tab w:val="right" w:pos="659"/>
              </w:tabs>
              <w:ind w:right="48"/>
              <w:jc w:val="right"/>
              <w:rPr>
                <w:szCs w:val="22"/>
              </w:rPr>
            </w:pPr>
            <w:r>
              <w:rPr>
                <w:szCs w:val="22"/>
              </w:rPr>
              <w:t>392.50</w:t>
            </w:r>
          </w:p>
          <w:p>
            <w:pPr>
              <w:pStyle w:val="yTableNAm"/>
              <w:tabs>
                <w:tab w:val="clear" w:pos="567"/>
                <w:tab w:val="right" w:pos="659"/>
              </w:tabs>
              <w:ind w:right="48"/>
              <w:jc w:val="right"/>
              <w:rPr>
                <w:szCs w:val="22"/>
              </w:rPr>
            </w:pPr>
            <w:r>
              <w:rPr>
                <w:szCs w:val="22"/>
              </w:rPr>
              <w:t>330.50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18"/>
                <w:tab w:val="right" w:leader="dot" w:pos="6237"/>
              </w:tabs>
            </w:pPr>
            <w:r>
              <w:t>(d)</w:t>
            </w:r>
            <w:r>
              <w:tab/>
              <w:t xml:space="preserve">issued for any other purpose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rPr>
                <w:szCs w:val="22"/>
              </w:rPr>
            </w:pPr>
            <w:r>
              <w:rPr>
                <w:szCs w:val="22"/>
              </w:rPr>
              <w:t>1 322</w:t>
            </w:r>
            <w:r>
              <w:t>.00</w:t>
            </w:r>
          </w:p>
        </w:tc>
      </w:tr>
      <w:tr>
        <w:tc>
          <w:tcPr>
            <w:tcW w:w="684" w:type="dxa"/>
            <w:tcBorders>
              <w:top w:val="single" w:sz="4" w:space="0" w:color="auto"/>
              <w:left w:val="single" w:sz="4" w:space="0" w:color="auto"/>
              <w:bottom w:val="nil"/>
              <w:right w:val="single" w:sz="4" w:space="0" w:color="auto"/>
            </w:tcBorders>
            <w:noWrap/>
          </w:tcPr>
          <w:p>
            <w:pPr>
              <w:pStyle w:val="yTableNAm"/>
            </w:pPr>
            <w:r>
              <w:t>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253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1 285.50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2 575.50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extended trading permit (in respect of a club restricted licence) for a period of 21 days or less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48</w:t>
            </w:r>
            <w:r>
              <w:t>.00</w:t>
            </w:r>
          </w:p>
        </w:tc>
      </w:tr>
      <w:tr>
        <w:tc>
          <w:tcPr>
            <w:tcW w:w="684" w:type="dxa"/>
            <w:tcBorders>
              <w:top w:val="single" w:sz="4" w:space="0" w:color="auto"/>
              <w:left w:val="single" w:sz="4" w:space="0" w:color="auto"/>
              <w:bottom w:val="nil"/>
              <w:right w:val="single" w:sz="4" w:space="0" w:color="auto"/>
            </w:tcBorders>
            <w:noWrap/>
          </w:tcPr>
          <w:p>
            <w:pPr>
              <w:pStyle w:val="yTableNAm"/>
            </w:pPr>
            <w:r>
              <w:t>10.</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201.00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66.00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17.00</w:t>
            </w:r>
          </w:p>
        </w:tc>
      </w:tr>
      <w:tr>
        <w:tc>
          <w:tcPr>
            <w:tcW w:w="684" w:type="dxa"/>
            <w:tcBorders>
              <w:top w:val="single" w:sz="4" w:space="0" w:color="auto"/>
              <w:left w:val="single" w:sz="4" w:space="0" w:color="auto"/>
              <w:bottom w:val="nil"/>
              <w:right w:val="single" w:sz="4" w:space="0" w:color="auto"/>
            </w:tcBorders>
            <w:noWrap/>
          </w:tcPr>
          <w:p>
            <w:pPr>
              <w:pStyle w:val="yTableNAm"/>
            </w:pPr>
            <w:r>
              <w:t>11.</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181</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141.50</w:t>
            </w:r>
          </w:p>
        </w:tc>
      </w:tr>
      <w:tr>
        <w:tc>
          <w:tcPr>
            <w:tcW w:w="684" w:type="dxa"/>
            <w:tcBorders>
              <w:top w:val="single" w:sz="4" w:space="0" w:color="auto"/>
              <w:left w:val="single" w:sz="4" w:space="0" w:color="auto"/>
              <w:bottom w:val="nil"/>
              <w:right w:val="single" w:sz="4" w:space="0" w:color="auto"/>
            </w:tcBorders>
            <w:noWrap/>
          </w:tcPr>
          <w:p>
            <w:pPr>
              <w:pStyle w:val="yTableNAm"/>
            </w:pPr>
            <w:r>
              <w:t>12.</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57.00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10.00</w:t>
            </w:r>
          </w:p>
        </w:tc>
      </w:tr>
      <w:tr>
        <w:tc>
          <w:tcPr>
            <w:tcW w:w="684" w:type="dxa"/>
            <w:tcBorders>
              <w:top w:val="single" w:sz="4" w:space="0" w:color="auto"/>
              <w:left w:val="single" w:sz="4" w:space="0" w:color="auto"/>
              <w:bottom w:val="nil"/>
              <w:right w:val="single" w:sz="4" w:space="0" w:color="auto"/>
            </w:tcBorders>
            <w:noWrap/>
          </w:tcPr>
          <w:p>
            <w:pPr>
              <w:pStyle w:val="yTableNAm"/>
            </w:pPr>
            <w:r>
              <w:t>13.</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noWrap/>
            <w:vAlign w:val="bottom"/>
          </w:tcPr>
          <w:p>
            <w:pPr>
              <w:pStyle w:val="yTableNAm"/>
              <w:tabs>
                <w:tab w:val="clear" w:pos="567"/>
                <w:tab w:val="right" w:pos="659"/>
              </w:tabs>
              <w:ind w:right="48"/>
              <w:jc w:val="right"/>
            </w:pPr>
            <w:r>
              <w:rPr>
                <w:szCs w:val="22"/>
              </w:rPr>
              <w:t>178</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122</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for alteration or redefinition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450</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 protection order under section 87(1)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261.50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duplicate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t>39.00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of change of name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82</w:t>
            </w:r>
            <w:r>
              <w:t>.00</w:t>
            </w:r>
          </w:p>
        </w:tc>
      </w:tr>
      <w:tr>
        <w:tc>
          <w:tcPr>
            <w:tcW w:w="684" w:type="dxa"/>
            <w:tcBorders>
              <w:top w:val="single" w:sz="4" w:space="0" w:color="auto"/>
              <w:left w:val="single" w:sz="4" w:space="0" w:color="auto"/>
              <w:bottom w:val="nil"/>
              <w:right w:val="single" w:sz="4" w:space="0" w:color="auto"/>
            </w:tcBorders>
            <w:noWrap/>
          </w:tcPr>
          <w:p>
            <w:pPr>
              <w:pStyle w:val="yTableNAm"/>
            </w:pPr>
            <w:r>
              <w:t>18.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268</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253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1 285.50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2 575.50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to add, vary or cancel condition of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49</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under section 62(6) to vary any plans or specifications the subject of a condition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311.50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of agreement or arrangement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261.50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115AD for review of decision to give notice</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272.50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152NH(2) for review of decision to make or vary short</w:t>
            </w:r>
            <w:r>
              <w:noBreakHyphen/>
              <w:t>term exclusion order</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rPr>
                <w:szCs w:val="22"/>
              </w:rPr>
            </w:pPr>
            <w:r>
              <w:rPr>
                <w:szCs w:val="22"/>
              </w:rPr>
              <w:t>272.50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119A for approval to conduct non</w:t>
            </w:r>
            <w:r>
              <w:noBreakHyphen/>
              <w:t xml:space="preserve">liquor business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248</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under section 152W(3), other than by an occupier of premises, for a liquor restriction declaration in relation to the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297.50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keepNext/>
            </w:pPr>
            <w:r>
              <w:t>26.</w:t>
            </w:r>
          </w:p>
        </w:tc>
        <w:tc>
          <w:tcPr>
            <w:tcW w:w="52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 w:val="right" w:leader="dot" w:pos="6237"/>
              </w:tabs>
            </w:pPr>
            <w:r>
              <w:t xml:space="preserve">Application under section 126A for approval of entertainment for juveniles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keepNext/>
              <w:tabs>
                <w:tab w:val="clear" w:pos="567"/>
                <w:tab w:val="right" w:pos="659"/>
              </w:tabs>
              <w:ind w:right="48"/>
              <w:jc w:val="right"/>
            </w:pPr>
            <w:r>
              <w:rPr>
                <w:szCs w:val="22"/>
              </w:rPr>
              <w:t>71.50</w:t>
            </w:r>
          </w:p>
        </w:tc>
      </w:tr>
      <w:tr>
        <w:tc>
          <w:tcPr>
            <w:tcW w:w="684" w:type="dxa"/>
            <w:noWrap/>
          </w:tcPr>
          <w:p>
            <w:pPr>
              <w:pStyle w:val="yTableNAm"/>
            </w:pPr>
            <w:r>
              <w:t>27.</w:t>
            </w:r>
          </w:p>
        </w:tc>
        <w:tc>
          <w:tcPr>
            <w:tcW w:w="5270" w:type="dxa"/>
            <w:noWrap/>
          </w:tcPr>
          <w:p>
            <w:pPr>
              <w:pStyle w:val="yTableNAm"/>
              <w:tabs>
                <w:tab w:val="clear" w:pos="567"/>
                <w:tab w:val="right" w:leader="dot" w:pos="6237"/>
              </w:tabs>
            </w:pPr>
            <w:r>
              <w:t xml:space="preserve">Supply of list of licensed premises, or list of owners of licensed premises, in electronic form </w:t>
            </w:r>
          </w:p>
        </w:tc>
        <w:tc>
          <w:tcPr>
            <w:tcW w:w="1114" w:type="dxa"/>
            <w:noWrap/>
            <w:vAlign w:val="bottom"/>
          </w:tcPr>
          <w:p>
            <w:pPr>
              <w:pStyle w:val="yTableNAm"/>
              <w:tabs>
                <w:tab w:val="clear" w:pos="567"/>
                <w:tab w:val="right" w:pos="659"/>
              </w:tabs>
              <w:ind w:right="48"/>
              <w:jc w:val="right"/>
            </w:pPr>
            <w:r>
              <w:rPr>
                <w:szCs w:val="22"/>
              </w:rPr>
              <w:t>65</w:t>
            </w:r>
            <w:r>
              <w:t>.00</w:t>
            </w:r>
          </w:p>
        </w:tc>
      </w:tr>
      <w:tr>
        <w:tc>
          <w:tcPr>
            <w:tcW w:w="684" w:type="dxa"/>
            <w:noWrap/>
          </w:tcPr>
          <w:p>
            <w:pPr>
              <w:pStyle w:val="yTableNAm"/>
            </w:pPr>
            <w:r>
              <w:t>28.</w:t>
            </w:r>
          </w:p>
        </w:tc>
        <w:tc>
          <w:tcPr>
            <w:tcW w:w="5270" w:type="dxa"/>
            <w:noWrap/>
          </w:tcPr>
          <w:p>
            <w:pPr>
              <w:pStyle w:val="yTableNAm"/>
              <w:tabs>
                <w:tab w:val="clear" w:pos="567"/>
                <w:tab w:val="right" w:leader="dot" w:pos="6237"/>
              </w:tabs>
            </w:pPr>
            <w:r>
              <w:t xml:space="preserve">Supply of address labels for licensed premises </w:t>
            </w:r>
          </w:p>
        </w:tc>
        <w:tc>
          <w:tcPr>
            <w:tcW w:w="1114" w:type="dxa"/>
            <w:noWrap/>
          </w:tcPr>
          <w:p>
            <w:pPr>
              <w:pStyle w:val="yTableNAm"/>
              <w:tabs>
                <w:tab w:val="clear" w:pos="567"/>
                <w:tab w:val="right" w:pos="659"/>
              </w:tabs>
              <w:ind w:right="48"/>
              <w:jc w:val="right"/>
            </w:pPr>
            <w:r>
              <w:rPr>
                <w:szCs w:val="22"/>
              </w:rPr>
              <w:t>159.50</w:t>
            </w:r>
          </w:p>
        </w:tc>
      </w:tr>
      <w:tr>
        <w:tc>
          <w:tcPr>
            <w:tcW w:w="684" w:type="dxa"/>
            <w:noWrap/>
          </w:tcPr>
          <w:p>
            <w:pPr>
              <w:pStyle w:val="yTableNAm"/>
            </w:pPr>
            <w:r>
              <w:t>29.</w:t>
            </w:r>
          </w:p>
        </w:tc>
        <w:tc>
          <w:tcPr>
            <w:tcW w:w="5270" w:type="dxa"/>
            <w:noWrap/>
          </w:tcPr>
          <w:p>
            <w:pPr>
              <w:pStyle w:val="yTableNAm"/>
              <w:tabs>
                <w:tab w:val="clear" w:pos="567"/>
                <w:tab w:val="right" w:leader="dot" w:pos="6237"/>
              </w:tabs>
            </w:pPr>
            <w:r>
              <w:t xml:space="preserve">Supply of approved heading for advertising an application </w:t>
            </w:r>
          </w:p>
        </w:tc>
        <w:tc>
          <w:tcPr>
            <w:tcW w:w="1114" w:type="dxa"/>
            <w:noWrap/>
            <w:vAlign w:val="bottom"/>
          </w:tcPr>
          <w:p>
            <w:pPr>
              <w:pStyle w:val="yTableNAm"/>
              <w:tabs>
                <w:tab w:val="clear" w:pos="567"/>
                <w:tab w:val="right" w:pos="659"/>
              </w:tabs>
              <w:ind w:right="48"/>
              <w:jc w:val="right"/>
            </w:pPr>
            <w:r>
              <w:t>29.50</w:t>
            </w:r>
          </w:p>
        </w:tc>
      </w:tr>
      <w:tr>
        <w:tc>
          <w:tcPr>
            <w:tcW w:w="684" w:type="dxa"/>
            <w:noWrap/>
          </w:tcPr>
          <w:p>
            <w:pPr>
              <w:pStyle w:val="yTableNAm"/>
            </w:pPr>
            <w:r>
              <w:t>30.</w:t>
            </w:r>
          </w:p>
        </w:tc>
        <w:tc>
          <w:tcPr>
            <w:tcW w:w="5270" w:type="dxa"/>
            <w:noWrap/>
          </w:tcPr>
          <w:p>
            <w:pPr>
              <w:pStyle w:val="yTableNAm"/>
              <w:tabs>
                <w:tab w:val="clear" w:pos="567"/>
                <w:tab w:val="right" w:leader="dot" w:pos="6237"/>
              </w:tabs>
            </w:pPr>
            <w:r>
              <w:t xml:space="preserve">Supply of copy of plan — per sheet </w:t>
            </w:r>
          </w:p>
        </w:tc>
        <w:tc>
          <w:tcPr>
            <w:tcW w:w="1114" w:type="dxa"/>
            <w:noWrap/>
          </w:tcPr>
          <w:p>
            <w:pPr>
              <w:pStyle w:val="yTableNAm"/>
              <w:tabs>
                <w:tab w:val="clear" w:pos="567"/>
                <w:tab w:val="right" w:pos="659"/>
              </w:tabs>
              <w:ind w:right="48"/>
              <w:jc w:val="right"/>
            </w:pPr>
            <w:r>
              <w:t>29.50</w:t>
            </w:r>
            <w:r>
              <w:br/>
              <w:t>(up to a max. of 236.00)</w:t>
            </w:r>
          </w:p>
        </w:tc>
      </w:tr>
      <w:tr>
        <w:tc>
          <w:tcPr>
            <w:tcW w:w="684" w:type="dxa"/>
            <w:noWrap/>
          </w:tcPr>
          <w:p>
            <w:pPr>
              <w:pStyle w:val="yTableNAm"/>
            </w:pPr>
            <w:r>
              <w:t>31.</w:t>
            </w:r>
          </w:p>
        </w:tc>
        <w:tc>
          <w:tcPr>
            <w:tcW w:w="5270" w:type="dxa"/>
            <w:noWrap/>
          </w:tcPr>
          <w:p>
            <w:pPr>
              <w:pStyle w:val="yTableNAm"/>
              <w:tabs>
                <w:tab w:val="clear" w:pos="567"/>
                <w:tab w:val="right" w:leader="dot" w:pos="6237"/>
              </w:tabs>
            </w:pPr>
            <w:r>
              <w:t xml:space="preserve">Supply of certified copy of plan defining licensed premises </w:t>
            </w:r>
          </w:p>
        </w:tc>
        <w:tc>
          <w:tcPr>
            <w:tcW w:w="1114" w:type="dxa"/>
            <w:noWrap/>
            <w:vAlign w:val="bottom"/>
          </w:tcPr>
          <w:p>
            <w:pPr>
              <w:pStyle w:val="yTableNAm"/>
              <w:tabs>
                <w:tab w:val="clear" w:pos="567"/>
                <w:tab w:val="right" w:pos="659"/>
              </w:tabs>
              <w:ind w:right="48"/>
              <w:jc w:val="right"/>
            </w:pPr>
            <w:r>
              <w:t>44.00</w:t>
            </w:r>
          </w:p>
        </w:tc>
      </w:tr>
      <w:tr>
        <w:tc>
          <w:tcPr>
            <w:tcW w:w="684" w:type="dxa"/>
            <w:noWrap/>
          </w:tcPr>
          <w:p>
            <w:pPr>
              <w:pStyle w:val="yTableNAm"/>
            </w:pPr>
            <w:r>
              <w:t>32.</w:t>
            </w:r>
          </w:p>
        </w:tc>
        <w:tc>
          <w:tcPr>
            <w:tcW w:w="5270" w:type="dxa"/>
            <w:noWrap/>
          </w:tcPr>
          <w:p>
            <w:pPr>
              <w:pStyle w:val="yTableNAm"/>
              <w:tabs>
                <w:tab w:val="clear" w:pos="567"/>
                <w:tab w:val="right" w:leader="dot" w:pos="6237"/>
              </w:tabs>
            </w:pPr>
            <w:r>
              <w:t xml:space="preserve">Supply of copy of a licence, a permit or a decision of the Commission (or the former Liquor Licensing Court) or the Director </w:t>
            </w:r>
          </w:p>
        </w:tc>
        <w:tc>
          <w:tcPr>
            <w:tcW w:w="1114" w:type="dxa"/>
            <w:noWrap/>
            <w:vAlign w:val="bottom"/>
          </w:tcPr>
          <w:p>
            <w:pPr>
              <w:pStyle w:val="yTableNAm"/>
              <w:tabs>
                <w:tab w:val="clear" w:pos="567"/>
                <w:tab w:val="right" w:pos="659"/>
              </w:tabs>
              <w:ind w:right="48"/>
              <w:jc w:val="right"/>
            </w:pPr>
            <w:r>
              <w:t>29.50</w:t>
            </w:r>
          </w:p>
        </w:tc>
      </w:tr>
      <w:tr>
        <w:tc>
          <w:tcPr>
            <w:tcW w:w="684" w:type="dxa"/>
            <w:noWrap/>
          </w:tcPr>
          <w:p>
            <w:pPr>
              <w:pStyle w:val="yTableNAm"/>
            </w:pPr>
            <w:r>
              <w:t>33.</w:t>
            </w:r>
          </w:p>
        </w:tc>
        <w:tc>
          <w:tcPr>
            <w:tcW w:w="5270" w:type="dxa"/>
            <w:noWrap/>
          </w:tcPr>
          <w:p>
            <w:pPr>
              <w:pStyle w:val="yTableNAm"/>
              <w:tabs>
                <w:tab w:val="clear" w:pos="567"/>
                <w:tab w:val="right" w:leader="dot" w:pos="6237"/>
              </w:tabs>
            </w:pPr>
            <w:r>
              <w:t xml:space="preserve">Certification of a copy of a licence, a permit or a decision of the Commission (or the former Liquor Licensing Court) or the Director </w:t>
            </w:r>
          </w:p>
          <w:p>
            <w:pPr>
              <w:pStyle w:val="yTableNAm"/>
              <w:tabs>
                <w:tab w:val="clear" w:pos="567"/>
                <w:tab w:val="right" w:leader="dot" w:pos="6237"/>
              </w:tabs>
              <w:rPr>
                <w:sz w:val="20"/>
              </w:rPr>
            </w:pPr>
            <w:r>
              <w:rPr>
                <w:sz w:val="20"/>
              </w:rPr>
              <w:t>[In addition to the fee under item 32]</w:t>
            </w:r>
          </w:p>
        </w:tc>
        <w:tc>
          <w:tcPr>
            <w:tcW w:w="1114" w:type="dxa"/>
            <w:noWrap/>
          </w:tcPr>
          <w:p>
            <w:pPr>
              <w:pStyle w:val="yTableNAm"/>
              <w:tabs>
                <w:tab w:val="clear" w:pos="567"/>
                <w:tab w:val="right" w:pos="659"/>
              </w:tabs>
              <w:ind w:right="48"/>
              <w:jc w:val="right"/>
            </w:pPr>
            <w:r>
              <w:br/>
            </w:r>
            <w:r>
              <w:br/>
              <w:t>29.50</w:t>
            </w:r>
          </w:p>
        </w:tc>
      </w:tr>
      <w:tr>
        <w:tc>
          <w:tcPr>
            <w:tcW w:w="684" w:type="dxa"/>
            <w:noWrap/>
          </w:tcPr>
          <w:p>
            <w:pPr>
              <w:pStyle w:val="yTableNAm"/>
            </w:pPr>
            <w:r>
              <w:t>34.</w:t>
            </w:r>
          </w:p>
        </w:tc>
        <w:tc>
          <w:tcPr>
            <w:tcW w:w="5270" w:type="dxa"/>
            <w:noWrap/>
          </w:tcPr>
          <w:p>
            <w:pPr>
              <w:pStyle w:val="yTableNAm"/>
              <w:tabs>
                <w:tab w:val="clear" w:pos="567"/>
                <w:tab w:val="right" w:leader="dot" w:pos="6237"/>
              </w:tabs>
            </w:pPr>
            <w:r>
              <w:t xml:space="preserve">Supply of copy of documentation, other than that already prescribed — per page </w:t>
            </w:r>
          </w:p>
        </w:tc>
        <w:tc>
          <w:tcPr>
            <w:tcW w:w="1114" w:type="dxa"/>
            <w:noWrap/>
            <w:vAlign w:val="bottom"/>
          </w:tcPr>
          <w:p>
            <w:pPr>
              <w:pStyle w:val="yTableNAm"/>
              <w:tabs>
                <w:tab w:val="clear" w:pos="567"/>
                <w:tab w:val="right" w:pos="659"/>
              </w:tabs>
              <w:ind w:right="48"/>
              <w:jc w:val="right"/>
            </w:pPr>
            <w:r>
              <w:t>4.00</w:t>
            </w:r>
          </w:p>
        </w:tc>
      </w:tr>
      <w:tr>
        <w:tc>
          <w:tcPr>
            <w:tcW w:w="684" w:type="dxa"/>
            <w:noWrap/>
          </w:tcPr>
          <w:p>
            <w:pPr>
              <w:pStyle w:val="yTableNAm"/>
            </w:pPr>
            <w:r>
              <w:t>35.</w:t>
            </w:r>
          </w:p>
        </w:tc>
        <w:tc>
          <w:tcPr>
            <w:tcW w:w="5270" w:type="dxa"/>
            <w:noWrap/>
          </w:tcPr>
          <w:p>
            <w:pPr>
              <w:pStyle w:val="yTableNAm"/>
              <w:tabs>
                <w:tab w:val="clear" w:pos="567"/>
                <w:tab w:val="right" w:leader="dot" w:pos="6237"/>
              </w:tabs>
            </w:pPr>
            <w:r>
              <w:t xml:space="preserve">Issue of a summons to a witness </w:t>
            </w:r>
          </w:p>
        </w:tc>
        <w:tc>
          <w:tcPr>
            <w:tcW w:w="1114" w:type="dxa"/>
            <w:noWrap/>
          </w:tcPr>
          <w:p>
            <w:pPr>
              <w:pStyle w:val="yTableNAm"/>
              <w:tabs>
                <w:tab w:val="clear" w:pos="567"/>
                <w:tab w:val="right" w:pos="659"/>
              </w:tabs>
              <w:ind w:right="48"/>
              <w:jc w:val="right"/>
            </w:pPr>
            <w:r>
              <w:t>24.50</w:t>
            </w:r>
          </w:p>
        </w:tc>
      </w:tr>
      <w:tr>
        <w:tc>
          <w:tcPr>
            <w:tcW w:w="684" w:type="dxa"/>
            <w:noWrap/>
          </w:tcPr>
          <w:p>
            <w:pPr>
              <w:pStyle w:val="yTableNAm"/>
            </w:pPr>
            <w:r>
              <w:t>36.</w:t>
            </w:r>
          </w:p>
        </w:tc>
        <w:tc>
          <w:tcPr>
            <w:tcW w:w="5270" w:type="dxa"/>
            <w:noWrap/>
          </w:tcPr>
          <w:p>
            <w:pPr>
              <w:pStyle w:val="yTableNAm"/>
              <w:tabs>
                <w:tab w:val="clear" w:pos="567"/>
                <w:tab w:val="right" w:leader="dot" w:pos="6237"/>
              </w:tabs>
            </w:pPr>
            <w:r>
              <w:t xml:space="preserve">Search of the database of records of licences — per licence </w:t>
            </w:r>
          </w:p>
        </w:tc>
        <w:tc>
          <w:tcPr>
            <w:tcW w:w="1114" w:type="dxa"/>
            <w:noWrap/>
            <w:vAlign w:val="bottom"/>
          </w:tcPr>
          <w:p>
            <w:pPr>
              <w:pStyle w:val="yTableNAm"/>
              <w:tabs>
                <w:tab w:val="clear" w:pos="567"/>
                <w:tab w:val="right" w:pos="659"/>
              </w:tabs>
              <w:ind w:right="48"/>
              <w:jc w:val="right"/>
            </w:pPr>
            <w:r>
              <w:t>44.00</w:t>
            </w:r>
          </w:p>
        </w:tc>
      </w:tr>
      <w:tr>
        <w:tc>
          <w:tcPr>
            <w:tcW w:w="684" w:type="dxa"/>
            <w:noWrap/>
          </w:tcPr>
          <w:p>
            <w:pPr>
              <w:pStyle w:val="yTableNAm"/>
            </w:pPr>
            <w:r>
              <w:t>37.</w:t>
            </w:r>
          </w:p>
        </w:tc>
        <w:tc>
          <w:tcPr>
            <w:tcW w:w="5270" w:type="dxa"/>
            <w:noWrap/>
          </w:tcPr>
          <w:p>
            <w:pPr>
              <w:pStyle w:val="yTableNAm"/>
              <w:tabs>
                <w:tab w:val="clear" w:pos="567"/>
                <w:tab w:val="right" w:leader="dot" w:pos="6237"/>
              </w:tabs>
            </w:pPr>
            <w:r>
              <w:t xml:space="preserve">Full search of a licence record </w:t>
            </w:r>
          </w:p>
        </w:tc>
        <w:tc>
          <w:tcPr>
            <w:tcW w:w="1114" w:type="dxa"/>
            <w:noWrap/>
          </w:tcPr>
          <w:p>
            <w:pPr>
              <w:pStyle w:val="yTableNAm"/>
              <w:tabs>
                <w:tab w:val="clear" w:pos="567"/>
                <w:tab w:val="right" w:pos="659"/>
              </w:tabs>
              <w:ind w:right="48"/>
              <w:jc w:val="right"/>
            </w:pPr>
            <w:r>
              <w:rPr>
                <w:szCs w:val="22"/>
              </w:rPr>
              <w:t>57</w:t>
            </w:r>
            <w:r>
              <w:t>.00</w:t>
            </w:r>
          </w:p>
        </w:tc>
      </w:tr>
      <w:tr>
        <w:tc>
          <w:tcPr>
            <w:tcW w:w="684" w:type="dxa"/>
            <w:tcBorders>
              <w:bottom w:val="nil"/>
            </w:tcBorders>
            <w:noWrap/>
          </w:tcPr>
          <w:p>
            <w:pPr>
              <w:pStyle w:val="yTableNAm"/>
            </w:pPr>
            <w:r>
              <w:t>38.</w:t>
            </w:r>
          </w:p>
        </w:tc>
        <w:tc>
          <w:tcPr>
            <w:tcW w:w="5270" w:type="dxa"/>
            <w:tcBorders>
              <w:bottom w:val="nil"/>
            </w:tcBorders>
            <w:noWrap/>
          </w:tcPr>
          <w:p>
            <w:pPr>
              <w:pStyle w:val="yTableNAm"/>
              <w:tabs>
                <w:tab w:val="clear" w:pos="567"/>
                <w:tab w:val="right" w:leader="dot" w:pos="6237"/>
              </w:tabs>
            </w:pPr>
            <w:r>
              <w:t xml:space="preserve">Search of postcodes — </w:t>
            </w:r>
          </w:p>
        </w:tc>
        <w:tc>
          <w:tcPr>
            <w:tcW w:w="1114" w:type="dxa"/>
            <w:tcBorders>
              <w:bottom w:val="nil"/>
            </w:tcBorders>
            <w:noWrap/>
          </w:tcPr>
          <w:p>
            <w:pPr>
              <w:pStyle w:val="yTableNAm"/>
              <w:tabs>
                <w:tab w:val="clear" w:pos="567"/>
                <w:tab w:val="right" w:pos="659"/>
              </w:tabs>
              <w:ind w:right="48"/>
              <w:jc w:val="right"/>
            </w:pPr>
          </w:p>
        </w:tc>
      </w:tr>
      <w:tr>
        <w:tc>
          <w:tcPr>
            <w:tcW w:w="684" w:type="dxa"/>
            <w:tcBorders>
              <w:top w:val="nil"/>
              <w:bottom w:val="nil"/>
            </w:tcBorders>
            <w:noWrap/>
          </w:tcPr>
          <w:p>
            <w:pPr>
              <w:pStyle w:val="yTableNAm"/>
            </w:pPr>
          </w:p>
        </w:tc>
        <w:tc>
          <w:tcPr>
            <w:tcW w:w="5270" w:type="dxa"/>
            <w:tcBorders>
              <w:top w:val="nil"/>
              <w:bottom w:val="nil"/>
            </w:tcBorders>
            <w:noWrap/>
          </w:tcPr>
          <w:p>
            <w:pPr>
              <w:pStyle w:val="yTableNAm"/>
              <w:tabs>
                <w:tab w:val="right" w:leader="dot" w:pos="6237"/>
              </w:tabs>
            </w:pPr>
            <w:r>
              <w:t>(a)</w:t>
            </w:r>
            <w:r>
              <w:tab/>
              <w:t xml:space="preserve">1 to 10 postcodes </w:t>
            </w:r>
            <w:r>
              <w:tab/>
            </w:r>
          </w:p>
        </w:tc>
        <w:tc>
          <w:tcPr>
            <w:tcW w:w="1114" w:type="dxa"/>
            <w:tcBorders>
              <w:top w:val="nil"/>
              <w:bottom w:val="nil"/>
            </w:tcBorders>
            <w:noWrap/>
          </w:tcPr>
          <w:p>
            <w:pPr>
              <w:pStyle w:val="yTableNAm"/>
              <w:tabs>
                <w:tab w:val="clear" w:pos="567"/>
                <w:tab w:val="right" w:pos="659"/>
              </w:tabs>
              <w:ind w:right="48"/>
              <w:jc w:val="right"/>
            </w:pPr>
            <w:r>
              <w:t>44.00</w:t>
            </w:r>
          </w:p>
        </w:tc>
      </w:tr>
      <w:tr>
        <w:tc>
          <w:tcPr>
            <w:tcW w:w="684" w:type="dxa"/>
            <w:tcBorders>
              <w:top w:val="nil"/>
            </w:tcBorders>
            <w:noWrap/>
          </w:tcPr>
          <w:p>
            <w:pPr>
              <w:pStyle w:val="yTableNAm"/>
            </w:pPr>
          </w:p>
        </w:tc>
        <w:tc>
          <w:tcPr>
            <w:tcW w:w="5270" w:type="dxa"/>
            <w:tcBorders>
              <w:top w:val="nil"/>
            </w:tcBorders>
            <w:noWrap/>
          </w:tcPr>
          <w:p>
            <w:pPr>
              <w:pStyle w:val="yTableNAm"/>
              <w:tabs>
                <w:tab w:val="right" w:leader="dot" w:pos="6237"/>
              </w:tabs>
            </w:pPr>
            <w:r>
              <w:t>(b)</w:t>
            </w:r>
            <w:r>
              <w:tab/>
              <w:t xml:space="preserve">more than 10 postcodes </w:t>
            </w:r>
            <w:r>
              <w:tab/>
            </w:r>
          </w:p>
        </w:tc>
        <w:tc>
          <w:tcPr>
            <w:tcW w:w="1114" w:type="dxa"/>
            <w:tcBorders>
              <w:top w:val="nil"/>
            </w:tcBorders>
            <w:noWrap/>
          </w:tcPr>
          <w:p>
            <w:pPr>
              <w:pStyle w:val="yTableNAm"/>
              <w:tabs>
                <w:tab w:val="clear" w:pos="567"/>
                <w:tab w:val="right" w:pos="659"/>
              </w:tabs>
              <w:ind w:right="48"/>
              <w:jc w:val="right"/>
            </w:pPr>
            <w:r>
              <w:rPr>
                <w:szCs w:val="22"/>
              </w:rPr>
              <w:t>98</w:t>
            </w:r>
            <w:r>
              <w:t>.00</w:t>
            </w:r>
          </w:p>
        </w:tc>
      </w:tr>
      <w:tr>
        <w:tc>
          <w:tcPr>
            <w:tcW w:w="684" w:type="dxa"/>
            <w:tcBorders>
              <w:top w:val="nil"/>
              <w:left w:val="single" w:sz="4" w:space="0" w:color="auto"/>
              <w:bottom w:val="single" w:sz="4" w:space="0" w:color="auto"/>
              <w:right w:val="single" w:sz="4" w:space="0" w:color="auto"/>
            </w:tcBorders>
            <w:noWrap/>
          </w:tcPr>
          <w:p>
            <w:pPr>
              <w:pStyle w:val="yTableNAm"/>
            </w:pPr>
            <w:r>
              <w:t>39.</w:t>
            </w: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p>
        </w:tc>
        <w:tc>
          <w:tcPr>
            <w:tcW w:w="1114" w:type="dxa"/>
            <w:tcBorders>
              <w:top w:val="nil"/>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t>166.00</w:t>
            </w:r>
          </w:p>
        </w:tc>
      </w:tr>
    </w:tbl>
    <w:p>
      <w:pPr>
        <w:pStyle w:val="yFootnotesection"/>
      </w:pPr>
      <w:r>
        <w:tab/>
        <w:t>[Schedule 3 inserted: SL 2023/156 r. 13.]</w:t>
      </w:r>
    </w:p>
    <w:bookmarkEnd w:id="258"/>
    <w:p>
      <w:pPr>
        <w:pStyle w:val="yFootnoteheading"/>
      </w:pP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259" w:name="_Toc161316448"/>
      <w:bookmarkStart w:id="260" w:name="_Toc161316836"/>
      <w:bookmarkStart w:id="261" w:name="_Toc161409763"/>
      <w:bookmarkStart w:id="262" w:name="_Toc153979937"/>
      <w:bookmarkStart w:id="263" w:name="_Toc153982534"/>
      <w:bookmarkStart w:id="264" w:name="_Toc154046054"/>
      <w:bookmarkStart w:id="265" w:name="_Toc154062461"/>
      <w:bookmarkStart w:id="266" w:name="_Toc154062665"/>
      <w:r>
        <w:rPr>
          <w:rStyle w:val="CharSchNo"/>
        </w:rPr>
        <w:t>Schedule 4</w:t>
      </w:r>
      <w:r>
        <w:rPr>
          <w:rStyle w:val="CharSDivNo"/>
        </w:rPr>
        <w:t> </w:t>
      </w:r>
      <w:r>
        <w:t>—</w:t>
      </w:r>
      <w:r>
        <w:rPr>
          <w:rStyle w:val="CharSDivText"/>
        </w:rPr>
        <w:t> </w:t>
      </w:r>
      <w:r>
        <w:rPr>
          <w:rStyle w:val="CharSchText"/>
        </w:rPr>
        <w:t>Images of deposited plans showing protected entertainment precincts</w:t>
      </w:r>
      <w:bookmarkEnd w:id="259"/>
      <w:bookmarkEnd w:id="260"/>
      <w:bookmarkEnd w:id="261"/>
      <w:bookmarkEnd w:id="262"/>
      <w:bookmarkEnd w:id="263"/>
      <w:bookmarkEnd w:id="264"/>
      <w:bookmarkEnd w:id="265"/>
      <w:bookmarkEnd w:id="266"/>
    </w:p>
    <w:p>
      <w:pPr>
        <w:pStyle w:val="yShoulderClause"/>
      </w:pPr>
      <w:r>
        <w:t>[r. 28(3)]</w:t>
      </w:r>
    </w:p>
    <w:p>
      <w:pPr>
        <w:pStyle w:val="yHeading5"/>
      </w:pPr>
      <w:bookmarkStart w:id="267" w:name="_Toc161409764"/>
      <w:bookmarkStart w:id="268" w:name="_Toc154062666"/>
      <w:r>
        <w:rPr>
          <w:rStyle w:val="CharSClsNo"/>
        </w:rPr>
        <w:t>1</w:t>
      </w:r>
      <w:r>
        <w:t>.</w:t>
      </w:r>
      <w:r>
        <w:tab/>
        <w:t>Fremantle</w:t>
      </w:r>
      <w:bookmarkEnd w:id="267"/>
      <w:bookmarkEnd w:id="268"/>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5471346" cy="3793733"/>
                    </a:xfrm>
                    <a:prstGeom prst="rect">
                      <a:avLst/>
                    </a:prstGeom>
                  </pic:spPr>
                </pic:pic>
              </a:graphicData>
            </a:graphic>
          </wp:inline>
        </w:drawing>
      </w:r>
    </w:p>
    <w:p>
      <w:pPr>
        <w:pStyle w:val="yHeading5"/>
      </w:pPr>
      <w:bookmarkStart w:id="269" w:name="_Toc161409765"/>
      <w:bookmarkStart w:id="270" w:name="_Toc154062667"/>
      <w:r>
        <w:rPr>
          <w:rStyle w:val="CharSClsNo"/>
        </w:rPr>
        <w:t>2</w:t>
      </w:r>
      <w:r>
        <w:t>.</w:t>
      </w:r>
      <w:r>
        <w:tab/>
        <w:t>Hillarys</w:t>
      </w:r>
      <w:bookmarkEnd w:id="269"/>
      <w:bookmarkEnd w:id="270"/>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5414400" cy="3751200"/>
                    </a:xfrm>
                    <a:prstGeom prst="rect">
                      <a:avLst/>
                    </a:prstGeom>
                  </pic:spPr>
                </pic:pic>
              </a:graphicData>
            </a:graphic>
          </wp:inline>
        </w:drawing>
      </w:r>
    </w:p>
    <w:p>
      <w:pPr>
        <w:pStyle w:val="yHeading5"/>
      </w:pPr>
      <w:bookmarkStart w:id="271" w:name="_Toc161409766"/>
      <w:bookmarkStart w:id="272" w:name="_Toc154062668"/>
      <w:r>
        <w:rPr>
          <w:rStyle w:val="CharSClsNo"/>
        </w:rPr>
        <w:t>3</w:t>
      </w:r>
      <w:r>
        <w:t>.</w:t>
      </w:r>
      <w:r>
        <w:tab/>
        <w:t>Mandurah</w:t>
      </w:r>
      <w:bookmarkEnd w:id="271"/>
      <w:bookmarkEnd w:id="272"/>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403600" cy="3751200"/>
                    </a:xfrm>
                    <a:prstGeom prst="rect">
                      <a:avLst/>
                    </a:prstGeom>
                  </pic:spPr>
                </pic:pic>
              </a:graphicData>
            </a:graphic>
          </wp:inline>
        </w:drawing>
      </w:r>
    </w:p>
    <w:p>
      <w:pPr>
        <w:pStyle w:val="yHeading5"/>
      </w:pPr>
      <w:bookmarkStart w:id="273" w:name="_Toc161409767"/>
      <w:bookmarkStart w:id="274" w:name="_Toc154062669"/>
      <w:r>
        <w:rPr>
          <w:rStyle w:val="CharSClsNo"/>
        </w:rPr>
        <w:t>4</w:t>
      </w:r>
      <w:r>
        <w:t>.</w:t>
      </w:r>
      <w:r>
        <w:tab/>
        <w:t>Perth and Northbridge</w:t>
      </w:r>
      <w:bookmarkEnd w:id="273"/>
      <w:bookmarkEnd w:id="274"/>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5414400" cy="3751200"/>
                    </a:xfrm>
                    <a:prstGeom prst="rect">
                      <a:avLst/>
                    </a:prstGeom>
                  </pic:spPr>
                </pic:pic>
              </a:graphicData>
            </a:graphic>
          </wp:inline>
        </w:drawing>
      </w:r>
    </w:p>
    <w:p>
      <w:pPr>
        <w:pStyle w:val="yHeading5"/>
      </w:pPr>
      <w:bookmarkStart w:id="275" w:name="_Toc161409768"/>
      <w:bookmarkStart w:id="276" w:name="_Toc154062670"/>
      <w:r>
        <w:rPr>
          <w:rStyle w:val="CharSClsNo"/>
        </w:rPr>
        <w:t>5</w:t>
      </w:r>
      <w:r>
        <w:t>.</w:t>
      </w:r>
      <w:r>
        <w:tab/>
        <w:t>Scarborough</w:t>
      </w:r>
      <w:bookmarkEnd w:id="275"/>
      <w:bookmarkEnd w:id="276"/>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277" w:name="_Toc161316454"/>
      <w:bookmarkStart w:id="278" w:name="_Toc161316842"/>
      <w:bookmarkStart w:id="279" w:name="_Toc161409769"/>
      <w:bookmarkStart w:id="280" w:name="_Toc153979943"/>
      <w:bookmarkStart w:id="281" w:name="_Toc153982540"/>
      <w:bookmarkStart w:id="282" w:name="_Toc154046060"/>
      <w:bookmarkStart w:id="283" w:name="_Toc154062467"/>
      <w:bookmarkStart w:id="284" w:name="_Toc154062671"/>
      <w:r>
        <w:t>Notes</w:t>
      </w:r>
      <w:bookmarkEnd w:id="277"/>
      <w:bookmarkEnd w:id="278"/>
      <w:bookmarkEnd w:id="279"/>
      <w:bookmarkEnd w:id="280"/>
      <w:bookmarkEnd w:id="281"/>
      <w:bookmarkEnd w:id="282"/>
      <w:bookmarkEnd w:id="283"/>
      <w:bookmarkEnd w:id="284"/>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5" w:name="_Toc161409770"/>
      <w:bookmarkStart w:id="286" w:name="_Toc154062672"/>
      <w:r>
        <w:t>Compilation table</w:t>
      </w:r>
      <w:bookmarkEnd w:id="285"/>
      <w:bookmarkEnd w:id="28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pPr>
              <w:pStyle w:val="nTable"/>
              <w:spacing w:after="40"/>
            </w:pPr>
            <w:r>
              <w:t>SL 2023/156 18 Oct 2023</w:t>
            </w:r>
          </w:p>
        </w:tc>
        <w:tc>
          <w:tcPr>
            <w:tcW w:w="2693" w:type="dxa"/>
            <w:tcBorders>
              <w:top w:val="nil"/>
              <w:bottom w:val="nil"/>
            </w:tcBorders>
            <w:shd w:val="clear" w:color="auto" w:fill="auto"/>
          </w:tcPr>
          <w:p>
            <w:pPr>
              <w:pStyle w:val="nTable"/>
              <w:spacing w:after="40"/>
            </w:pPr>
            <w:r>
              <w:t>1 Jan 2024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nil"/>
            </w:tcBorders>
            <w:shd w:val="clear" w:color="auto" w:fill="auto"/>
          </w:tcPr>
          <w:p>
            <w:pPr>
              <w:pStyle w:val="nTable"/>
              <w:spacing w:after="40"/>
              <w:rPr>
                <w:iCs/>
              </w:rPr>
            </w:pPr>
            <w:r>
              <w:rPr>
                <w:i/>
              </w:rPr>
              <w:t xml:space="preserve">Liquor Control Amendment Regulations (No. 2) 2023 </w:t>
            </w:r>
            <w:r>
              <w:rPr>
                <w:iCs/>
              </w:rPr>
              <w:t>(other than Pt. 4)</w:t>
            </w:r>
          </w:p>
        </w:tc>
        <w:tc>
          <w:tcPr>
            <w:tcW w:w="1276" w:type="dxa"/>
            <w:tcBorders>
              <w:top w:val="nil"/>
              <w:bottom w:val="nil"/>
            </w:tcBorders>
            <w:shd w:val="clear" w:color="auto" w:fill="auto"/>
          </w:tcPr>
          <w:p>
            <w:pPr>
              <w:pStyle w:val="nTable"/>
              <w:spacing w:after="40"/>
            </w:pPr>
            <w:r>
              <w:t>SL 2023/196 13 Dec 2023</w:t>
            </w:r>
          </w:p>
        </w:tc>
        <w:tc>
          <w:tcPr>
            <w:tcW w:w="2693" w:type="dxa"/>
            <w:tcBorders>
              <w:top w:val="nil"/>
              <w:bottom w:val="nil"/>
            </w:tcBorders>
            <w:shd w:val="clear" w:color="auto" w:fill="auto"/>
          </w:tcPr>
          <w:p>
            <w:pPr>
              <w:pStyle w:val="nTable"/>
              <w:spacing w:after="40"/>
            </w:pPr>
            <w:r>
              <w:t>Pt. 1: 13 Dec 2023 (see r. 2(a));</w:t>
            </w:r>
            <w:r>
              <w:br/>
              <w:t>Pt. 2: 14 Dec 2023 (see r. 2(b))</w:t>
            </w:r>
            <w:r>
              <w:br/>
              <w:t>Pt. 3: 1 Jan 2024 (see r. 2(c))</w:t>
            </w:r>
          </w:p>
        </w:tc>
      </w:tr>
      <w:tr>
        <w:trPr>
          <w:cantSplit/>
          <w:ins w:id="287" w:author="Master Repository Process" w:date="2025-06-18T09:08:00Z"/>
        </w:trPr>
        <w:tc>
          <w:tcPr>
            <w:tcW w:w="3119" w:type="dxa"/>
            <w:tcBorders>
              <w:top w:val="nil"/>
              <w:bottom w:val="single" w:sz="4" w:space="0" w:color="auto"/>
            </w:tcBorders>
            <w:shd w:val="clear" w:color="auto" w:fill="auto"/>
          </w:tcPr>
          <w:p>
            <w:pPr>
              <w:pStyle w:val="nTable"/>
              <w:spacing w:after="40"/>
              <w:rPr>
                <w:ins w:id="288" w:author="Master Repository Process" w:date="2025-06-18T09:08:00Z"/>
                <w:i/>
              </w:rPr>
            </w:pPr>
            <w:ins w:id="289" w:author="Master Repository Process" w:date="2025-06-18T09:08:00Z">
              <w:r>
                <w:rPr>
                  <w:i/>
                  <w:noProof/>
                </w:rPr>
                <w:t>Liquor Control (Weymul Restricted Area) Regulations 2024 </w:t>
              </w:r>
              <w:r>
                <w:t>Pt. 5</w:t>
              </w:r>
            </w:ins>
          </w:p>
        </w:tc>
        <w:tc>
          <w:tcPr>
            <w:tcW w:w="1276" w:type="dxa"/>
            <w:tcBorders>
              <w:top w:val="nil"/>
              <w:bottom w:val="single" w:sz="4" w:space="0" w:color="auto"/>
            </w:tcBorders>
            <w:shd w:val="clear" w:color="auto" w:fill="auto"/>
          </w:tcPr>
          <w:p>
            <w:pPr>
              <w:pStyle w:val="nTable"/>
              <w:spacing w:after="40"/>
              <w:rPr>
                <w:ins w:id="290" w:author="Master Repository Process" w:date="2025-06-18T09:08:00Z"/>
              </w:rPr>
            </w:pPr>
            <w:ins w:id="291" w:author="Master Repository Process" w:date="2025-06-18T09:08:00Z">
              <w:r>
                <w:t>SL 2024/37</w:t>
              </w:r>
              <w:r>
                <w:br/>
                <w:t>20 Mar 2024</w:t>
              </w:r>
            </w:ins>
          </w:p>
        </w:tc>
        <w:tc>
          <w:tcPr>
            <w:tcW w:w="2693" w:type="dxa"/>
            <w:tcBorders>
              <w:top w:val="nil"/>
              <w:bottom w:val="single" w:sz="4" w:space="0" w:color="auto"/>
            </w:tcBorders>
            <w:shd w:val="clear" w:color="auto" w:fill="auto"/>
          </w:tcPr>
          <w:p>
            <w:pPr>
              <w:pStyle w:val="nTable"/>
              <w:spacing w:after="40"/>
              <w:rPr>
                <w:ins w:id="292" w:author="Master Repository Process" w:date="2025-06-18T09:08:00Z"/>
              </w:rPr>
            </w:pPr>
            <w:ins w:id="293" w:author="Master Repository Process" w:date="2025-06-18T09:08:00Z">
              <w:r>
                <w:t>21 Mar 2024 (see r. 2(b))</w:t>
              </w:r>
            </w:ins>
          </w:p>
        </w:tc>
      </w:tr>
    </w:tbl>
    <w:p>
      <w:pPr>
        <w:pStyle w:val="nHeading3"/>
      </w:pPr>
      <w:bookmarkStart w:id="294" w:name="_Toc161409771"/>
      <w:bookmarkStart w:id="295" w:name="_Toc154062673"/>
      <w:r>
        <w:t>Uncommenced provisions table</w:t>
      </w:r>
      <w:bookmarkEnd w:id="294"/>
      <w:bookmarkEnd w:id="29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rPr>
                <w:bCs/>
                <w:iCs/>
                <w:noProof/>
              </w:rPr>
            </w:pPr>
            <w:r>
              <w:rPr>
                <w:bCs/>
                <w:i/>
                <w:noProof/>
              </w:rPr>
              <w:t>Liquor Control Amendment Regulations (No. 2) 2023</w:t>
            </w:r>
            <w:r>
              <w:rPr>
                <w:bCs/>
                <w:iCs/>
                <w:noProof/>
              </w:rPr>
              <w:t xml:space="preserve"> Pt. 4</w:t>
            </w:r>
          </w:p>
        </w:tc>
        <w:tc>
          <w:tcPr>
            <w:tcW w:w="1276" w:type="dxa"/>
            <w:tcBorders>
              <w:top w:val="nil"/>
              <w:bottom w:val="single" w:sz="4" w:space="0" w:color="auto"/>
            </w:tcBorders>
          </w:tcPr>
          <w:p>
            <w:pPr>
              <w:pStyle w:val="nTable"/>
              <w:spacing w:after="40"/>
            </w:pPr>
            <w:r>
              <w:t>SL 2023/196 13 Dec 2023</w:t>
            </w:r>
          </w:p>
        </w:tc>
        <w:tc>
          <w:tcPr>
            <w:tcW w:w="2693" w:type="dxa"/>
            <w:tcBorders>
              <w:top w:val="nil"/>
              <w:bottom w:val="single" w:sz="4" w:space="0" w:color="auto"/>
            </w:tcBorders>
          </w:tcPr>
          <w:p>
            <w:pPr>
              <w:pStyle w:val="nTable"/>
              <w:spacing w:after="40"/>
            </w:pPr>
            <w:r>
              <w:t>14 Dec 2025 (see r. 2(d))</w:t>
            </w:r>
          </w:p>
        </w:tc>
      </w:tr>
    </w:tbl>
    <w:p>
      <w:pPr>
        <w:pStyle w:val="nHeading3"/>
        <w:keepLines/>
        <w:widowControl w:val="0"/>
      </w:pPr>
      <w:bookmarkStart w:id="296" w:name="_Toc161409772"/>
      <w:bookmarkStart w:id="297" w:name="_Toc154062674"/>
      <w:r>
        <w:t>Other notes</w:t>
      </w:r>
      <w:bookmarkEnd w:id="296"/>
      <w:bookmarkEnd w:id="297"/>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5"/>
          <w:headerReference w:type="default" r:id="rId3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8" w:name="Compilation"/>
    <w:bookmarkEnd w:id="29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9" w:name="Coversheet"/>
    <w:bookmarkEnd w:id="2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34401"/>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9.jpeg"/><Relationship Id="rId37" Type="http://schemas.openxmlformats.org/officeDocument/2006/relationships/header" Target="header15.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8.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3.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6.xml"/><Relationship Id="rId20" Type="http://schemas.openxmlformats.org/officeDocument/2006/relationships/header" Target="header6.xml"/><Relationship Id="rId4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29800</Words>
  <Characters>141550</Characters>
  <Application>Microsoft Office Word</Application>
  <DocSecurity>0</DocSecurity>
  <Lines>4881</Lines>
  <Paragraphs>2809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14-aj0-00 - 14-ak0-00</dc:title>
  <dc:subject/>
  <dc:creator/>
  <cp:keywords/>
  <dc:description/>
  <cp:lastModifiedBy>Master Repository Process</cp:lastModifiedBy>
  <cp:revision>2</cp:revision>
  <cp:lastPrinted>2019-12-05T02:25:00Z</cp:lastPrinted>
  <dcterms:created xsi:type="dcterms:W3CDTF">2025-06-18T01:07:00Z</dcterms:created>
  <dcterms:modified xsi:type="dcterms:W3CDTF">2025-06-18T01:09:00Z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Official">
    <vt:lpwstr/>
  </property>
  <property fmtid="{D5CDD505-2E9C-101B-9397-08002B2CF9AE}" pid="8" name="CommencementDate">
    <vt:lpwstr>20240321</vt:lpwstr>
  </property>
  <property fmtid="{D5CDD505-2E9C-101B-9397-08002B2CF9AE}" pid="9" name="CommencementAsAt">
    <vt:filetime>2024-03-20T16:00:00Z</vt:filetime>
  </property>
  <property fmtid="{D5CDD505-2E9C-101B-9397-08002B2CF9AE}" pid="10" name="CommencementYear">
    <vt:lpwstr>2024</vt:lpwstr>
  </property>
  <property fmtid="{D5CDD505-2E9C-101B-9397-08002B2CF9AE}" pid="11" name="FromSuffix">
    <vt:lpwstr>14-aj0-00</vt:lpwstr>
  </property>
  <property fmtid="{D5CDD505-2E9C-101B-9397-08002B2CF9AE}" pid="12" name="FromAsAtDate">
    <vt:lpwstr>01 Jan 2024</vt:lpwstr>
  </property>
  <property fmtid="{D5CDD505-2E9C-101B-9397-08002B2CF9AE}" pid="13" name="ToSuffix">
    <vt:lpwstr>14-ak0-00</vt:lpwstr>
  </property>
  <property fmtid="{D5CDD505-2E9C-101B-9397-08002B2CF9AE}" pid="14" name="ToAsAtDate">
    <vt:lpwstr>21 Mar 2024</vt:lpwstr>
  </property>
</Properties>
</file>