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2022</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1" w:name="_Toc165444369"/>
      <w:bookmarkStart w:id="2" w:name="_Toc100135418"/>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3" w:name="_Toc165444370"/>
      <w:bookmarkStart w:id="4" w:name="_Toc100135419"/>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5" w:name="_Toc165444371"/>
      <w:bookmarkStart w:id="6" w:name="_Toc83377567"/>
      <w:bookmarkStart w:id="7" w:name="_Toc100135420"/>
      <w:r>
        <w:rPr>
          <w:rStyle w:val="CharSectno"/>
        </w:rPr>
        <w:t>3</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displacement tonneage</w:t>
      </w:r>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w:t>
      </w:r>
      <w:r>
        <w:lastRenderedPageBreak/>
        <w:t>or not that structure or apparatus is, or is proposed to be, used for any other purpose;</w:t>
      </w:r>
    </w:p>
    <w:p>
      <w:pPr>
        <w:pStyle w:val="Defstart"/>
      </w:pPr>
      <w:r>
        <w:rPr>
          <w:b/>
        </w:rPr>
        <w:tab/>
      </w:r>
      <w:r>
        <w:rPr>
          <w:rStyle w:val="CharDefText"/>
        </w:rPr>
        <w:t>person</w:t>
      </w:r>
      <w:r>
        <w:t xml:space="preserve"> includes a body corporate or partnership;</w:t>
      </w:r>
    </w:p>
    <w:p>
      <w:pPr>
        <w:pStyle w:val="Defstart"/>
      </w:pPr>
      <w:r>
        <w:rPr>
          <w:b/>
        </w:rPr>
        <w:tab/>
      </w:r>
      <w:r>
        <w:rPr>
          <w:rStyle w:val="CharDefText"/>
        </w:rPr>
        <w:t>registered owner</w:t>
      </w:r>
      <w:r>
        <w:t xml:space="preserve"> means the person in whose name the mooring site is registered under these regulations;</w:t>
      </w:r>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 xml:space="preserve">[Regulation 3 amended: Gazette 31 Dec 1993 p. 6910; 11 Dec 1998 p. 6650; SL 2022/47 r. 9.] </w:t>
      </w:r>
    </w:p>
    <w:p>
      <w:pPr>
        <w:pStyle w:val="Heading5"/>
        <w:rPr>
          <w:snapToGrid w:val="0"/>
        </w:rPr>
      </w:pPr>
      <w:bookmarkStart w:id="8" w:name="_Toc165444372"/>
      <w:bookmarkStart w:id="9" w:name="_Toc100135421"/>
      <w:r>
        <w:rPr>
          <w:rStyle w:val="CharSectno"/>
        </w:rPr>
        <w:t>4</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Subsection"/>
      </w:pPr>
      <w:r>
        <w:tab/>
        <w:t>(3)</w:t>
      </w:r>
      <w:r>
        <w:tab/>
        <w:t xml:space="preserve">Subregulation (2) has effect subject to the </w:t>
      </w:r>
      <w:r>
        <w:rPr>
          <w:i/>
        </w:rPr>
        <w:t>Mooring Regulations 1998</w:t>
      </w:r>
      <w:r>
        <w:t xml:space="preserve"> regulation 35.</w:t>
      </w:r>
    </w:p>
    <w:p>
      <w:pPr>
        <w:pStyle w:val="Footnotesection"/>
      </w:pPr>
      <w:r>
        <w:tab/>
        <w:t>[Regulation 4 amended: Gazette 11 Dec 1998 p. 6650; SL 2021/147 r. 36.]</w:t>
      </w:r>
    </w:p>
    <w:p>
      <w:pPr>
        <w:pStyle w:val="Heading5"/>
        <w:rPr>
          <w:snapToGrid w:val="0"/>
        </w:rPr>
      </w:pPr>
      <w:bookmarkStart w:id="10" w:name="_Toc165444373"/>
      <w:bookmarkStart w:id="11" w:name="_Toc100135422"/>
      <w:r>
        <w:rPr>
          <w:rStyle w:val="CharSectno"/>
        </w:rPr>
        <w:t>5</w:t>
      </w:r>
      <w:r>
        <w:rPr>
          <w:snapToGrid w:val="0"/>
        </w:rPr>
        <w:t>.</w:t>
      </w:r>
      <w:r>
        <w:rPr>
          <w:snapToGrid w:val="0"/>
        </w:rPr>
        <w:tab/>
        <w:t>Moorings in mooring control areas, installation and use of</w:t>
      </w:r>
      <w:bookmarkEnd w:id="10"/>
      <w:bookmarkEnd w:id="11"/>
      <w:r>
        <w:rPr>
          <w:snapToGrid w:val="0"/>
        </w:rPr>
        <w:t xml:space="preserve"> </w:t>
      </w:r>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registered by the controlling authority.</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lastRenderedPageBreak/>
        <w:tab/>
        <w:t>(b)</w:t>
      </w:r>
      <w:r>
        <w:tab/>
        <w:t xml:space="preserve">more than 60 days after the proclamation if — </w:t>
      </w:r>
    </w:p>
    <w:p>
      <w:pPr>
        <w:pStyle w:val="Indenti"/>
      </w:pPr>
      <w:r>
        <w:tab/>
        <w:t>(i)</w:t>
      </w:r>
      <w:r>
        <w:tab/>
        <w:t>an application for the registration of the relevant mooring site has been made to the controlling authority in accordance with regulation 6; and</w:t>
      </w:r>
    </w:p>
    <w:p>
      <w:pPr>
        <w:pStyle w:val="Indenti"/>
      </w:pPr>
      <w:r>
        <w:tab/>
        <w:t>(ii)</w:t>
      </w:r>
      <w:r>
        <w:tab/>
        <w:t>the controlling authority has not refused to register that mooring site.</w:t>
      </w:r>
    </w:p>
    <w:p>
      <w:pPr>
        <w:pStyle w:val="Footnotesection"/>
      </w:pPr>
      <w:r>
        <w:tab/>
        <w:t xml:space="preserve">[Regulation 5 amended: Gazette 11 Dec 1998 p. 6651; </w:t>
      </w:r>
      <w:r>
        <w:rPr>
          <w:szCs w:val="24"/>
        </w:rPr>
        <w:t>11 Feb 2011 p. 482</w:t>
      </w:r>
      <w:r>
        <w:rPr>
          <w:szCs w:val="24"/>
        </w:rPr>
        <w:noBreakHyphen/>
        <w:t>3</w:t>
      </w:r>
      <w:r>
        <w:t>.]</w:t>
      </w:r>
    </w:p>
    <w:p>
      <w:pPr>
        <w:pStyle w:val="Heading5"/>
        <w:rPr>
          <w:snapToGrid w:val="0"/>
        </w:rPr>
      </w:pPr>
      <w:bookmarkStart w:id="12" w:name="_Toc165444374"/>
      <w:bookmarkStart w:id="13" w:name="_Toc100135423"/>
      <w:r>
        <w:rPr>
          <w:rStyle w:val="CharSectno"/>
        </w:rPr>
        <w:t>6</w:t>
      </w:r>
      <w:r>
        <w:rPr>
          <w:snapToGrid w:val="0"/>
        </w:rPr>
        <w:t>.</w:t>
      </w:r>
      <w:r>
        <w:rPr>
          <w:snapToGrid w:val="0"/>
        </w:rPr>
        <w:tab/>
        <w:t>Mooring site, application for registration of</w:t>
      </w:r>
      <w:bookmarkEnd w:id="12"/>
      <w:bookmarkEnd w:id="13"/>
      <w:r>
        <w:rPr>
          <w:snapToGrid w:val="0"/>
        </w:rPr>
        <w:t xml:space="preserve"> </w:t>
      </w:r>
    </w:p>
    <w:p>
      <w:pPr>
        <w:pStyle w:val="Subsection"/>
        <w:rPr>
          <w:snapToGrid w:val="0"/>
        </w:rPr>
      </w:pPr>
      <w:r>
        <w:rPr>
          <w:snapToGrid w:val="0"/>
        </w:rPr>
        <w:tab/>
        <w:t>(1)</w:t>
      </w:r>
      <w:r>
        <w:rPr>
          <w:snapToGrid w:val="0"/>
        </w:rPr>
        <w:tab/>
        <w:t xml:space="preserve">Application for the registration of a mooring site shall be made to the controlling authority in the form </w:t>
      </w:r>
      <w:r>
        <w:t>approved by the controlling authority</w:t>
      </w:r>
      <w:r>
        <w:rPr>
          <w:snapToGrid w:val="0"/>
        </w:rPr>
        <w:t xml:space="preserv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w:t>
      </w:r>
      <w:r>
        <w:t xml:space="preserve">.] </w:t>
      </w:r>
    </w:p>
    <w:p>
      <w:pPr>
        <w:pStyle w:val="Heading5"/>
        <w:rPr>
          <w:snapToGrid w:val="0"/>
        </w:rPr>
      </w:pPr>
      <w:bookmarkStart w:id="14" w:name="_Toc165444375"/>
      <w:bookmarkStart w:id="15" w:name="_Toc100135424"/>
      <w:r>
        <w:rPr>
          <w:rStyle w:val="CharSectno"/>
        </w:rPr>
        <w:t>7</w:t>
      </w:r>
      <w:r>
        <w:rPr>
          <w:snapToGrid w:val="0"/>
        </w:rPr>
        <w:t>.</w:t>
      </w:r>
      <w:r>
        <w:rPr>
          <w:snapToGrid w:val="0"/>
        </w:rPr>
        <w:tab/>
        <w:t>Fees</w:t>
      </w:r>
      <w:bookmarkEnd w:id="14"/>
      <w:bookmarkEnd w:id="15"/>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 xml:space="preserve">[Regulation 7 amended: Gazette 31 Dec 1993 p. 6910; 11 Dec 1998 p. 6651.] </w:t>
      </w:r>
    </w:p>
    <w:p>
      <w:pPr>
        <w:pStyle w:val="Heading5"/>
        <w:rPr>
          <w:snapToGrid w:val="0"/>
        </w:rPr>
      </w:pPr>
      <w:bookmarkStart w:id="16" w:name="_Toc165444376"/>
      <w:bookmarkStart w:id="17" w:name="_Toc100135425"/>
      <w:r>
        <w:rPr>
          <w:rStyle w:val="CharSectno"/>
        </w:rPr>
        <w:t>8</w:t>
      </w:r>
      <w:r>
        <w:rPr>
          <w:snapToGrid w:val="0"/>
        </w:rPr>
        <w:t>.</w:t>
      </w:r>
      <w:r>
        <w:rPr>
          <w:snapToGrid w:val="0"/>
        </w:rPr>
        <w:tab/>
        <w:t>Approval for installation of mooring at mooring site</w:t>
      </w:r>
      <w:bookmarkEnd w:id="16"/>
      <w:bookmarkEnd w:id="17"/>
    </w:p>
    <w:p>
      <w:pPr>
        <w:pStyle w:val="Subsection"/>
        <w:keepNext/>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tab/>
        <w:t>(5)</w:t>
      </w:r>
      <w:r>
        <w:rPr>
          <w:snapToGrid w:val="0"/>
        </w:rPr>
        <w:tab/>
        <w:t>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w:t>
      </w:r>
    </w:p>
    <w:p>
      <w:pPr>
        <w:pStyle w:val="Heading5"/>
        <w:rPr>
          <w:snapToGrid w:val="0"/>
        </w:rPr>
      </w:pPr>
      <w:bookmarkStart w:id="18" w:name="_Toc165444377"/>
      <w:bookmarkStart w:id="19" w:name="_Toc100135426"/>
      <w:r>
        <w:rPr>
          <w:rStyle w:val="CharSectno"/>
        </w:rPr>
        <w:t>9</w:t>
      </w:r>
      <w:r>
        <w:rPr>
          <w:snapToGrid w:val="0"/>
        </w:rPr>
        <w:t>.</w:t>
      </w:r>
      <w:r>
        <w:rPr>
          <w:snapToGrid w:val="0"/>
        </w:rPr>
        <w:tab/>
        <w:t>Moorings may be required to be relocated</w:t>
      </w:r>
      <w:bookmarkEnd w:id="18"/>
      <w:bookmarkEnd w:id="19"/>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w:t>
      </w:r>
    </w:p>
    <w:p>
      <w:pPr>
        <w:pStyle w:val="Heading5"/>
        <w:rPr>
          <w:snapToGrid w:val="0"/>
        </w:rPr>
      </w:pPr>
      <w:bookmarkStart w:id="20" w:name="_Toc165444378"/>
      <w:bookmarkStart w:id="21" w:name="_Toc100135427"/>
      <w:r>
        <w:rPr>
          <w:rStyle w:val="CharSectno"/>
        </w:rPr>
        <w:t>10</w:t>
      </w:r>
      <w:r>
        <w:rPr>
          <w:snapToGrid w:val="0"/>
        </w:rPr>
        <w:t>.</w:t>
      </w:r>
      <w:r>
        <w:rPr>
          <w:snapToGrid w:val="0"/>
        </w:rPr>
        <w:tab/>
        <w:t>Moorings to be kept maintained</w:t>
      </w:r>
      <w:bookmarkEnd w:id="20"/>
      <w:bookmarkEnd w:id="21"/>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tab/>
        <w:t>(c)</w:t>
      </w:r>
      <w:r>
        <w:rPr>
          <w:snapToGrid w:val="0"/>
        </w:rPr>
        <w:tab/>
        <w:t>so that it at all times complies with regulation 13 and regulation 14(1).</w:t>
      </w:r>
    </w:p>
    <w:p>
      <w:pPr>
        <w:pStyle w:val="Heading5"/>
        <w:rPr>
          <w:snapToGrid w:val="0"/>
        </w:rPr>
      </w:pPr>
      <w:bookmarkStart w:id="22" w:name="_Toc165444379"/>
      <w:bookmarkStart w:id="23" w:name="_Toc100135428"/>
      <w:r>
        <w:rPr>
          <w:rStyle w:val="CharSectno"/>
        </w:rPr>
        <w:t>11</w:t>
      </w:r>
      <w:r>
        <w:rPr>
          <w:snapToGrid w:val="0"/>
        </w:rPr>
        <w:t>.</w:t>
      </w:r>
      <w:r>
        <w:rPr>
          <w:snapToGrid w:val="0"/>
        </w:rPr>
        <w:tab/>
        <w:t>Mooring may be required to be repaired etc.</w:t>
      </w:r>
      <w:bookmarkEnd w:id="22"/>
      <w:bookmarkEnd w:id="23"/>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tab/>
        <w:t>[Regulation 11 amended: Gazette 11 Dec 1998 p. 6651.]</w:t>
      </w:r>
    </w:p>
    <w:p>
      <w:pPr>
        <w:pStyle w:val="Heading5"/>
        <w:rPr>
          <w:snapToGrid w:val="0"/>
        </w:rPr>
      </w:pPr>
      <w:bookmarkStart w:id="24" w:name="_Toc165444380"/>
      <w:bookmarkStart w:id="25" w:name="_Toc100135429"/>
      <w:r>
        <w:rPr>
          <w:rStyle w:val="CharSectno"/>
        </w:rPr>
        <w:t>12</w:t>
      </w:r>
      <w:r>
        <w:rPr>
          <w:snapToGrid w:val="0"/>
        </w:rPr>
        <w:t>.</w:t>
      </w:r>
      <w:r>
        <w:rPr>
          <w:snapToGrid w:val="0"/>
        </w:rPr>
        <w:tab/>
        <w:t>Mooring site owner’s rights limited</w:t>
      </w:r>
      <w:bookmarkEnd w:id="24"/>
      <w:bookmarkEnd w:id="25"/>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tab/>
        <w:t>(c)</w:t>
      </w:r>
      <w:r>
        <w:rPr>
          <w:snapToGrid w:val="0"/>
        </w:rPr>
        <w:tab/>
        <w:t>upon a transmission to a person entitled to the registered mooring site under the estate of a deceased registered owner.</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registered mooring site is declared not to be personal property for the purposes of that Act.</w:t>
      </w:r>
    </w:p>
    <w:p>
      <w:pPr>
        <w:pStyle w:val="Footnotesection"/>
      </w:pPr>
      <w:r>
        <w:tab/>
        <w:t>[Regulation 12 amended: Gazette 11 Dec 1998 p. 6651; 14 Feb 2012 p. 670.]</w:t>
      </w:r>
    </w:p>
    <w:p>
      <w:pPr>
        <w:pStyle w:val="Heading5"/>
        <w:rPr>
          <w:snapToGrid w:val="0"/>
        </w:rPr>
      </w:pPr>
      <w:bookmarkStart w:id="26" w:name="_Toc165444381"/>
      <w:bookmarkStart w:id="27" w:name="_Toc100135430"/>
      <w:r>
        <w:rPr>
          <w:rStyle w:val="CharSectno"/>
        </w:rPr>
        <w:t>13</w:t>
      </w:r>
      <w:r>
        <w:rPr>
          <w:snapToGrid w:val="0"/>
        </w:rPr>
        <w:t>.</w:t>
      </w:r>
      <w:r>
        <w:rPr>
          <w:snapToGrid w:val="0"/>
        </w:rPr>
        <w:tab/>
        <w:t>Floats on moorings, specifications for</w:t>
      </w:r>
      <w:bookmarkEnd w:id="26"/>
      <w:bookmarkEnd w:id="27"/>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 Gazette 11 Dec 1998 p. 6651.]</w:t>
      </w:r>
    </w:p>
    <w:p>
      <w:pPr>
        <w:pStyle w:val="Heading5"/>
        <w:rPr>
          <w:snapToGrid w:val="0"/>
        </w:rPr>
      </w:pPr>
      <w:bookmarkStart w:id="28" w:name="_Toc165444382"/>
      <w:bookmarkStart w:id="29" w:name="_Toc100135431"/>
      <w:r>
        <w:rPr>
          <w:rStyle w:val="CharSectno"/>
        </w:rPr>
        <w:t>14</w:t>
      </w:r>
      <w:r>
        <w:rPr>
          <w:snapToGrid w:val="0"/>
        </w:rPr>
        <w:t>.</w:t>
      </w:r>
      <w:r>
        <w:rPr>
          <w:snapToGrid w:val="0"/>
        </w:rPr>
        <w:tab/>
        <w:t>Mooring to be suited to vessel etc.</w:t>
      </w:r>
      <w:bookmarkEnd w:id="28"/>
      <w:bookmarkEnd w:id="29"/>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tab/>
        <w:t>[Regulation 14 amended: Gazette 11 Dec 1998 p. 6651.]</w:t>
      </w:r>
    </w:p>
    <w:p>
      <w:pPr>
        <w:pStyle w:val="Heading5"/>
        <w:rPr>
          <w:snapToGrid w:val="0"/>
        </w:rPr>
      </w:pPr>
      <w:bookmarkStart w:id="30" w:name="_Toc165444383"/>
      <w:bookmarkStart w:id="31" w:name="_Toc100135432"/>
      <w:r>
        <w:rPr>
          <w:rStyle w:val="CharSectno"/>
        </w:rPr>
        <w:t>15</w:t>
      </w:r>
      <w:r>
        <w:rPr>
          <w:snapToGrid w:val="0"/>
        </w:rPr>
        <w:t>.</w:t>
      </w:r>
      <w:r>
        <w:rPr>
          <w:snapToGrid w:val="0"/>
        </w:rPr>
        <w:tab/>
        <w:t>Mooring site registration may be terminated</w:t>
      </w:r>
      <w:bookmarkEnd w:id="30"/>
      <w:bookmarkEnd w:id="31"/>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 xml:space="preserve">[Regulation 15 amended: Gazette 31 Dec 1993 p. 6911; 11 Dec 1998 p. 6651.] </w:t>
      </w:r>
    </w:p>
    <w:p>
      <w:pPr>
        <w:pStyle w:val="Heading5"/>
        <w:rPr>
          <w:snapToGrid w:val="0"/>
        </w:rPr>
      </w:pPr>
      <w:bookmarkStart w:id="32" w:name="_Toc165444384"/>
      <w:bookmarkStart w:id="33" w:name="_Toc100135433"/>
      <w:r>
        <w:rPr>
          <w:rStyle w:val="CharSectno"/>
        </w:rPr>
        <w:t>16</w:t>
      </w:r>
      <w:r>
        <w:rPr>
          <w:snapToGrid w:val="0"/>
        </w:rPr>
        <w:t>.</w:t>
      </w:r>
      <w:r>
        <w:rPr>
          <w:snapToGrid w:val="0"/>
        </w:rPr>
        <w:tab/>
        <w:t>Moorings, use of</w:t>
      </w:r>
      <w:bookmarkEnd w:id="32"/>
      <w:bookmarkEnd w:id="33"/>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keepNext/>
        <w:spacing w:before="60"/>
        <w:rPr>
          <w:snapToGrid w:val="0"/>
        </w:rPr>
      </w:pPr>
      <w:r>
        <w:rPr>
          <w:snapToGrid w:val="0"/>
        </w:rPr>
        <w:tab/>
        <w:t>(b)</w:t>
      </w:r>
      <w:r>
        <w:rPr>
          <w:snapToGrid w:val="0"/>
        </w:rPr>
        <w:tab/>
        <w:t>more than one vessel or other floating object simultaneously.</w:t>
      </w:r>
    </w:p>
    <w:p>
      <w:pPr>
        <w:pStyle w:val="Footnotesection"/>
      </w:pPr>
      <w:r>
        <w:tab/>
        <w:t xml:space="preserve">[Regulation 16 amended: Gazette 11 Dec 1998 p. 6651.] </w:t>
      </w:r>
    </w:p>
    <w:p>
      <w:pPr>
        <w:pStyle w:val="Heading5"/>
        <w:rPr>
          <w:snapToGrid w:val="0"/>
        </w:rPr>
      </w:pPr>
      <w:bookmarkStart w:id="34" w:name="_Toc165444385"/>
      <w:bookmarkStart w:id="35" w:name="_Toc100135434"/>
      <w:r>
        <w:rPr>
          <w:rStyle w:val="CharSectno"/>
        </w:rPr>
        <w:t>16A</w:t>
      </w:r>
      <w:r>
        <w:rPr>
          <w:snapToGrid w:val="0"/>
        </w:rPr>
        <w:t>.</w:t>
      </w:r>
      <w:r>
        <w:rPr>
          <w:snapToGrid w:val="0"/>
        </w:rPr>
        <w:tab/>
        <w:t>Prevention of collisions</w:t>
      </w:r>
      <w:bookmarkEnd w:id="34"/>
      <w:bookmarkEnd w:id="35"/>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w:t>
      </w:r>
    </w:p>
    <w:p>
      <w:pPr>
        <w:pStyle w:val="Heading5"/>
        <w:rPr>
          <w:snapToGrid w:val="0"/>
        </w:rPr>
      </w:pPr>
      <w:bookmarkStart w:id="36" w:name="_Toc165444386"/>
      <w:bookmarkStart w:id="37" w:name="_Toc100135435"/>
      <w:r>
        <w:rPr>
          <w:rStyle w:val="CharSectno"/>
        </w:rPr>
        <w:t>17</w:t>
      </w:r>
      <w:r>
        <w:rPr>
          <w:snapToGrid w:val="0"/>
        </w:rPr>
        <w:t>.</w:t>
      </w:r>
      <w:r>
        <w:rPr>
          <w:snapToGrid w:val="0"/>
        </w:rPr>
        <w:tab/>
        <w:t>Change of registered particulars etc., notice of to be given</w:t>
      </w:r>
      <w:bookmarkEnd w:id="36"/>
      <w:bookmarkEnd w:id="37"/>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 Gazette 11 Dec 1998 p. 6651.]</w:t>
      </w:r>
    </w:p>
    <w:p>
      <w:pPr>
        <w:pStyle w:val="Heading5"/>
        <w:rPr>
          <w:snapToGrid w:val="0"/>
        </w:rPr>
      </w:pPr>
      <w:bookmarkStart w:id="38" w:name="_Toc165444387"/>
      <w:bookmarkStart w:id="39" w:name="_Toc100135436"/>
      <w:r>
        <w:rPr>
          <w:rStyle w:val="CharSectno"/>
        </w:rPr>
        <w:t>18</w:t>
      </w:r>
      <w:r>
        <w:rPr>
          <w:snapToGrid w:val="0"/>
        </w:rPr>
        <w:t>.</w:t>
      </w:r>
      <w:r>
        <w:rPr>
          <w:snapToGrid w:val="0"/>
        </w:rPr>
        <w:tab/>
        <w:t>Mooring site may be surrendered</w:t>
      </w:r>
      <w:bookmarkEnd w:id="38"/>
      <w:bookmarkEnd w:id="39"/>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A person who surrenders a registered mooring site shall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w:t>
      </w:r>
    </w:p>
    <w:p>
      <w:pPr>
        <w:pStyle w:val="Heading5"/>
        <w:rPr>
          <w:snapToGrid w:val="0"/>
        </w:rPr>
      </w:pPr>
      <w:bookmarkStart w:id="40" w:name="_Toc165444388"/>
      <w:bookmarkStart w:id="41" w:name="_Toc100135437"/>
      <w:r>
        <w:rPr>
          <w:rStyle w:val="CharSectno"/>
        </w:rPr>
        <w:t>19</w:t>
      </w:r>
      <w:r>
        <w:rPr>
          <w:snapToGrid w:val="0"/>
        </w:rPr>
        <w:t>.</w:t>
      </w:r>
      <w:r>
        <w:rPr>
          <w:snapToGrid w:val="0"/>
        </w:rPr>
        <w:tab/>
        <w:t>Offences</w:t>
      </w:r>
      <w:bookmarkEnd w:id="40"/>
      <w:bookmarkEnd w:id="41"/>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pStyle w:val="Heading5"/>
      </w:pPr>
      <w:bookmarkStart w:id="42" w:name="_Toc165444389"/>
      <w:bookmarkStart w:id="43" w:name="_Toc97643730"/>
      <w:bookmarkStart w:id="44" w:name="_Toc100048245"/>
      <w:bookmarkStart w:id="45" w:name="_Toc100135438"/>
      <w:r>
        <w:rPr>
          <w:rStyle w:val="CharSectno"/>
        </w:rPr>
        <w:t>20</w:t>
      </w:r>
      <w:r>
        <w:t>.</w:t>
      </w:r>
      <w:r>
        <w:tab/>
        <w:t>Authorised fee officers</w:t>
      </w:r>
      <w:bookmarkEnd w:id="42"/>
      <w:bookmarkEnd w:id="43"/>
      <w:bookmarkEnd w:id="44"/>
      <w:bookmarkEnd w:id="45"/>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46" w:name="_Toc165444390"/>
      <w:bookmarkStart w:id="47" w:name="_Toc97643731"/>
      <w:bookmarkStart w:id="48" w:name="_Toc100048246"/>
      <w:bookmarkStart w:id="49" w:name="_Toc100135439"/>
      <w:r>
        <w:rPr>
          <w:rStyle w:val="CharSectno"/>
        </w:rPr>
        <w:t>21</w:t>
      </w:r>
      <w:r>
        <w:t>.</w:t>
      </w:r>
      <w:r>
        <w:tab/>
        <w:t>Waiver of fees</w:t>
      </w:r>
      <w:bookmarkEnd w:id="46"/>
      <w:bookmarkEnd w:id="47"/>
      <w:bookmarkEnd w:id="48"/>
      <w:bookmarkEnd w:id="49"/>
      <w:r>
        <w:t xml:space="preserve"> </w:t>
      </w:r>
    </w:p>
    <w:p>
      <w:pPr>
        <w:pStyle w:val="Subsection"/>
      </w:pPr>
      <w:r>
        <w:tab/>
        <w:t>(1)</w:t>
      </w:r>
      <w:r>
        <w:tab/>
        <w:t xml:space="preserve">A controlling authority or an authorised fee officer designated by it may by written instrument waive in whole or in part, 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bookmarkStart w:id="50" w:name="_Toc97643732"/>
      <w:bookmarkStart w:id="51" w:name="_Toc100048247"/>
      <w:r>
        <w:tab/>
        <w:t>[Regulation 21 inserted: SL 2022/47 r. 10.]</w:t>
      </w:r>
    </w:p>
    <w:p>
      <w:pPr>
        <w:pStyle w:val="Heading5"/>
      </w:pPr>
      <w:bookmarkStart w:id="52" w:name="_Toc165444391"/>
      <w:bookmarkStart w:id="53" w:name="_Toc100135440"/>
      <w:r>
        <w:rPr>
          <w:rStyle w:val="CharSectno"/>
        </w:rPr>
        <w:t>22</w:t>
      </w:r>
      <w:r>
        <w:t>.</w:t>
      </w:r>
      <w:r>
        <w:tab/>
        <w:t>Details of waivers to be accessible on website</w:t>
      </w:r>
      <w:bookmarkEnd w:id="52"/>
      <w:bookmarkEnd w:id="50"/>
      <w:bookmarkEnd w:id="51"/>
      <w:bookmarkEnd w:id="53"/>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bookmarkStart w:id="54" w:name="_Toc97643733"/>
      <w:bookmarkStart w:id="55" w:name="_Toc100048248"/>
      <w:r>
        <w:tab/>
        <w:t>[Regulation 22 inserted: SL 2022/47 r. 10.]</w:t>
      </w:r>
    </w:p>
    <w:p>
      <w:pPr>
        <w:pStyle w:val="Heading5"/>
      </w:pPr>
      <w:bookmarkStart w:id="56" w:name="_Toc165444392"/>
      <w:bookmarkStart w:id="57" w:name="_Toc100135441"/>
      <w:r>
        <w:rPr>
          <w:rStyle w:val="CharSectno"/>
        </w:rPr>
        <w:t>23</w:t>
      </w:r>
      <w:r>
        <w:t>.</w:t>
      </w:r>
      <w:r>
        <w:tab/>
        <w:t>Effect of waiver</w:t>
      </w:r>
      <w:bookmarkEnd w:id="56"/>
      <w:bookmarkEnd w:id="54"/>
      <w:bookmarkEnd w:id="55"/>
      <w:bookmarkEnd w:id="57"/>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bookmarkStart w:id="58" w:name="_Toc97643734"/>
      <w:bookmarkStart w:id="59" w:name="_Toc100048249"/>
      <w:r>
        <w:tab/>
        <w:t>[Regulation 23 inserted: SL 2022/47 r. 10.]</w:t>
      </w:r>
    </w:p>
    <w:p>
      <w:pPr>
        <w:pStyle w:val="Heading5"/>
      </w:pPr>
      <w:bookmarkStart w:id="60" w:name="_Toc165444393"/>
      <w:bookmarkStart w:id="61" w:name="_Toc100135442"/>
      <w:r>
        <w:rPr>
          <w:rStyle w:val="CharSectno"/>
        </w:rPr>
        <w:t>24</w:t>
      </w:r>
      <w:r>
        <w:t>.</w:t>
      </w:r>
      <w:r>
        <w:tab/>
        <w:t>Refund of fees</w:t>
      </w:r>
      <w:bookmarkEnd w:id="60"/>
      <w:bookmarkEnd w:id="58"/>
      <w:bookmarkEnd w:id="59"/>
      <w:bookmarkEnd w:id="61"/>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yEdnotesection"/>
      </w:pPr>
      <w:r>
        <w:tab/>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62" w:name="_Toc165386689"/>
      <w:bookmarkStart w:id="63" w:name="_Toc165387606"/>
      <w:bookmarkStart w:id="64" w:name="_Toc165444394"/>
      <w:bookmarkStart w:id="65" w:name="_Toc100050557"/>
      <w:bookmarkStart w:id="66" w:name="_Toc100051045"/>
      <w:bookmarkStart w:id="67" w:name="_Toc100064106"/>
      <w:bookmarkStart w:id="68" w:name="_Toc100129271"/>
      <w:bookmarkStart w:id="69" w:name="_Toc100135443"/>
      <w:r>
        <w:t>Notes</w:t>
      </w:r>
      <w:bookmarkEnd w:id="62"/>
      <w:bookmarkEnd w:id="63"/>
      <w:bookmarkEnd w:id="64"/>
      <w:bookmarkEnd w:id="65"/>
      <w:bookmarkEnd w:id="66"/>
      <w:bookmarkEnd w:id="67"/>
      <w:bookmarkEnd w:id="68"/>
      <w:bookmarkEnd w:id="69"/>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w:t>
      </w:r>
      <w:ins w:id="70" w:author="Master Repository Process" w:date="2025-06-06T11:39:00Z">
        <w:r>
          <w:t>For provisions that have not yet come into operation see the uncommenced provisions table.</w:t>
        </w:r>
      </w:ins>
    </w:p>
    <w:p>
      <w:pPr>
        <w:pStyle w:val="nHeading3"/>
      </w:pPr>
      <w:bookmarkStart w:id="71" w:name="_Toc165444395"/>
      <w:bookmarkStart w:id="72" w:name="_Toc100135444"/>
      <w:r>
        <w:t>Compilation table</w:t>
      </w:r>
      <w:bookmarkEnd w:id="71"/>
      <w:bookmarkEnd w:id="7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pPr>
            <w:r>
              <w:rPr>
                <w:i/>
              </w:rPr>
              <w:t>Transport Regulations Amendment (Waiver and Refund) Regulations 2022</w:t>
            </w:r>
            <w:r>
              <w:t xml:space="preserve"> Pt. 4</w:t>
            </w:r>
          </w:p>
        </w:tc>
        <w:tc>
          <w:tcPr>
            <w:tcW w:w="1276" w:type="dxa"/>
            <w:tcBorders>
              <w:bottom w:val="single" w:sz="4" w:space="0" w:color="auto"/>
            </w:tcBorders>
          </w:tcPr>
          <w:p>
            <w:pPr>
              <w:pStyle w:val="nTable"/>
              <w:spacing w:after="40"/>
            </w:pPr>
            <w:r>
              <w:t>SL 2022/47 8 Apr 2022</w:t>
            </w:r>
          </w:p>
        </w:tc>
        <w:tc>
          <w:tcPr>
            <w:tcW w:w="2693" w:type="dxa"/>
            <w:tcBorders>
              <w:bottom w:val="single" w:sz="4" w:space="0" w:color="auto"/>
            </w:tcBorders>
          </w:tcPr>
          <w:p>
            <w:pPr>
              <w:pStyle w:val="nTable"/>
              <w:spacing w:after="40"/>
            </w:pPr>
            <w:r>
              <w:t>9 Apr 2022 (see r. 2(b))</w:t>
            </w:r>
          </w:p>
        </w:tc>
      </w:tr>
    </w:tbl>
    <w:p>
      <w:pPr>
        <w:pStyle w:val="nHeading3"/>
        <w:rPr>
          <w:ins w:id="73" w:author="Master Repository Process" w:date="2025-06-06T11:39:00Z"/>
        </w:rPr>
      </w:pPr>
      <w:bookmarkStart w:id="74" w:name="_Toc165387070"/>
      <w:bookmarkStart w:id="75" w:name="_Toc165387384"/>
      <w:bookmarkStart w:id="76" w:name="_Toc165387475"/>
      <w:bookmarkStart w:id="77" w:name="_Toc165444396"/>
      <w:ins w:id="78" w:author="Master Repository Process" w:date="2025-06-06T11:39:00Z">
        <w:r>
          <w:t>Uncommenced provisions table</w:t>
        </w:r>
        <w:bookmarkEnd w:id="74"/>
        <w:bookmarkEnd w:id="75"/>
        <w:bookmarkEnd w:id="76"/>
        <w:bookmarkEnd w:id="77"/>
      </w:ins>
    </w:p>
    <w:p>
      <w:pPr>
        <w:pStyle w:val="nStatement"/>
        <w:keepNext/>
        <w:spacing w:after="240"/>
        <w:rPr>
          <w:ins w:id="79" w:author="Master Repository Process" w:date="2025-06-06T11:39:00Z"/>
        </w:rPr>
      </w:pPr>
      <w:ins w:id="80" w:author="Master Repository Process" w:date="2025-06-06T11:3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1" w:author="Master Repository Process" w:date="2025-06-06T11:39:00Z"/>
        </w:trPr>
        <w:tc>
          <w:tcPr>
            <w:tcW w:w="3118" w:type="dxa"/>
          </w:tcPr>
          <w:p>
            <w:pPr>
              <w:pStyle w:val="nTable"/>
              <w:spacing w:after="40"/>
              <w:rPr>
                <w:ins w:id="82" w:author="Master Repository Process" w:date="2025-06-06T11:39:00Z"/>
                <w:b/>
              </w:rPr>
            </w:pPr>
            <w:ins w:id="83" w:author="Master Repository Process" w:date="2025-06-06T11:39:00Z">
              <w:r>
                <w:rPr>
                  <w:b/>
                </w:rPr>
                <w:t>Citation</w:t>
              </w:r>
            </w:ins>
          </w:p>
        </w:tc>
        <w:tc>
          <w:tcPr>
            <w:tcW w:w="1276" w:type="dxa"/>
          </w:tcPr>
          <w:p>
            <w:pPr>
              <w:pStyle w:val="nTable"/>
              <w:spacing w:after="40"/>
              <w:rPr>
                <w:ins w:id="84" w:author="Master Repository Process" w:date="2025-06-06T11:39:00Z"/>
                <w:b/>
              </w:rPr>
            </w:pPr>
            <w:ins w:id="85" w:author="Master Repository Process" w:date="2025-06-06T11:39:00Z">
              <w:r>
                <w:rPr>
                  <w:b/>
                </w:rPr>
                <w:t>Published</w:t>
              </w:r>
            </w:ins>
          </w:p>
        </w:tc>
        <w:tc>
          <w:tcPr>
            <w:tcW w:w="2693" w:type="dxa"/>
          </w:tcPr>
          <w:p>
            <w:pPr>
              <w:pStyle w:val="nTable"/>
              <w:spacing w:after="40"/>
              <w:rPr>
                <w:ins w:id="86" w:author="Master Repository Process" w:date="2025-06-06T11:39:00Z"/>
                <w:b/>
              </w:rPr>
            </w:pPr>
            <w:ins w:id="87" w:author="Master Repository Process" w:date="2025-06-06T11:39:00Z">
              <w:r>
                <w:rPr>
                  <w:b/>
                </w:rPr>
                <w:t>Commencement</w:t>
              </w:r>
            </w:ins>
          </w:p>
        </w:tc>
      </w:tr>
      <w:tr>
        <w:trPr>
          <w:ins w:id="88" w:author="Master Repository Process" w:date="2025-06-06T11:39:00Z"/>
        </w:trPr>
        <w:tc>
          <w:tcPr>
            <w:tcW w:w="3118" w:type="dxa"/>
          </w:tcPr>
          <w:p>
            <w:pPr>
              <w:pStyle w:val="nTable"/>
              <w:spacing w:after="40"/>
              <w:rPr>
                <w:ins w:id="89" w:author="Master Repository Process" w:date="2025-06-06T11:39:00Z"/>
              </w:rPr>
            </w:pPr>
            <w:ins w:id="90" w:author="Master Repository Process" w:date="2025-06-06T11:39:00Z">
              <w:r>
                <w:rPr>
                  <w:i/>
                </w:rPr>
                <w:t xml:space="preserve">Transport Regulations Amendment (Mooring Control Areas) Regulations 2024 </w:t>
              </w:r>
              <w:r>
                <w:rPr>
                  <w:iCs/>
                </w:rPr>
                <w:t>Pt. 2</w:t>
              </w:r>
            </w:ins>
          </w:p>
        </w:tc>
        <w:tc>
          <w:tcPr>
            <w:tcW w:w="1276" w:type="dxa"/>
          </w:tcPr>
          <w:p>
            <w:pPr>
              <w:pStyle w:val="nTable"/>
              <w:spacing w:after="40"/>
              <w:rPr>
                <w:ins w:id="91" w:author="Master Repository Process" w:date="2025-06-06T11:39:00Z"/>
              </w:rPr>
            </w:pPr>
            <w:ins w:id="92" w:author="Master Repository Process" w:date="2025-06-06T11:39:00Z">
              <w:r>
                <w:t>SL 2024/69 1 May 2024</w:t>
              </w:r>
            </w:ins>
          </w:p>
        </w:tc>
        <w:tc>
          <w:tcPr>
            <w:tcW w:w="2693" w:type="dxa"/>
          </w:tcPr>
          <w:p>
            <w:pPr>
              <w:pStyle w:val="nTable"/>
              <w:spacing w:after="40"/>
              <w:rPr>
                <w:ins w:id="93" w:author="Master Repository Process" w:date="2025-06-06T11:39:00Z"/>
              </w:rPr>
            </w:pPr>
            <w:ins w:id="94" w:author="Master Repository Process" w:date="2025-06-06T11:39:00Z">
              <w:r>
                <w:t>1 Jul 2024 (see r. 2(b))</w:t>
              </w:r>
            </w:ins>
          </w:p>
        </w:tc>
      </w:tr>
    </w:tbl>
    <w:p>
      <w:pPr>
        <w:pStyle w:val="nHeading3"/>
      </w:pPr>
      <w:bookmarkStart w:id="95" w:name="_Toc165444397"/>
      <w:bookmarkStart w:id="96" w:name="_Toc100135445"/>
      <w:r>
        <w:t>Other notes</w:t>
      </w:r>
      <w:bookmarkEnd w:id="95"/>
      <w:bookmarkEnd w:id="96"/>
    </w:p>
    <w:p>
      <w:pPr>
        <w:pStyle w:val="nNote"/>
        <w:rPr>
          <w:i/>
        </w:rPr>
      </w:pPr>
      <w:r>
        <w:rPr>
          <w:vertAlign w:val="superscript"/>
        </w:rPr>
        <w:t>1</w:t>
      </w:r>
      <w:r>
        <w:tab/>
        <w:t xml:space="preserve">Repealed by the </w:t>
      </w:r>
      <w:r>
        <w:rPr>
          <w:i/>
        </w:rPr>
        <w:t>Interpretation Act 1984</w:t>
      </w:r>
      <w:r>
        <w:t>.</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ins w:id="98" w:author="Master Repository Process" w:date="2025-06-06T11:3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9" w:author="Master Repository Process" w:date="2025-06-06T11:39:00Z"/>
                                  <w:sz w:val="16"/>
                                </w:rPr>
                              </w:pPr>
                              <w:ins w:id="100" w:author="Master Repository Process" w:date="2025-06-06T11: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1" w:author="Master Repository Process" w:date="2025-06-06T11:39:00Z"/>
                                  <w:sz w:val="16"/>
                                </w:rPr>
                              </w:pPr>
                              <w:ins w:id="102" w:author="Master Repository Process" w:date="2025-06-06T11: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3" w:author="Master Repository Process" w:date="2025-06-06T11:39:00Z"/>
                                  <w:sz w:val="16"/>
                                </w:rPr>
                              </w:pPr>
                              <w:ins w:id="104" w:author="Master Repository Process" w:date="2025-06-06T11: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5" w:author="Master Repository Process" w:date="2025-06-06T11:39:00Z"/>
                                  <w:rFonts w:ascii="Arial" w:hAnsi="Arial" w:cs="Arial"/>
                                  <w:sz w:val="12"/>
                                </w:rPr>
                              </w:pPr>
                              <w:ins w:id="106" w:author="Master Repository Process" w:date="2025-06-06T11:3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07" w:author="Master Repository Process" w:date="2025-06-06T11:39:00Z"/>
                            <w:sz w:val="16"/>
                          </w:rPr>
                        </w:pPr>
                        <w:ins w:id="108" w:author="Master Repository Process" w:date="2025-06-06T11: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9" w:author="Master Repository Process" w:date="2025-06-06T11:39:00Z"/>
                            <w:sz w:val="16"/>
                          </w:rPr>
                        </w:pPr>
                        <w:ins w:id="110" w:author="Master Repository Process" w:date="2025-06-06T11: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1" w:author="Master Repository Process" w:date="2025-06-06T11:39:00Z"/>
                            <w:sz w:val="16"/>
                          </w:rPr>
                        </w:pPr>
                        <w:ins w:id="112" w:author="Master Repository Process" w:date="2025-06-06T11: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3" w:author="Master Repository Process" w:date="2025-06-06T11:39:00Z"/>
                            <w:rFonts w:ascii="Arial" w:hAnsi="Arial" w:cs="Arial"/>
                            <w:sz w:val="12"/>
                          </w:rPr>
                        </w:pPr>
                        <w:ins w:id="114" w:author="Master Repository Process" w:date="2025-06-06T11:3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430160000"/>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3750</Words>
  <Characters>18680</Characters>
  <Application>Microsoft Office Word</Application>
  <DocSecurity>0</DocSecurity>
  <Lines>504</Lines>
  <Paragraphs>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01-f0-00 - 01-g0-00</dc:title>
  <dc:subject/>
  <dc:creator/>
  <cp:keywords/>
  <dc:description/>
  <cp:lastModifiedBy>Master Repository Process</cp:lastModifiedBy>
  <cp:revision>2</cp:revision>
  <cp:lastPrinted>2003-08-05T02:03:00Z</cp:lastPrinted>
  <dcterms:created xsi:type="dcterms:W3CDTF">2025-06-06T03:38:00Z</dcterms:created>
  <dcterms:modified xsi:type="dcterms:W3CDTF">2025-06-06T03:39:00Z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20240501</vt:lpwstr>
  </property>
  <property fmtid="{D5CDD505-2E9C-101B-9397-08002B2CF9AE}" pid="6" name="CommencementAsAt">
    <vt:filetime>2024-04-30T16:00:00Z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01-f0-00</vt:lpwstr>
  </property>
  <property fmtid="{D5CDD505-2E9C-101B-9397-08002B2CF9AE}" pid="10" name="FromAsAtDate">
    <vt:lpwstr>09 Apr 2022</vt:lpwstr>
  </property>
  <property fmtid="{D5CDD505-2E9C-101B-9397-08002B2CF9AE}" pid="11" name="ToSuffix">
    <vt:lpwstr>01-g0-00</vt:lpwstr>
  </property>
  <property fmtid="{D5CDD505-2E9C-101B-9397-08002B2CF9AE}" pid="12" name="ToAsAtDate">
    <vt:lpwstr>01 May 2024</vt:lpwstr>
  </property>
</Properties>
</file>