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6659066"/>
      <w:bookmarkStart w:id="3" w:name="_Toc166679070"/>
      <w:bookmarkStart w:id="4" w:name="_Toc166679866"/>
      <w:bookmarkStart w:id="5" w:name="_Toc166680154"/>
      <w:bookmarkStart w:id="6" w:name="_Toc166680354"/>
      <w:bookmarkStart w:id="7" w:name="_Toc20037091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keepLines w:val="0"/>
        <w:spacing w:before="180"/>
      </w:pPr>
      <w:bookmarkStart w:id="8" w:name="_Toc166680355"/>
      <w:bookmarkStart w:id="9" w:name="_Toc200370914"/>
      <w:r>
        <w:rPr>
          <w:rStyle w:val="CharSectno"/>
        </w:rPr>
        <w:t>1</w:t>
      </w:r>
      <w:r>
        <w:t>.</w:t>
      </w:r>
      <w:r>
        <w:tab/>
      </w:r>
      <w:r>
        <w:rPr>
          <w:snapToGrid w:val="0"/>
        </w:rPr>
        <w:t>Short title</w:t>
      </w:r>
      <w:bookmarkEnd w:id="8"/>
      <w:bookmarkEnd w:id="9"/>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10" w:name="_Toc166680356"/>
      <w:bookmarkStart w:id="11" w:name="_Toc200370915"/>
      <w:r>
        <w:rPr>
          <w:rStyle w:val="CharSectno"/>
        </w:rPr>
        <w:t>2</w:t>
      </w:r>
      <w:r>
        <w:rPr>
          <w:snapToGrid w:val="0"/>
        </w:rPr>
        <w:t>.</w:t>
      </w:r>
      <w:r>
        <w:rPr>
          <w:snapToGrid w:val="0"/>
        </w:rPr>
        <w:tab/>
      </w:r>
      <w:r>
        <w:t>Commencement</w:t>
      </w:r>
      <w:bookmarkEnd w:id="10"/>
      <w:bookmarkEnd w:id="11"/>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2" w:name="_Toc166680357"/>
      <w:bookmarkStart w:id="13" w:name="_Toc200370916"/>
      <w:r>
        <w:rPr>
          <w:rStyle w:val="CharSectno"/>
        </w:rPr>
        <w:t>3</w:t>
      </w:r>
      <w:r>
        <w:t>.</w:t>
      </w:r>
      <w:r>
        <w:tab/>
        <w:t>Terms used</w:t>
      </w:r>
      <w:bookmarkEnd w:id="12"/>
      <w:bookmarkEnd w:id="13"/>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keepNext/>
      </w:pPr>
      <w:r>
        <w:rPr>
          <w:b/>
        </w:rPr>
        <w:lastRenderedPageBreak/>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keepNext/>
        <w:keepLines w:val="0"/>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keepNext/>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pPr>
      <w:r>
        <w:tab/>
      </w:r>
      <w:r>
        <w:rPr>
          <w:rStyle w:val="CharDefText"/>
        </w:rPr>
        <w:t>licence warning notice</w:t>
      </w:r>
      <w:r>
        <w:t xml:space="preserve"> has the meaning given in section 19A(3);</w:t>
      </w:r>
    </w:p>
    <w:p>
      <w:pPr>
        <w:pStyle w:val="Defstart"/>
        <w:rPr>
          <w:szCs w:val="23"/>
        </w:rPr>
      </w:pPr>
      <w: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6 of 2023 s. 4.]</w:t>
      </w:r>
    </w:p>
    <w:p>
      <w:pPr>
        <w:pStyle w:val="Heading2"/>
        <w:rPr>
          <w:b w:val="0"/>
          <w:i/>
          <w:snapToGrid/>
          <w:sz w:val="24"/>
        </w:rPr>
      </w:pPr>
      <w:bookmarkStart w:id="14" w:name="_Toc166659070"/>
      <w:bookmarkStart w:id="15" w:name="_Toc166679074"/>
      <w:bookmarkStart w:id="16" w:name="_Toc166679870"/>
      <w:bookmarkStart w:id="17" w:name="_Toc166680158"/>
      <w:bookmarkStart w:id="18" w:name="_Toc166680358"/>
      <w:bookmarkStart w:id="19" w:name="_Toc200370917"/>
      <w:r>
        <w:rPr>
          <w:rStyle w:val="CharPartNo"/>
        </w:rPr>
        <w:t>Part 2</w:t>
      </w:r>
      <w:r>
        <w:t> — </w:t>
      </w:r>
      <w:r>
        <w:rPr>
          <w:rStyle w:val="CharPartText"/>
        </w:rPr>
        <w:t>Licensing of vehicles</w:t>
      </w:r>
      <w:bookmarkEnd w:id="14"/>
      <w:bookmarkEnd w:id="15"/>
      <w:bookmarkEnd w:id="16"/>
      <w:bookmarkEnd w:id="17"/>
      <w:bookmarkEnd w:id="18"/>
      <w:bookmarkEnd w:id="19"/>
    </w:p>
    <w:p>
      <w:pPr>
        <w:pStyle w:val="Heading3"/>
      </w:pPr>
      <w:bookmarkStart w:id="20" w:name="_Toc166659071"/>
      <w:bookmarkStart w:id="21" w:name="_Toc166679075"/>
      <w:bookmarkStart w:id="22" w:name="_Toc166679871"/>
      <w:bookmarkStart w:id="23" w:name="_Toc166680159"/>
      <w:bookmarkStart w:id="24" w:name="_Toc166680359"/>
      <w:bookmarkStart w:id="25" w:name="_Toc200370918"/>
      <w:r>
        <w:rPr>
          <w:rStyle w:val="CharDivNo"/>
        </w:rPr>
        <w:t>Division 1</w:t>
      </w:r>
      <w:r>
        <w:t> — </w:t>
      </w:r>
      <w:r>
        <w:rPr>
          <w:rStyle w:val="CharDivText"/>
        </w:rPr>
        <w:t>General provisions about licensing</w:t>
      </w:r>
      <w:bookmarkEnd w:id="20"/>
      <w:bookmarkEnd w:id="21"/>
      <w:bookmarkEnd w:id="22"/>
      <w:bookmarkEnd w:id="23"/>
      <w:bookmarkEnd w:id="24"/>
      <w:bookmarkEnd w:id="25"/>
    </w:p>
    <w:p>
      <w:pPr>
        <w:pStyle w:val="Footnoteheading"/>
      </w:pPr>
      <w:r>
        <w:tab/>
        <w:t>[Heading inserted: No. 6 of 2023 s. 5]</w:t>
      </w:r>
    </w:p>
    <w:p>
      <w:pPr>
        <w:pStyle w:val="Heading5"/>
        <w:keepNext w:val="0"/>
        <w:keepLines w:val="0"/>
        <w:spacing w:before="180"/>
        <w:rPr>
          <w:snapToGrid w:val="0"/>
        </w:rPr>
      </w:pPr>
      <w:bookmarkStart w:id="26" w:name="_Toc166680360"/>
      <w:bookmarkStart w:id="27" w:name="_Toc200370919"/>
      <w:r>
        <w:rPr>
          <w:rStyle w:val="CharSectno"/>
        </w:rPr>
        <w:t>4</w:t>
      </w:r>
      <w:r>
        <w:t>.</w:t>
      </w:r>
      <w:r>
        <w:tab/>
      </w:r>
      <w:r>
        <w:rPr>
          <w:snapToGrid w:val="0"/>
        </w:rPr>
        <w:t>Vehicle licences</w:t>
      </w:r>
      <w:bookmarkEnd w:id="26"/>
      <w:bookmarkEnd w:id="27"/>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w:t>
      </w:r>
      <w:r>
        <w:t>4(3A),</w:t>
      </w:r>
      <w:r>
        <w:rPr>
          <w:snapToGrid w:val="0"/>
        </w:rPr>
        <w:t xml:space="preserve"> and both those offences or alleged offences were committed simultaneously.</w:t>
      </w:r>
    </w:p>
    <w:p>
      <w:pPr>
        <w:pStyle w:val="Footnotesection"/>
      </w:pPr>
      <w:r>
        <w:tab/>
        <w:t>[Section 4 amended: No. 6 of 2023 s. 6.]</w:t>
      </w:r>
    </w:p>
    <w:p>
      <w:pPr>
        <w:pStyle w:val="Heading5"/>
        <w:spacing w:before="180"/>
      </w:pPr>
      <w:bookmarkStart w:id="28" w:name="_Toc166680361"/>
      <w:bookmarkStart w:id="29" w:name="_Toc200370920"/>
      <w:r>
        <w:rPr>
          <w:rStyle w:val="CharSectno"/>
        </w:rPr>
        <w:t>5</w:t>
      </w:r>
      <w:r>
        <w:t>.</w:t>
      </w:r>
      <w:r>
        <w:tab/>
        <w:t>Applications for grant, renewal, transfer and variation of vehicle licences</w:t>
      </w:r>
      <w:bookmarkEnd w:id="28"/>
      <w:bookmarkEnd w:id="29"/>
    </w:p>
    <w:p>
      <w:pPr>
        <w:pStyle w:val="Subsection"/>
        <w:rPr>
          <w:snapToGrid w:val="0"/>
        </w:rPr>
      </w:pPr>
      <w:r>
        <w:rPr>
          <w:snapToGrid w:val="0"/>
        </w:rPr>
        <w:tab/>
        <w:t>(1)</w:t>
      </w:r>
      <w:r>
        <w:rPr>
          <w:snapToGrid w:val="0"/>
        </w:rPr>
        <w:tab/>
        <w:t xml:space="preserve">An owner of a vehicle may apply for the grant, renewal, transfer or variation of a licence for </w:t>
      </w:r>
      <w:r>
        <w:t>the vehicle</w:t>
      </w:r>
      <w:r>
        <w:rPr>
          <w:snapToGrid w:val="0"/>
        </w:rPr>
        <w:t xml:space="preserv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keepNext/>
        <w:rPr>
          <w:snapToGrid w:val="0"/>
        </w:rPr>
      </w:pPr>
      <w:r>
        <w:rPr>
          <w:snapToGrid w:val="0"/>
        </w:rPr>
        <w:tab/>
        <w:t>(3)</w:t>
      </w:r>
      <w:r>
        <w:rPr>
          <w:snapToGrid w:val="0"/>
        </w:rPr>
        <w:tab/>
      </w:r>
      <w:r>
        <w:t>If an owner of a vehicle makes an application under subsection (1), the CEO must, in accordance with the regulations, grant, renew, transfer or vary a licence for the</w:t>
      </w:r>
      <w:r>
        <w:rPr>
          <w:snapToGrid w:val="0"/>
        </w:rPr>
        <w:t xml:space="preserve">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 and</w:t>
      </w:r>
    </w:p>
    <w:p>
      <w:pPr>
        <w:pStyle w:val="Indenta"/>
      </w:pPr>
      <w:r>
        <w:tab/>
        <w:t>(k)</w:t>
      </w:r>
      <w:r>
        <w:tab/>
        <w:t>in the case of an application for the grant of a licence where a licence warning notice relating to the vehicle is in force — the CEO is satisfied that the advertisement that gave rise to the licence warning notice has been removed from the vehicle; and</w:t>
      </w:r>
    </w:p>
    <w:p>
      <w:pPr>
        <w:pStyle w:val="Indenta"/>
      </w:pPr>
      <w:r>
        <w:tab/>
        <w:t>(l)</w:t>
      </w:r>
      <w:r>
        <w:tab/>
        <w:t>in the case of an application for the transfer of a licence — there is no licence warning notice relating to the vehicle in force.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 No. 6 of 2023 s. 7.]</w:t>
      </w:r>
    </w:p>
    <w:p>
      <w:pPr>
        <w:pStyle w:val="Heading5"/>
        <w:keepLines w:val="0"/>
        <w:spacing w:before="180"/>
      </w:pPr>
      <w:bookmarkStart w:id="30" w:name="_Toc166680362"/>
      <w:bookmarkStart w:id="31" w:name="_Toc200370921"/>
      <w:r>
        <w:rPr>
          <w:rStyle w:val="CharSectno"/>
        </w:rPr>
        <w:t>6</w:t>
      </w:r>
      <w:r>
        <w:t>.</w:t>
      </w:r>
      <w:r>
        <w:tab/>
        <w:t>Regulations for grant, renewal and variation of vehicle licences</w:t>
      </w:r>
      <w:bookmarkEnd w:id="30"/>
      <w:bookmarkEnd w:id="31"/>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32" w:name="_Toc166680363"/>
      <w:bookmarkStart w:id="33" w:name="_Toc200370922"/>
      <w:r>
        <w:rPr>
          <w:rStyle w:val="CharSectno"/>
        </w:rPr>
        <w:t>7</w:t>
      </w:r>
      <w:r>
        <w:t>.</w:t>
      </w:r>
      <w:r>
        <w:tab/>
      </w:r>
      <w:r>
        <w:rPr>
          <w:snapToGrid w:val="0"/>
        </w:rPr>
        <w:t>Charges for vehicle licences</w:t>
      </w:r>
      <w:bookmarkEnd w:id="32"/>
      <w:bookmarkEnd w:id="33"/>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34" w:name="_Toc166680364"/>
      <w:bookmarkStart w:id="35" w:name="_Toc200370923"/>
      <w:r>
        <w:rPr>
          <w:rStyle w:val="CharSectno"/>
        </w:rPr>
        <w:t>8</w:t>
      </w:r>
      <w:r>
        <w:t>.</w:t>
      </w:r>
      <w:r>
        <w:tab/>
      </w:r>
      <w:r>
        <w:rPr>
          <w:snapToGrid w:val="0"/>
        </w:rPr>
        <w:t>Licence obtained by means of dishonoured cheque of no effect</w:t>
      </w:r>
      <w:bookmarkEnd w:id="34"/>
      <w:bookmarkEnd w:id="35"/>
    </w:p>
    <w:p>
      <w:pPr>
        <w:pStyle w:val="Subsection"/>
        <w:spacing w:before="120"/>
        <w:rPr>
          <w:snapToGrid w:val="0"/>
        </w:rPr>
      </w:pPr>
      <w:r>
        <w:rPr>
          <w:snapToGrid w:val="0"/>
        </w:rPr>
        <w:tab/>
        <w:t>(1)</w:t>
      </w:r>
      <w:r>
        <w:rPr>
          <w:snapToGrid w:val="0"/>
        </w:rPr>
        <w:tab/>
        <w:t xml:space="preserve">Where the fees or charges for the grant or renewal of a vehicle </w:t>
      </w:r>
      <w:r>
        <w:t xml:space="preserve">licence (the </w:t>
      </w:r>
      <w:r>
        <w:rPr>
          <w:rStyle w:val="CharDefText"/>
        </w:rPr>
        <w:t>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36" w:name="_Toc166680365"/>
      <w:bookmarkStart w:id="37" w:name="_Toc200370924"/>
      <w:r>
        <w:rPr>
          <w:rStyle w:val="CharSectno"/>
        </w:rPr>
        <w:t>9</w:t>
      </w:r>
      <w:r>
        <w:t>.</w:t>
      </w:r>
      <w:r>
        <w:tab/>
      </w:r>
      <w:r>
        <w:rPr>
          <w:snapToGrid w:val="0"/>
        </w:rPr>
        <w:t>Cancellation, suspension of vehicle licence in certain circumstances</w:t>
      </w:r>
      <w:bookmarkEnd w:id="36"/>
      <w:bookmarkEnd w:id="37"/>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 or</w:t>
      </w:r>
    </w:p>
    <w:p>
      <w:pPr>
        <w:pStyle w:val="Indenta"/>
      </w:pPr>
      <w:r>
        <w:tab/>
        <w:t>(e)</w:t>
      </w:r>
      <w:r>
        <w:tab/>
        <w:t xml:space="preserve">each of the following applies — </w:t>
      </w:r>
    </w:p>
    <w:p>
      <w:pPr>
        <w:pStyle w:val="Indenti"/>
      </w:pPr>
      <w:r>
        <w:tab/>
        <w:t>(i)</w:t>
      </w:r>
      <w:r>
        <w:tab/>
        <w:t>the CEO gives a licence warning notice to a responsible person for the vehicle under section 19A;</w:t>
      </w:r>
    </w:p>
    <w:p>
      <w:pPr>
        <w:pStyle w:val="Indenti"/>
      </w:pPr>
      <w:r>
        <w:tab/>
        <w:t>(ii)</w:t>
      </w:r>
      <w:r>
        <w:tab/>
        <w:t>it is on or after the day specified in the notice under section 19A(3)(b);</w:t>
      </w:r>
    </w:p>
    <w:p>
      <w:pPr>
        <w:pStyle w:val="Indenti"/>
      </w:pPr>
      <w:r>
        <w:tab/>
        <w:t>(iii)</w:t>
      </w:r>
      <w:r>
        <w:tab/>
        <w:t>the notice is in force.</w:t>
      </w:r>
    </w:p>
    <w:p>
      <w:pPr>
        <w:pStyle w:val="Subsection"/>
        <w:rPr>
          <w:snapToGrid w:val="0"/>
        </w:rPr>
      </w:pPr>
      <w:r>
        <w:rPr>
          <w:snapToGrid w:val="0"/>
        </w:rPr>
        <w:tab/>
        <w:t>(2)</w:t>
      </w:r>
      <w:r>
        <w:rPr>
          <w:snapToGrid w:val="0"/>
        </w:rPr>
        <w:tab/>
        <w:t>The CEO may, in circumstances described in subsection (1)(a), </w:t>
      </w:r>
      <w:r>
        <w:t>(b), (c) or (e),</w:t>
      </w:r>
      <w:r>
        <w:rPr>
          <w:snapToGrid w:val="0"/>
        </w:rPr>
        <w:t xml:space="preserve">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 No. 6 of 2023 s. 8.]</w:t>
      </w:r>
    </w:p>
    <w:p>
      <w:pPr>
        <w:pStyle w:val="Heading5"/>
        <w:rPr>
          <w:snapToGrid w:val="0"/>
        </w:rPr>
      </w:pPr>
      <w:bookmarkStart w:id="38" w:name="_Toc166680366"/>
      <w:bookmarkStart w:id="39" w:name="_Toc200370925"/>
      <w:r>
        <w:rPr>
          <w:rStyle w:val="CharSectno"/>
        </w:rPr>
        <w:t>10</w:t>
      </w:r>
      <w:r>
        <w:t>.</w:t>
      </w:r>
      <w:r>
        <w:tab/>
      </w:r>
      <w:r>
        <w:rPr>
          <w:snapToGrid w:val="0"/>
        </w:rPr>
        <w:t>Transfer of vehicle licences</w:t>
      </w:r>
      <w:bookmarkEnd w:id="38"/>
      <w:bookmarkEnd w:id="39"/>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40" w:name="_Toc166680367"/>
      <w:bookmarkStart w:id="41" w:name="_Toc200370926"/>
      <w:r>
        <w:rPr>
          <w:rStyle w:val="CharSectno"/>
        </w:rPr>
        <w:t>11</w:t>
      </w:r>
      <w:r>
        <w:t>.</w:t>
      </w:r>
      <w:r>
        <w:tab/>
        <w:t>Requirement to make declaration on applying for grant or transfer of vehicle licence</w:t>
      </w:r>
      <w:bookmarkEnd w:id="40"/>
      <w:bookmarkEnd w:id="4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42" w:name="_Toc166680368"/>
      <w:bookmarkStart w:id="43" w:name="_Toc200370927"/>
      <w:r>
        <w:rPr>
          <w:rStyle w:val="CharSectno"/>
        </w:rPr>
        <w:t>12</w:t>
      </w:r>
      <w:r>
        <w:t>.</w:t>
      </w:r>
      <w:r>
        <w:tab/>
        <w:t>Change of nominated owner</w:t>
      </w:r>
      <w:bookmarkEnd w:id="42"/>
      <w:bookmarkEnd w:id="43"/>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44" w:name="_Toc166680369"/>
      <w:bookmarkStart w:id="45" w:name="_Toc200370928"/>
      <w:r>
        <w:rPr>
          <w:rStyle w:val="CharSectno"/>
        </w:rPr>
        <w:t>13</w:t>
      </w:r>
      <w:r>
        <w:t>.</w:t>
      </w:r>
      <w:r>
        <w:tab/>
      </w:r>
      <w:r>
        <w:rPr>
          <w:snapToGrid w:val="0"/>
        </w:rPr>
        <w:t>Permits and number plates for unlicensed vehicles</w:t>
      </w:r>
      <w:bookmarkEnd w:id="44"/>
      <w:bookmarkEnd w:id="45"/>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46" w:name="_Toc166680370"/>
      <w:bookmarkStart w:id="47" w:name="_Toc200370929"/>
      <w:r>
        <w:rPr>
          <w:rStyle w:val="CharSectno"/>
        </w:rPr>
        <w:t>14</w:t>
      </w:r>
      <w:r>
        <w:t>.</w:t>
      </w:r>
      <w:r>
        <w:tab/>
      </w:r>
      <w:r>
        <w:rPr>
          <w:snapToGrid w:val="0"/>
        </w:rPr>
        <w:t>Register of vehicle licences</w:t>
      </w:r>
      <w:bookmarkEnd w:id="46"/>
      <w:bookmarkEnd w:id="47"/>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48" w:name="_Toc166680371"/>
      <w:bookmarkStart w:id="49" w:name="_Toc200370930"/>
      <w:r>
        <w:rPr>
          <w:rStyle w:val="CharSectno"/>
        </w:rPr>
        <w:t>15</w:t>
      </w:r>
      <w:r>
        <w:t>.</w:t>
      </w:r>
      <w:r>
        <w:tab/>
        <w:t>Labels to be affixed to certain vehicles</w:t>
      </w:r>
      <w:bookmarkEnd w:id="48"/>
      <w:bookmarkEnd w:id="49"/>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50" w:name="_Toc166680372"/>
      <w:bookmarkStart w:id="51" w:name="_Toc200370931"/>
      <w:r>
        <w:rPr>
          <w:rStyle w:val="CharSectno"/>
        </w:rPr>
        <w:t>16</w:t>
      </w:r>
      <w:r>
        <w:t>.</w:t>
      </w:r>
      <w:r>
        <w:tab/>
      </w:r>
      <w:r>
        <w:rPr>
          <w:snapToGrid w:val="0"/>
        </w:rPr>
        <w:t>Effect of licence suspension order, disqualification</w:t>
      </w:r>
      <w:bookmarkEnd w:id="50"/>
      <w:bookmarkEnd w:id="5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52" w:name="_Toc166680373"/>
      <w:bookmarkStart w:id="53" w:name="_Toc200370932"/>
      <w:r>
        <w:rPr>
          <w:rStyle w:val="CharSectno"/>
        </w:rPr>
        <w:t>17</w:t>
      </w:r>
      <w:r>
        <w:t>.</w:t>
      </w:r>
      <w:r>
        <w:tab/>
      </w:r>
      <w:r>
        <w:rPr>
          <w:snapToGrid w:val="0"/>
        </w:rPr>
        <w:t>Classification of vehicle licences</w:t>
      </w:r>
      <w:bookmarkEnd w:id="52"/>
      <w:bookmarkEnd w:id="53"/>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54" w:name="_Toc166680374"/>
      <w:bookmarkStart w:id="55" w:name="_Toc200370933"/>
      <w:r>
        <w:rPr>
          <w:rStyle w:val="CharSectno"/>
        </w:rPr>
        <w:t>18</w:t>
      </w:r>
      <w:r>
        <w:t>.</w:t>
      </w:r>
      <w:r>
        <w:tab/>
        <w:t>Applicable c</w:t>
      </w:r>
      <w:r>
        <w:rPr>
          <w:snapToGrid w:val="0"/>
        </w:rPr>
        <w:t>harges in case of amendment</w:t>
      </w:r>
      <w:bookmarkEnd w:id="54"/>
      <w:bookmarkEnd w:id="55"/>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keepNext/>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56" w:name="_Toc166680375"/>
      <w:bookmarkStart w:id="57" w:name="_Toc200370934"/>
      <w:r>
        <w:rPr>
          <w:rStyle w:val="CharSectno"/>
        </w:rPr>
        <w:t>19</w:t>
      </w:r>
      <w:r>
        <w:t>.</w:t>
      </w:r>
      <w:r>
        <w:tab/>
      </w:r>
      <w:r>
        <w:rPr>
          <w:snapToGrid w:val="0"/>
        </w:rPr>
        <w:t>Minister may require vehicles to be inspected</w:t>
      </w:r>
      <w:bookmarkEnd w:id="56"/>
      <w:bookmarkEnd w:id="57"/>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i/>
          <w:snapToGrid w:val="0"/>
        </w:rPr>
      </w:pPr>
      <w:r>
        <w:rPr>
          <w:snapToGrid w:val="0"/>
        </w:rPr>
        <w:tab/>
        <w:t>(c)</w:t>
      </w:r>
      <w:r>
        <w:rPr>
          <w:snapToGrid w:val="0"/>
        </w:rPr>
        <w:tab/>
        <w:t>do not apply in a case, or cases of a class, specified in the order.</w:t>
      </w:r>
    </w:p>
    <w:p>
      <w:pPr>
        <w:pStyle w:val="Heading3"/>
      </w:pPr>
      <w:bookmarkStart w:id="58" w:name="_Toc166659088"/>
      <w:bookmarkStart w:id="59" w:name="_Toc166679092"/>
      <w:bookmarkStart w:id="60" w:name="_Toc166679888"/>
      <w:bookmarkStart w:id="61" w:name="_Toc166680176"/>
      <w:bookmarkStart w:id="62" w:name="_Toc166680376"/>
      <w:bookmarkStart w:id="63" w:name="_Toc200370935"/>
      <w:r>
        <w:rPr>
          <w:rStyle w:val="CharDivNo"/>
        </w:rPr>
        <w:t>Division 2</w:t>
      </w:r>
      <w:r>
        <w:t> — </w:t>
      </w:r>
      <w:r>
        <w:rPr>
          <w:rStyle w:val="CharDivText"/>
        </w:rPr>
        <w:t>Offensive advertisements on vehicles</w:t>
      </w:r>
      <w:bookmarkEnd w:id="58"/>
      <w:bookmarkEnd w:id="59"/>
      <w:bookmarkEnd w:id="60"/>
      <w:bookmarkEnd w:id="61"/>
      <w:bookmarkEnd w:id="62"/>
      <w:bookmarkEnd w:id="63"/>
    </w:p>
    <w:p>
      <w:pPr>
        <w:pStyle w:val="Footnoteheading"/>
        <w:rPr>
          <w:snapToGrid w:val="0"/>
        </w:rPr>
      </w:pPr>
      <w:r>
        <w:tab/>
        <w:t>[Heading inserted: No. 6 of 2023 s. 9]</w:t>
      </w:r>
    </w:p>
    <w:p>
      <w:pPr>
        <w:pStyle w:val="Heading5"/>
      </w:pPr>
      <w:bookmarkStart w:id="64" w:name="_Toc166680377"/>
      <w:bookmarkStart w:id="65" w:name="_Toc200370936"/>
      <w:r>
        <w:rPr>
          <w:rStyle w:val="CharSectno"/>
        </w:rPr>
        <w:t>19A</w:t>
      </w:r>
      <w:r>
        <w:t>.</w:t>
      </w:r>
      <w:r>
        <w:tab/>
        <w:t>Licence warning notices</w:t>
      </w:r>
      <w:bookmarkEnd w:id="64"/>
      <w:bookmarkEnd w:id="65"/>
    </w:p>
    <w:p>
      <w:pPr>
        <w:pStyle w:val="Subsection"/>
      </w:pPr>
      <w:r>
        <w:tab/>
        <w:t>(1)</w:t>
      </w:r>
      <w:r>
        <w:tab/>
        <w:t xml:space="preserve">In this section — </w:t>
      </w:r>
    </w:p>
    <w:p>
      <w:pPr>
        <w:pStyle w:val="Defstart"/>
      </w:pPr>
      <w:r>
        <w:tab/>
      </w:r>
      <w:r>
        <w:rPr>
          <w:rStyle w:val="CharDefText"/>
        </w:rPr>
        <w:t>Ad Standards</w:t>
      </w:r>
      <w:r>
        <w:t xml:space="preserve"> means the Australian Association of National Advertisers ACN 003 179 673 carrying on business under the name Ad Standards;</w:t>
      </w:r>
    </w:p>
    <w:p>
      <w:pPr>
        <w:pStyle w:val="Defstart"/>
      </w:pPr>
      <w:r>
        <w:tab/>
      </w:r>
      <w:r>
        <w:rPr>
          <w:rStyle w:val="CharDefText"/>
        </w:rPr>
        <w:t>advertising code</w:t>
      </w:r>
      <w:r>
        <w:t xml:space="preserve"> means — </w:t>
      </w:r>
    </w:p>
    <w:p>
      <w:pPr>
        <w:pStyle w:val="Defpara"/>
      </w:pPr>
      <w:r>
        <w:tab/>
        <w:t>(a)</w:t>
      </w:r>
      <w:r>
        <w:tab/>
        <w:t>the Australian Association of National Advertisers Code of Ethics, published by the Australian Association of National Advertisers ACN 003 179 673, as in force from time to time; or</w:t>
      </w:r>
    </w:p>
    <w:p>
      <w:pPr>
        <w:pStyle w:val="Defpara"/>
      </w:pPr>
      <w:r>
        <w:tab/>
        <w:t>(b)</w:t>
      </w:r>
      <w:r>
        <w:tab/>
        <w:t>another document prescribed by the regulations for the purposes of this definition to be an advertising code.</w:t>
      </w:r>
    </w:p>
    <w:p>
      <w:pPr>
        <w:pStyle w:val="Subsection"/>
      </w:pPr>
      <w:r>
        <w:tab/>
        <w:t>(2)</w:t>
      </w:r>
      <w:r>
        <w:tab/>
        <w:t xml:space="preserve">This section applies if Ad Standards gives written notice to the CEO that — </w:t>
      </w:r>
    </w:p>
    <w:p>
      <w:pPr>
        <w:pStyle w:val="Indenta"/>
      </w:pPr>
      <w:r>
        <w:tab/>
        <w:t>(a)</w:t>
      </w:r>
      <w:r>
        <w:tab/>
        <w:t>Ad Standards, or a body appointed by Ad Standards, has made a final determination that an advertisement on a vehicle breaches the advertising code; and</w:t>
      </w:r>
    </w:p>
    <w:p>
      <w:pPr>
        <w:pStyle w:val="Indenta"/>
      </w:pPr>
      <w:r>
        <w:tab/>
        <w:t>(b)</w:t>
      </w:r>
      <w:r>
        <w:tab/>
        <w:t>Ad Standards does not believe that the advertisement has been removed from the vehicle.</w:t>
      </w:r>
    </w:p>
    <w:p>
      <w:pPr>
        <w:pStyle w:val="Subsection"/>
      </w:pPr>
      <w:r>
        <w:tab/>
        <w:t>(3)</w:t>
      </w:r>
      <w:r>
        <w:tab/>
        <w:t xml:space="preserve">The CEO may give written notice (a </w:t>
      </w:r>
      <w:r>
        <w:rPr>
          <w:rStyle w:val="CharDefText"/>
        </w:rPr>
        <w:t>licence warning notice</w:t>
      </w:r>
      <w:r>
        <w:t xml:space="preserve">) to a responsible person for the vehicle stating that — </w:t>
      </w:r>
    </w:p>
    <w:p>
      <w:pPr>
        <w:pStyle w:val="Indenta"/>
      </w:pPr>
      <w:r>
        <w:tab/>
        <w:t>(a)</w:t>
      </w:r>
      <w:r>
        <w:tab/>
        <w:t xml:space="preserve">Ad Standards has notified the CEO that — </w:t>
      </w:r>
    </w:p>
    <w:p>
      <w:pPr>
        <w:pStyle w:val="Indenti"/>
      </w:pPr>
      <w:r>
        <w:tab/>
        <w:t>(i)</w:t>
      </w:r>
      <w:r>
        <w:tab/>
        <w:t>a determination has been made that an advertisement on the vehicle is in breach of the advertising code; and</w:t>
      </w:r>
    </w:p>
    <w:p>
      <w:pPr>
        <w:pStyle w:val="Indenti"/>
      </w:pPr>
      <w:r>
        <w:tab/>
        <w:t>(ii)</w:t>
      </w:r>
      <w:r>
        <w:tab/>
        <w:t>Ad Standards does not believe that the advertisement has been removed from the vehicle;</w:t>
      </w:r>
    </w:p>
    <w:p>
      <w:pPr>
        <w:pStyle w:val="Indenta"/>
      </w:pPr>
      <w:r>
        <w:tab/>
      </w:r>
      <w:r>
        <w:tab/>
        <w:t>and</w:t>
      </w:r>
    </w:p>
    <w:p>
      <w:pPr>
        <w:pStyle w:val="Indenta"/>
      </w:pPr>
      <w:r>
        <w:tab/>
        <w:t>(b)</w:t>
      </w:r>
      <w:r>
        <w:tab/>
        <w:t>unless the CEO is satisfied that the advertisement has been removed from the vehicle, the CEO may cancel the vehicle licence for the vehicle on or after the day specified in the licence warning notice.</w:t>
      </w:r>
    </w:p>
    <w:p>
      <w:pPr>
        <w:pStyle w:val="Subsection"/>
      </w:pPr>
      <w:r>
        <w:tab/>
        <w:t>(4)</w:t>
      </w:r>
      <w:r>
        <w:tab/>
        <w:t>The day specified under subsection (3)(b) must not be less than 14 days after the day on which the CEO gives the licence warning notice to the responsible person.</w:t>
      </w:r>
    </w:p>
    <w:p>
      <w:pPr>
        <w:pStyle w:val="Subsection"/>
      </w:pPr>
      <w:r>
        <w:tab/>
        <w:t>(5)</w:t>
      </w:r>
      <w:r>
        <w:tab/>
        <w:t xml:space="preserve">The licence warning notice is in force until — </w:t>
      </w:r>
    </w:p>
    <w:p>
      <w:pPr>
        <w:pStyle w:val="Indenta"/>
      </w:pPr>
      <w:r>
        <w:tab/>
        <w:t>(a)</w:t>
      </w:r>
      <w:r>
        <w:tab/>
        <w:t>it is withdrawn under section 19B; or</w:t>
      </w:r>
    </w:p>
    <w:p>
      <w:pPr>
        <w:pStyle w:val="Indenta"/>
        <w:keepNext/>
      </w:pPr>
      <w:r>
        <w:tab/>
        <w:t>(b)</w:t>
      </w:r>
      <w:r>
        <w:tab/>
        <w:t>the vehicle licence for the vehicle expires without being renewed, or is cancelled, and a new vehicle licence for the vehicle is granted.</w:t>
      </w:r>
    </w:p>
    <w:p>
      <w:pPr>
        <w:pStyle w:val="Footnotesection"/>
      </w:pPr>
      <w:r>
        <w:tab/>
        <w:t>[Section 19A inserted: No. 6 of 2023 s. 9.]</w:t>
      </w:r>
    </w:p>
    <w:p>
      <w:pPr>
        <w:pStyle w:val="Heading5"/>
      </w:pPr>
      <w:bookmarkStart w:id="66" w:name="_Toc166680378"/>
      <w:bookmarkStart w:id="67" w:name="_Toc200370937"/>
      <w:r>
        <w:rPr>
          <w:rStyle w:val="CharSectno"/>
        </w:rPr>
        <w:t>19B</w:t>
      </w:r>
      <w:r>
        <w:t>.</w:t>
      </w:r>
      <w:r>
        <w:tab/>
        <w:t>Withdrawal of licence warning notices</w:t>
      </w:r>
      <w:bookmarkEnd w:id="66"/>
      <w:bookmarkEnd w:id="67"/>
    </w:p>
    <w:p>
      <w:pPr>
        <w:pStyle w:val="Subsection"/>
      </w:pPr>
      <w:r>
        <w:tab/>
        <w:t>(1)</w:t>
      </w:r>
      <w:r>
        <w:tab/>
        <w:t xml:space="preserve">This section applies if — </w:t>
      </w:r>
    </w:p>
    <w:p>
      <w:pPr>
        <w:pStyle w:val="Indenta"/>
      </w:pPr>
      <w:r>
        <w:tab/>
        <w:t>(a)</w:t>
      </w:r>
      <w:r>
        <w:tab/>
        <w:t>the CEO gives a licence warning notice to a responsible person for a vehicle; and</w:t>
      </w:r>
    </w:p>
    <w:p>
      <w:pPr>
        <w:pStyle w:val="Indenta"/>
      </w:pPr>
      <w:r>
        <w:tab/>
        <w:t>(b)</w:t>
      </w:r>
      <w:r>
        <w:tab/>
        <w:t>the vehicle licence for the vehicle has not expired or been cancelled since the licence warning notice was given; and</w:t>
      </w:r>
    </w:p>
    <w:p>
      <w:pPr>
        <w:pStyle w:val="Indenta"/>
      </w:pPr>
      <w:r>
        <w:tab/>
        <w:t>(c)</w:t>
      </w:r>
      <w:r>
        <w:tab/>
        <w:t>the CEO is satisfied that the advertisement that gave rise to the licence warning notice has been removed from the vehicle.</w:t>
      </w:r>
    </w:p>
    <w:p>
      <w:pPr>
        <w:pStyle w:val="Subsection"/>
      </w:pPr>
      <w:r>
        <w:tab/>
        <w:t>(2)</w:t>
      </w:r>
      <w:r>
        <w:tab/>
        <w:t>The CEO must, by written notice given to the responsible person, withdraw the licence warning notice.</w:t>
      </w:r>
    </w:p>
    <w:p>
      <w:pPr>
        <w:pStyle w:val="Subsection"/>
      </w:pPr>
      <w:r>
        <w:tab/>
        <w:t>(3)</w:t>
      </w:r>
      <w:r>
        <w:tab/>
        <w:t>The notice under subsection (2) must state that the CEO cannot cancel the vehicle licence for the vehicle on the basis of the licence warning notice.</w:t>
      </w:r>
    </w:p>
    <w:p>
      <w:pPr>
        <w:pStyle w:val="Subsection"/>
      </w:pPr>
      <w:r>
        <w:tab/>
        <w:t>(4)</w:t>
      </w:r>
      <w:r>
        <w:tab/>
        <w:t>For the purposes of subsection (1)(b), a vehicle licence that expires and is renewed is taken not to have expired.</w:t>
      </w:r>
    </w:p>
    <w:p>
      <w:pPr>
        <w:pStyle w:val="Footnotesection"/>
      </w:pPr>
      <w:r>
        <w:tab/>
        <w:t>[Section 19B inserted: No. 6 of 2023 s. 9.]</w:t>
      </w:r>
    </w:p>
    <w:p>
      <w:pPr>
        <w:pStyle w:val="Heading2"/>
      </w:pPr>
      <w:bookmarkStart w:id="68" w:name="_Toc166659091"/>
      <w:bookmarkStart w:id="69" w:name="_Toc166679095"/>
      <w:bookmarkStart w:id="70" w:name="_Toc166679891"/>
      <w:bookmarkStart w:id="71" w:name="_Toc166680179"/>
      <w:bookmarkStart w:id="72" w:name="_Toc166680379"/>
      <w:bookmarkStart w:id="73" w:name="_Toc200370938"/>
      <w:r>
        <w:rPr>
          <w:rStyle w:val="CharPartNo"/>
        </w:rPr>
        <w:t>Part 3</w:t>
      </w:r>
      <w:r>
        <w:rPr>
          <w:rStyle w:val="CharDivNo"/>
        </w:rPr>
        <w:t> </w:t>
      </w:r>
      <w:r>
        <w:t>—</w:t>
      </w:r>
      <w:r>
        <w:rPr>
          <w:rStyle w:val="CharDivText"/>
        </w:rPr>
        <w:t> </w:t>
      </w:r>
      <w:r>
        <w:rPr>
          <w:rStyle w:val="CharPartText"/>
        </w:rPr>
        <w:t>Overseas motor vehicles when temporarily in Australia</w:t>
      </w:r>
      <w:bookmarkEnd w:id="68"/>
      <w:bookmarkEnd w:id="69"/>
      <w:bookmarkEnd w:id="70"/>
      <w:bookmarkEnd w:id="71"/>
      <w:bookmarkEnd w:id="72"/>
      <w:bookmarkEnd w:id="73"/>
    </w:p>
    <w:p>
      <w:pPr>
        <w:pStyle w:val="Heading5"/>
      </w:pPr>
      <w:bookmarkStart w:id="74" w:name="_Toc166680380"/>
      <w:bookmarkStart w:id="75" w:name="_Toc200370939"/>
      <w:r>
        <w:rPr>
          <w:rStyle w:val="CharSectno"/>
        </w:rPr>
        <w:t>20</w:t>
      </w:r>
      <w:r>
        <w:t>.</w:t>
      </w:r>
      <w:r>
        <w:tab/>
        <w:t>Terms used</w:t>
      </w:r>
      <w:bookmarkEnd w:id="74"/>
      <w:bookmarkEnd w:id="75"/>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76" w:name="_Toc166680381"/>
      <w:bookmarkStart w:id="77" w:name="_Toc200370940"/>
      <w:r>
        <w:rPr>
          <w:rStyle w:val="CharSectno"/>
        </w:rPr>
        <w:t>21</w:t>
      </w:r>
      <w:r>
        <w:t>.</w:t>
      </w:r>
      <w:r>
        <w:tab/>
      </w:r>
      <w:r>
        <w:rPr>
          <w:snapToGrid w:val="0"/>
        </w:rPr>
        <w:t>Application of this Part</w:t>
      </w:r>
      <w:bookmarkEnd w:id="76"/>
      <w:bookmarkEnd w:id="77"/>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78" w:name="_Toc166680382"/>
      <w:bookmarkStart w:id="79" w:name="_Toc200370941"/>
      <w:r>
        <w:rPr>
          <w:rStyle w:val="CharSectno"/>
        </w:rPr>
        <w:t>22</w:t>
      </w:r>
      <w:r>
        <w:t>.</w:t>
      </w:r>
      <w:r>
        <w:tab/>
        <w:t>F</w:t>
      </w:r>
      <w:r>
        <w:rPr>
          <w:snapToGrid w:val="0"/>
        </w:rPr>
        <w:t>ree vehicle licences for certain overseas vehicles</w:t>
      </w:r>
      <w:bookmarkEnd w:id="78"/>
      <w:bookmarkEnd w:id="79"/>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80" w:name="_Toc166680383"/>
      <w:bookmarkStart w:id="81" w:name="_Toc200370942"/>
      <w:r>
        <w:rPr>
          <w:rStyle w:val="CharSectno"/>
        </w:rPr>
        <w:t>23</w:t>
      </w:r>
      <w:r>
        <w:t>.</w:t>
      </w:r>
      <w:r>
        <w:tab/>
        <w:t>Vehicle l</w:t>
      </w:r>
      <w:r>
        <w:rPr>
          <w:snapToGrid w:val="0"/>
        </w:rPr>
        <w:t>icence for overseas vehicle granted in another jurisdiction has effect in this State</w:t>
      </w:r>
      <w:bookmarkEnd w:id="80"/>
      <w:bookmarkEnd w:id="81"/>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82" w:name="_Toc166680384"/>
      <w:bookmarkStart w:id="83" w:name="_Toc200370943"/>
      <w:r>
        <w:rPr>
          <w:rStyle w:val="CharSectno"/>
        </w:rPr>
        <w:t>24</w:t>
      </w:r>
      <w:r>
        <w:t>.</w:t>
      </w:r>
      <w:r>
        <w:tab/>
        <w:t>Free e</w:t>
      </w:r>
      <w:r>
        <w:rPr>
          <w:snapToGrid w:val="0"/>
        </w:rPr>
        <w:t>xtension or renewal of vehicle licences for certain overseas vehicles</w:t>
      </w:r>
      <w:bookmarkEnd w:id="82"/>
      <w:bookmarkEnd w:id="83"/>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84" w:name="_Toc166680385"/>
      <w:bookmarkStart w:id="85" w:name="_Toc200370944"/>
      <w:r>
        <w:rPr>
          <w:rStyle w:val="CharSectno"/>
        </w:rPr>
        <w:t>25</w:t>
      </w:r>
      <w:r>
        <w:t>.</w:t>
      </w:r>
      <w:r>
        <w:tab/>
      </w:r>
      <w:r>
        <w:rPr>
          <w:snapToGrid w:val="0"/>
        </w:rPr>
        <w:t>Free licence or renewal ceases to have effect in certain cases</w:t>
      </w:r>
      <w:bookmarkEnd w:id="84"/>
      <w:bookmarkEnd w:id="85"/>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86" w:name="_Toc166680386"/>
      <w:bookmarkStart w:id="87" w:name="_Toc200370945"/>
      <w:r>
        <w:rPr>
          <w:rStyle w:val="CharSectno"/>
        </w:rPr>
        <w:t>26</w:t>
      </w:r>
      <w:r>
        <w:t>.</w:t>
      </w:r>
      <w:r>
        <w:tab/>
      </w:r>
      <w:r>
        <w:rPr>
          <w:snapToGrid w:val="0"/>
        </w:rPr>
        <w:t>Number plates on overseas vehicles</w:t>
      </w:r>
      <w:bookmarkEnd w:id="86"/>
      <w:bookmarkEnd w:id="87"/>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keepNext/>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88" w:name="_Toc166680387"/>
      <w:bookmarkStart w:id="89" w:name="_Toc200370946"/>
      <w:r>
        <w:rPr>
          <w:rStyle w:val="CharSectno"/>
        </w:rPr>
        <w:t>27</w:t>
      </w:r>
      <w:r>
        <w:t>.</w:t>
      </w:r>
      <w:r>
        <w:tab/>
      </w:r>
      <w:r>
        <w:rPr>
          <w:snapToGrid w:val="0"/>
        </w:rPr>
        <w:t>Regulations</w:t>
      </w:r>
      <w:bookmarkEnd w:id="88"/>
      <w:bookmarkEnd w:id="89"/>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90" w:name="_Toc166659100"/>
      <w:bookmarkStart w:id="91" w:name="_Toc166679104"/>
      <w:bookmarkStart w:id="92" w:name="_Toc166679900"/>
      <w:bookmarkStart w:id="93" w:name="_Toc166680188"/>
      <w:bookmarkStart w:id="94" w:name="_Toc166680388"/>
      <w:bookmarkStart w:id="95" w:name="_Toc200370947"/>
      <w:r>
        <w:rPr>
          <w:rStyle w:val="CharPartNo"/>
        </w:rPr>
        <w:t>Part 4</w:t>
      </w:r>
      <w:r>
        <w:t> — </w:t>
      </w:r>
      <w:r>
        <w:rPr>
          <w:rStyle w:val="CharPartText"/>
        </w:rPr>
        <w:t>Mass, dimension and loading requirements</w:t>
      </w:r>
      <w:bookmarkEnd w:id="90"/>
      <w:bookmarkEnd w:id="91"/>
      <w:bookmarkEnd w:id="92"/>
      <w:bookmarkEnd w:id="93"/>
      <w:bookmarkEnd w:id="94"/>
      <w:bookmarkEnd w:id="95"/>
    </w:p>
    <w:p>
      <w:pPr>
        <w:pStyle w:val="Heading3"/>
        <w:spacing w:before="200"/>
      </w:pPr>
      <w:bookmarkStart w:id="96" w:name="_Toc166659101"/>
      <w:bookmarkStart w:id="97" w:name="_Toc166679105"/>
      <w:bookmarkStart w:id="98" w:name="_Toc166679901"/>
      <w:bookmarkStart w:id="99" w:name="_Toc166680189"/>
      <w:bookmarkStart w:id="100" w:name="_Toc166680389"/>
      <w:bookmarkStart w:id="101" w:name="_Toc200370948"/>
      <w:r>
        <w:rPr>
          <w:rStyle w:val="CharDivNo"/>
        </w:rPr>
        <w:t>Division 1</w:t>
      </w:r>
      <w:r>
        <w:t> — </w:t>
      </w:r>
      <w:r>
        <w:rPr>
          <w:rStyle w:val="CharDivText"/>
        </w:rPr>
        <w:t>Term used in this Part</w:t>
      </w:r>
      <w:bookmarkEnd w:id="96"/>
      <w:bookmarkEnd w:id="97"/>
      <w:bookmarkEnd w:id="98"/>
      <w:bookmarkEnd w:id="99"/>
      <w:bookmarkEnd w:id="100"/>
      <w:bookmarkEnd w:id="101"/>
    </w:p>
    <w:p>
      <w:pPr>
        <w:pStyle w:val="Heading5"/>
        <w:spacing w:before="180"/>
      </w:pPr>
      <w:bookmarkStart w:id="102" w:name="_Toc166680390"/>
      <w:bookmarkStart w:id="103" w:name="_Toc200370949"/>
      <w:r>
        <w:rPr>
          <w:rStyle w:val="CharSectno"/>
        </w:rPr>
        <w:t>28</w:t>
      </w:r>
      <w:r>
        <w:t>.</w:t>
      </w:r>
      <w:r>
        <w:tab/>
        <w:t>Term used: person connected</w:t>
      </w:r>
      <w:bookmarkEnd w:id="102"/>
      <w:bookmarkEnd w:id="103"/>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104" w:name="_Toc166659103"/>
      <w:bookmarkStart w:id="105" w:name="_Toc166679107"/>
      <w:bookmarkStart w:id="106" w:name="_Toc166679903"/>
      <w:bookmarkStart w:id="107" w:name="_Toc166680191"/>
      <w:bookmarkStart w:id="108" w:name="_Toc166680391"/>
      <w:bookmarkStart w:id="109" w:name="_Toc200370950"/>
      <w:r>
        <w:rPr>
          <w:rStyle w:val="CharDivNo"/>
        </w:rPr>
        <w:t>Division 2</w:t>
      </w:r>
      <w:r>
        <w:t> — </w:t>
      </w:r>
      <w:r>
        <w:rPr>
          <w:rStyle w:val="CharDivText"/>
        </w:rPr>
        <w:t>Mass, dimension and loading offences and modification of mass or dimension requirements</w:t>
      </w:r>
      <w:bookmarkEnd w:id="104"/>
      <w:bookmarkEnd w:id="105"/>
      <w:bookmarkEnd w:id="106"/>
      <w:bookmarkEnd w:id="107"/>
      <w:bookmarkEnd w:id="108"/>
      <w:bookmarkEnd w:id="109"/>
    </w:p>
    <w:p>
      <w:pPr>
        <w:pStyle w:val="Heading4"/>
        <w:spacing w:before="180"/>
      </w:pPr>
      <w:bookmarkStart w:id="110" w:name="_Toc166659104"/>
      <w:bookmarkStart w:id="111" w:name="_Toc166679108"/>
      <w:bookmarkStart w:id="112" w:name="_Toc166679904"/>
      <w:bookmarkStart w:id="113" w:name="_Toc166680192"/>
      <w:bookmarkStart w:id="114" w:name="_Toc166680392"/>
      <w:bookmarkStart w:id="115" w:name="_Toc200370951"/>
      <w:r>
        <w:t>Subdivision 1 — Mass, dimension and loading offences</w:t>
      </w:r>
      <w:bookmarkEnd w:id="110"/>
      <w:bookmarkEnd w:id="111"/>
      <w:bookmarkEnd w:id="112"/>
      <w:bookmarkEnd w:id="113"/>
      <w:bookmarkEnd w:id="114"/>
      <w:bookmarkEnd w:id="115"/>
    </w:p>
    <w:p>
      <w:pPr>
        <w:pStyle w:val="Heading5"/>
        <w:spacing w:before="180"/>
      </w:pPr>
      <w:bookmarkStart w:id="116" w:name="_Toc166680393"/>
      <w:bookmarkStart w:id="117" w:name="_Toc200370952"/>
      <w:r>
        <w:rPr>
          <w:rStyle w:val="CharSectno"/>
        </w:rPr>
        <w:t>29</w:t>
      </w:r>
      <w:r>
        <w:t>.</w:t>
      </w:r>
      <w:r>
        <w:tab/>
        <w:t>Mass, dimension and loading requirements to be complied with</w:t>
      </w:r>
      <w:bookmarkEnd w:id="116"/>
      <w:bookmarkEnd w:id="117"/>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18" w:name="_Toc166680394"/>
      <w:bookmarkStart w:id="119" w:name="_Toc200370953"/>
      <w:r>
        <w:rPr>
          <w:rStyle w:val="CharSectno"/>
        </w:rPr>
        <w:t>30</w:t>
      </w:r>
      <w:r>
        <w:t>.</w:t>
      </w:r>
      <w:r>
        <w:tab/>
        <w:t>Penalties for mass, dimension or loading offences</w:t>
      </w:r>
      <w:bookmarkEnd w:id="118"/>
      <w:bookmarkEnd w:id="119"/>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120" w:name="_Toc166680395"/>
      <w:bookmarkStart w:id="121" w:name="_Toc200370954"/>
      <w:r>
        <w:rPr>
          <w:rStyle w:val="CharSectno"/>
        </w:rPr>
        <w:t>31</w:t>
      </w:r>
      <w:r>
        <w:t>.</w:t>
      </w:r>
      <w:r>
        <w:tab/>
        <w:t>Offences by consignees</w:t>
      </w:r>
      <w:bookmarkEnd w:id="120"/>
      <w:bookmarkEnd w:id="121"/>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22" w:name="_Toc166659108"/>
      <w:bookmarkStart w:id="123" w:name="_Toc166679112"/>
      <w:bookmarkStart w:id="124" w:name="_Toc166679908"/>
      <w:bookmarkStart w:id="125" w:name="_Toc166680196"/>
      <w:bookmarkStart w:id="126" w:name="_Toc166680396"/>
      <w:bookmarkStart w:id="127" w:name="_Toc200370955"/>
      <w:r>
        <w:t>Subdivision 2 — Modification of mass or dimension requirements for certain vehicles</w:t>
      </w:r>
      <w:bookmarkEnd w:id="122"/>
      <w:bookmarkEnd w:id="123"/>
      <w:bookmarkEnd w:id="124"/>
      <w:bookmarkEnd w:id="125"/>
      <w:bookmarkEnd w:id="126"/>
      <w:bookmarkEnd w:id="127"/>
    </w:p>
    <w:p>
      <w:pPr>
        <w:pStyle w:val="Heading5"/>
      </w:pPr>
      <w:bookmarkStart w:id="128" w:name="_Toc166680397"/>
      <w:bookmarkStart w:id="129" w:name="_Toc200370956"/>
      <w:r>
        <w:rPr>
          <w:rStyle w:val="CharSectno"/>
        </w:rPr>
        <w:t>32</w:t>
      </w:r>
      <w:r>
        <w:t>.</w:t>
      </w:r>
      <w:r>
        <w:tab/>
        <w:t>Terms used</w:t>
      </w:r>
      <w:bookmarkEnd w:id="128"/>
      <w:bookmarkEnd w:id="129"/>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30" w:name="_Toc166680398"/>
      <w:bookmarkStart w:id="131" w:name="_Toc200370957"/>
      <w:r>
        <w:rPr>
          <w:rStyle w:val="CharSectno"/>
        </w:rPr>
        <w:t>33</w:t>
      </w:r>
      <w:r>
        <w:t>.</w:t>
      </w:r>
      <w:r>
        <w:tab/>
        <w:t>Modification of mass or dimension requirements for prescribed vehicles</w:t>
      </w:r>
      <w:bookmarkEnd w:id="130"/>
      <w:bookmarkEnd w:id="131"/>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32" w:name="_Toc166680399"/>
      <w:bookmarkStart w:id="133" w:name="_Toc200370958"/>
      <w:r>
        <w:rPr>
          <w:rStyle w:val="CharSectno"/>
        </w:rPr>
        <w:t>34</w:t>
      </w:r>
      <w:r>
        <w:t>.</w:t>
      </w:r>
      <w:r>
        <w:tab/>
        <w:t>Order or permit for modification</w:t>
      </w:r>
      <w:bookmarkEnd w:id="132"/>
      <w:bookmarkEnd w:id="133"/>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34" w:name="_Toc166680400"/>
      <w:bookmarkStart w:id="135" w:name="_Toc200370959"/>
      <w:r>
        <w:rPr>
          <w:rStyle w:val="CharSectno"/>
        </w:rPr>
        <w:t>35</w:t>
      </w:r>
      <w:r>
        <w:t>.</w:t>
      </w:r>
      <w:r>
        <w:tab/>
        <w:t>Application of modified mass or dimension requirement</w:t>
      </w:r>
      <w:bookmarkEnd w:id="134"/>
      <w:bookmarkEnd w:id="135"/>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36" w:name="_Toc166680401"/>
      <w:bookmarkStart w:id="137" w:name="_Toc200370960"/>
      <w:r>
        <w:rPr>
          <w:rStyle w:val="CharSectno"/>
        </w:rPr>
        <w:t>36</w:t>
      </w:r>
      <w:r>
        <w:t>.</w:t>
      </w:r>
      <w:r>
        <w:tab/>
        <w:t>Compliance with orders, permits</w:t>
      </w:r>
      <w:bookmarkEnd w:id="136"/>
      <w:bookmarkEnd w:id="137"/>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38" w:name="_Toc166680402"/>
      <w:bookmarkStart w:id="139" w:name="_Toc200370961"/>
      <w:r>
        <w:rPr>
          <w:rStyle w:val="CharSectno"/>
        </w:rPr>
        <w:t>37</w:t>
      </w:r>
      <w:r>
        <w:t>.</w:t>
      </w:r>
      <w:r>
        <w:tab/>
        <w:t>Regulations about modifying mass or dimension requirements</w:t>
      </w:r>
      <w:bookmarkEnd w:id="138"/>
      <w:bookmarkEnd w:id="139"/>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40" w:name="_Toc166659115"/>
      <w:bookmarkStart w:id="141" w:name="_Toc166679119"/>
      <w:bookmarkStart w:id="142" w:name="_Toc166679915"/>
      <w:bookmarkStart w:id="143" w:name="_Toc166680203"/>
      <w:bookmarkStart w:id="144" w:name="_Toc166680403"/>
      <w:bookmarkStart w:id="145" w:name="_Toc200370962"/>
      <w:r>
        <w:rPr>
          <w:rStyle w:val="CharDivNo"/>
        </w:rPr>
        <w:t>Division 3</w:t>
      </w:r>
      <w:r>
        <w:t> — </w:t>
      </w:r>
      <w:r>
        <w:rPr>
          <w:rStyle w:val="CharDivText"/>
        </w:rPr>
        <w:t>Access restrictions on certain vehicles that comply with mass or dimension requirements</w:t>
      </w:r>
      <w:bookmarkEnd w:id="140"/>
      <w:bookmarkEnd w:id="141"/>
      <w:bookmarkEnd w:id="142"/>
      <w:bookmarkEnd w:id="143"/>
      <w:bookmarkEnd w:id="144"/>
      <w:bookmarkEnd w:id="145"/>
    </w:p>
    <w:p>
      <w:pPr>
        <w:pStyle w:val="Heading5"/>
      </w:pPr>
      <w:bookmarkStart w:id="146" w:name="_Toc166680404"/>
      <w:bookmarkStart w:id="147" w:name="_Toc200370963"/>
      <w:r>
        <w:rPr>
          <w:rStyle w:val="CharSectno"/>
        </w:rPr>
        <w:t>38</w:t>
      </w:r>
      <w:r>
        <w:t>.</w:t>
      </w:r>
      <w:r>
        <w:tab/>
        <w:t>Terms used</w:t>
      </w:r>
      <w:bookmarkEnd w:id="146"/>
      <w:bookmarkEnd w:id="147"/>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48" w:name="_Toc166680405"/>
      <w:bookmarkStart w:id="149" w:name="_Toc200370964"/>
      <w:r>
        <w:rPr>
          <w:rStyle w:val="CharSectno"/>
        </w:rPr>
        <w:t>39</w:t>
      </w:r>
      <w:r>
        <w:t>.</w:t>
      </w:r>
      <w:r>
        <w:tab/>
        <w:t>Restriction on access of complying restricted access vehicles to certain roads</w:t>
      </w:r>
      <w:bookmarkEnd w:id="148"/>
      <w:bookmarkEnd w:id="149"/>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50" w:name="_Toc166680406"/>
      <w:bookmarkStart w:id="151" w:name="_Toc200370965"/>
      <w:r>
        <w:rPr>
          <w:rStyle w:val="CharSectno"/>
        </w:rPr>
        <w:t>40</w:t>
      </w:r>
      <w:r>
        <w:t>.</w:t>
      </w:r>
      <w:r>
        <w:tab/>
        <w:t>Access approvals</w:t>
      </w:r>
      <w:bookmarkEnd w:id="150"/>
      <w:bookmarkEnd w:id="151"/>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152" w:name="_Toc166680407"/>
      <w:bookmarkStart w:id="153" w:name="_Toc200370966"/>
      <w:r>
        <w:rPr>
          <w:rStyle w:val="CharSectno"/>
        </w:rPr>
        <w:t>41</w:t>
      </w:r>
      <w:r>
        <w:t>.</w:t>
      </w:r>
      <w:r>
        <w:tab/>
        <w:t>Order or permit for access approval</w:t>
      </w:r>
      <w:bookmarkEnd w:id="152"/>
      <w:bookmarkEnd w:id="153"/>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54" w:name="_Toc166680408"/>
      <w:bookmarkStart w:id="155" w:name="_Toc200370967"/>
      <w:r>
        <w:rPr>
          <w:rStyle w:val="CharSectno"/>
        </w:rPr>
        <w:t>42</w:t>
      </w:r>
      <w:r>
        <w:t>.</w:t>
      </w:r>
      <w:r>
        <w:tab/>
        <w:t>Application of access approvals</w:t>
      </w:r>
      <w:bookmarkEnd w:id="154"/>
      <w:bookmarkEnd w:id="155"/>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56" w:name="_Toc166680409"/>
      <w:bookmarkStart w:id="157" w:name="_Toc200370968"/>
      <w:r>
        <w:rPr>
          <w:rStyle w:val="CharSectno"/>
        </w:rPr>
        <w:t>43</w:t>
      </w:r>
      <w:r>
        <w:t>.</w:t>
      </w:r>
      <w:r>
        <w:tab/>
        <w:t>Regulations about giving access approvals</w:t>
      </w:r>
      <w:bookmarkEnd w:id="156"/>
      <w:bookmarkEnd w:id="157"/>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158" w:name="_Toc166659122"/>
      <w:bookmarkStart w:id="159" w:name="_Toc166679126"/>
      <w:bookmarkStart w:id="160" w:name="_Toc166679922"/>
      <w:bookmarkStart w:id="161" w:name="_Toc166680210"/>
      <w:bookmarkStart w:id="162" w:name="_Toc166680410"/>
      <w:bookmarkStart w:id="163" w:name="_Toc200370969"/>
      <w:r>
        <w:rPr>
          <w:rStyle w:val="CharDivNo"/>
        </w:rPr>
        <w:t>Division 4</w:t>
      </w:r>
      <w:r>
        <w:t> — </w:t>
      </w:r>
      <w:r>
        <w:rPr>
          <w:rStyle w:val="CharDivText"/>
        </w:rPr>
        <w:t>Accreditation</w:t>
      </w:r>
      <w:bookmarkEnd w:id="158"/>
      <w:bookmarkEnd w:id="159"/>
      <w:bookmarkEnd w:id="160"/>
      <w:bookmarkEnd w:id="161"/>
      <w:bookmarkEnd w:id="162"/>
      <w:bookmarkEnd w:id="163"/>
    </w:p>
    <w:p>
      <w:pPr>
        <w:pStyle w:val="Heading5"/>
      </w:pPr>
      <w:bookmarkStart w:id="164" w:name="_Toc166680411"/>
      <w:bookmarkStart w:id="165" w:name="_Toc200370970"/>
      <w:r>
        <w:rPr>
          <w:rStyle w:val="CharSectno"/>
        </w:rPr>
        <w:t>44</w:t>
      </w:r>
      <w:r>
        <w:t>.</w:t>
      </w:r>
      <w:r>
        <w:tab/>
        <w:t>Accreditation of persons in relation to certain heavy vehicles</w:t>
      </w:r>
      <w:bookmarkEnd w:id="164"/>
      <w:bookmarkEnd w:id="165"/>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166" w:name="_Toc166680412"/>
      <w:bookmarkStart w:id="167" w:name="_Toc200370971"/>
      <w:r>
        <w:rPr>
          <w:rStyle w:val="CharSectno"/>
        </w:rPr>
        <w:t>45</w:t>
      </w:r>
      <w:r>
        <w:t>.</w:t>
      </w:r>
      <w:r>
        <w:tab/>
        <w:t>Regulations about accreditation</w:t>
      </w:r>
      <w:bookmarkEnd w:id="166"/>
      <w:bookmarkEnd w:id="167"/>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168" w:name="_Toc166680413"/>
      <w:bookmarkStart w:id="169" w:name="_Toc200370972"/>
      <w:r>
        <w:rPr>
          <w:rStyle w:val="CharSectno"/>
        </w:rPr>
        <w:t>46</w:t>
      </w:r>
      <w:r>
        <w:t>.</w:t>
      </w:r>
      <w:r>
        <w:tab/>
        <w:t>Effect of suspension or cancellation of accreditation on modification or access approval</w:t>
      </w:r>
      <w:bookmarkEnd w:id="168"/>
      <w:bookmarkEnd w:id="16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keepNext/>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170" w:name="_Toc166659126"/>
      <w:bookmarkStart w:id="171" w:name="_Toc166679130"/>
      <w:bookmarkStart w:id="172" w:name="_Toc166679926"/>
      <w:bookmarkStart w:id="173" w:name="_Toc166680214"/>
      <w:bookmarkStart w:id="174" w:name="_Toc166680414"/>
      <w:bookmarkStart w:id="175" w:name="_Toc200370973"/>
      <w:r>
        <w:rPr>
          <w:rStyle w:val="CharPartNo"/>
        </w:rPr>
        <w:t>Part 5</w:t>
      </w:r>
      <w:r>
        <w:t> — </w:t>
      </w:r>
      <w:r>
        <w:rPr>
          <w:rStyle w:val="CharPartText"/>
        </w:rPr>
        <w:t>Categories of breach of mass, dimension or loading requirements</w:t>
      </w:r>
      <w:bookmarkEnd w:id="170"/>
      <w:bookmarkEnd w:id="171"/>
      <w:bookmarkEnd w:id="172"/>
      <w:bookmarkEnd w:id="173"/>
      <w:bookmarkEnd w:id="174"/>
      <w:bookmarkEnd w:id="175"/>
    </w:p>
    <w:p>
      <w:pPr>
        <w:pStyle w:val="Heading3"/>
      </w:pPr>
      <w:bookmarkStart w:id="176" w:name="_Toc166659127"/>
      <w:bookmarkStart w:id="177" w:name="_Toc166679131"/>
      <w:bookmarkStart w:id="178" w:name="_Toc166679927"/>
      <w:bookmarkStart w:id="179" w:name="_Toc166680215"/>
      <w:bookmarkStart w:id="180" w:name="_Toc166680415"/>
      <w:bookmarkStart w:id="181" w:name="_Toc200370974"/>
      <w:r>
        <w:rPr>
          <w:rStyle w:val="CharDivNo"/>
        </w:rPr>
        <w:t>Division 1</w:t>
      </w:r>
      <w:r>
        <w:t> — </w:t>
      </w:r>
      <w:r>
        <w:rPr>
          <w:rStyle w:val="CharDivText"/>
        </w:rPr>
        <w:t>The categories of breach</w:t>
      </w:r>
      <w:bookmarkEnd w:id="176"/>
      <w:bookmarkEnd w:id="177"/>
      <w:bookmarkEnd w:id="178"/>
      <w:bookmarkEnd w:id="179"/>
      <w:bookmarkEnd w:id="180"/>
      <w:bookmarkEnd w:id="181"/>
    </w:p>
    <w:p>
      <w:pPr>
        <w:pStyle w:val="Heading5"/>
      </w:pPr>
      <w:bookmarkStart w:id="182" w:name="_Toc166680416"/>
      <w:bookmarkStart w:id="183" w:name="_Toc200370975"/>
      <w:r>
        <w:rPr>
          <w:rStyle w:val="CharSectno"/>
        </w:rPr>
        <w:t>47</w:t>
      </w:r>
      <w:r>
        <w:t>.</w:t>
      </w:r>
      <w:r>
        <w:tab/>
        <w:t>Categories of breach</w:t>
      </w:r>
      <w:bookmarkEnd w:id="182"/>
      <w:bookmarkEnd w:id="183"/>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184" w:name="_Toc166659129"/>
      <w:bookmarkStart w:id="185" w:name="_Toc166679133"/>
      <w:bookmarkStart w:id="186" w:name="_Toc166679929"/>
      <w:bookmarkStart w:id="187" w:name="_Toc166680217"/>
      <w:bookmarkStart w:id="188" w:name="_Toc166680417"/>
      <w:bookmarkStart w:id="189" w:name="_Toc200370976"/>
      <w:r>
        <w:rPr>
          <w:rStyle w:val="CharDivNo"/>
        </w:rPr>
        <w:t>Division 2</w:t>
      </w:r>
      <w:r>
        <w:t> — </w:t>
      </w:r>
      <w:r>
        <w:rPr>
          <w:rStyle w:val="CharDivText"/>
        </w:rPr>
        <w:t>Mass requirements: categories of breach</w:t>
      </w:r>
      <w:bookmarkEnd w:id="184"/>
      <w:bookmarkEnd w:id="185"/>
      <w:bookmarkEnd w:id="186"/>
      <w:bookmarkEnd w:id="187"/>
      <w:bookmarkEnd w:id="188"/>
      <w:bookmarkEnd w:id="189"/>
    </w:p>
    <w:p>
      <w:pPr>
        <w:pStyle w:val="Heading5"/>
      </w:pPr>
      <w:bookmarkStart w:id="190" w:name="_Toc166680418"/>
      <w:bookmarkStart w:id="191" w:name="_Toc200370977"/>
      <w:r>
        <w:rPr>
          <w:rStyle w:val="CharSectno"/>
        </w:rPr>
        <w:t>48</w:t>
      </w:r>
      <w:r>
        <w:t>.</w:t>
      </w:r>
      <w:r>
        <w:tab/>
        <w:t>Mass requirements: minor risk breaches</w:t>
      </w:r>
      <w:bookmarkEnd w:id="190"/>
      <w:bookmarkEnd w:id="191"/>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192" w:name="_Toc166680419"/>
      <w:bookmarkStart w:id="193" w:name="_Toc200370978"/>
      <w:r>
        <w:rPr>
          <w:rStyle w:val="CharSectno"/>
        </w:rPr>
        <w:t>49</w:t>
      </w:r>
      <w:r>
        <w:t>.</w:t>
      </w:r>
      <w:r>
        <w:tab/>
        <w:t>Mass requirements: substantial risk breaches</w:t>
      </w:r>
      <w:bookmarkEnd w:id="192"/>
      <w:bookmarkEnd w:id="193"/>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194" w:name="_Toc166680420"/>
      <w:bookmarkStart w:id="195" w:name="_Toc200370979"/>
      <w:r>
        <w:rPr>
          <w:rStyle w:val="CharSectno"/>
        </w:rPr>
        <w:t>50</w:t>
      </w:r>
      <w:r>
        <w:t>.</w:t>
      </w:r>
      <w:r>
        <w:tab/>
        <w:t>Mass requirements: severe risk breaches</w:t>
      </w:r>
      <w:bookmarkEnd w:id="194"/>
      <w:bookmarkEnd w:id="195"/>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196" w:name="_Toc166659133"/>
      <w:bookmarkStart w:id="197" w:name="_Toc166679137"/>
      <w:bookmarkStart w:id="198" w:name="_Toc166679933"/>
      <w:bookmarkStart w:id="199" w:name="_Toc166680221"/>
      <w:bookmarkStart w:id="200" w:name="_Toc166680421"/>
      <w:bookmarkStart w:id="201" w:name="_Toc200370980"/>
      <w:r>
        <w:rPr>
          <w:rStyle w:val="CharDivNo"/>
        </w:rPr>
        <w:t>Division 3</w:t>
      </w:r>
      <w:r>
        <w:t> — </w:t>
      </w:r>
      <w:r>
        <w:rPr>
          <w:rStyle w:val="CharDivText"/>
        </w:rPr>
        <w:t>Dimension requirements: categories of breach</w:t>
      </w:r>
      <w:bookmarkEnd w:id="196"/>
      <w:bookmarkEnd w:id="197"/>
      <w:bookmarkEnd w:id="198"/>
      <w:bookmarkEnd w:id="199"/>
      <w:bookmarkEnd w:id="200"/>
      <w:bookmarkEnd w:id="201"/>
    </w:p>
    <w:p>
      <w:pPr>
        <w:pStyle w:val="Heading5"/>
      </w:pPr>
      <w:bookmarkStart w:id="202" w:name="_Toc166680422"/>
      <w:bookmarkStart w:id="203" w:name="_Toc200370981"/>
      <w:r>
        <w:rPr>
          <w:rStyle w:val="CharSectno"/>
        </w:rPr>
        <w:t>51</w:t>
      </w:r>
      <w:r>
        <w:t>.</w:t>
      </w:r>
      <w:r>
        <w:tab/>
        <w:t>Terms used</w:t>
      </w:r>
      <w:bookmarkEnd w:id="202"/>
      <w:bookmarkEnd w:id="203"/>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04" w:name="_Toc166680423"/>
      <w:bookmarkStart w:id="205" w:name="_Toc200370982"/>
      <w:r>
        <w:rPr>
          <w:rStyle w:val="CharSectno"/>
        </w:rPr>
        <w:t>52</w:t>
      </w:r>
      <w:r>
        <w:t>.</w:t>
      </w:r>
      <w:r>
        <w:tab/>
        <w:t>Dimension requirements: minor risk breaches</w:t>
      </w:r>
      <w:bookmarkEnd w:id="204"/>
      <w:bookmarkEnd w:id="205"/>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206" w:name="_Toc166680424"/>
      <w:bookmarkStart w:id="207" w:name="_Toc200370983"/>
      <w:r>
        <w:rPr>
          <w:rStyle w:val="CharSectno"/>
        </w:rPr>
        <w:t>53</w:t>
      </w:r>
      <w:r>
        <w:t>.</w:t>
      </w:r>
      <w:r>
        <w:tab/>
        <w:t>Dimension requirements: substantial risk breaches</w:t>
      </w:r>
      <w:bookmarkEnd w:id="206"/>
      <w:bookmarkEnd w:id="207"/>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08" w:name="_Toc166680425"/>
      <w:bookmarkStart w:id="209" w:name="_Toc200370984"/>
      <w:r>
        <w:rPr>
          <w:rStyle w:val="CharSectno"/>
        </w:rPr>
        <w:t>54</w:t>
      </w:r>
      <w:r>
        <w:t>.</w:t>
      </w:r>
      <w:r>
        <w:tab/>
        <w:t>Dimension requirements: severe risk breaches</w:t>
      </w:r>
      <w:bookmarkEnd w:id="208"/>
      <w:bookmarkEnd w:id="209"/>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10" w:name="_Toc166680426"/>
      <w:bookmarkStart w:id="211" w:name="_Toc200370985"/>
      <w:r>
        <w:rPr>
          <w:rStyle w:val="CharSectno"/>
        </w:rPr>
        <w:t>55</w:t>
      </w:r>
      <w:r>
        <w:t>.</w:t>
      </w:r>
      <w:r>
        <w:tab/>
        <w:t>Dangerous projections</w:t>
      </w:r>
      <w:bookmarkEnd w:id="210"/>
      <w:bookmarkEnd w:id="211"/>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keepNext/>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212" w:name="_Toc166659139"/>
      <w:bookmarkStart w:id="213" w:name="_Toc166679143"/>
      <w:bookmarkStart w:id="214" w:name="_Toc166679939"/>
      <w:bookmarkStart w:id="215" w:name="_Toc166680227"/>
      <w:bookmarkStart w:id="216" w:name="_Toc166680427"/>
      <w:bookmarkStart w:id="217" w:name="_Toc200370986"/>
      <w:r>
        <w:rPr>
          <w:rStyle w:val="CharDivNo"/>
        </w:rPr>
        <w:t>Division 4</w:t>
      </w:r>
      <w:r>
        <w:t> — </w:t>
      </w:r>
      <w:r>
        <w:rPr>
          <w:rStyle w:val="CharDivText"/>
        </w:rPr>
        <w:t>Loading requirements: categories of breach</w:t>
      </w:r>
      <w:bookmarkEnd w:id="212"/>
      <w:bookmarkEnd w:id="213"/>
      <w:bookmarkEnd w:id="214"/>
      <w:bookmarkEnd w:id="215"/>
      <w:bookmarkEnd w:id="216"/>
      <w:bookmarkEnd w:id="217"/>
    </w:p>
    <w:p>
      <w:pPr>
        <w:pStyle w:val="Heading5"/>
      </w:pPr>
      <w:bookmarkStart w:id="218" w:name="_Toc166680428"/>
      <w:bookmarkStart w:id="219" w:name="_Toc200370987"/>
      <w:r>
        <w:rPr>
          <w:rStyle w:val="CharSectno"/>
        </w:rPr>
        <w:t>56</w:t>
      </w:r>
      <w:r>
        <w:t>.</w:t>
      </w:r>
      <w:r>
        <w:tab/>
        <w:t>Determining whether breach of loading requirement gives rise to certain risks</w:t>
      </w:r>
      <w:bookmarkEnd w:id="218"/>
      <w:bookmarkEnd w:id="219"/>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220" w:name="_Toc166680429"/>
      <w:bookmarkStart w:id="221" w:name="_Toc200370988"/>
      <w:r>
        <w:rPr>
          <w:rStyle w:val="CharSectno"/>
        </w:rPr>
        <w:t>57</w:t>
      </w:r>
      <w:r>
        <w:t>.</w:t>
      </w:r>
      <w:r>
        <w:tab/>
        <w:t>When a load’s becoming displaced or unsecured is imminent</w:t>
      </w:r>
      <w:bookmarkEnd w:id="220"/>
      <w:bookmarkEnd w:id="221"/>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222" w:name="_Toc166680430"/>
      <w:bookmarkStart w:id="223" w:name="_Toc200370989"/>
      <w:r>
        <w:rPr>
          <w:rStyle w:val="CharSectno"/>
        </w:rPr>
        <w:t>58</w:t>
      </w:r>
      <w:r>
        <w:t>.</w:t>
      </w:r>
      <w:r>
        <w:tab/>
        <w:t>Loading requirements: minor risk breaches</w:t>
      </w:r>
      <w:bookmarkEnd w:id="222"/>
      <w:bookmarkEnd w:id="223"/>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224" w:name="_Toc166680431"/>
      <w:bookmarkStart w:id="225" w:name="_Toc200370990"/>
      <w:r>
        <w:rPr>
          <w:rStyle w:val="CharSectno"/>
        </w:rPr>
        <w:t>59</w:t>
      </w:r>
      <w:r>
        <w:t>.</w:t>
      </w:r>
      <w:r>
        <w:tab/>
        <w:t>Loading requirements: substantial risk breaches</w:t>
      </w:r>
      <w:bookmarkEnd w:id="224"/>
      <w:bookmarkEnd w:id="225"/>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keepNext/>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226" w:name="_Toc166680432"/>
      <w:bookmarkStart w:id="227" w:name="_Toc200370991"/>
      <w:r>
        <w:rPr>
          <w:rStyle w:val="CharSectno"/>
        </w:rPr>
        <w:t>60</w:t>
      </w:r>
      <w:r>
        <w:t>.</w:t>
      </w:r>
      <w:r>
        <w:tab/>
        <w:t>Loading requirements: severe risk breaches</w:t>
      </w:r>
      <w:bookmarkEnd w:id="226"/>
      <w:bookmarkEnd w:id="227"/>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228" w:name="_Toc166659145"/>
      <w:bookmarkStart w:id="229" w:name="_Toc166679149"/>
      <w:bookmarkStart w:id="230" w:name="_Toc166679945"/>
      <w:bookmarkStart w:id="231" w:name="_Toc166680233"/>
      <w:bookmarkStart w:id="232" w:name="_Toc166680433"/>
      <w:bookmarkStart w:id="233" w:name="_Toc200370992"/>
      <w:r>
        <w:rPr>
          <w:rStyle w:val="CharPartNo"/>
        </w:rPr>
        <w:t>Part 6</w:t>
      </w:r>
      <w:r>
        <w:t> — </w:t>
      </w:r>
      <w:r>
        <w:rPr>
          <w:rStyle w:val="CharPartText"/>
        </w:rPr>
        <w:t>Directions as to MDLR breaches, defect notices and improvement notices</w:t>
      </w:r>
      <w:bookmarkEnd w:id="228"/>
      <w:bookmarkEnd w:id="229"/>
      <w:bookmarkEnd w:id="230"/>
      <w:bookmarkEnd w:id="231"/>
      <w:bookmarkEnd w:id="232"/>
      <w:bookmarkEnd w:id="233"/>
    </w:p>
    <w:p>
      <w:pPr>
        <w:pStyle w:val="Heading3"/>
      </w:pPr>
      <w:bookmarkStart w:id="234" w:name="_Toc166659146"/>
      <w:bookmarkStart w:id="235" w:name="_Toc166679150"/>
      <w:bookmarkStart w:id="236" w:name="_Toc166679946"/>
      <w:bookmarkStart w:id="237" w:name="_Toc166680234"/>
      <w:bookmarkStart w:id="238" w:name="_Toc166680434"/>
      <w:bookmarkStart w:id="239" w:name="_Toc200370993"/>
      <w:r>
        <w:rPr>
          <w:rStyle w:val="CharDivNo"/>
        </w:rPr>
        <w:t>Division 1</w:t>
      </w:r>
      <w:r>
        <w:t> — </w:t>
      </w:r>
      <w:r>
        <w:rPr>
          <w:rStyle w:val="CharDivText"/>
        </w:rPr>
        <w:t>General</w:t>
      </w:r>
      <w:bookmarkEnd w:id="234"/>
      <w:bookmarkEnd w:id="235"/>
      <w:bookmarkEnd w:id="236"/>
      <w:bookmarkEnd w:id="237"/>
      <w:bookmarkEnd w:id="238"/>
      <w:bookmarkEnd w:id="239"/>
    </w:p>
    <w:p>
      <w:pPr>
        <w:pStyle w:val="Heading5"/>
      </w:pPr>
      <w:bookmarkStart w:id="240" w:name="_Toc166680435"/>
      <w:bookmarkStart w:id="241" w:name="_Toc200370994"/>
      <w:r>
        <w:rPr>
          <w:rStyle w:val="CharSectno"/>
        </w:rPr>
        <w:t>61</w:t>
      </w:r>
      <w:r>
        <w:t>.</w:t>
      </w:r>
      <w:r>
        <w:tab/>
        <w:t>Application of Part in relation to other directions</w:t>
      </w:r>
      <w:bookmarkEnd w:id="240"/>
      <w:bookmarkEnd w:id="241"/>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242" w:name="_Toc166659148"/>
      <w:bookmarkStart w:id="243" w:name="_Toc166679152"/>
      <w:bookmarkStart w:id="244" w:name="_Toc166679948"/>
      <w:bookmarkStart w:id="245" w:name="_Toc166680236"/>
      <w:bookmarkStart w:id="246" w:name="_Toc166680436"/>
      <w:bookmarkStart w:id="247" w:name="_Toc200370995"/>
      <w:r>
        <w:rPr>
          <w:rStyle w:val="CharDivNo"/>
        </w:rPr>
        <w:t>Division 2</w:t>
      </w:r>
      <w:r>
        <w:t> — </w:t>
      </w:r>
      <w:r>
        <w:rPr>
          <w:rStyle w:val="CharDivText"/>
        </w:rPr>
        <w:t>Rectification of breaches of mass, dimension or loading requirements</w:t>
      </w:r>
      <w:bookmarkEnd w:id="242"/>
      <w:bookmarkEnd w:id="243"/>
      <w:bookmarkEnd w:id="244"/>
      <w:bookmarkEnd w:id="245"/>
      <w:bookmarkEnd w:id="246"/>
      <w:bookmarkEnd w:id="247"/>
    </w:p>
    <w:p>
      <w:pPr>
        <w:pStyle w:val="Heading5"/>
      </w:pPr>
      <w:bookmarkStart w:id="248" w:name="_Toc166680437"/>
      <w:bookmarkStart w:id="249" w:name="_Toc200370996"/>
      <w:r>
        <w:rPr>
          <w:rStyle w:val="CharSectno"/>
        </w:rPr>
        <w:t>62</w:t>
      </w:r>
      <w:r>
        <w:t>.</w:t>
      </w:r>
      <w:r>
        <w:tab/>
        <w:t>Term used: rectification action</w:t>
      </w:r>
      <w:bookmarkEnd w:id="248"/>
      <w:bookmarkEnd w:id="249"/>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250" w:name="_Toc166680438"/>
      <w:bookmarkStart w:id="251" w:name="_Toc200370997"/>
      <w:r>
        <w:rPr>
          <w:rStyle w:val="CharSectno"/>
        </w:rPr>
        <w:t>63</w:t>
      </w:r>
      <w:r>
        <w:t>.</w:t>
      </w:r>
      <w:r>
        <w:tab/>
        <w:t>Minor risk breaches</w:t>
      </w:r>
      <w:bookmarkEnd w:id="250"/>
      <w:bookmarkEnd w:id="251"/>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252" w:name="_Toc166680439"/>
      <w:bookmarkStart w:id="253" w:name="_Toc200370998"/>
      <w:r>
        <w:rPr>
          <w:rStyle w:val="CharSectno"/>
        </w:rPr>
        <w:t>64</w:t>
      </w:r>
      <w:r>
        <w:t>.</w:t>
      </w:r>
      <w:r>
        <w:tab/>
        <w:t>Substantial risk breaches</w:t>
      </w:r>
      <w:bookmarkEnd w:id="252"/>
      <w:bookmarkEnd w:id="253"/>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254" w:name="_Toc166680440"/>
      <w:bookmarkStart w:id="255" w:name="_Toc200370999"/>
      <w:r>
        <w:rPr>
          <w:rStyle w:val="CharSectno"/>
        </w:rPr>
        <w:t>65</w:t>
      </w:r>
      <w:r>
        <w:t>.</w:t>
      </w:r>
      <w:r>
        <w:tab/>
        <w:t>Severe risk breaches</w:t>
      </w:r>
      <w:bookmarkEnd w:id="254"/>
      <w:bookmarkEnd w:id="255"/>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256" w:name="_Toc166680441"/>
      <w:bookmarkStart w:id="257" w:name="_Toc200371000"/>
      <w:r>
        <w:rPr>
          <w:rStyle w:val="CharSectno"/>
        </w:rPr>
        <w:t>66</w:t>
      </w:r>
      <w:r>
        <w:t>.</w:t>
      </w:r>
      <w:r>
        <w:tab/>
        <w:t>Directions to be complied with</w:t>
      </w:r>
      <w:bookmarkEnd w:id="256"/>
      <w:bookmarkEnd w:id="257"/>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258" w:name="_Toc166680442"/>
      <w:bookmarkStart w:id="259" w:name="_Toc200371001"/>
      <w:r>
        <w:rPr>
          <w:rStyle w:val="CharSectno"/>
        </w:rPr>
        <w:t>67</w:t>
      </w:r>
      <w:r>
        <w:t>.</w:t>
      </w:r>
      <w:r>
        <w:tab/>
        <w:t>Authorisation to continue journey if only minor risk breaches</w:t>
      </w:r>
      <w:bookmarkEnd w:id="258"/>
      <w:bookmarkEnd w:id="259"/>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260" w:name="_Toc166680443"/>
      <w:bookmarkStart w:id="261" w:name="_Toc200371002"/>
      <w:r>
        <w:rPr>
          <w:rStyle w:val="CharSectno"/>
        </w:rPr>
        <w:t>68</w:t>
      </w:r>
      <w:r>
        <w:t>.</w:t>
      </w:r>
      <w:r>
        <w:tab/>
        <w:t>Operation of directions in relation to detachable vehicles</w:t>
      </w:r>
      <w:bookmarkEnd w:id="260"/>
      <w:bookmarkEnd w:id="261"/>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262" w:name="_Toc166680444"/>
      <w:bookmarkStart w:id="263" w:name="_Toc200371003"/>
      <w:r>
        <w:rPr>
          <w:rStyle w:val="CharSectno"/>
        </w:rPr>
        <w:t>69</w:t>
      </w:r>
      <w:r>
        <w:t>.</w:t>
      </w:r>
      <w:r>
        <w:tab/>
        <w:t>Directions and authorisations to be in writing</w:t>
      </w:r>
      <w:bookmarkEnd w:id="262"/>
      <w:bookmarkEnd w:id="263"/>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264" w:name="_Toc166659157"/>
      <w:bookmarkStart w:id="265" w:name="_Toc166679161"/>
      <w:bookmarkStart w:id="266" w:name="_Toc166679957"/>
      <w:bookmarkStart w:id="267" w:name="_Toc166680245"/>
      <w:bookmarkStart w:id="268" w:name="_Toc166680445"/>
      <w:bookmarkStart w:id="269" w:name="_Toc200371004"/>
      <w:r>
        <w:rPr>
          <w:rStyle w:val="CharDivNo"/>
        </w:rPr>
        <w:t>Division 3</w:t>
      </w:r>
      <w:r>
        <w:t> — </w:t>
      </w:r>
      <w:r>
        <w:rPr>
          <w:rStyle w:val="CharDivText"/>
        </w:rPr>
        <w:t>Defect notices</w:t>
      </w:r>
      <w:bookmarkEnd w:id="264"/>
      <w:bookmarkEnd w:id="265"/>
      <w:bookmarkEnd w:id="266"/>
      <w:bookmarkEnd w:id="267"/>
      <w:bookmarkEnd w:id="268"/>
      <w:bookmarkEnd w:id="269"/>
    </w:p>
    <w:p>
      <w:pPr>
        <w:pStyle w:val="Heading5"/>
      </w:pPr>
      <w:bookmarkStart w:id="270" w:name="_Toc166680446"/>
      <w:bookmarkStart w:id="271" w:name="_Toc200371005"/>
      <w:r>
        <w:rPr>
          <w:rStyle w:val="CharSectno"/>
        </w:rPr>
        <w:t>70</w:t>
      </w:r>
      <w:r>
        <w:t>.</w:t>
      </w:r>
      <w:r>
        <w:tab/>
        <w:t>Terms used</w:t>
      </w:r>
      <w:bookmarkEnd w:id="270"/>
      <w:bookmarkEnd w:id="271"/>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272" w:name="_Toc166680447"/>
      <w:bookmarkStart w:id="273" w:name="_Toc200371006"/>
      <w:r>
        <w:rPr>
          <w:rStyle w:val="CharSectno"/>
        </w:rPr>
        <w:t>71</w:t>
      </w:r>
      <w:r>
        <w:t>.</w:t>
      </w:r>
      <w:r>
        <w:tab/>
        <w:t>Notices in relation to vehicle defects</w:t>
      </w:r>
      <w:bookmarkEnd w:id="272"/>
      <w:bookmarkEnd w:id="273"/>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274" w:name="_Toc166680448"/>
      <w:bookmarkStart w:id="275" w:name="_Toc200371007"/>
      <w:r>
        <w:rPr>
          <w:rStyle w:val="CharSectno"/>
        </w:rPr>
        <w:t>72</w:t>
      </w:r>
      <w:r>
        <w:t>.</w:t>
      </w:r>
      <w:r>
        <w:tab/>
        <w:t>Form and content of defect notices</w:t>
      </w:r>
      <w:bookmarkEnd w:id="274"/>
      <w:bookmarkEnd w:id="275"/>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276" w:name="_Toc166680449"/>
      <w:bookmarkStart w:id="277" w:name="_Toc200371008"/>
      <w:r>
        <w:rPr>
          <w:rStyle w:val="CharSectno"/>
        </w:rPr>
        <w:t>73</w:t>
      </w:r>
      <w:r>
        <w:t>.</w:t>
      </w:r>
      <w:r>
        <w:tab/>
        <w:t>Service of defect notices</w:t>
      </w:r>
      <w:bookmarkEnd w:id="276"/>
      <w:bookmarkEnd w:id="277"/>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278" w:name="_Toc166680450"/>
      <w:bookmarkStart w:id="279" w:name="_Toc200371009"/>
      <w:r>
        <w:rPr>
          <w:rStyle w:val="CharSectno"/>
        </w:rPr>
        <w:t>74</w:t>
      </w:r>
      <w:r>
        <w:t>.</w:t>
      </w:r>
      <w:r>
        <w:tab/>
        <w:t>Duration of defect notice</w:t>
      </w:r>
      <w:bookmarkEnd w:id="278"/>
      <w:bookmarkEnd w:id="279"/>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280" w:name="_Toc166680451"/>
      <w:bookmarkStart w:id="281" w:name="_Toc200371010"/>
      <w:r>
        <w:rPr>
          <w:rStyle w:val="CharSectno"/>
        </w:rPr>
        <w:t>75</w:t>
      </w:r>
      <w:r>
        <w:t>.</w:t>
      </w:r>
      <w:r>
        <w:tab/>
        <w:t>Defect notices and directions to be complied with</w:t>
      </w:r>
      <w:bookmarkEnd w:id="280"/>
      <w:bookmarkEnd w:id="281"/>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282" w:name="_Toc166680452"/>
      <w:bookmarkStart w:id="283" w:name="_Toc200371011"/>
      <w:r>
        <w:rPr>
          <w:rStyle w:val="CharSectno"/>
        </w:rPr>
        <w:t>76</w:t>
      </w:r>
      <w:r>
        <w:t>.</w:t>
      </w:r>
      <w:r>
        <w:tab/>
        <w:t>Powers of vehicle examiners</w:t>
      </w:r>
      <w:bookmarkEnd w:id="282"/>
      <w:bookmarkEnd w:id="283"/>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284" w:name="_Toc166659165"/>
      <w:bookmarkStart w:id="285" w:name="_Toc166679169"/>
      <w:bookmarkStart w:id="286" w:name="_Toc166679965"/>
      <w:bookmarkStart w:id="287" w:name="_Toc166680253"/>
      <w:bookmarkStart w:id="288" w:name="_Toc166680453"/>
      <w:bookmarkStart w:id="289" w:name="_Toc200371012"/>
      <w:r>
        <w:rPr>
          <w:rStyle w:val="CharDivNo"/>
        </w:rPr>
        <w:t>Division 4</w:t>
      </w:r>
      <w:r>
        <w:t> — </w:t>
      </w:r>
      <w:r>
        <w:rPr>
          <w:rStyle w:val="CharDivText"/>
        </w:rPr>
        <w:t>Improvement notices</w:t>
      </w:r>
      <w:bookmarkEnd w:id="284"/>
      <w:bookmarkEnd w:id="285"/>
      <w:bookmarkEnd w:id="286"/>
      <w:bookmarkEnd w:id="287"/>
      <w:bookmarkEnd w:id="288"/>
      <w:bookmarkEnd w:id="289"/>
    </w:p>
    <w:p>
      <w:pPr>
        <w:pStyle w:val="Heading5"/>
      </w:pPr>
      <w:bookmarkStart w:id="290" w:name="_Toc166680454"/>
      <w:bookmarkStart w:id="291" w:name="_Toc200371013"/>
      <w:r>
        <w:rPr>
          <w:rStyle w:val="CharSectno"/>
        </w:rPr>
        <w:t>77</w:t>
      </w:r>
      <w:r>
        <w:t>.</w:t>
      </w:r>
      <w:r>
        <w:tab/>
        <w:t>Terms used</w:t>
      </w:r>
      <w:bookmarkEnd w:id="290"/>
      <w:bookmarkEnd w:id="291"/>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292" w:name="_Toc166680455"/>
      <w:bookmarkStart w:id="293" w:name="_Toc200371014"/>
      <w:r>
        <w:rPr>
          <w:rStyle w:val="CharSectno"/>
        </w:rPr>
        <w:t>78</w:t>
      </w:r>
      <w:r>
        <w:t>.</w:t>
      </w:r>
      <w:r>
        <w:tab/>
        <w:t>Improvement notices</w:t>
      </w:r>
      <w:bookmarkEnd w:id="292"/>
      <w:bookmarkEnd w:id="293"/>
    </w:p>
    <w:p>
      <w:pPr>
        <w:pStyle w:val="Subsection"/>
        <w:keepNext/>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294" w:name="_Toc166680456"/>
      <w:bookmarkStart w:id="295" w:name="_Toc200371015"/>
      <w:r>
        <w:rPr>
          <w:rStyle w:val="CharSectno"/>
        </w:rPr>
        <w:t>79</w:t>
      </w:r>
      <w:r>
        <w:t>.</w:t>
      </w:r>
      <w:r>
        <w:tab/>
        <w:t>Form and content of improvement notices</w:t>
      </w:r>
      <w:bookmarkEnd w:id="294"/>
      <w:bookmarkEnd w:id="295"/>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296" w:name="_Toc166680457"/>
      <w:bookmarkStart w:id="297" w:name="_Toc200371016"/>
      <w:r>
        <w:rPr>
          <w:rStyle w:val="CharSectno"/>
        </w:rPr>
        <w:t>80</w:t>
      </w:r>
      <w:r>
        <w:t>.</w:t>
      </w:r>
      <w:r>
        <w:tab/>
        <w:t>Improvement notice to be complied with</w:t>
      </w:r>
      <w:bookmarkEnd w:id="296"/>
      <w:bookmarkEnd w:id="297"/>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298" w:name="_Toc166680458"/>
      <w:bookmarkStart w:id="299" w:name="_Toc200371017"/>
      <w:r>
        <w:rPr>
          <w:rStyle w:val="CharSectno"/>
        </w:rPr>
        <w:t>81</w:t>
      </w:r>
      <w:r>
        <w:t>.</w:t>
      </w:r>
      <w:r>
        <w:tab/>
        <w:t>Amendment of improvement notices</w:t>
      </w:r>
      <w:bookmarkEnd w:id="298"/>
      <w:bookmarkEnd w:id="299"/>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keepNext/>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300" w:name="_Toc166680459"/>
      <w:bookmarkStart w:id="301" w:name="_Toc200371018"/>
      <w:r>
        <w:rPr>
          <w:rStyle w:val="CharSectno"/>
        </w:rPr>
        <w:t>82</w:t>
      </w:r>
      <w:r>
        <w:t>.</w:t>
      </w:r>
      <w:r>
        <w:tab/>
        <w:t>Cancellation of improvement notices</w:t>
      </w:r>
      <w:bookmarkEnd w:id="300"/>
      <w:bookmarkEnd w:id="301"/>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302" w:name="_Toc166680460"/>
      <w:bookmarkStart w:id="303" w:name="_Toc200371019"/>
      <w:r>
        <w:rPr>
          <w:rStyle w:val="CharSectno"/>
        </w:rPr>
        <w:t>83</w:t>
      </w:r>
      <w:r>
        <w:t>.</w:t>
      </w:r>
      <w:r>
        <w:tab/>
        <w:t>Clearance certificates</w:t>
      </w:r>
      <w:bookmarkEnd w:id="302"/>
      <w:bookmarkEnd w:id="303"/>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304" w:name="_Toc166659173"/>
      <w:bookmarkStart w:id="305" w:name="_Toc166679177"/>
      <w:bookmarkStart w:id="306" w:name="_Toc166679973"/>
      <w:bookmarkStart w:id="307" w:name="_Toc166680261"/>
      <w:bookmarkStart w:id="308" w:name="_Toc166680461"/>
      <w:bookmarkStart w:id="309" w:name="_Toc200371020"/>
      <w:r>
        <w:rPr>
          <w:rStyle w:val="CharPartNo"/>
        </w:rPr>
        <w:t>Part 7</w:t>
      </w:r>
      <w:r>
        <w:t> — </w:t>
      </w:r>
      <w:r>
        <w:rPr>
          <w:rStyle w:val="CharPartText"/>
        </w:rPr>
        <w:t>Container weight declarations</w:t>
      </w:r>
      <w:bookmarkEnd w:id="304"/>
      <w:bookmarkEnd w:id="305"/>
      <w:bookmarkEnd w:id="306"/>
      <w:bookmarkEnd w:id="307"/>
      <w:bookmarkEnd w:id="308"/>
      <w:bookmarkEnd w:id="309"/>
    </w:p>
    <w:p>
      <w:pPr>
        <w:pStyle w:val="Heading3"/>
      </w:pPr>
      <w:bookmarkStart w:id="310" w:name="_Toc166659174"/>
      <w:bookmarkStart w:id="311" w:name="_Toc166679178"/>
      <w:bookmarkStart w:id="312" w:name="_Toc166679974"/>
      <w:bookmarkStart w:id="313" w:name="_Toc166680262"/>
      <w:bookmarkStart w:id="314" w:name="_Toc166680462"/>
      <w:bookmarkStart w:id="315" w:name="_Toc200371021"/>
      <w:r>
        <w:rPr>
          <w:rStyle w:val="CharDivNo"/>
        </w:rPr>
        <w:t>Division 1</w:t>
      </w:r>
      <w:r>
        <w:t> — </w:t>
      </w:r>
      <w:r>
        <w:rPr>
          <w:rStyle w:val="CharDivText"/>
        </w:rPr>
        <w:t>Obligations in relation to container weight declarations</w:t>
      </w:r>
      <w:bookmarkEnd w:id="310"/>
      <w:bookmarkEnd w:id="311"/>
      <w:bookmarkEnd w:id="312"/>
      <w:bookmarkEnd w:id="313"/>
      <w:bookmarkEnd w:id="314"/>
      <w:bookmarkEnd w:id="315"/>
    </w:p>
    <w:p>
      <w:pPr>
        <w:pStyle w:val="Heading5"/>
      </w:pPr>
      <w:bookmarkStart w:id="316" w:name="_Toc166680463"/>
      <w:bookmarkStart w:id="317" w:name="_Toc200371022"/>
      <w:r>
        <w:rPr>
          <w:rStyle w:val="CharSectno"/>
        </w:rPr>
        <w:t>84</w:t>
      </w:r>
      <w:r>
        <w:t>.</w:t>
      </w:r>
      <w:r>
        <w:tab/>
        <w:t>Terms used</w:t>
      </w:r>
      <w:bookmarkEnd w:id="316"/>
      <w:bookmarkEnd w:id="317"/>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318" w:name="_Toc166680464"/>
      <w:bookmarkStart w:id="319" w:name="_Toc200371023"/>
      <w:r>
        <w:rPr>
          <w:rStyle w:val="CharSectno"/>
        </w:rPr>
        <w:t>85</w:t>
      </w:r>
      <w:r>
        <w:t>.</w:t>
      </w:r>
      <w:r>
        <w:tab/>
        <w:t>Form of container weight declaration</w:t>
      </w:r>
      <w:bookmarkEnd w:id="318"/>
      <w:bookmarkEnd w:id="319"/>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320" w:name="_Toc166680465"/>
      <w:bookmarkStart w:id="321" w:name="_Toc200371024"/>
      <w:r>
        <w:rPr>
          <w:rStyle w:val="CharSectno"/>
        </w:rPr>
        <w:t>86</w:t>
      </w:r>
      <w:r>
        <w:t>.</w:t>
      </w:r>
      <w:r>
        <w:tab/>
        <w:t>Duty of responsible entity</w:t>
      </w:r>
      <w:bookmarkEnd w:id="320"/>
      <w:bookmarkEnd w:id="321"/>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322" w:name="_Toc166680466"/>
      <w:bookmarkStart w:id="323" w:name="_Toc200371025"/>
      <w:r>
        <w:rPr>
          <w:rStyle w:val="CharSectno"/>
        </w:rPr>
        <w:t>87</w:t>
      </w:r>
      <w:r>
        <w:t>.</w:t>
      </w:r>
      <w:r>
        <w:tab/>
        <w:t>Duty of responsible person</w:t>
      </w:r>
      <w:bookmarkEnd w:id="322"/>
      <w:bookmarkEnd w:id="323"/>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324" w:name="_Toc166680467"/>
      <w:bookmarkStart w:id="325" w:name="_Toc200371026"/>
      <w:r>
        <w:rPr>
          <w:rStyle w:val="CharSectno"/>
        </w:rPr>
        <w:t>88</w:t>
      </w:r>
      <w:r>
        <w:t>.</w:t>
      </w:r>
      <w:r>
        <w:tab/>
        <w:t>Duty of driver</w:t>
      </w:r>
      <w:bookmarkEnd w:id="324"/>
      <w:bookmarkEnd w:id="325"/>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326" w:name="_Toc166659180"/>
      <w:bookmarkStart w:id="327" w:name="_Toc166679184"/>
      <w:bookmarkStart w:id="328" w:name="_Toc166679980"/>
      <w:bookmarkStart w:id="329" w:name="_Toc166680268"/>
      <w:bookmarkStart w:id="330" w:name="_Toc166680468"/>
      <w:bookmarkStart w:id="331" w:name="_Toc200371027"/>
      <w:r>
        <w:rPr>
          <w:rStyle w:val="CharDivNo"/>
        </w:rPr>
        <w:t>Division 2</w:t>
      </w:r>
      <w:r>
        <w:t> — </w:t>
      </w:r>
      <w:r>
        <w:rPr>
          <w:rStyle w:val="CharDivText"/>
        </w:rPr>
        <w:t>Recovery of losses resulting from not providing accurate container weight declarations</w:t>
      </w:r>
      <w:bookmarkEnd w:id="326"/>
      <w:bookmarkEnd w:id="327"/>
      <w:bookmarkEnd w:id="328"/>
      <w:bookmarkEnd w:id="329"/>
      <w:bookmarkEnd w:id="330"/>
      <w:bookmarkEnd w:id="331"/>
      <w:r>
        <w:rPr>
          <w:rStyle w:val="CharDivText"/>
        </w:rPr>
        <w:t xml:space="preserve"> </w:t>
      </w:r>
    </w:p>
    <w:p>
      <w:pPr>
        <w:pStyle w:val="Heading5"/>
        <w:spacing w:before="240"/>
      </w:pPr>
      <w:bookmarkStart w:id="332" w:name="_Toc166680469"/>
      <w:bookmarkStart w:id="333" w:name="_Toc200371028"/>
      <w:r>
        <w:rPr>
          <w:rStyle w:val="CharSectno"/>
        </w:rPr>
        <w:t>89</w:t>
      </w:r>
      <w:r>
        <w:t>.</w:t>
      </w:r>
      <w:r>
        <w:tab/>
        <w:t>Recovery of losses if container weight declaration not provided</w:t>
      </w:r>
      <w:bookmarkEnd w:id="332"/>
      <w:bookmarkEnd w:id="333"/>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334" w:name="_Toc166680470"/>
      <w:bookmarkStart w:id="335" w:name="_Toc200371029"/>
      <w:r>
        <w:rPr>
          <w:rStyle w:val="CharSectno"/>
        </w:rPr>
        <w:t>90</w:t>
      </w:r>
      <w:r>
        <w:t>.</w:t>
      </w:r>
      <w:r>
        <w:tab/>
        <w:t>Recovery of losses for provision of inaccurate container weight declaration</w:t>
      </w:r>
      <w:bookmarkEnd w:id="334"/>
      <w:bookmarkEnd w:id="335"/>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336" w:name="_Toc166680471"/>
      <w:bookmarkStart w:id="337" w:name="_Toc200371030"/>
      <w:r>
        <w:rPr>
          <w:rStyle w:val="CharSectno"/>
        </w:rPr>
        <w:t>91</w:t>
      </w:r>
      <w:r>
        <w:t>.</w:t>
      </w:r>
      <w:r>
        <w:tab/>
        <w:t>Recovery of amount by responsible entity</w:t>
      </w:r>
      <w:bookmarkEnd w:id="336"/>
      <w:bookmarkEnd w:id="337"/>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338" w:name="_Toc166680472"/>
      <w:bookmarkStart w:id="339" w:name="_Toc200371031"/>
      <w:r>
        <w:rPr>
          <w:rStyle w:val="CharSectno"/>
        </w:rPr>
        <w:t>92</w:t>
      </w:r>
      <w:r>
        <w:t>.</w:t>
      </w:r>
      <w:r>
        <w:tab/>
        <w:t>Assessment of monetary value or attributable amount</w:t>
      </w:r>
      <w:bookmarkEnd w:id="338"/>
      <w:bookmarkEnd w:id="339"/>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340" w:name="_Toc166680473"/>
      <w:bookmarkStart w:id="341" w:name="_Toc200371032"/>
      <w:r>
        <w:rPr>
          <w:rStyle w:val="CharSectno"/>
        </w:rPr>
        <w:t>93</w:t>
      </w:r>
      <w:r>
        <w:t>.</w:t>
      </w:r>
      <w:r>
        <w:tab/>
        <w:t>Costs</w:t>
      </w:r>
      <w:bookmarkEnd w:id="340"/>
      <w:bookmarkEnd w:id="341"/>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342" w:name="_Toc166659186"/>
      <w:bookmarkStart w:id="343" w:name="_Toc166679190"/>
      <w:bookmarkStart w:id="344" w:name="_Toc166679986"/>
      <w:bookmarkStart w:id="345" w:name="_Toc166680274"/>
      <w:bookmarkStart w:id="346" w:name="_Toc166680474"/>
      <w:bookmarkStart w:id="347" w:name="_Toc200371033"/>
      <w:r>
        <w:rPr>
          <w:rStyle w:val="CharPartNo"/>
        </w:rPr>
        <w:t>Part 8</w:t>
      </w:r>
      <w:r>
        <w:t> — </w:t>
      </w:r>
      <w:r>
        <w:rPr>
          <w:rStyle w:val="CharPartText"/>
        </w:rPr>
        <w:t>Other MDLR offences</w:t>
      </w:r>
      <w:bookmarkEnd w:id="342"/>
      <w:bookmarkEnd w:id="343"/>
      <w:bookmarkEnd w:id="344"/>
      <w:bookmarkEnd w:id="345"/>
      <w:bookmarkEnd w:id="346"/>
      <w:bookmarkEnd w:id="347"/>
    </w:p>
    <w:p>
      <w:pPr>
        <w:pStyle w:val="Heading3"/>
      </w:pPr>
      <w:bookmarkStart w:id="348" w:name="_Toc166659187"/>
      <w:bookmarkStart w:id="349" w:name="_Toc166679191"/>
      <w:bookmarkStart w:id="350" w:name="_Toc166679987"/>
      <w:bookmarkStart w:id="351" w:name="_Toc166680275"/>
      <w:bookmarkStart w:id="352" w:name="_Toc166680475"/>
      <w:bookmarkStart w:id="353" w:name="_Toc200371034"/>
      <w:r>
        <w:rPr>
          <w:rStyle w:val="CharDivNo"/>
        </w:rPr>
        <w:t>Division 1</w:t>
      </w:r>
      <w:r>
        <w:t> — </w:t>
      </w:r>
      <w:r>
        <w:rPr>
          <w:rStyle w:val="CharDivText"/>
        </w:rPr>
        <w:t>False or misleading transport documentation offences</w:t>
      </w:r>
      <w:bookmarkEnd w:id="348"/>
      <w:bookmarkEnd w:id="349"/>
      <w:bookmarkEnd w:id="350"/>
      <w:bookmarkEnd w:id="351"/>
      <w:bookmarkEnd w:id="352"/>
      <w:bookmarkEnd w:id="353"/>
    </w:p>
    <w:p>
      <w:pPr>
        <w:pStyle w:val="Heading5"/>
      </w:pPr>
      <w:bookmarkStart w:id="354" w:name="_Toc166680476"/>
      <w:bookmarkStart w:id="355" w:name="_Toc200371035"/>
      <w:r>
        <w:rPr>
          <w:rStyle w:val="CharSectno"/>
        </w:rPr>
        <w:t>94</w:t>
      </w:r>
      <w:r>
        <w:t>.</w:t>
      </w:r>
      <w:r>
        <w:tab/>
        <w:t>Terms used</w:t>
      </w:r>
      <w:bookmarkEnd w:id="354"/>
      <w:bookmarkEnd w:id="355"/>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356" w:name="_Toc166680477"/>
      <w:bookmarkStart w:id="357" w:name="_Toc200371036"/>
      <w:r>
        <w:rPr>
          <w:rStyle w:val="CharSectno"/>
        </w:rPr>
        <w:t>95</w:t>
      </w:r>
      <w:r>
        <w:t>.</w:t>
      </w:r>
      <w:r>
        <w:tab/>
        <w:t>Consignors: transport documentation</w:t>
      </w:r>
      <w:bookmarkEnd w:id="356"/>
      <w:bookmarkEnd w:id="357"/>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58" w:name="_Toc166680478"/>
      <w:bookmarkStart w:id="359" w:name="_Toc200371037"/>
      <w:r>
        <w:rPr>
          <w:rStyle w:val="CharSectno"/>
        </w:rPr>
        <w:t>96</w:t>
      </w:r>
      <w:r>
        <w:t>.</w:t>
      </w:r>
      <w:r>
        <w:tab/>
        <w:t>Packers: transport documentation</w:t>
      </w:r>
      <w:bookmarkEnd w:id="358"/>
      <w:bookmarkEnd w:id="359"/>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60" w:name="_Toc166680479"/>
      <w:bookmarkStart w:id="361" w:name="_Toc200371038"/>
      <w:r>
        <w:rPr>
          <w:rStyle w:val="CharSectno"/>
        </w:rPr>
        <w:t>97</w:t>
      </w:r>
      <w:r>
        <w:t>.</w:t>
      </w:r>
      <w:r>
        <w:tab/>
        <w:t>Loaders: transport documentation</w:t>
      </w:r>
      <w:bookmarkEnd w:id="360"/>
      <w:bookmarkEnd w:id="361"/>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62" w:name="_Toc166680480"/>
      <w:bookmarkStart w:id="363" w:name="_Toc200371039"/>
      <w:r>
        <w:rPr>
          <w:rStyle w:val="CharSectno"/>
        </w:rPr>
        <w:t>98</w:t>
      </w:r>
      <w:r>
        <w:t>.</w:t>
      </w:r>
      <w:r>
        <w:tab/>
        <w:t>Receivers: transport documentation</w:t>
      </w:r>
      <w:bookmarkEnd w:id="362"/>
      <w:bookmarkEnd w:id="363"/>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64" w:name="_Toc166680481"/>
      <w:bookmarkStart w:id="365" w:name="_Toc200371040"/>
      <w:r>
        <w:rPr>
          <w:rStyle w:val="CharSectno"/>
        </w:rPr>
        <w:t>99</w:t>
      </w:r>
      <w:r>
        <w:t>.</w:t>
      </w:r>
      <w:r>
        <w:tab/>
        <w:t>Responsible entity: container weight declaration</w:t>
      </w:r>
      <w:bookmarkEnd w:id="364"/>
      <w:bookmarkEnd w:id="365"/>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366" w:name="_Toc166680482"/>
      <w:bookmarkStart w:id="367" w:name="_Toc200371041"/>
      <w:r>
        <w:rPr>
          <w:rStyle w:val="CharSectno"/>
        </w:rPr>
        <w:t>100</w:t>
      </w:r>
      <w:r>
        <w:t>.</w:t>
      </w:r>
      <w:r>
        <w:tab/>
        <w:t>Responsible person for vehicle: container weight declaration</w:t>
      </w:r>
      <w:bookmarkEnd w:id="366"/>
      <w:bookmarkEnd w:id="367"/>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368" w:name="_Toc166680483"/>
      <w:bookmarkStart w:id="369" w:name="_Toc200371042"/>
      <w:r>
        <w:rPr>
          <w:rStyle w:val="CharSectno"/>
        </w:rPr>
        <w:t>101</w:t>
      </w:r>
      <w:r>
        <w:t>.</w:t>
      </w:r>
      <w:r>
        <w:tab/>
        <w:t>Container weight declaration: certain information not necessarily false or misleading</w:t>
      </w:r>
      <w:bookmarkEnd w:id="368"/>
      <w:bookmarkEnd w:id="369"/>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370" w:name="_Toc166680484"/>
      <w:bookmarkStart w:id="371" w:name="_Toc200371043"/>
      <w:r>
        <w:rPr>
          <w:rStyle w:val="CharSectno"/>
        </w:rPr>
        <w:t>102</w:t>
      </w:r>
      <w:r>
        <w:t>.</w:t>
      </w:r>
      <w:r>
        <w:tab/>
        <w:t>Reasonable steps defence</w:t>
      </w:r>
      <w:bookmarkEnd w:id="370"/>
      <w:bookmarkEnd w:id="371"/>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372" w:name="_Toc166659197"/>
      <w:bookmarkStart w:id="373" w:name="_Toc166679201"/>
      <w:bookmarkStart w:id="374" w:name="_Toc166679997"/>
      <w:bookmarkStart w:id="375" w:name="_Toc166680285"/>
      <w:bookmarkStart w:id="376" w:name="_Toc166680485"/>
      <w:bookmarkStart w:id="377" w:name="_Toc200371044"/>
      <w:r>
        <w:rPr>
          <w:rStyle w:val="CharDivNo"/>
        </w:rPr>
        <w:t>Division 2</w:t>
      </w:r>
      <w:r>
        <w:t> — </w:t>
      </w:r>
      <w:r>
        <w:rPr>
          <w:rStyle w:val="CharDivText"/>
        </w:rPr>
        <w:t>Miscellaneous MDLR offences</w:t>
      </w:r>
      <w:bookmarkEnd w:id="372"/>
      <w:bookmarkEnd w:id="373"/>
      <w:bookmarkEnd w:id="374"/>
      <w:bookmarkEnd w:id="375"/>
      <w:bookmarkEnd w:id="376"/>
      <w:bookmarkEnd w:id="377"/>
    </w:p>
    <w:p>
      <w:pPr>
        <w:pStyle w:val="Heading5"/>
        <w:keepNext w:val="0"/>
        <w:keepLines w:val="0"/>
        <w:spacing w:before="180"/>
      </w:pPr>
      <w:bookmarkStart w:id="378" w:name="_Toc166680486"/>
      <w:bookmarkStart w:id="379" w:name="_Toc200371045"/>
      <w:r>
        <w:rPr>
          <w:rStyle w:val="CharSectno"/>
        </w:rPr>
        <w:t>103</w:t>
      </w:r>
      <w:r>
        <w:t>.</w:t>
      </w:r>
      <w:r>
        <w:tab/>
        <w:t>Weight of freight container: consignors’ duties</w:t>
      </w:r>
      <w:bookmarkEnd w:id="378"/>
      <w:bookmarkEnd w:id="379"/>
    </w:p>
    <w:p>
      <w:pPr>
        <w:pStyle w:val="Subsection"/>
        <w:keepNext/>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380" w:name="_Toc166680487"/>
      <w:bookmarkStart w:id="381" w:name="_Toc200371046"/>
      <w:r>
        <w:rPr>
          <w:rStyle w:val="CharSectno"/>
        </w:rPr>
        <w:t>104</w:t>
      </w:r>
      <w:r>
        <w:t>.</w:t>
      </w:r>
      <w:r>
        <w:tab/>
        <w:t>Weight of freight container: packers’ duties</w:t>
      </w:r>
      <w:bookmarkEnd w:id="380"/>
      <w:bookmarkEnd w:id="381"/>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382" w:name="_Toc166680488"/>
      <w:bookmarkStart w:id="383" w:name="_Toc200371047"/>
      <w:r>
        <w:rPr>
          <w:rStyle w:val="CharSectno"/>
        </w:rPr>
        <w:t>105</w:t>
      </w:r>
      <w:r>
        <w:t>.</w:t>
      </w:r>
      <w:r>
        <w:tab/>
        <w:t>Dismissal or other victimisation of employee or contractor assisting with or reporting breaches</w:t>
      </w:r>
      <w:bookmarkEnd w:id="382"/>
      <w:bookmarkEnd w:id="383"/>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384" w:name="_Toc166680489"/>
      <w:bookmarkStart w:id="385" w:name="_Toc200371048"/>
      <w:r>
        <w:rPr>
          <w:rStyle w:val="CharSectno"/>
        </w:rPr>
        <w:t>106</w:t>
      </w:r>
      <w:r>
        <w:t>.</w:t>
      </w:r>
      <w:r>
        <w:tab/>
        <w:t>Coercing, inducing or offering incentive</w:t>
      </w:r>
      <w:bookmarkEnd w:id="384"/>
      <w:bookmarkEnd w:id="385"/>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386" w:name="_Toc166680490"/>
      <w:bookmarkStart w:id="387" w:name="_Toc200371049"/>
      <w:r>
        <w:rPr>
          <w:rStyle w:val="CharSectno"/>
        </w:rPr>
        <w:t>107</w:t>
      </w:r>
      <w:r>
        <w:t>.</w:t>
      </w:r>
      <w:r>
        <w:tab/>
        <w:t>Certain false or misleading information not to be provided to involved persons</w:t>
      </w:r>
      <w:bookmarkEnd w:id="386"/>
      <w:bookmarkEnd w:id="387"/>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388" w:name="_Toc166659203"/>
      <w:bookmarkStart w:id="389" w:name="_Toc166679207"/>
      <w:bookmarkStart w:id="390" w:name="_Toc166680003"/>
      <w:bookmarkStart w:id="391" w:name="_Toc166680291"/>
      <w:bookmarkStart w:id="392" w:name="_Toc166680491"/>
      <w:bookmarkStart w:id="393" w:name="_Toc200371050"/>
      <w:r>
        <w:rPr>
          <w:rStyle w:val="CharPartNo"/>
        </w:rPr>
        <w:t>Part 9</w:t>
      </w:r>
      <w:r>
        <w:rPr>
          <w:rStyle w:val="CharDivNo"/>
        </w:rPr>
        <w:t> </w:t>
      </w:r>
      <w:r>
        <w:t>—</w:t>
      </w:r>
      <w:r>
        <w:rPr>
          <w:rStyle w:val="CharDivText"/>
        </w:rPr>
        <w:t> </w:t>
      </w:r>
      <w:r>
        <w:rPr>
          <w:rStyle w:val="CharPartText"/>
        </w:rPr>
        <w:t>Liability for MDLR offences committed by other persons</w:t>
      </w:r>
      <w:bookmarkEnd w:id="388"/>
      <w:bookmarkEnd w:id="389"/>
      <w:bookmarkEnd w:id="390"/>
      <w:bookmarkEnd w:id="391"/>
      <w:bookmarkEnd w:id="392"/>
      <w:bookmarkEnd w:id="393"/>
    </w:p>
    <w:p>
      <w:pPr>
        <w:pStyle w:val="Heading5"/>
      </w:pPr>
      <w:bookmarkStart w:id="394" w:name="_Toc166680492"/>
      <w:bookmarkStart w:id="395" w:name="_Toc200371051"/>
      <w:r>
        <w:rPr>
          <w:rStyle w:val="CharSectno"/>
        </w:rPr>
        <w:t>108</w:t>
      </w:r>
      <w:r>
        <w:t>.</w:t>
      </w:r>
      <w:r>
        <w:tab/>
        <w:t>Liability of officers for offence by body corporate</w:t>
      </w:r>
      <w:bookmarkEnd w:id="394"/>
      <w:bookmarkEnd w:id="395"/>
    </w:p>
    <w:p>
      <w:pPr>
        <w:pStyle w:val="Subsection"/>
      </w:pPr>
      <w:r>
        <w:tab/>
        <w:t>(1)</w:t>
      </w:r>
      <w:r>
        <w:tab/>
      </w:r>
      <w:r>
        <w:rPr>
          <w:i/>
        </w:rPr>
        <w:t>The Criminal Code</w:t>
      </w:r>
      <w:r>
        <w:t xml:space="preserve"> section 41 (which provides for the criminal liability of officers of a body corporate) applies to an offence under a provision of a road law listed in the 2</w:t>
      </w:r>
      <w:r>
        <w:rPr>
          <w:vertAlign w:val="superscript"/>
        </w:rPr>
        <w:t>nd</w:t>
      </w:r>
      <w:r>
        <w:t xml:space="preserve"> column of the Table.</w:t>
      </w:r>
    </w:p>
    <w:p>
      <w:pPr>
        <w:pStyle w:val="THeadingNAm"/>
      </w:pPr>
      <w:r>
        <w:t>Table</w:t>
      </w:r>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trPr>
        <w:tc>
          <w:tcPr>
            <w:tcW w:w="3469" w:type="dxa"/>
            <w:noWrap/>
          </w:tcPr>
          <w:p>
            <w:pPr>
              <w:pStyle w:val="TableNAm"/>
            </w:pPr>
            <w:r>
              <w:rPr>
                <w:b/>
              </w:rPr>
              <w:t>Road law</w:t>
            </w:r>
          </w:p>
        </w:tc>
        <w:tc>
          <w:tcPr>
            <w:tcW w:w="3469" w:type="dxa"/>
            <w:noWrap/>
          </w:tcPr>
          <w:p>
            <w:pPr>
              <w:pStyle w:val="TableNAm"/>
            </w:pPr>
            <w:r>
              <w:rPr>
                <w:b/>
              </w:rPr>
              <w:t xml:space="preserve">Provision to which </w:t>
            </w:r>
            <w:r>
              <w:rPr>
                <w:b/>
                <w:i/>
              </w:rPr>
              <w:t>The Criminal Code</w:t>
            </w:r>
            <w:r>
              <w:rPr>
                <w:b/>
              </w:rPr>
              <w:t xml:space="preserve"> s. 41 applies</w:t>
            </w:r>
          </w:p>
        </w:tc>
      </w:tr>
      <w:tr>
        <w:trPr>
          <w:jc w:val="center"/>
        </w:trPr>
        <w:tc>
          <w:tcPr>
            <w:tcW w:w="3469" w:type="dxa"/>
            <w:tcBorders>
              <w:bottom w:val="single" w:sz="4" w:space="0" w:color="auto"/>
            </w:tcBorders>
            <w:noWrap/>
          </w:tcPr>
          <w:p>
            <w:pPr>
              <w:pStyle w:val="TableNAm"/>
            </w:pPr>
            <w:r>
              <w:rPr>
                <w:i/>
              </w:rPr>
              <w:t>Road Traffic (Administration) Act 2008</w:t>
            </w:r>
          </w:p>
        </w:tc>
        <w:tc>
          <w:tcPr>
            <w:tcW w:w="3469" w:type="dxa"/>
            <w:tcBorders>
              <w:bottom w:val="single" w:sz="4" w:space="0" w:color="auto"/>
            </w:tcBorders>
            <w:noWrap/>
          </w:tcPr>
          <w:p>
            <w:pPr>
              <w:pStyle w:val="TableNAm"/>
            </w:pPr>
            <w:r>
              <w:t>s. 44 in relation to a direction given under s. 39(2), 40(2) or 41(2)</w:t>
            </w:r>
          </w:p>
          <w:p>
            <w:pPr>
              <w:pStyle w:val="TableNAm"/>
            </w:pPr>
            <w:r>
              <w:t>s. 56(4)</w:t>
            </w:r>
          </w:p>
          <w:p>
            <w:pPr>
              <w:pStyle w:val="TableNAm"/>
            </w:pPr>
            <w:r>
              <w:t>s. 57(3) and (4)</w:t>
            </w:r>
          </w:p>
          <w:p>
            <w:pPr>
              <w:pStyle w:val="TableNAm"/>
            </w:pPr>
            <w:r>
              <w:t>s. 58(5)</w:t>
            </w:r>
          </w:p>
          <w:p>
            <w:pPr>
              <w:pStyle w:val="TableNAm"/>
            </w:pPr>
            <w:r>
              <w:t>s. 71(5) and (7)</w:t>
            </w:r>
          </w:p>
        </w:tc>
      </w:tr>
      <w:tr>
        <w:trPr>
          <w:jc w:val="center"/>
        </w:trPr>
        <w:tc>
          <w:tcPr>
            <w:tcW w:w="3469" w:type="dxa"/>
            <w:tcBorders>
              <w:bottom w:val="single" w:sz="4" w:space="0" w:color="auto"/>
            </w:tcBorders>
            <w:noWrap/>
          </w:tcPr>
          <w:p>
            <w:pPr>
              <w:pStyle w:val="TableNAm"/>
            </w:pPr>
            <w:r>
              <w:rPr>
                <w:i/>
              </w:rPr>
              <w:t>Road Traffic (Vehicles) Act 2012</w:t>
            </w:r>
          </w:p>
        </w:tc>
        <w:tc>
          <w:tcPr>
            <w:tcW w:w="3469" w:type="dxa"/>
            <w:tcBorders>
              <w:bottom w:val="single" w:sz="4" w:space="0" w:color="auto"/>
            </w:tcBorders>
            <w:noWrap/>
          </w:tcPr>
          <w:p>
            <w:pPr>
              <w:pStyle w:val="TableNAm"/>
            </w:pPr>
            <w:r>
              <w:t>s. 29(1)</w:t>
            </w:r>
          </w:p>
          <w:p>
            <w:pPr>
              <w:pStyle w:val="TableNAm"/>
            </w:pPr>
            <w:r>
              <w:t>s. 31(1)</w:t>
            </w:r>
          </w:p>
          <w:p>
            <w:pPr>
              <w:pStyle w:val="TableNAm"/>
            </w:pPr>
            <w:r>
              <w:t>s. 36(1)</w:t>
            </w:r>
          </w:p>
          <w:p>
            <w:pPr>
              <w:pStyle w:val="TableNAm"/>
            </w:pPr>
            <w:r>
              <w:t>s. 39(1) and (3)</w:t>
            </w:r>
          </w:p>
          <w:p>
            <w:pPr>
              <w:pStyle w:val="TableNAm"/>
            </w:pPr>
            <w:r>
              <w:t>s. 66 in relation to a direction given under s. 64(2) or (5) or 65(3) or (5)</w:t>
            </w:r>
          </w:p>
          <w:p>
            <w:pPr>
              <w:pStyle w:val="TableNAm"/>
            </w:pPr>
            <w:r>
              <w:t>s. 80(1)</w:t>
            </w:r>
          </w:p>
          <w:p>
            <w:pPr>
              <w:pStyle w:val="TableNAm"/>
            </w:pPr>
            <w:r>
              <w:t>s. 86(1)</w:t>
            </w:r>
          </w:p>
          <w:p>
            <w:pPr>
              <w:pStyle w:val="TableNAm"/>
            </w:pPr>
            <w:r>
              <w:t>s. 87(1) and (2)</w:t>
            </w:r>
          </w:p>
          <w:p>
            <w:pPr>
              <w:pStyle w:val="TableNAm"/>
            </w:pPr>
            <w:r>
              <w:t>s. 95</w:t>
            </w:r>
          </w:p>
          <w:p>
            <w:pPr>
              <w:pStyle w:val="TableNAm"/>
            </w:pPr>
            <w:r>
              <w:t>s. 96</w:t>
            </w:r>
          </w:p>
          <w:p>
            <w:pPr>
              <w:pStyle w:val="TableNAm"/>
            </w:pPr>
            <w:r>
              <w:t>s. 97</w:t>
            </w:r>
          </w:p>
          <w:p>
            <w:pPr>
              <w:pStyle w:val="TableNAm"/>
            </w:pPr>
            <w:r>
              <w:t>s. 98(2)</w:t>
            </w:r>
          </w:p>
          <w:p>
            <w:pPr>
              <w:pStyle w:val="TableNAm"/>
            </w:pPr>
            <w:r>
              <w:t>s. 99</w:t>
            </w:r>
          </w:p>
          <w:p>
            <w:pPr>
              <w:pStyle w:val="TableNAm"/>
            </w:pPr>
            <w:r>
              <w:t>s. 100</w:t>
            </w:r>
          </w:p>
          <w:p>
            <w:pPr>
              <w:pStyle w:val="TableNAm"/>
            </w:pPr>
            <w:r>
              <w:t>s. 105(2), (3) and (8)</w:t>
            </w:r>
          </w:p>
          <w:p>
            <w:pPr>
              <w:pStyle w:val="TableNAm"/>
            </w:pPr>
            <w:r>
              <w:t>s. 106(2)</w:t>
            </w:r>
          </w:p>
          <w:p>
            <w:pPr>
              <w:pStyle w:val="TableNAm"/>
            </w:pPr>
            <w:r>
              <w:t>s. 107(1)</w:t>
            </w:r>
          </w:p>
          <w:p>
            <w:pPr>
              <w:pStyle w:val="TableNAm"/>
            </w:pPr>
            <w:r>
              <w:t>s. 127</w:t>
            </w:r>
          </w:p>
          <w:p>
            <w:pPr>
              <w:pStyle w:val="TableNAm"/>
            </w:pPr>
            <w:r>
              <w:t>s. 129</w:t>
            </w:r>
          </w:p>
        </w:tc>
      </w:tr>
    </w:tbl>
    <w:p>
      <w:pPr>
        <w:pStyle w:val="Subsection"/>
      </w:pPr>
      <w:r>
        <w:tab/>
        <w:t>(2)</w:t>
      </w:r>
      <w:r>
        <w:tab/>
        <w:t xml:space="preserve">The matters set out in section 113(2) of this Act may be relevant matters for the purposes of </w:t>
      </w:r>
      <w:r>
        <w:rPr>
          <w:i/>
        </w:rPr>
        <w:t xml:space="preserve">The Criminal Code </w:t>
      </w:r>
      <w:r>
        <w:t>section 41(4)(c) as it applies under subsection (1).</w:t>
      </w:r>
    </w:p>
    <w:p>
      <w:pPr>
        <w:pStyle w:val="Footnotesection"/>
      </w:pPr>
      <w:r>
        <w:tab/>
        <w:t>[Section 108 inserted: No. 9 of 2023 s. 136.]</w:t>
      </w:r>
    </w:p>
    <w:p>
      <w:pPr>
        <w:pStyle w:val="Heading5"/>
      </w:pPr>
      <w:bookmarkStart w:id="396" w:name="_Toc166680493"/>
      <w:bookmarkStart w:id="397" w:name="_Toc200371052"/>
      <w:r>
        <w:rPr>
          <w:rStyle w:val="CharSectno"/>
        </w:rPr>
        <w:t>109</w:t>
      </w:r>
      <w:r>
        <w:t>.</w:t>
      </w:r>
      <w:r>
        <w:tab/>
        <w:t>Liability of partners and persons managing partnerships</w:t>
      </w:r>
      <w:bookmarkEnd w:id="396"/>
      <w:bookmarkEnd w:id="397"/>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398" w:name="_Toc166680494"/>
      <w:bookmarkStart w:id="399" w:name="_Toc200371053"/>
      <w:r>
        <w:rPr>
          <w:rStyle w:val="CharSectno"/>
        </w:rPr>
        <w:t>110</w:t>
      </w:r>
      <w:r>
        <w:t>.</w:t>
      </w:r>
      <w:r>
        <w:tab/>
        <w:t>Liability of persons managing unincorporated associations</w:t>
      </w:r>
      <w:bookmarkEnd w:id="398"/>
      <w:bookmarkEnd w:id="399"/>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400" w:name="_Toc166680495"/>
      <w:bookmarkStart w:id="401" w:name="_Toc200371054"/>
      <w:r>
        <w:rPr>
          <w:rStyle w:val="CharSectno"/>
        </w:rPr>
        <w:t>111</w:t>
      </w:r>
      <w:r>
        <w:t>.</w:t>
      </w:r>
      <w:r>
        <w:tab/>
        <w:t>Liability of employers</w:t>
      </w:r>
      <w:bookmarkEnd w:id="400"/>
      <w:bookmarkEnd w:id="401"/>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402" w:name="_Toc166680496"/>
      <w:bookmarkStart w:id="403" w:name="_Toc200371055"/>
      <w:r>
        <w:rPr>
          <w:rStyle w:val="CharSectno"/>
        </w:rPr>
        <w:t>112</w:t>
      </w:r>
      <w:r>
        <w:t>.</w:t>
      </w:r>
      <w:r>
        <w:tab/>
        <w:t>Liability of offender not affected</w:t>
      </w:r>
      <w:bookmarkEnd w:id="402"/>
      <w:bookmarkEnd w:id="403"/>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Heading2"/>
      </w:pPr>
      <w:bookmarkStart w:id="404" w:name="_Toc166659209"/>
      <w:bookmarkStart w:id="405" w:name="_Toc166679213"/>
      <w:bookmarkStart w:id="406" w:name="_Toc166680009"/>
      <w:bookmarkStart w:id="407" w:name="_Toc166680297"/>
      <w:bookmarkStart w:id="408" w:name="_Toc166680497"/>
      <w:bookmarkStart w:id="409" w:name="_Toc200371056"/>
      <w:r>
        <w:rPr>
          <w:rStyle w:val="CharPartNo"/>
        </w:rPr>
        <w:t>Part 10</w:t>
      </w:r>
      <w:r>
        <w:t> — </w:t>
      </w:r>
      <w:r>
        <w:rPr>
          <w:rStyle w:val="CharPartText"/>
        </w:rPr>
        <w:t>Defences</w:t>
      </w:r>
      <w:bookmarkEnd w:id="404"/>
      <w:bookmarkEnd w:id="405"/>
      <w:bookmarkEnd w:id="406"/>
      <w:bookmarkEnd w:id="407"/>
      <w:bookmarkEnd w:id="408"/>
      <w:bookmarkEnd w:id="409"/>
    </w:p>
    <w:p>
      <w:pPr>
        <w:pStyle w:val="Heading3"/>
      </w:pPr>
      <w:bookmarkStart w:id="410" w:name="_Toc166659210"/>
      <w:bookmarkStart w:id="411" w:name="_Toc166679214"/>
      <w:bookmarkStart w:id="412" w:name="_Toc166680010"/>
      <w:bookmarkStart w:id="413" w:name="_Toc166680298"/>
      <w:bookmarkStart w:id="414" w:name="_Toc166680498"/>
      <w:bookmarkStart w:id="415" w:name="_Toc200371057"/>
      <w:r>
        <w:rPr>
          <w:rStyle w:val="CharDivNo"/>
        </w:rPr>
        <w:t>Division 1</w:t>
      </w:r>
      <w:r>
        <w:t> — </w:t>
      </w:r>
      <w:r>
        <w:rPr>
          <w:rStyle w:val="CharDivText"/>
        </w:rPr>
        <w:t>Reasonable steps defences</w:t>
      </w:r>
      <w:bookmarkEnd w:id="410"/>
      <w:bookmarkEnd w:id="411"/>
      <w:bookmarkEnd w:id="412"/>
      <w:bookmarkEnd w:id="413"/>
      <w:bookmarkEnd w:id="414"/>
      <w:bookmarkEnd w:id="415"/>
    </w:p>
    <w:p>
      <w:pPr>
        <w:pStyle w:val="Heading5"/>
      </w:pPr>
      <w:bookmarkStart w:id="416" w:name="_Toc166680499"/>
      <w:bookmarkStart w:id="417" w:name="_Toc200371058"/>
      <w:r>
        <w:rPr>
          <w:rStyle w:val="CharSectno"/>
        </w:rPr>
        <w:t>113</w:t>
      </w:r>
      <w:r>
        <w:t>.</w:t>
      </w:r>
      <w:r>
        <w:tab/>
        <w:t>Reasonable steps defence</w:t>
      </w:r>
      <w:bookmarkEnd w:id="416"/>
      <w:bookmarkEnd w:id="417"/>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418" w:name="_Toc166659212"/>
      <w:bookmarkStart w:id="419" w:name="_Toc166679216"/>
      <w:bookmarkStart w:id="420" w:name="_Toc166680012"/>
      <w:bookmarkStart w:id="421" w:name="_Toc166680300"/>
      <w:bookmarkStart w:id="422" w:name="_Toc166680500"/>
      <w:bookmarkStart w:id="423" w:name="_Toc200371059"/>
      <w:r>
        <w:rPr>
          <w:rStyle w:val="CharDivNo"/>
        </w:rPr>
        <w:t>Division 2</w:t>
      </w:r>
      <w:r>
        <w:t> — </w:t>
      </w:r>
      <w:r>
        <w:rPr>
          <w:rStyle w:val="CharDivText"/>
        </w:rPr>
        <w:t>Other defences</w:t>
      </w:r>
      <w:bookmarkEnd w:id="418"/>
      <w:bookmarkEnd w:id="419"/>
      <w:bookmarkEnd w:id="420"/>
      <w:bookmarkEnd w:id="421"/>
      <w:bookmarkEnd w:id="422"/>
      <w:bookmarkEnd w:id="423"/>
    </w:p>
    <w:p>
      <w:pPr>
        <w:pStyle w:val="Heading5"/>
      </w:pPr>
      <w:bookmarkStart w:id="424" w:name="_Toc166680501"/>
      <w:bookmarkStart w:id="425" w:name="_Toc200371060"/>
      <w:r>
        <w:rPr>
          <w:rStyle w:val="CharSectno"/>
        </w:rPr>
        <w:t>114</w:t>
      </w:r>
      <w:r>
        <w:t>.</w:t>
      </w:r>
      <w:r>
        <w:tab/>
        <w:t>Defence for responsible persons</w:t>
      </w:r>
      <w:bookmarkEnd w:id="424"/>
      <w:bookmarkEnd w:id="425"/>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426" w:name="_Toc166680502"/>
      <w:bookmarkStart w:id="427" w:name="_Toc200371061"/>
      <w:r>
        <w:rPr>
          <w:rStyle w:val="CharSectno"/>
        </w:rPr>
        <w:t>115</w:t>
      </w:r>
      <w:r>
        <w:t>.</w:t>
      </w:r>
      <w:r>
        <w:tab/>
        <w:t>Defence for drivers</w:t>
      </w:r>
      <w:bookmarkEnd w:id="426"/>
      <w:bookmarkEnd w:id="427"/>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428" w:name="_Toc166680503"/>
      <w:bookmarkStart w:id="429" w:name="_Toc200371062"/>
      <w:r>
        <w:rPr>
          <w:rStyle w:val="CharSectno"/>
        </w:rPr>
        <w:t>116</w:t>
      </w:r>
      <w:r>
        <w:t>.</w:t>
      </w:r>
      <w:r>
        <w:tab/>
        <w:t>Laws as to criminal responsibility not affected</w:t>
      </w:r>
      <w:bookmarkEnd w:id="428"/>
      <w:bookmarkEnd w:id="42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430" w:name="_Toc166659216"/>
      <w:bookmarkStart w:id="431" w:name="_Toc166679220"/>
      <w:bookmarkStart w:id="432" w:name="_Toc166680016"/>
      <w:bookmarkStart w:id="433" w:name="_Toc166680304"/>
      <w:bookmarkStart w:id="434" w:name="_Toc166680504"/>
      <w:bookmarkStart w:id="435" w:name="_Toc200371063"/>
      <w:r>
        <w:rPr>
          <w:rStyle w:val="CharPartNo"/>
        </w:rPr>
        <w:t>Part 11</w:t>
      </w:r>
      <w:r>
        <w:t> — </w:t>
      </w:r>
      <w:r>
        <w:rPr>
          <w:rStyle w:val="CharPartText"/>
        </w:rPr>
        <w:t>Court imposed sanctions</w:t>
      </w:r>
      <w:bookmarkEnd w:id="430"/>
      <w:bookmarkEnd w:id="431"/>
      <w:bookmarkEnd w:id="432"/>
      <w:bookmarkEnd w:id="433"/>
      <w:bookmarkEnd w:id="434"/>
      <w:bookmarkEnd w:id="435"/>
    </w:p>
    <w:p>
      <w:pPr>
        <w:pStyle w:val="Heading3"/>
      </w:pPr>
      <w:bookmarkStart w:id="436" w:name="_Toc166659217"/>
      <w:bookmarkStart w:id="437" w:name="_Toc166679221"/>
      <w:bookmarkStart w:id="438" w:name="_Toc166680017"/>
      <w:bookmarkStart w:id="439" w:name="_Toc166680305"/>
      <w:bookmarkStart w:id="440" w:name="_Toc166680505"/>
      <w:bookmarkStart w:id="441" w:name="_Toc200371064"/>
      <w:r>
        <w:rPr>
          <w:rStyle w:val="CharDivNo"/>
        </w:rPr>
        <w:t>Division 1</w:t>
      </w:r>
      <w:r>
        <w:t> — </w:t>
      </w:r>
      <w:r>
        <w:rPr>
          <w:rStyle w:val="CharDivText"/>
        </w:rPr>
        <w:t>Term used in this Part</w:t>
      </w:r>
      <w:bookmarkEnd w:id="436"/>
      <w:bookmarkEnd w:id="437"/>
      <w:bookmarkEnd w:id="438"/>
      <w:bookmarkEnd w:id="439"/>
      <w:bookmarkEnd w:id="440"/>
      <w:bookmarkEnd w:id="441"/>
    </w:p>
    <w:p>
      <w:pPr>
        <w:pStyle w:val="Heading5"/>
      </w:pPr>
      <w:bookmarkStart w:id="442" w:name="_Toc166680506"/>
      <w:bookmarkStart w:id="443" w:name="_Toc200371065"/>
      <w:r>
        <w:rPr>
          <w:rStyle w:val="CharSectno"/>
        </w:rPr>
        <w:t>117</w:t>
      </w:r>
      <w:r>
        <w:t>.</w:t>
      </w:r>
      <w:r>
        <w:tab/>
        <w:t>Term used: associate</w:t>
      </w:r>
      <w:bookmarkEnd w:id="442"/>
      <w:bookmarkEnd w:id="443"/>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444" w:name="_Toc166659219"/>
      <w:bookmarkStart w:id="445" w:name="_Toc166679223"/>
      <w:bookmarkStart w:id="446" w:name="_Toc166680019"/>
      <w:bookmarkStart w:id="447" w:name="_Toc166680307"/>
      <w:bookmarkStart w:id="448" w:name="_Toc166680507"/>
      <w:bookmarkStart w:id="449" w:name="_Toc200371066"/>
      <w:r>
        <w:rPr>
          <w:rStyle w:val="CharDivNo"/>
        </w:rPr>
        <w:t>Division 2</w:t>
      </w:r>
      <w:r>
        <w:t> — </w:t>
      </w:r>
      <w:r>
        <w:rPr>
          <w:rStyle w:val="CharDivText"/>
        </w:rPr>
        <w:t>General matters as to sentencing for MDLR offences</w:t>
      </w:r>
      <w:bookmarkEnd w:id="444"/>
      <w:bookmarkEnd w:id="445"/>
      <w:bookmarkEnd w:id="446"/>
      <w:bookmarkEnd w:id="447"/>
      <w:bookmarkEnd w:id="448"/>
      <w:bookmarkEnd w:id="449"/>
    </w:p>
    <w:p>
      <w:pPr>
        <w:pStyle w:val="Heading5"/>
      </w:pPr>
      <w:bookmarkStart w:id="450" w:name="_Toc166680508"/>
      <w:bookmarkStart w:id="451" w:name="_Toc200371067"/>
      <w:r>
        <w:rPr>
          <w:rStyle w:val="CharSectno"/>
        </w:rPr>
        <w:t>118</w:t>
      </w:r>
      <w:r>
        <w:t>.</w:t>
      </w:r>
      <w:r>
        <w:tab/>
        <w:t>Sentencing principles</w:t>
      </w:r>
      <w:bookmarkEnd w:id="450"/>
      <w:bookmarkEnd w:id="451"/>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452" w:name="_Toc166680509"/>
      <w:bookmarkStart w:id="453" w:name="_Toc200371068"/>
      <w:r>
        <w:rPr>
          <w:rStyle w:val="CharSectno"/>
        </w:rPr>
        <w:t>119</w:t>
      </w:r>
      <w:r>
        <w:t>.</w:t>
      </w:r>
      <w:r>
        <w:tab/>
        <w:t>Default categorisation</w:t>
      </w:r>
      <w:bookmarkEnd w:id="452"/>
      <w:bookmarkEnd w:id="453"/>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454" w:name="_Toc166680510"/>
      <w:bookmarkStart w:id="455" w:name="_Toc200371069"/>
      <w:r>
        <w:rPr>
          <w:rStyle w:val="CharSectno"/>
        </w:rPr>
        <w:t>120</w:t>
      </w:r>
      <w:r>
        <w:t>.</w:t>
      </w:r>
      <w:r>
        <w:tab/>
        <w:t>Matters to be considered by courts when sentencing</w:t>
      </w:r>
      <w:bookmarkEnd w:id="454"/>
      <w:bookmarkEnd w:id="455"/>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456" w:name="_Toc166680511"/>
      <w:bookmarkStart w:id="457" w:name="_Toc200371070"/>
      <w:r>
        <w:rPr>
          <w:rStyle w:val="CharSectno"/>
        </w:rPr>
        <w:t>121</w:t>
      </w:r>
      <w:r>
        <w:t>.</w:t>
      </w:r>
      <w:r>
        <w:tab/>
        <w:t>Prohibition order has priority</w:t>
      </w:r>
      <w:bookmarkEnd w:id="456"/>
      <w:bookmarkEnd w:id="457"/>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458" w:name="_Toc166680512"/>
      <w:bookmarkStart w:id="459" w:name="_Toc200371071"/>
      <w:r>
        <w:rPr>
          <w:rStyle w:val="CharSectno"/>
        </w:rPr>
        <w:t>122</w:t>
      </w:r>
      <w:r>
        <w:t>.</w:t>
      </w:r>
      <w:r>
        <w:tab/>
        <w:t>Previous convictions of MDLR offences</w:t>
      </w:r>
      <w:bookmarkEnd w:id="458"/>
      <w:bookmarkEnd w:id="459"/>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460" w:name="_Toc166659225"/>
      <w:bookmarkStart w:id="461" w:name="_Toc166679229"/>
      <w:bookmarkStart w:id="462" w:name="_Toc166680025"/>
      <w:bookmarkStart w:id="463" w:name="_Toc166680313"/>
      <w:bookmarkStart w:id="464" w:name="_Toc166680513"/>
      <w:bookmarkStart w:id="465" w:name="_Toc200371072"/>
      <w:r>
        <w:rPr>
          <w:rStyle w:val="CharDivNo"/>
        </w:rPr>
        <w:t>Division 3</w:t>
      </w:r>
      <w:r>
        <w:t> — </w:t>
      </w:r>
      <w:r>
        <w:rPr>
          <w:rStyle w:val="CharDivText"/>
        </w:rPr>
        <w:t>Commercial benefits penalty orders</w:t>
      </w:r>
      <w:bookmarkEnd w:id="460"/>
      <w:bookmarkEnd w:id="461"/>
      <w:bookmarkEnd w:id="462"/>
      <w:bookmarkEnd w:id="463"/>
      <w:bookmarkEnd w:id="464"/>
      <w:bookmarkEnd w:id="465"/>
    </w:p>
    <w:p>
      <w:pPr>
        <w:pStyle w:val="Heading5"/>
        <w:spacing w:before="180"/>
      </w:pPr>
      <w:bookmarkStart w:id="466" w:name="_Toc166680514"/>
      <w:bookmarkStart w:id="467" w:name="_Toc200371073"/>
      <w:r>
        <w:rPr>
          <w:rStyle w:val="CharSectno"/>
        </w:rPr>
        <w:t>123</w:t>
      </w:r>
      <w:r>
        <w:t>.</w:t>
      </w:r>
      <w:r>
        <w:tab/>
        <w:t>Commercial benefits penalty orders</w:t>
      </w:r>
      <w:bookmarkEnd w:id="466"/>
      <w:bookmarkEnd w:id="467"/>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468" w:name="_Toc166659227"/>
      <w:bookmarkStart w:id="469" w:name="_Toc166679231"/>
      <w:bookmarkStart w:id="470" w:name="_Toc166680027"/>
      <w:bookmarkStart w:id="471" w:name="_Toc166680315"/>
      <w:bookmarkStart w:id="472" w:name="_Toc166680515"/>
      <w:bookmarkStart w:id="473" w:name="_Toc200371074"/>
      <w:r>
        <w:rPr>
          <w:rStyle w:val="CharDivNo"/>
        </w:rPr>
        <w:t>Division 4</w:t>
      </w:r>
      <w:r>
        <w:t> — </w:t>
      </w:r>
      <w:r>
        <w:rPr>
          <w:rStyle w:val="CharDivText"/>
        </w:rPr>
        <w:t>Driver and vehicle licence sanctions</w:t>
      </w:r>
      <w:bookmarkEnd w:id="468"/>
      <w:bookmarkEnd w:id="469"/>
      <w:bookmarkEnd w:id="470"/>
      <w:bookmarkEnd w:id="471"/>
      <w:bookmarkEnd w:id="472"/>
      <w:bookmarkEnd w:id="473"/>
    </w:p>
    <w:p>
      <w:pPr>
        <w:pStyle w:val="Heading5"/>
      </w:pPr>
      <w:bookmarkStart w:id="474" w:name="_Toc166680516"/>
      <w:bookmarkStart w:id="475" w:name="_Toc200371075"/>
      <w:r>
        <w:rPr>
          <w:rStyle w:val="CharSectno"/>
        </w:rPr>
        <w:t>124</w:t>
      </w:r>
      <w:r>
        <w:t>.</w:t>
      </w:r>
      <w:r>
        <w:tab/>
        <w:t>Power to affect driver’s licence</w:t>
      </w:r>
      <w:bookmarkEnd w:id="474"/>
      <w:bookmarkEnd w:id="475"/>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476" w:name="_Toc166680517"/>
      <w:bookmarkStart w:id="477" w:name="_Toc200371076"/>
      <w:r>
        <w:rPr>
          <w:rStyle w:val="CharSectno"/>
        </w:rPr>
        <w:t>125</w:t>
      </w:r>
      <w:r>
        <w:t>.</w:t>
      </w:r>
      <w:r>
        <w:tab/>
        <w:t>Power to affect vehicle licence</w:t>
      </w:r>
      <w:bookmarkEnd w:id="476"/>
      <w:bookmarkEnd w:id="477"/>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478" w:name="_Toc166659230"/>
      <w:bookmarkStart w:id="479" w:name="_Toc166679234"/>
      <w:bookmarkStart w:id="480" w:name="_Toc166680030"/>
      <w:bookmarkStart w:id="481" w:name="_Toc166680318"/>
      <w:bookmarkStart w:id="482" w:name="_Toc166680518"/>
      <w:bookmarkStart w:id="483" w:name="_Toc200371077"/>
      <w:r>
        <w:rPr>
          <w:rStyle w:val="CharDivNo"/>
        </w:rPr>
        <w:t>Division 5</w:t>
      </w:r>
      <w:r>
        <w:t> — </w:t>
      </w:r>
      <w:r>
        <w:rPr>
          <w:rStyle w:val="CharDivText"/>
        </w:rPr>
        <w:t>Supervisory intervention orders</w:t>
      </w:r>
      <w:bookmarkEnd w:id="478"/>
      <w:bookmarkEnd w:id="479"/>
      <w:bookmarkEnd w:id="480"/>
      <w:bookmarkEnd w:id="481"/>
      <w:bookmarkEnd w:id="482"/>
      <w:bookmarkEnd w:id="483"/>
    </w:p>
    <w:p>
      <w:pPr>
        <w:pStyle w:val="Heading5"/>
        <w:spacing w:before="240"/>
      </w:pPr>
      <w:bookmarkStart w:id="484" w:name="_Toc166680519"/>
      <w:bookmarkStart w:id="485" w:name="_Toc200371078"/>
      <w:r>
        <w:rPr>
          <w:rStyle w:val="CharSectno"/>
        </w:rPr>
        <w:t>126</w:t>
      </w:r>
      <w:r>
        <w:t>.</w:t>
      </w:r>
      <w:r>
        <w:tab/>
        <w:t>Supervisory intervention orders</w:t>
      </w:r>
      <w:bookmarkEnd w:id="484"/>
      <w:bookmarkEnd w:id="485"/>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486" w:name="_Toc166680520"/>
      <w:bookmarkStart w:id="487" w:name="_Toc200371079"/>
      <w:r>
        <w:rPr>
          <w:rStyle w:val="CharSectno"/>
        </w:rPr>
        <w:t>127</w:t>
      </w:r>
      <w:r>
        <w:t>.</w:t>
      </w:r>
      <w:r>
        <w:tab/>
        <w:t>Supervisory intervention order to be complied with</w:t>
      </w:r>
      <w:bookmarkEnd w:id="486"/>
      <w:bookmarkEnd w:id="487"/>
    </w:p>
    <w:p>
      <w:pPr>
        <w:pStyle w:val="Subsection"/>
        <w:keepNext/>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488" w:name="_Toc166659233"/>
      <w:bookmarkStart w:id="489" w:name="_Toc166679237"/>
      <w:bookmarkStart w:id="490" w:name="_Toc166680033"/>
      <w:bookmarkStart w:id="491" w:name="_Toc166680321"/>
      <w:bookmarkStart w:id="492" w:name="_Toc166680521"/>
      <w:bookmarkStart w:id="493" w:name="_Toc200371080"/>
      <w:r>
        <w:rPr>
          <w:rStyle w:val="CharDivNo"/>
        </w:rPr>
        <w:t>Division 6</w:t>
      </w:r>
      <w:r>
        <w:t> — </w:t>
      </w:r>
      <w:r>
        <w:rPr>
          <w:rStyle w:val="CharDivText"/>
        </w:rPr>
        <w:t>Prohibition orders</w:t>
      </w:r>
      <w:bookmarkEnd w:id="488"/>
      <w:bookmarkEnd w:id="489"/>
      <w:bookmarkEnd w:id="490"/>
      <w:bookmarkEnd w:id="491"/>
      <w:bookmarkEnd w:id="492"/>
      <w:bookmarkEnd w:id="493"/>
    </w:p>
    <w:p>
      <w:pPr>
        <w:pStyle w:val="Heading5"/>
      </w:pPr>
      <w:bookmarkStart w:id="494" w:name="_Toc166680522"/>
      <w:bookmarkStart w:id="495" w:name="_Toc200371081"/>
      <w:r>
        <w:rPr>
          <w:rStyle w:val="CharSectno"/>
        </w:rPr>
        <w:t>128</w:t>
      </w:r>
      <w:r>
        <w:t>.</w:t>
      </w:r>
      <w:r>
        <w:tab/>
        <w:t>Prohibition orders</w:t>
      </w:r>
      <w:bookmarkEnd w:id="494"/>
      <w:bookmarkEnd w:id="495"/>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keepNext/>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496" w:name="_Toc166680523"/>
      <w:bookmarkStart w:id="497" w:name="_Toc200371082"/>
      <w:r>
        <w:rPr>
          <w:rStyle w:val="CharSectno"/>
        </w:rPr>
        <w:t>129</w:t>
      </w:r>
      <w:r>
        <w:t>.</w:t>
      </w:r>
      <w:r>
        <w:tab/>
        <w:t>Prohibition order to be complied with</w:t>
      </w:r>
      <w:bookmarkEnd w:id="496"/>
      <w:bookmarkEnd w:id="497"/>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498" w:name="_Toc166659236"/>
      <w:bookmarkStart w:id="499" w:name="_Toc166679240"/>
      <w:bookmarkStart w:id="500" w:name="_Toc166680036"/>
      <w:bookmarkStart w:id="501" w:name="_Toc166680324"/>
      <w:bookmarkStart w:id="502" w:name="_Toc166680524"/>
      <w:bookmarkStart w:id="503" w:name="_Toc200371083"/>
      <w:r>
        <w:rPr>
          <w:rStyle w:val="CharPartNo"/>
        </w:rPr>
        <w:t>Part 12</w:t>
      </w:r>
      <w:r>
        <w:rPr>
          <w:rStyle w:val="CharDivNo"/>
        </w:rPr>
        <w:t> </w:t>
      </w:r>
      <w:r>
        <w:t>—</w:t>
      </w:r>
      <w:r>
        <w:rPr>
          <w:rStyle w:val="CharDivText"/>
        </w:rPr>
        <w:t> </w:t>
      </w:r>
      <w:r>
        <w:rPr>
          <w:rStyle w:val="CharPartText"/>
        </w:rPr>
        <w:t>Miscellaneous</w:t>
      </w:r>
      <w:bookmarkEnd w:id="498"/>
      <w:bookmarkEnd w:id="499"/>
      <w:bookmarkEnd w:id="500"/>
      <w:bookmarkEnd w:id="501"/>
      <w:bookmarkEnd w:id="502"/>
      <w:bookmarkEnd w:id="503"/>
    </w:p>
    <w:p>
      <w:pPr>
        <w:pStyle w:val="Heading5"/>
        <w:rPr>
          <w:snapToGrid w:val="0"/>
        </w:rPr>
      </w:pPr>
      <w:bookmarkStart w:id="504" w:name="_Toc166680525"/>
      <w:bookmarkStart w:id="505" w:name="_Toc200371084"/>
      <w:r>
        <w:rPr>
          <w:rStyle w:val="CharSectno"/>
        </w:rPr>
        <w:t>130</w:t>
      </w:r>
      <w:r>
        <w:t>.</w:t>
      </w:r>
      <w:r>
        <w:tab/>
      </w:r>
      <w:r>
        <w:rPr>
          <w:snapToGrid w:val="0"/>
        </w:rPr>
        <w:t>Substitution of vehicle in certain circumstances</w:t>
      </w:r>
      <w:bookmarkEnd w:id="504"/>
      <w:bookmarkEnd w:id="505"/>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506" w:name="_Toc166680526"/>
      <w:bookmarkStart w:id="507" w:name="_Toc200371085"/>
      <w:r>
        <w:rPr>
          <w:rStyle w:val="CharSectno"/>
        </w:rPr>
        <w:t>131</w:t>
      </w:r>
      <w:r>
        <w:t>.</w:t>
      </w:r>
      <w:r>
        <w:tab/>
      </w:r>
      <w:r>
        <w:rPr>
          <w:snapToGrid w:val="0"/>
        </w:rPr>
        <w:t>Motor vehicle pools and insurance</w:t>
      </w:r>
      <w:bookmarkEnd w:id="506"/>
      <w:bookmarkEnd w:id="507"/>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508" w:name="_Toc166659239"/>
      <w:bookmarkStart w:id="509" w:name="_Toc166679243"/>
      <w:bookmarkStart w:id="510" w:name="_Toc166680039"/>
      <w:bookmarkStart w:id="511" w:name="_Toc166680327"/>
      <w:bookmarkStart w:id="512" w:name="_Toc166680527"/>
      <w:bookmarkStart w:id="513" w:name="_Toc200371086"/>
      <w:r>
        <w:rPr>
          <w:rStyle w:val="CharPartNo"/>
        </w:rPr>
        <w:t>Part 13</w:t>
      </w:r>
      <w:r>
        <w:rPr>
          <w:rStyle w:val="CharDivNo"/>
        </w:rPr>
        <w:t> </w:t>
      </w:r>
      <w:r>
        <w:t>—</w:t>
      </w:r>
      <w:r>
        <w:rPr>
          <w:rStyle w:val="CharDivText"/>
        </w:rPr>
        <w:t> </w:t>
      </w:r>
      <w:r>
        <w:rPr>
          <w:rStyle w:val="CharPartText"/>
        </w:rPr>
        <w:t>Regulations</w:t>
      </w:r>
      <w:bookmarkEnd w:id="508"/>
      <w:bookmarkEnd w:id="509"/>
      <w:bookmarkEnd w:id="510"/>
      <w:bookmarkEnd w:id="511"/>
      <w:bookmarkEnd w:id="512"/>
      <w:bookmarkEnd w:id="513"/>
    </w:p>
    <w:p>
      <w:pPr>
        <w:pStyle w:val="Heading5"/>
      </w:pPr>
      <w:bookmarkStart w:id="514" w:name="_Toc166680528"/>
      <w:bookmarkStart w:id="515" w:name="_Toc200371087"/>
      <w:r>
        <w:rPr>
          <w:rStyle w:val="CharSectno"/>
        </w:rPr>
        <w:t>132</w:t>
      </w:r>
      <w:r>
        <w:t>.</w:t>
      </w:r>
      <w:r>
        <w:tab/>
        <w:t>Regulations</w:t>
      </w:r>
      <w:bookmarkEnd w:id="514"/>
      <w:bookmarkEnd w:id="5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516" w:name="_Toc166680529"/>
      <w:bookmarkStart w:id="517" w:name="_Toc200371088"/>
      <w:r>
        <w:rPr>
          <w:rStyle w:val="CharSectno"/>
        </w:rPr>
        <w:t>133</w:t>
      </w:r>
      <w:r>
        <w:t>.</w:t>
      </w:r>
      <w:r>
        <w:tab/>
        <w:t>Exemptions from regulations about vehicle standards and requirements</w:t>
      </w:r>
      <w:bookmarkEnd w:id="516"/>
      <w:bookmarkEnd w:id="517"/>
    </w:p>
    <w:p>
      <w:pPr>
        <w:pStyle w:val="Subsection"/>
      </w:pPr>
      <w:r>
        <w:tab/>
      </w:r>
      <w:r>
        <w:tab/>
        <w:t>The regulations may provide for the CEO to grant exemptions from regulations made under section 132(2)(b).</w:t>
      </w:r>
    </w:p>
    <w:p>
      <w:pPr>
        <w:pStyle w:val="Heading5"/>
      </w:pPr>
      <w:bookmarkStart w:id="518" w:name="_Toc166680530"/>
      <w:bookmarkStart w:id="519" w:name="_Toc200371089"/>
      <w:r>
        <w:rPr>
          <w:rStyle w:val="CharSectno"/>
        </w:rPr>
        <w:t>134</w:t>
      </w:r>
      <w:r>
        <w:t>.</w:t>
      </w:r>
      <w:r>
        <w:tab/>
        <w:t>Exemptions from regulations in emergencies</w:t>
      </w:r>
      <w:bookmarkEnd w:id="518"/>
      <w:bookmarkEnd w:id="519"/>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520" w:name="_Toc166680531"/>
      <w:bookmarkStart w:id="521" w:name="_Toc200371090"/>
      <w:r>
        <w:rPr>
          <w:rStyle w:val="CharSectno"/>
        </w:rPr>
        <w:t>135</w:t>
      </w:r>
      <w:r>
        <w:t>.</w:t>
      </w:r>
      <w:r>
        <w:tab/>
        <w:t>Regulations about exemptions</w:t>
      </w:r>
      <w:bookmarkEnd w:id="520"/>
      <w:bookmarkEnd w:id="521"/>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522" w:name="_Toc166680532"/>
      <w:bookmarkStart w:id="523" w:name="_Toc200371091"/>
      <w:r>
        <w:rPr>
          <w:rStyle w:val="CharSectno"/>
        </w:rPr>
        <w:t>136</w:t>
      </w:r>
      <w:r>
        <w:t>.</w:t>
      </w:r>
      <w:r>
        <w:tab/>
        <w:t>Schemes for optional number plates</w:t>
      </w:r>
      <w:bookmarkEnd w:id="522"/>
      <w:bookmarkEnd w:id="523"/>
    </w:p>
    <w:p>
      <w:pPr>
        <w:pStyle w:val="Subsection"/>
        <w:keepNext/>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524" w:name="_Toc166680533"/>
      <w:bookmarkStart w:id="525" w:name="_Toc200371092"/>
      <w:r>
        <w:rPr>
          <w:rStyle w:val="CharSectno"/>
        </w:rPr>
        <w:t>137</w:t>
      </w:r>
      <w:r>
        <w:t>.</w:t>
      </w:r>
      <w:r>
        <w:tab/>
        <w:t>Regulations may refer to published documents</w:t>
      </w:r>
      <w:bookmarkEnd w:id="524"/>
      <w:bookmarkEnd w:id="52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526" w:name="_Toc166680534"/>
      <w:bookmarkStart w:id="527" w:name="_Toc200371093"/>
      <w:r>
        <w:rPr>
          <w:rStyle w:val="CharSectno"/>
        </w:rPr>
        <w:t>138</w:t>
      </w:r>
      <w:r>
        <w:t>.</w:t>
      </w:r>
      <w:r>
        <w:tab/>
        <w:t>Minister’s declarations that specified regulations do not apply to specified persons or vehicles</w:t>
      </w:r>
      <w:bookmarkEnd w:id="526"/>
      <w:bookmarkEnd w:id="527"/>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528" w:name="_Toc166659247"/>
      <w:bookmarkStart w:id="529" w:name="_Toc166679251"/>
      <w:bookmarkStart w:id="530" w:name="_Toc166680047"/>
      <w:bookmarkStart w:id="531" w:name="_Toc166680335"/>
      <w:bookmarkStart w:id="532" w:name="_Toc166680535"/>
      <w:bookmarkStart w:id="533" w:name="_Toc200371094"/>
      <w:r>
        <w:rPr>
          <w:rStyle w:val="CharPartNo"/>
        </w:rPr>
        <w:t>Part 14</w:t>
      </w:r>
      <w:r>
        <w:t> — </w:t>
      </w:r>
      <w:r>
        <w:rPr>
          <w:rStyle w:val="CharPartText"/>
        </w:rPr>
        <w:t>Transitional provisions</w:t>
      </w:r>
      <w:bookmarkEnd w:id="528"/>
      <w:bookmarkEnd w:id="529"/>
      <w:bookmarkEnd w:id="530"/>
      <w:bookmarkEnd w:id="531"/>
      <w:bookmarkEnd w:id="532"/>
      <w:bookmarkEnd w:id="533"/>
    </w:p>
    <w:p>
      <w:pPr>
        <w:pStyle w:val="Heading3"/>
      </w:pPr>
      <w:bookmarkStart w:id="534" w:name="_Toc166659248"/>
      <w:bookmarkStart w:id="535" w:name="_Toc166679252"/>
      <w:bookmarkStart w:id="536" w:name="_Toc166680048"/>
      <w:bookmarkStart w:id="537" w:name="_Toc166680336"/>
      <w:bookmarkStart w:id="538" w:name="_Toc166680536"/>
      <w:bookmarkStart w:id="539" w:name="_Toc200371095"/>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34"/>
      <w:bookmarkEnd w:id="535"/>
      <w:bookmarkEnd w:id="536"/>
      <w:bookmarkEnd w:id="537"/>
      <w:bookmarkEnd w:id="538"/>
      <w:bookmarkEnd w:id="539"/>
    </w:p>
    <w:p>
      <w:pPr>
        <w:pStyle w:val="Heading5"/>
      </w:pPr>
      <w:bookmarkStart w:id="540" w:name="_Toc166680537"/>
      <w:bookmarkStart w:id="541" w:name="_Toc200371096"/>
      <w:r>
        <w:rPr>
          <w:rStyle w:val="CharSectno"/>
        </w:rPr>
        <w:t>139</w:t>
      </w:r>
      <w:r>
        <w:t>.</w:t>
      </w:r>
      <w:r>
        <w:tab/>
        <w:t>Terms used</w:t>
      </w:r>
      <w:bookmarkEnd w:id="540"/>
      <w:bookmarkEnd w:id="541"/>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542" w:name="_Toc166680538"/>
      <w:bookmarkStart w:id="543" w:name="_Toc200371097"/>
      <w:r>
        <w:rPr>
          <w:rStyle w:val="CharSectno"/>
        </w:rPr>
        <w:t>140</w:t>
      </w:r>
      <w:r>
        <w:t>.</w:t>
      </w:r>
      <w:r>
        <w:tab/>
        <w:t xml:space="preserve">Application of </w:t>
      </w:r>
      <w:r>
        <w:rPr>
          <w:i/>
        </w:rPr>
        <w:t>Interpretation Act 1984</w:t>
      </w:r>
      <w:bookmarkEnd w:id="542"/>
      <w:bookmarkEnd w:id="543"/>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44" w:name="_Toc166680539"/>
      <w:bookmarkStart w:id="545" w:name="_Toc200371098"/>
      <w:r>
        <w:rPr>
          <w:rStyle w:val="CharSectno"/>
        </w:rPr>
        <w:t>141</w:t>
      </w:r>
      <w:r>
        <w:t>.</w:t>
      </w:r>
      <w:r>
        <w:tab/>
        <w:t>Vehicle licences, applications</w:t>
      </w:r>
      <w:bookmarkEnd w:id="544"/>
      <w:bookmarkEnd w:id="545"/>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546" w:name="_Toc166680540"/>
      <w:bookmarkStart w:id="547" w:name="_Toc200371099"/>
      <w:r>
        <w:rPr>
          <w:rStyle w:val="CharSectno"/>
        </w:rPr>
        <w:t>142</w:t>
      </w:r>
      <w:r>
        <w:t>.</w:t>
      </w:r>
      <w:r>
        <w:tab/>
        <w:t>Transfer of vehicle licences</w:t>
      </w:r>
      <w:bookmarkEnd w:id="546"/>
      <w:bookmarkEnd w:id="547"/>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548" w:name="_Toc166680541"/>
      <w:bookmarkStart w:id="549" w:name="_Toc200371100"/>
      <w:r>
        <w:rPr>
          <w:rStyle w:val="CharSectno"/>
        </w:rPr>
        <w:t>143</w:t>
      </w:r>
      <w:r>
        <w:t>.</w:t>
      </w:r>
      <w:r>
        <w:tab/>
        <w:t>Change of nominated owner</w:t>
      </w:r>
      <w:bookmarkEnd w:id="548"/>
      <w:bookmarkEnd w:id="549"/>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550" w:name="_Toc166680542"/>
      <w:bookmarkStart w:id="551" w:name="_Toc200371101"/>
      <w:r>
        <w:rPr>
          <w:rStyle w:val="CharSectno"/>
        </w:rPr>
        <w:t>144</w:t>
      </w:r>
      <w:r>
        <w:t>.</w:t>
      </w:r>
      <w:r>
        <w:tab/>
        <w:t>Permits, number plates and notices for unlicensed vehicles</w:t>
      </w:r>
      <w:bookmarkEnd w:id="550"/>
      <w:bookmarkEnd w:id="551"/>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552" w:name="_Toc166680543"/>
      <w:bookmarkStart w:id="553" w:name="_Toc200371102"/>
      <w:r>
        <w:rPr>
          <w:rStyle w:val="CharSectno"/>
        </w:rPr>
        <w:t>145</w:t>
      </w:r>
      <w:r>
        <w:t>.</w:t>
      </w:r>
      <w:r>
        <w:tab/>
        <w:t>Register of vehicle licences</w:t>
      </w:r>
      <w:bookmarkEnd w:id="552"/>
      <w:bookmarkEnd w:id="553"/>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554" w:name="_Toc166680544"/>
      <w:bookmarkStart w:id="555" w:name="_Toc200371103"/>
      <w:r>
        <w:rPr>
          <w:rStyle w:val="CharSectno"/>
        </w:rPr>
        <w:t>146</w:t>
      </w:r>
      <w:r>
        <w:t>.</w:t>
      </w:r>
      <w:r>
        <w:tab/>
        <w:t>Minister may require vehicles to be inspected</w:t>
      </w:r>
      <w:bookmarkEnd w:id="554"/>
      <w:bookmarkEnd w:id="555"/>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556" w:name="_Toc166680545"/>
      <w:bookmarkStart w:id="557" w:name="_Toc200371104"/>
      <w:r>
        <w:rPr>
          <w:rStyle w:val="CharSectno"/>
        </w:rPr>
        <w:t>147</w:t>
      </w:r>
      <w:r>
        <w:t>.</w:t>
      </w:r>
      <w:r>
        <w:tab/>
        <w:t>Overseas vehicles temporarily in Australia</w:t>
      </w:r>
      <w:bookmarkEnd w:id="556"/>
      <w:bookmarkEnd w:id="557"/>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558" w:name="_Toc166680546"/>
      <w:bookmarkStart w:id="559" w:name="_Toc200371105"/>
      <w:r>
        <w:rPr>
          <w:rStyle w:val="CharSectno"/>
        </w:rPr>
        <w:t>148</w:t>
      </w:r>
      <w:r>
        <w:t>.</w:t>
      </w:r>
      <w:r>
        <w:tab/>
        <w:t>Vehicle examiners and inspection stations</w:t>
      </w:r>
      <w:bookmarkEnd w:id="558"/>
      <w:bookmarkEnd w:id="559"/>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560" w:name="_Toc166680547"/>
      <w:bookmarkStart w:id="561" w:name="_Toc200371106"/>
      <w:r>
        <w:rPr>
          <w:rStyle w:val="CharSectno"/>
        </w:rPr>
        <w:t>149</w:t>
      </w:r>
      <w:r>
        <w:t>.</w:t>
      </w:r>
      <w:r>
        <w:tab/>
        <w:t>Mass requirements for class 3 vehicles used in Harvest Mass Management Scheme</w:t>
      </w:r>
      <w:bookmarkEnd w:id="560"/>
      <w:bookmarkEnd w:id="561"/>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562" w:name="_Toc166680548"/>
      <w:bookmarkStart w:id="563" w:name="_Toc200371107"/>
      <w:r>
        <w:rPr>
          <w:rStyle w:val="CharSectno"/>
        </w:rPr>
        <w:t>150</w:t>
      </w:r>
      <w:r>
        <w:t>.</w:t>
      </w:r>
      <w:r>
        <w:tab/>
        <w:t>Transitional regulations</w:t>
      </w:r>
      <w:bookmarkEnd w:id="562"/>
      <w:bookmarkEnd w:id="563"/>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564" w:name="_Toc166659261"/>
      <w:bookmarkStart w:id="565" w:name="_Toc166679265"/>
      <w:bookmarkStart w:id="566" w:name="_Toc166680061"/>
      <w:bookmarkStart w:id="567" w:name="_Toc166680349"/>
      <w:bookmarkStart w:id="568" w:name="_Toc166680549"/>
      <w:bookmarkStart w:id="569" w:name="_Toc200371108"/>
      <w:bookmarkStart w:id="570" w:name="_Toc166659264"/>
      <w:r>
        <w:t>Notes</w:t>
      </w:r>
      <w:bookmarkEnd w:id="564"/>
      <w:bookmarkEnd w:id="565"/>
      <w:bookmarkEnd w:id="566"/>
      <w:bookmarkEnd w:id="567"/>
      <w:bookmarkEnd w:id="568"/>
      <w:bookmarkEnd w:id="569"/>
    </w:p>
    <w:p>
      <w:pPr>
        <w:pStyle w:val="nStatement"/>
      </w:pPr>
      <w:r>
        <w:t xml:space="preserve">This is a compilation of the </w:t>
      </w:r>
      <w:r>
        <w:rPr>
          <w:i/>
          <w:noProof/>
        </w:rPr>
        <w:t>Road Traffic (Vehicles) Act</w:t>
      </w:r>
      <w:del w:id="571" w:author="Master Repository Process" w:date="2025-06-19T09:51:00Z">
        <w:r>
          <w:rPr>
            <w:i/>
            <w:noProof/>
          </w:rPr>
          <w:delText xml:space="preserve"> </w:delText>
        </w:r>
      </w:del>
      <w:ins w:id="572" w:author="Master Repository Process" w:date="2025-06-19T09:51:00Z">
        <w:r>
          <w:rPr>
            <w:i/>
            <w:noProof/>
          </w:rPr>
          <w:t> </w:t>
        </w:r>
      </w:ins>
      <w:r>
        <w:rPr>
          <w:i/>
          <w:noProof/>
        </w:rPr>
        <w:t>2012</w:t>
      </w:r>
      <w:r>
        <w:t xml:space="preserve"> and includes amendments made by other written laws. For provisions that have come into operation, and for information about any reprints, see the compilation table. </w:t>
      </w:r>
      <w:ins w:id="573" w:author="Master Repository Process" w:date="2025-06-19T09:51:00Z">
        <w:r>
          <w:t>For provisions that have not yet come into operation see the uncommenced provisions table.</w:t>
        </w:r>
      </w:ins>
    </w:p>
    <w:p>
      <w:pPr>
        <w:pStyle w:val="nHeading3"/>
      </w:pPr>
      <w:bookmarkStart w:id="574" w:name="_Toc166680550"/>
      <w:bookmarkStart w:id="575" w:name="_Toc200371109"/>
      <w:r>
        <w:t>Compilation table</w:t>
      </w:r>
      <w:bookmarkEnd w:id="574"/>
      <w:bookmarkEnd w:id="57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nil"/>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pPr>
            <w:r>
              <w:t>29 Sep 2020 (see s. 2(1)(c) and SL 2020/159 cl. 2(a))</w:t>
            </w:r>
          </w:p>
        </w:tc>
      </w:tr>
      <w:tr>
        <w:tc>
          <w:tcPr>
            <w:tcW w:w="2268" w:type="dxa"/>
            <w:tcBorders>
              <w:top w:val="nil"/>
              <w:bottom w:val="nil"/>
            </w:tcBorders>
            <w:shd w:val="clear" w:color="auto" w:fill="auto"/>
          </w:tcPr>
          <w:p>
            <w:pPr>
              <w:pStyle w:val="nTable"/>
              <w:spacing w:after="40"/>
              <w:rPr>
                <w:i/>
              </w:rPr>
            </w:pPr>
            <w:r>
              <w:rPr>
                <w:i/>
              </w:rPr>
              <w:t>Road Traffic (Vehicles) Amendment (Offensive Advertising) Act 2023</w:t>
            </w:r>
          </w:p>
        </w:tc>
        <w:tc>
          <w:tcPr>
            <w:tcW w:w="1134" w:type="dxa"/>
            <w:tcBorders>
              <w:top w:val="nil"/>
              <w:bottom w:val="nil"/>
            </w:tcBorders>
            <w:shd w:val="clear" w:color="auto" w:fill="auto"/>
          </w:tcPr>
          <w:p>
            <w:pPr>
              <w:pStyle w:val="nTable"/>
              <w:spacing w:after="40"/>
            </w:pPr>
            <w:r>
              <w:t>6 of 2023</w:t>
            </w:r>
          </w:p>
        </w:tc>
        <w:tc>
          <w:tcPr>
            <w:tcW w:w="1134" w:type="dxa"/>
            <w:tcBorders>
              <w:top w:val="nil"/>
              <w:bottom w:val="nil"/>
            </w:tcBorders>
            <w:shd w:val="clear" w:color="auto" w:fill="auto"/>
          </w:tcPr>
          <w:p>
            <w:pPr>
              <w:pStyle w:val="nTable"/>
              <w:spacing w:after="40"/>
            </w:pPr>
            <w:r>
              <w:t>29 Mar 2023</w:t>
            </w:r>
          </w:p>
        </w:tc>
        <w:tc>
          <w:tcPr>
            <w:tcW w:w="2552" w:type="dxa"/>
            <w:tcBorders>
              <w:top w:val="nil"/>
              <w:bottom w:val="nil"/>
            </w:tcBorders>
            <w:shd w:val="clear" w:color="auto" w:fill="auto"/>
          </w:tcPr>
          <w:p>
            <w:pPr>
              <w:pStyle w:val="nTable"/>
              <w:spacing w:after="40"/>
            </w:pPr>
            <w:r>
              <w:t>s. 1 and 2: 29 Mar 2023 (see s. 2(a));</w:t>
            </w:r>
            <w:r>
              <w:br/>
              <w:t>Act other than s. 1 and 2: 1 November 2023 (see s. 2(b) and SL 2023/154 cl. 2)</w:t>
            </w:r>
          </w:p>
        </w:tc>
      </w:tr>
      <w:tr>
        <w:tc>
          <w:tcPr>
            <w:tcW w:w="2268" w:type="dxa"/>
            <w:tcBorders>
              <w:top w:val="nil"/>
              <w:bottom w:val="single" w:sz="4" w:space="0" w:color="auto"/>
            </w:tcBorders>
            <w:shd w:val="clear" w:color="auto" w:fill="auto"/>
          </w:tcPr>
          <w:p>
            <w:pPr>
              <w:pStyle w:val="nTable"/>
              <w:spacing w:after="40"/>
            </w:pPr>
            <w:r>
              <w:rPr>
                <w:i/>
              </w:rPr>
              <w:t>Directors’ Liability Reform Act 2023</w:t>
            </w:r>
            <w:r>
              <w:t xml:space="preserve"> Pt. 3 Div. 55</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rPr>
          <w:ins w:id="576" w:author="Master Repository Process" w:date="2025-06-19T09:51:00Z"/>
        </w:rPr>
      </w:pPr>
      <w:bookmarkStart w:id="577" w:name="_Toc166680551"/>
      <w:ins w:id="578" w:author="Master Repository Process" w:date="2025-06-19T09:51:00Z">
        <w:r>
          <w:t>Uncommenced provisions table</w:t>
        </w:r>
        <w:bookmarkEnd w:id="577"/>
      </w:ins>
    </w:p>
    <w:p>
      <w:pPr>
        <w:pStyle w:val="nStatement"/>
        <w:keepNext/>
        <w:spacing w:after="240"/>
        <w:rPr>
          <w:ins w:id="579" w:author="Master Repository Process" w:date="2025-06-19T09:51:00Z"/>
        </w:rPr>
      </w:pPr>
      <w:ins w:id="580" w:author="Master Repository Process" w:date="2025-06-19T09:5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81" w:author="Master Repository Process" w:date="2025-06-19T09:51:00Z"/>
        </w:trPr>
        <w:tc>
          <w:tcPr>
            <w:tcW w:w="2268" w:type="dxa"/>
          </w:tcPr>
          <w:p>
            <w:pPr>
              <w:pStyle w:val="nTable"/>
              <w:spacing w:after="40"/>
              <w:rPr>
                <w:ins w:id="582" w:author="Master Repository Process" w:date="2025-06-19T09:51:00Z"/>
                <w:b/>
              </w:rPr>
            </w:pPr>
            <w:ins w:id="583" w:author="Master Repository Process" w:date="2025-06-19T09:51:00Z">
              <w:r>
                <w:rPr>
                  <w:b/>
                </w:rPr>
                <w:t>Short title</w:t>
              </w:r>
            </w:ins>
          </w:p>
        </w:tc>
        <w:tc>
          <w:tcPr>
            <w:tcW w:w="1134" w:type="dxa"/>
          </w:tcPr>
          <w:p>
            <w:pPr>
              <w:pStyle w:val="nTable"/>
              <w:spacing w:after="40"/>
              <w:rPr>
                <w:ins w:id="584" w:author="Master Repository Process" w:date="2025-06-19T09:51:00Z"/>
                <w:b/>
              </w:rPr>
            </w:pPr>
            <w:ins w:id="585" w:author="Master Repository Process" w:date="2025-06-19T09:51:00Z">
              <w:r>
                <w:rPr>
                  <w:b/>
                </w:rPr>
                <w:t>Number and year</w:t>
              </w:r>
            </w:ins>
          </w:p>
        </w:tc>
        <w:tc>
          <w:tcPr>
            <w:tcW w:w="1134" w:type="dxa"/>
          </w:tcPr>
          <w:p>
            <w:pPr>
              <w:pStyle w:val="nTable"/>
              <w:spacing w:after="40"/>
              <w:rPr>
                <w:ins w:id="586" w:author="Master Repository Process" w:date="2025-06-19T09:51:00Z"/>
                <w:b/>
              </w:rPr>
            </w:pPr>
            <w:ins w:id="587" w:author="Master Repository Process" w:date="2025-06-19T09:51:00Z">
              <w:r>
                <w:rPr>
                  <w:b/>
                </w:rPr>
                <w:t>Assent</w:t>
              </w:r>
            </w:ins>
          </w:p>
        </w:tc>
        <w:tc>
          <w:tcPr>
            <w:tcW w:w="2552" w:type="dxa"/>
          </w:tcPr>
          <w:p>
            <w:pPr>
              <w:pStyle w:val="nTable"/>
              <w:spacing w:after="40"/>
              <w:rPr>
                <w:ins w:id="588" w:author="Master Repository Process" w:date="2025-06-19T09:51:00Z"/>
                <w:b/>
              </w:rPr>
            </w:pPr>
            <w:ins w:id="589" w:author="Master Repository Process" w:date="2025-06-19T09:51:00Z">
              <w:r>
                <w:rPr>
                  <w:b/>
                </w:rPr>
                <w:t>Commencement</w:t>
              </w:r>
            </w:ins>
          </w:p>
        </w:tc>
      </w:tr>
      <w:tr>
        <w:trPr>
          <w:ins w:id="590" w:author="Master Repository Process" w:date="2025-06-19T09:51:00Z"/>
        </w:trPr>
        <w:tc>
          <w:tcPr>
            <w:tcW w:w="2268" w:type="dxa"/>
          </w:tcPr>
          <w:p>
            <w:pPr>
              <w:pStyle w:val="nTable"/>
              <w:spacing w:after="40"/>
              <w:rPr>
                <w:ins w:id="591" w:author="Master Repository Process" w:date="2025-06-19T09:51:00Z"/>
              </w:rPr>
            </w:pPr>
            <w:ins w:id="592" w:author="Master Repository Process" w:date="2025-06-19T09:51:00Z">
              <w:r>
                <w:rPr>
                  <w:i/>
                </w:rPr>
                <w:t>Road Traffic Legislation Amendment (Infringement Management Reform) Act 2024</w:t>
              </w:r>
              <w:r>
                <w:rPr>
                  <w:iCs/>
                </w:rPr>
                <w:t xml:space="preserve"> Pt. 4 Div. 6</w:t>
              </w:r>
            </w:ins>
          </w:p>
        </w:tc>
        <w:tc>
          <w:tcPr>
            <w:tcW w:w="1134" w:type="dxa"/>
          </w:tcPr>
          <w:p>
            <w:pPr>
              <w:pStyle w:val="nTable"/>
              <w:spacing w:after="40"/>
              <w:rPr>
                <w:ins w:id="593" w:author="Master Repository Process" w:date="2025-06-19T09:51:00Z"/>
              </w:rPr>
            </w:pPr>
            <w:ins w:id="594" w:author="Master Repository Process" w:date="2025-06-19T09:51:00Z">
              <w:r>
                <w:t>15 of 2024</w:t>
              </w:r>
            </w:ins>
          </w:p>
        </w:tc>
        <w:tc>
          <w:tcPr>
            <w:tcW w:w="1134" w:type="dxa"/>
          </w:tcPr>
          <w:p>
            <w:pPr>
              <w:pStyle w:val="nTable"/>
              <w:spacing w:after="40"/>
              <w:rPr>
                <w:ins w:id="595" w:author="Master Repository Process" w:date="2025-06-19T09:51:00Z"/>
              </w:rPr>
            </w:pPr>
            <w:ins w:id="596" w:author="Master Repository Process" w:date="2025-06-19T09:51:00Z">
              <w:r>
                <w:t>14 May 2024</w:t>
              </w:r>
            </w:ins>
          </w:p>
        </w:tc>
        <w:tc>
          <w:tcPr>
            <w:tcW w:w="2552" w:type="dxa"/>
          </w:tcPr>
          <w:p>
            <w:pPr>
              <w:pStyle w:val="nTable"/>
              <w:spacing w:after="40"/>
              <w:rPr>
                <w:ins w:id="597" w:author="Master Repository Process" w:date="2025-06-19T09:51:00Z"/>
              </w:rPr>
            </w:pPr>
            <w:ins w:id="598" w:author="Master Repository Process" w:date="2025-06-19T09:51:00Z">
              <w:r>
                <w:t>To be proclaimed (see s. 2(b))</w:t>
              </w:r>
            </w:ins>
          </w:p>
        </w:tc>
      </w:tr>
    </w:tbl>
    <w:p>
      <w:pPr>
        <w:pStyle w:val="nHeading3"/>
      </w:pPr>
      <w:bookmarkStart w:id="599" w:name="_Toc166680552"/>
      <w:bookmarkStart w:id="600" w:name="_Toc200371110"/>
      <w:r>
        <w:t>Other notes</w:t>
      </w:r>
      <w:bookmarkEnd w:id="599"/>
      <w:bookmarkEnd w:id="600"/>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570"/>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02" w:author="Master Repository Process" w:date="2025-06-19T09:51:00Z">
                              <w:r>
                                <w:rPr>
                                  <w:sz w:val="16"/>
                                </w:rPr>
                                <w:delText>2023</w:delText>
                              </w:r>
                            </w:del>
                            <w:ins w:id="603" w:author="Master Repository Process" w:date="2025-06-19T09: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4" w:author="Master Repository Process" w:date="2025-06-19T09:51:00Z">
                              <w:r>
                                <w:rPr>
                                  <w:sz w:val="16"/>
                                </w:rPr>
                                <w:delText>2023</w:delText>
                              </w:r>
                            </w:del>
                            <w:ins w:id="605" w:author="Master Repository Process" w:date="2025-06-19T09: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06" w:author="Master Repository Process" w:date="2025-06-19T09:51:00Z">
                        <w:r>
                          <w:rPr>
                            <w:sz w:val="16"/>
                          </w:rPr>
                          <w:delText>2023</w:delText>
                        </w:r>
                      </w:del>
                      <w:ins w:id="607" w:author="Master Repository Process" w:date="2025-06-19T09: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8" w:author="Master Repository Process" w:date="2025-06-19T09:51:00Z">
                        <w:r>
                          <w:rPr>
                            <w:sz w:val="16"/>
                          </w:rPr>
                          <w:delText>2023</w:delText>
                        </w:r>
                      </w:del>
                      <w:ins w:id="609" w:author="Master Repository Process" w:date="2025-06-19T09: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1" w:name="Compilation"/>
    <w:bookmarkEnd w:id="6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0" w:name="Coversheet"/>
    <w:bookmarkEnd w:id="6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492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 w:name="WAFER_20231016095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095529_GUID" w:val="e0bbae6c-7c11-4eb4-8414-50267a9a7be3"/>
    <w:docVar w:name="WAFER_20231023163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3706_GUID" w:val="2ea8b883-64da-4fd2-ac5c-c6cb09e7465f"/>
    <w:docVar w:name="WAFER_20231227141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36_GUID" w:val="4674f510-1c56-462a-b5b0-48adf2df40be"/>
    <w:docVar w:name="WAFER_20240515094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094921_GUID" w:val="f2db8924-b740-4c7e-89c0-b22c9ab307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2229-C047-4581-86E9-D82FAAF7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28588</Words>
  <Characters>135225</Characters>
  <Application>Microsoft Office Word</Application>
  <DocSecurity>0</DocSecurity>
  <Lines>3756</Lines>
  <Paragraphs>2022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161791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01-h0-01 - 01-i0-00</dc:title>
  <dc:subject/>
  <dc:creator/>
  <cp:keywords/>
  <dc:description/>
  <cp:lastModifiedBy>Master Repository Process</cp:lastModifiedBy>
  <cp:revision>2</cp:revision>
  <cp:lastPrinted>2015-06-29T04:47:00Z</cp:lastPrinted>
  <dcterms:created xsi:type="dcterms:W3CDTF">2025-06-19T01:50:00Z</dcterms:created>
  <dcterms:modified xsi:type="dcterms:W3CDTF">2025-06-19T01:51:00Z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FromSuffix">
    <vt:lpwstr>01-h0-01</vt:lpwstr>
  </property>
  <property fmtid="{D5CDD505-2E9C-101B-9397-08002B2CF9AE}" pid="11" name="FromAsAtDate">
    <vt:lpwstr>01 Nov 2023</vt:lpwstr>
  </property>
  <property fmtid="{D5CDD505-2E9C-101B-9397-08002B2CF9AE}" pid="12" name="ToSuffix">
    <vt:lpwstr>01-i0-00</vt:lpwstr>
  </property>
  <property fmtid="{D5CDD505-2E9C-101B-9397-08002B2CF9AE}" pid="13" name="ToAsAtDate">
    <vt:lpwstr>14 May 2024</vt:lpwstr>
  </property>
</Properties>
</file>