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Petroleum and Geothermal Energy Safety Levies Act 2011</w:t>
      </w:r>
    </w:p>
    <w:p>
      <w:pPr>
        <w:pStyle w:val="LongTitle"/>
        <w:suppressLineNumbers/>
      </w:pPr>
      <w:bookmarkStart w:id="1" w:name="BillCited"/>
      <w:bookmarkEnd w:id="1"/>
      <w:r>
        <w:rPr>
          <w:snapToGrid w:val="0"/>
        </w:rPr>
        <w:t xml:space="preserve">An Act to provide for levies in relation to petroleum </w:t>
      </w:r>
      <w:r>
        <w:t xml:space="preserve">operations and geothermal energy operations, </w:t>
      </w:r>
      <w:r>
        <w:rPr>
          <w:snapToGrid w:val="0"/>
        </w:rPr>
        <w:t>and for related purposes</w:t>
      </w:r>
      <w:r>
        <w:t>.</w:t>
      </w:r>
    </w:p>
    <w:p>
      <w:pPr>
        <w:pStyle w:val="Footnotelongtitle"/>
      </w:pPr>
      <w:r>
        <w:tab/>
        <w:t>[Long title amended: No. 19 of 2012 s. 4; No. 36 of 2020 s. 309.]</w:t>
      </w:r>
    </w:p>
    <w:p>
      <w:pPr>
        <w:pStyle w:val="Enactment"/>
      </w:pPr>
      <w:r>
        <w:rPr>
          <w:snapToGrid w:val="0"/>
        </w:rPr>
        <w:t>The Parliament of Western Australia enacts as follows:</w:t>
      </w:r>
    </w:p>
    <w:p>
      <w:pPr>
        <w:pStyle w:val="Heading2"/>
      </w:pPr>
      <w:bookmarkStart w:id="2" w:name="_Toc166679331"/>
      <w:bookmarkStart w:id="3" w:name="_Toc166679642"/>
      <w:bookmarkStart w:id="4" w:name="_Toc166680985"/>
      <w:bookmarkStart w:id="5" w:name="_Toc98488835"/>
      <w:bookmarkStart w:id="6" w:name="_Toc98491722"/>
      <w:bookmarkStart w:id="7" w:name="_Toc9902141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66680986"/>
      <w:bookmarkStart w:id="9" w:name="_Toc99021417"/>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pPr>
        <w:pStyle w:val="Heading5"/>
        <w:rPr>
          <w:snapToGrid w:val="0"/>
        </w:rPr>
      </w:pPr>
      <w:bookmarkStart w:id="10" w:name="_Toc166680987"/>
      <w:bookmarkStart w:id="11" w:name="_Toc99021418"/>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66680988"/>
      <w:bookmarkStart w:id="13" w:name="_Toc99021419"/>
      <w:r>
        <w:rPr>
          <w:rStyle w:val="CharSectno"/>
        </w:rPr>
        <w:t>3</w:t>
      </w:r>
      <w:r>
        <w:t>.</w:t>
      </w:r>
      <w:r>
        <w:tab/>
        <w:t>Terms used</w:t>
      </w:r>
      <w:bookmarkEnd w:id="12"/>
      <w:bookmarkEnd w:id="13"/>
    </w:p>
    <w:p>
      <w:pPr>
        <w:pStyle w:val="Subsection"/>
      </w:pPr>
      <w:r>
        <w:tab/>
      </w:r>
      <w:r>
        <w:tab/>
        <w:t xml:space="preserve">In this Act, unless the contrary intention appears — </w:t>
      </w:r>
    </w:p>
    <w:p>
      <w:pPr>
        <w:pStyle w:val="Defstart"/>
      </w:pPr>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p>
    <w:p>
      <w:pPr>
        <w:pStyle w:val="Defstart"/>
      </w:pPr>
      <w:r>
        <w:tab/>
      </w:r>
      <w:r>
        <w:rPr>
          <w:rStyle w:val="CharDefText"/>
        </w:rPr>
        <w:t>assessment</w:t>
      </w:r>
      <w:r>
        <w:t xml:space="preserve"> means an assessment of an amount of safety levy under section 10;</w:t>
      </w:r>
    </w:p>
    <w:p>
      <w:pPr>
        <w:pStyle w:val="Defstart"/>
      </w:pPr>
      <w:r>
        <w:tab/>
      </w:r>
      <w:r>
        <w:rPr>
          <w:rStyle w:val="CharDefText"/>
        </w:rPr>
        <w:t>assessment notice</w:t>
      </w:r>
      <w:r>
        <w:t xml:space="preserve"> means — </w:t>
      </w:r>
    </w:p>
    <w:p>
      <w:pPr>
        <w:pStyle w:val="Defpara"/>
      </w:pPr>
      <w:r>
        <w:tab/>
        <w:t>(a)</w:t>
      </w:r>
      <w:r>
        <w:tab/>
        <w:t>a notice given under section 10(1)(b); or</w:t>
      </w:r>
    </w:p>
    <w:p>
      <w:pPr>
        <w:pStyle w:val="Defpara"/>
      </w:pPr>
      <w:r>
        <w:tab/>
        <w:t>(b)</w:t>
      </w:r>
      <w:r>
        <w:tab/>
        <w:t>a notice of reassessment given in accordance with the regulations;</w:t>
      </w:r>
    </w:p>
    <w:p>
      <w:pPr>
        <w:pStyle w:val="Defstart"/>
      </w:pPr>
      <w:r>
        <w:tab/>
      </w:r>
      <w:r>
        <w:rPr>
          <w:rStyle w:val="CharDefText"/>
        </w:rPr>
        <w:t>CIPS</w:t>
      </w:r>
      <w:r>
        <w:t xml:space="preserve"> means the Chief Inspector Petroleum Safety under the </w:t>
      </w:r>
      <w:r>
        <w:rPr>
          <w:i/>
        </w:rPr>
        <w:t>Work Health and Safety Act 2020</w:t>
      </w:r>
      <w:r>
        <w:t xml:space="preserve"> Schedule 1 Division 2;</w:t>
      </w:r>
    </w:p>
    <w:p>
      <w:pPr>
        <w:pStyle w:val="Defstart"/>
      </w:pPr>
      <w:r>
        <w:tab/>
      </w:r>
      <w:r>
        <w:rPr>
          <w:rStyle w:val="CharDefText"/>
        </w:rPr>
        <w:t>construct</w:t>
      </w:r>
      <w:r>
        <w:t xml:space="preserve"> has the meaning given in the </w:t>
      </w:r>
      <w:r>
        <w:rPr>
          <w:i/>
        </w:rPr>
        <w:t>Work Health and Safety Act 2020</w:t>
      </w:r>
      <w:r>
        <w:t xml:space="preserve"> section 4;</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design</w:t>
      </w:r>
      <w:r>
        <w:t xml:space="preserve"> has the meaning given in the </w:t>
      </w:r>
      <w:r>
        <w:rPr>
          <w:i/>
        </w:rPr>
        <w:t>Work Health and Safety Act 2020</w:t>
      </w:r>
      <w:r>
        <w:t xml:space="preserve"> section 4;</w:t>
      </w:r>
    </w:p>
    <w:p>
      <w:pPr>
        <w:pStyle w:val="Defstart"/>
      </w:pPr>
      <w:r>
        <w:lastRenderedPageBreak/>
        <w:tab/>
      </w:r>
      <w:r>
        <w:rPr>
          <w:rStyle w:val="CharDefText"/>
        </w:rPr>
        <w:t>diving operation</w:t>
      </w:r>
      <w:r>
        <w:t> — see section 3A;</w:t>
      </w:r>
    </w:p>
    <w:p>
      <w:pPr>
        <w:pStyle w:val="Defstart"/>
      </w:pPr>
      <w:r>
        <w:tab/>
      </w:r>
      <w:r>
        <w:rPr>
          <w:rStyle w:val="CharDefText"/>
        </w:rPr>
        <w:t>DSMS</w:t>
      </w:r>
      <w:r>
        <w:t> — see section 3B;</w:t>
      </w:r>
    </w:p>
    <w:p>
      <w:pPr>
        <w:pStyle w:val="Defstart"/>
      </w:pPr>
      <w:r>
        <w:tab/>
      </w:r>
      <w:r>
        <w:rPr>
          <w:rStyle w:val="CharDefText"/>
        </w:rPr>
        <w:t>DSMS levy</w:t>
      </w:r>
      <w:r>
        <w:t xml:space="preserve"> means the levy referred to in section 7;</w:t>
      </w:r>
    </w:p>
    <w:p>
      <w:pPr>
        <w:pStyle w:val="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pPr>
        <w:pStyle w:val="Defstart"/>
      </w:pPr>
      <w:r>
        <w:tab/>
      </w:r>
      <w:r>
        <w:rPr>
          <w:rStyle w:val="CharDefText"/>
        </w:rPr>
        <w:t>geothermal energy</w:t>
      </w:r>
      <w:r>
        <w:t xml:space="preserve"> has the meaning given in the </w:t>
      </w:r>
      <w:r>
        <w:rPr>
          <w:i/>
        </w:rPr>
        <w:t>Petroleum and Geothermal Energy Resources Act 1967</w:t>
      </w:r>
      <w:r>
        <w:t xml:space="preserve"> section 5(1);</w:t>
      </w:r>
    </w:p>
    <w:p>
      <w:pPr>
        <w:pStyle w:val="Defstart"/>
      </w:pPr>
      <w:r>
        <w:tab/>
      </w:r>
      <w:r>
        <w:rPr>
          <w:rStyle w:val="CharDefText"/>
        </w:rPr>
        <w:t>geothermal energy operation</w:t>
      </w:r>
      <w:r>
        <w:t> — see section 3C;</w:t>
      </w:r>
    </w:p>
    <w:p>
      <w:pPr>
        <w:pStyle w:val="Defstart"/>
      </w:pPr>
      <w:r>
        <w:tab/>
      </w:r>
      <w:r>
        <w:rPr>
          <w:rStyle w:val="CharDefText"/>
        </w:rPr>
        <w:t>geothermal energy resources</w:t>
      </w:r>
      <w:r>
        <w:t xml:space="preserve"> has the meaning given in the </w:t>
      </w:r>
      <w:r>
        <w:rPr>
          <w:i/>
        </w:rPr>
        <w:t>Petroleum and Geothermal Energy Resources Act 1967</w:t>
      </w:r>
      <w:r>
        <w:t xml:space="preserve"> section 5(1);</w:t>
      </w:r>
    </w:p>
    <w:p>
      <w:pPr>
        <w:pStyle w:val="Defstart"/>
      </w:pPr>
      <w:r>
        <w:tab/>
      </w:r>
      <w:r>
        <w:rPr>
          <w:rStyle w:val="CharDefText"/>
        </w:rPr>
        <w:t>levy period</w:t>
      </w:r>
      <w:r>
        <w:t xml:space="preserve"> means a period prescribed as the period in respect of which a safety levy is payable;</w:t>
      </w:r>
    </w:p>
    <w:p>
      <w:pPr>
        <w:pStyle w:val="Defstart"/>
      </w:pPr>
      <w:r>
        <w:tab/>
      </w:r>
      <w:r>
        <w:rPr>
          <w:rStyle w:val="CharDefText"/>
        </w:rPr>
        <w:t>objection</w:t>
      </w:r>
      <w:r>
        <w:t xml:space="preserve"> means an objection under section 14(1);</w:t>
      </w:r>
    </w:p>
    <w:p>
      <w:pPr>
        <w:pStyle w:val="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tab/>
      </w:r>
      <w:r>
        <w:rPr>
          <w:rStyle w:val="CharDefText"/>
        </w:rPr>
        <w:t>penalty amount</w:t>
      </w:r>
      <w:r>
        <w:t xml:space="preserve"> means an amount payable under section 12(1);</w:t>
      </w:r>
    </w:p>
    <w:p>
      <w:pPr>
        <w:pStyle w:val="Defstart"/>
        <w:keepNext/>
      </w:pPr>
      <w:r>
        <w:tab/>
      </w:r>
      <w:r>
        <w:rPr>
          <w:rStyle w:val="CharDefText"/>
        </w:rPr>
        <w:t>petroleum</w:t>
      </w:r>
      <w:r>
        <w:t xml:space="preserve"> — </w:t>
      </w:r>
    </w:p>
    <w:p>
      <w:pPr>
        <w:pStyle w:val="Defpara"/>
        <w:keepNext/>
      </w:pPr>
      <w:r>
        <w:tab/>
        <w:t>(a)</w:t>
      </w:r>
      <w:r>
        <w:tab/>
        <w:t xml:space="preserve">means — </w:t>
      </w:r>
    </w:p>
    <w:p>
      <w:pPr>
        <w:pStyle w:val="Defsubpara"/>
      </w:pPr>
      <w:r>
        <w:tab/>
        <w:t>(i)</w:t>
      </w:r>
      <w:r>
        <w:tab/>
        <w:t>any naturally occurring hydrocarbon, whether in a gaseous, liquid or solid state; or</w:t>
      </w:r>
    </w:p>
    <w:p>
      <w:pPr>
        <w:pStyle w:val="Defsubpara"/>
      </w:pPr>
      <w:r>
        <w:tab/>
        <w:t>(ii)</w:t>
      </w:r>
      <w:r>
        <w:tab/>
        <w:t>any naturally occurring mixture of hydrocarbons, whether in a gaseous, liquid or solid state; or</w:t>
      </w:r>
    </w:p>
    <w:p>
      <w:pPr>
        <w:pStyle w:val="Defsubpara"/>
        <w:keepNext/>
      </w:pPr>
      <w:r>
        <w:tab/>
        <w:t>(iii)</w:t>
      </w:r>
      <w:r>
        <w:tab/>
        <w:t>any naturally occurring mixture of 1 or more hydrocarbons, whether in a gaseous, liquid or solid state, and 1 or more of the following, that is to say, hydrogen sulphide, nitrogen, helium and carbon dioxide,</w:t>
      </w:r>
    </w:p>
    <w:p>
      <w:pPr>
        <w:pStyle w:val="Defpara"/>
      </w:pPr>
      <w:r>
        <w:tab/>
      </w:r>
      <w:r>
        <w:tab/>
        <w:t>but does not include oil shale; and</w:t>
      </w:r>
    </w:p>
    <w:p>
      <w:pPr>
        <w:pStyle w:val="Defpara"/>
      </w:pPr>
      <w:r>
        <w:tab/>
        <w:t>(b)</w:t>
      </w:r>
      <w:r>
        <w:tab/>
        <w:t>includes any petroleum as defined in paragraph (a) that has been returned to a natural reservoir; and</w:t>
      </w:r>
    </w:p>
    <w:p>
      <w:pPr>
        <w:pStyle w:val="Defpara"/>
      </w:pPr>
      <w:r>
        <w:tab/>
        <w:t>(c)</w:t>
      </w:r>
      <w:r>
        <w:tab/>
        <w:t>also includes any petroleum as defined in paragraph (a) or (b) to which 1 or more things have been added, or from which 1 or more things have been wholly or partly removed, or both; and</w:t>
      </w:r>
    </w:p>
    <w:p>
      <w:pPr>
        <w:pStyle w:val="Defpara"/>
        <w:keepNext/>
      </w:pPr>
      <w:r>
        <w:tab/>
        <w:t>(d)</w:t>
      </w:r>
      <w:r>
        <w:tab/>
        <w:t xml:space="preserve">also includes any mixture that — </w:t>
      </w:r>
    </w:p>
    <w:p>
      <w:pPr>
        <w:pStyle w:val="Defsubpara"/>
      </w:pPr>
      <w:r>
        <w:tab/>
        <w:t>(i)</w:t>
      </w:r>
      <w:r>
        <w:tab/>
        <w:t>has been recovered from a well; and</w:t>
      </w:r>
    </w:p>
    <w:p>
      <w:pPr>
        <w:pStyle w:val="Defsubpara"/>
      </w:pPr>
      <w:r>
        <w:tab/>
        <w:t>(ii)</w:t>
      </w:r>
      <w:r>
        <w:tab/>
        <w:t>includes petroleum as defined in paragraph (a), (b) or (c);</w:t>
      </w:r>
    </w:p>
    <w:p>
      <w:pPr>
        <w:pStyle w:val="Defstart"/>
      </w:pPr>
      <w:r>
        <w:tab/>
      </w:r>
      <w:r>
        <w:rPr>
          <w:rStyle w:val="CharDefText"/>
        </w:rPr>
        <w:t>petroleum operation</w:t>
      </w:r>
      <w:r>
        <w:t> — see section 3D;</w:t>
      </w:r>
    </w:p>
    <w:p>
      <w:pPr>
        <w:pStyle w:val="Defstart"/>
      </w:pPr>
      <w:r>
        <w:tab/>
      </w:r>
      <w:r>
        <w:rPr>
          <w:rStyle w:val="CharDefText"/>
        </w:rPr>
        <w:t>place</w:t>
      </w:r>
      <w:r>
        <w:t xml:space="preserve"> has the meaning given in the </w:t>
      </w:r>
      <w:r>
        <w:rPr>
          <w:i/>
        </w:rPr>
        <w:t>Work Health and Safety Act 2020</w:t>
      </w:r>
      <w:r>
        <w:t xml:space="preserve"> section 8(2);</w:t>
      </w:r>
    </w:p>
    <w:p>
      <w:pPr>
        <w:pStyle w:val="Defstart"/>
      </w:pPr>
      <w:r>
        <w:tab/>
      </w:r>
      <w:r>
        <w:rPr>
          <w:rStyle w:val="CharDefText"/>
        </w:rPr>
        <w:t>plant</w:t>
      </w:r>
      <w:r>
        <w:t xml:space="preserve"> has the meaning given in the </w:t>
      </w:r>
      <w:r>
        <w:rPr>
          <w:i/>
        </w:rPr>
        <w:t>Work Health and Safety Act 2020</w:t>
      </w:r>
      <w:r>
        <w:t xml:space="preserve"> section 4;</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of an amount of safety levy in accordance with the regulations;</w:t>
      </w:r>
    </w:p>
    <w:p>
      <w:pPr>
        <w:pStyle w:val="Defstart"/>
        <w:keepNex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safety case</w:t>
      </w:r>
      <w:r>
        <w:t> — see section 3E;</w:t>
      </w:r>
    </w:p>
    <w:p>
      <w:pPr>
        <w:pStyle w:val="Defstart"/>
      </w:pPr>
      <w:r>
        <w:tab/>
      </w:r>
      <w:r>
        <w:rPr>
          <w:rStyle w:val="CharDefText"/>
        </w:rPr>
        <w:t>safety case levy</w:t>
      </w:r>
      <w:r>
        <w:t xml:space="preserve"> means the levy referred to in section 4;</w:t>
      </w:r>
    </w:p>
    <w:p>
      <w:pPr>
        <w:pStyle w:val="Defstart"/>
      </w:pPr>
      <w:r>
        <w:tab/>
      </w:r>
      <w:r>
        <w:rPr>
          <w:rStyle w:val="CharDefText"/>
        </w:rPr>
        <w:t>safety levy</w:t>
      </w:r>
      <w:r>
        <w:t xml:space="preserve"> means the safety case levy or the DSMS levy;</w:t>
      </w:r>
    </w:p>
    <w:p>
      <w:pPr>
        <w:pStyle w:val="Defstart"/>
      </w:pPr>
      <w:r>
        <w:tab/>
      </w:r>
      <w:r>
        <w:rPr>
          <w:rStyle w:val="CharDefText"/>
        </w:rPr>
        <w:t>structure</w:t>
      </w:r>
      <w:r>
        <w:t xml:space="preserve"> has the meaning given in the </w:t>
      </w:r>
      <w:r>
        <w:rPr>
          <w:i/>
        </w:rPr>
        <w:t>Work Health and Safety Act 2020</w:t>
      </w:r>
      <w:r>
        <w:t xml:space="preserve"> section 4;</w:t>
      </w:r>
    </w:p>
    <w:p>
      <w:pPr>
        <w:pStyle w:val="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tab/>
      </w:r>
      <w:r>
        <w:rPr>
          <w:rStyle w:val="CharDefText"/>
        </w:rPr>
        <w:t>WHS regulations</w:t>
      </w:r>
      <w:r>
        <w:t xml:space="preserve"> means regulations made under the </w:t>
      </w:r>
      <w:r>
        <w:rPr>
          <w:i/>
        </w:rPr>
        <w:t>Work Health and Safety Act 2020</w:t>
      </w:r>
      <w:r>
        <w:t>;</w:t>
      </w:r>
    </w:p>
    <w:p>
      <w:pPr>
        <w:pStyle w:val="Defstart"/>
        <w:keepNext/>
      </w:pPr>
      <w:r>
        <w:tab/>
      </w:r>
      <w:r>
        <w:rPr>
          <w:rStyle w:val="CharDefText"/>
        </w:rPr>
        <w:t>worker</w:t>
      </w:r>
      <w:r>
        <w:t xml:space="preserve"> has the meaning given in the </w:t>
      </w:r>
      <w:r>
        <w:rPr>
          <w:i/>
        </w:rPr>
        <w:t>Work Health and Safety Act 2020</w:t>
      </w:r>
      <w:r>
        <w:t xml:space="preserve"> section 7.</w:t>
      </w:r>
    </w:p>
    <w:p>
      <w:pPr>
        <w:pStyle w:val="Footnotesection"/>
      </w:pPr>
      <w:r>
        <w:tab/>
        <w:t>[Section 3 amended: No. 19 of 2012 s. 5; No. 36 of 2020 s. 310.]</w:t>
      </w:r>
    </w:p>
    <w:p>
      <w:pPr>
        <w:pStyle w:val="Heading5"/>
      </w:pPr>
      <w:bookmarkStart w:id="14" w:name="_Toc166680989"/>
      <w:bookmarkStart w:id="15" w:name="_Toc99021420"/>
      <w:bookmarkStart w:id="16" w:name="_Toc98488839"/>
      <w:r>
        <w:rPr>
          <w:rStyle w:val="CharSectno"/>
        </w:rPr>
        <w:t>3A</w:t>
      </w:r>
      <w:r>
        <w:t>.</w:t>
      </w:r>
      <w:r>
        <w:tab/>
        <w:t>Diving operation</w:t>
      </w:r>
      <w:bookmarkEnd w:id="14"/>
      <w:bookmarkEnd w:id="15"/>
    </w:p>
    <w:p>
      <w:pPr>
        <w:pStyle w:val="Subsection"/>
        <w:keepNext/>
      </w:pPr>
      <w:r>
        <w:tab/>
        <w:t>(1)</w:t>
      </w:r>
      <w:r>
        <w:tab/>
        <w:t xml:space="preserve">In this section — </w:t>
      </w:r>
    </w:p>
    <w:p>
      <w:pPr>
        <w:pStyle w:val="Defstart"/>
        <w:keepNext/>
      </w:pPr>
      <w:r>
        <w:tab/>
      </w:r>
      <w:r>
        <w:rPr>
          <w:rStyle w:val="CharDefText"/>
        </w:rPr>
        <w:t>manned submersible craft</w:t>
      </w:r>
      <w:r>
        <w:t xml:space="preserve"> — </w:t>
      </w:r>
    </w:p>
    <w:p>
      <w:pPr>
        <w:pStyle w:val="Defpara"/>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pPr>
        <w:pStyle w:val="Defpara"/>
      </w:pPr>
      <w:r>
        <w:tab/>
        <w:t>(b)</w:t>
      </w:r>
      <w:r>
        <w:tab/>
        <w:t>includes a craft in the form of a suit.</w:t>
      </w:r>
    </w:p>
    <w:p>
      <w:pPr>
        <w:pStyle w:val="Subsection"/>
      </w:pPr>
      <w:r>
        <w:tab/>
        <w:t>(2)</w:t>
      </w:r>
      <w:r>
        <w:tab/>
        <w:t xml:space="preserve">A </w:t>
      </w:r>
      <w:r>
        <w:rPr>
          <w:rStyle w:val="CharDefText"/>
        </w:rPr>
        <w:t>diving operation</w:t>
      </w:r>
      <w:r>
        <w:t xml:space="preserve"> is a petroleum operation carried out in the adjacent area that comprises 1 or more dives.</w:t>
      </w:r>
    </w:p>
    <w:p>
      <w:pPr>
        <w:pStyle w:val="Subsection"/>
        <w:keepNext/>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pPr>
        <w:pStyle w:val="Indenta"/>
      </w:pPr>
      <w:r>
        <w:tab/>
        <w:t>(a)</w:t>
      </w:r>
      <w:r>
        <w:tab/>
        <w:t>being in a chamber inside which the ambient pressure is equal to or higher than the hydrostatic pressure at a depth of 1 metre in seawater (whether or not the chamber is submerged in water or another liquid); or</w:t>
      </w:r>
    </w:p>
    <w:p>
      <w:pPr>
        <w:pStyle w:val="Indenta"/>
      </w:pPr>
      <w:r>
        <w:tab/>
        <w:t>(b)</w:t>
      </w:r>
      <w:r>
        <w:tab/>
        <w:t>being submerged in water or another liquid and the diver’s lungs being subjected to a pressure greater than atmospheric pressure (whether or not the diver is wearing a wetsuit or other protective clothing); or</w:t>
      </w:r>
    </w:p>
    <w:p>
      <w:pPr>
        <w:pStyle w:val="Indenta"/>
        <w:keepNext/>
      </w:pPr>
      <w:r>
        <w:tab/>
        <w:t>(c)</w:t>
      </w:r>
      <w:r>
        <w:tab/>
        <w:t>being in a manned submersible craft that is submerged in water or another liquid.</w:t>
      </w:r>
    </w:p>
    <w:p>
      <w:pPr>
        <w:pStyle w:val="Footnotesection"/>
      </w:pPr>
      <w:r>
        <w:tab/>
        <w:t>[Section 3A inserted: No. 36 of 2020 s. 311.]</w:t>
      </w:r>
    </w:p>
    <w:p>
      <w:pPr>
        <w:pStyle w:val="Heading5"/>
      </w:pPr>
      <w:bookmarkStart w:id="17" w:name="_Toc166680990"/>
      <w:bookmarkStart w:id="18" w:name="_Toc99021421"/>
      <w:r>
        <w:rPr>
          <w:rStyle w:val="CharSectno"/>
        </w:rPr>
        <w:t>3B</w:t>
      </w:r>
      <w:r>
        <w:t>.</w:t>
      </w:r>
      <w:r>
        <w:tab/>
        <w:t>DSMS</w:t>
      </w:r>
      <w:bookmarkEnd w:id="17"/>
      <w:bookmarkEnd w:id="18"/>
    </w:p>
    <w:p>
      <w:pPr>
        <w:pStyle w:val="Subsection"/>
        <w:keepNext/>
      </w:pPr>
      <w:r>
        <w:tab/>
        <w:t>(1)</w:t>
      </w:r>
      <w:r>
        <w:tab/>
        <w:t xml:space="preserve">In this section — </w:t>
      </w:r>
    </w:p>
    <w:p>
      <w:pPr>
        <w:pStyle w:val="Defstart"/>
      </w:pPr>
      <w:r>
        <w:tab/>
      </w:r>
      <w:r>
        <w:rPr>
          <w:rStyle w:val="CharDefText"/>
        </w:rPr>
        <w:t>document</w:t>
      </w:r>
      <w:r>
        <w:t xml:space="preserve"> has the meaning given in the </w:t>
      </w:r>
      <w:r>
        <w:rPr>
          <w:i/>
        </w:rPr>
        <w:t>Work Health and Safety Act 2020</w:t>
      </w:r>
      <w:r>
        <w:t xml:space="preserve"> section 4.</w:t>
      </w:r>
    </w:p>
    <w:p>
      <w:pPr>
        <w:pStyle w:val="Subsection"/>
        <w:keepNext/>
      </w:pPr>
      <w:r>
        <w:tab/>
        <w:t>(2)</w:t>
      </w:r>
      <w:r>
        <w:tab/>
        <w:t xml:space="preserve">A </w:t>
      </w:r>
      <w:r>
        <w:rPr>
          <w:rStyle w:val="CharDefText"/>
        </w:rPr>
        <w:t>DSMS</w:t>
      </w:r>
      <w:r>
        <w:t xml:space="preserve"> is a document — </w:t>
      </w:r>
    </w:p>
    <w:p>
      <w:pPr>
        <w:pStyle w:val="Indenta"/>
      </w:pPr>
      <w:r>
        <w:tab/>
        <w:t>(a)</w:t>
      </w:r>
      <w:r>
        <w:tab/>
        <w:t>that a prescribed provision of WHS regulations requires for a diving operation; and</w:t>
      </w:r>
    </w:p>
    <w:p>
      <w:pPr>
        <w:pStyle w:val="Indenta"/>
        <w:keepNext/>
      </w:pPr>
      <w:r>
        <w:tab/>
        <w:t>(b)</w:t>
      </w:r>
      <w:r>
        <w:tab/>
        <w:t>that must set out, in accordance with any applicable requirements of WHS regulations, a safety management system for the diving operation.</w:t>
      </w:r>
    </w:p>
    <w:p>
      <w:pPr>
        <w:pStyle w:val="Footnotesection"/>
      </w:pPr>
      <w:r>
        <w:tab/>
        <w:t>[Section 3B inserted: No. 36 of 2020 s. 311.]</w:t>
      </w:r>
    </w:p>
    <w:p>
      <w:pPr>
        <w:pStyle w:val="Heading5"/>
      </w:pPr>
      <w:bookmarkStart w:id="19" w:name="_Toc166680991"/>
      <w:bookmarkStart w:id="20" w:name="_Toc99021422"/>
      <w:r>
        <w:rPr>
          <w:rStyle w:val="CharSectno"/>
        </w:rPr>
        <w:t>3C</w:t>
      </w:r>
      <w:r>
        <w:t>.</w:t>
      </w:r>
      <w:r>
        <w:tab/>
        <w:t>Geothermal energy operation</w:t>
      </w:r>
      <w:bookmarkEnd w:id="19"/>
      <w:bookmarkEnd w:id="20"/>
    </w:p>
    <w:p>
      <w:pPr>
        <w:pStyle w:val="Subsection"/>
        <w:keepNext/>
      </w:pPr>
      <w:r>
        <w:tab/>
        <w:t>(1)</w:t>
      </w:r>
      <w:r>
        <w:tab/>
        <w:t xml:space="preserve">In this section — </w:t>
      </w:r>
    </w:p>
    <w:p>
      <w:pPr>
        <w:pStyle w:val="Defstart"/>
        <w:keepNext/>
      </w:pPr>
      <w:r>
        <w:tab/>
      </w:r>
      <w:r>
        <w:rPr>
          <w:rStyle w:val="CharDefText"/>
        </w:rPr>
        <w:t>accommodation premises</w:t>
      </w:r>
      <w:r>
        <w:t xml:space="preserve"> — </w:t>
      </w:r>
    </w:p>
    <w:p>
      <w:pPr>
        <w:pStyle w:val="Defpara"/>
        <w:keepNext/>
      </w:pPr>
      <w:r>
        <w:tab/>
        <w:t>(a)</w:t>
      </w:r>
      <w:r>
        <w:tab/>
        <w:t xml:space="preserve">means residential premises — </w:t>
      </w:r>
    </w:p>
    <w:p>
      <w:pPr>
        <w:pStyle w:val="Defsubpara"/>
      </w:pPr>
      <w:r>
        <w:tab/>
        <w:t>(i)</w:t>
      </w:r>
      <w:r>
        <w:tab/>
        <w:t>the occupation of which is necessary for the purposes of workers’ engagement at a geothermal energy site; and</w:t>
      </w:r>
    </w:p>
    <w:p>
      <w:pPr>
        <w:pStyle w:val="Defsubpara"/>
        <w:keepNext/>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Defpara"/>
      </w:pPr>
      <w:r>
        <w:tab/>
      </w:r>
      <w:r>
        <w:tab/>
        <w:t>and</w:t>
      </w:r>
    </w:p>
    <w:p>
      <w:pPr>
        <w:pStyle w:val="Defpara"/>
      </w:pPr>
      <w:r>
        <w:tab/>
        <w:t>(b)</w:t>
      </w:r>
      <w:r>
        <w:tab/>
        <w:t>includes land, buildings and recreational facilities used in connection with the occupation of those premises;</w:t>
      </w:r>
    </w:p>
    <w:p>
      <w:pPr>
        <w:pStyle w:val="Defstart"/>
        <w:keepNext/>
      </w:pPr>
      <w:r>
        <w:tab/>
      </w:r>
      <w:r>
        <w:rPr>
          <w:rStyle w:val="CharDefText"/>
        </w:rPr>
        <w:t>geothermal energy site</w:t>
      </w:r>
      <w:r>
        <w:t xml:space="preserve"> — </w:t>
      </w:r>
    </w:p>
    <w:p>
      <w:pPr>
        <w:pStyle w:val="Defpara"/>
      </w:pPr>
      <w:r>
        <w:tab/>
        <w:t>(a)</w:t>
      </w:r>
      <w:r>
        <w:tab/>
        <w:t>means a place at which an activity referred to in subsection (2) is, or is to be, carried out; and</w:t>
      </w:r>
    </w:p>
    <w:p>
      <w:pPr>
        <w:pStyle w:val="Defpara"/>
      </w:pPr>
      <w:r>
        <w:tab/>
        <w:t>(b)</w:t>
      </w:r>
      <w:r>
        <w:tab/>
        <w:t>includes any fixture, fitting, plant or structure at the place;</w:t>
      </w:r>
    </w:p>
    <w:p>
      <w:pPr>
        <w:pStyle w:val="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pPr>
        <w:pStyle w:val="Subsection"/>
        <w:keepNext/>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pPr>
        <w:pStyle w:val="Indenta"/>
      </w:pPr>
      <w:r>
        <w:tab/>
        <w:t>(a)</w:t>
      </w:r>
      <w:r>
        <w:tab/>
        <w:t>exploring for geothermal energy resources;</w:t>
      </w:r>
    </w:p>
    <w:p>
      <w:pPr>
        <w:pStyle w:val="Indenta"/>
      </w:pPr>
      <w:r>
        <w:tab/>
        <w:t>(b)</w:t>
      </w:r>
      <w:r>
        <w:tab/>
        <w:t>drilling or servicing a well for geothermal energy resources;</w:t>
      </w:r>
    </w:p>
    <w:p>
      <w:pPr>
        <w:pStyle w:val="Indenta"/>
      </w:pPr>
      <w:r>
        <w:tab/>
        <w:t>(c)</w:t>
      </w:r>
      <w:r>
        <w:tab/>
        <w:t>recovering geothermal energy.</w:t>
      </w:r>
    </w:p>
    <w:p>
      <w:pPr>
        <w:pStyle w:val="Subsection"/>
        <w:keepNext/>
      </w:pPr>
      <w:r>
        <w:tab/>
        <w:t>(3)</w:t>
      </w:r>
      <w:r>
        <w:tab/>
        <w:t xml:space="preserve">Without limiting subsection (2), a </w:t>
      </w:r>
      <w:r>
        <w:rPr>
          <w:rStyle w:val="CharDefText"/>
        </w:rPr>
        <w:t>geothermal energy operation</w:t>
      </w:r>
      <w:r>
        <w:t xml:space="preserve"> includes the following activities — </w:t>
      </w:r>
    </w:p>
    <w:p>
      <w:pPr>
        <w:pStyle w:val="Indenta"/>
      </w:pPr>
      <w:r>
        <w:tab/>
        <w:t>(a)</w:t>
      </w:r>
      <w:r>
        <w:tab/>
        <w:t>planning, designing, preparing or constructing a geothermal energy site if the activity is carried out at or in the vicinity of the geothermal energy site;</w:t>
      </w:r>
    </w:p>
    <w:p>
      <w:pPr>
        <w:pStyle w:val="Indenta"/>
      </w:pPr>
      <w:r>
        <w:tab/>
        <w:t>(b)</w:t>
      </w:r>
      <w:r>
        <w:tab/>
        <w:t>commissioning, operating or maintaining a geothermal energy site;</w:t>
      </w:r>
    </w:p>
    <w:p>
      <w:pPr>
        <w:pStyle w:val="Indenta"/>
      </w:pPr>
      <w:r>
        <w:tab/>
        <w:t>(c)</w:t>
      </w:r>
      <w:r>
        <w:tab/>
        <w:t>decommissioning or abandoning a geothermal energy site or removing any fixture, fitting, plant or structure from a geothermal energy site;</w:t>
      </w:r>
    </w:p>
    <w:p>
      <w:pPr>
        <w:pStyle w:val="Indenta"/>
      </w:pPr>
      <w:r>
        <w:tab/>
        <w:t>(d)</w:t>
      </w:r>
      <w:r>
        <w:tab/>
        <w:t>constructing, commissioning, operating or maintaining administrative or other support facilities at or in the vicinity of a geothermal energy site;</w:t>
      </w:r>
    </w:p>
    <w:p>
      <w:pPr>
        <w:pStyle w:val="Indenta"/>
      </w:pPr>
      <w:r>
        <w:tab/>
        <w:t>(e)</w:t>
      </w:r>
      <w:r>
        <w:tab/>
        <w:t>an activity relating to the care, security or maintenance of a geothermal energy site carried out at or in the vicinity of the geothermal energy site;</w:t>
      </w:r>
    </w:p>
    <w:p>
      <w:pPr>
        <w:pStyle w:val="Indenta"/>
      </w:pPr>
      <w:r>
        <w:tab/>
        <w:t>(f)</w:t>
      </w:r>
      <w:r>
        <w:tab/>
        <w:t>constructing, commissioning, operating or maintaining accommodation premises at or in the vicinity of a geothermal energy site;</w:t>
      </w:r>
    </w:p>
    <w:p>
      <w:pPr>
        <w:pStyle w:val="Indenta"/>
        <w:keepNext/>
      </w:pPr>
      <w:r>
        <w:tab/>
        <w:t>(g)</w:t>
      </w:r>
      <w:r>
        <w:tab/>
        <w:t>a prescribed activity carried out in an area in respect of which a geothermal energy title is in force.</w:t>
      </w:r>
    </w:p>
    <w:p>
      <w:pPr>
        <w:pStyle w:val="Footnotesection"/>
      </w:pPr>
      <w:r>
        <w:tab/>
        <w:t>[Section 3C inserted: No. 36 of 2020 s. 311.]</w:t>
      </w:r>
    </w:p>
    <w:p>
      <w:pPr>
        <w:pStyle w:val="Heading5"/>
      </w:pPr>
      <w:bookmarkStart w:id="21" w:name="_Toc166680992"/>
      <w:bookmarkStart w:id="22" w:name="_Toc99021423"/>
      <w:r>
        <w:rPr>
          <w:rStyle w:val="CharSectno"/>
        </w:rPr>
        <w:t>3D</w:t>
      </w:r>
      <w:r>
        <w:t>.</w:t>
      </w:r>
      <w:r>
        <w:tab/>
        <w:t>Petroleum operation</w:t>
      </w:r>
      <w:bookmarkEnd w:id="21"/>
      <w:bookmarkEnd w:id="22"/>
    </w:p>
    <w:p>
      <w:pPr>
        <w:pStyle w:val="Subsection"/>
        <w:keepNext/>
      </w:pPr>
      <w:r>
        <w:tab/>
        <w:t>(1)</w:t>
      </w:r>
      <w:r>
        <w:tab/>
        <w:t xml:space="preserve">In this section — </w:t>
      </w:r>
    </w:p>
    <w:p>
      <w:pPr>
        <w:pStyle w:val="Defstart"/>
        <w:keepNext/>
      </w:pPr>
      <w:r>
        <w:tab/>
      </w:r>
      <w:r>
        <w:rPr>
          <w:rStyle w:val="CharDefText"/>
        </w:rPr>
        <w:t>accommodation premises</w:t>
      </w:r>
      <w:r>
        <w:t xml:space="preserve"> — </w:t>
      </w:r>
    </w:p>
    <w:p>
      <w:pPr>
        <w:pStyle w:val="Defpara"/>
        <w:keepNext/>
      </w:pPr>
      <w:r>
        <w:tab/>
        <w:t>(a)</w:t>
      </w:r>
      <w:r>
        <w:tab/>
        <w:t xml:space="preserve">means residential premises — </w:t>
      </w:r>
    </w:p>
    <w:p>
      <w:pPr>
        <w:pStyle w:val="Defsubpara"/>
      </w:pPr>
      <w:r>
        <w:tab/>
        <w:t>(i)</w:t>
      </w:r>
      <w:r>
        <w:tab/>
        <w:t>the occupation of which is necessary for the purposes of workers’ engagement at a petroleum site; and</w:t>
      </w:r>
    </w:p>
    <w:p>
      <w:pPr>
        <w:pStyle w:val="Defsubpara"/>
        <w:keepNext/>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Defpara"/>
      </w:pPr>
      <w:r>
        <w:tab/>
      </w:r>
      <w:r>
        <w:tab/>
        <w:t>and</w:t>
      </w:r>
    </w:p>
    <w:p>
      <w:pPr>
        <w:pStyle w:val="Defpara"/>
      </w:pPr>
      <w:r>
        <w:tab/>
        <w:t>(b)</w:t>
      </w:r>
      <w:r>
        <w:tab/>
        <w:t>includes land, buildings and recreational facilities used in connection with the occupation of those premises;</w:t>
      </w:r>
    </w:p>
    <w:p>
      <w:pPr>
        <w:pStyle w:val="Defstart"/>
        <w:keepNext/>
      </w:pPr>
      <w:r>
        <w:tab/>
      </w:r>
      <w:r>
        <w:rPr>
          <w:rStyle w:val="CharDefText"/>
        </w:rPr>
        <w:t>petroleum site</w:t>
      </w:r>
      <w:r>
        <w:t xml:space="preserve"> — </w:t>
      </w:r>
    </w:p>
    <w:p>
      <w:pPr>
        <w:pStyle w:val="Defpara"/>
      </w:pPr>
      <w:r>
        <w:tab/>
        <w:t>(a)</w:t>
      </w:r>
      <w:r>
        <w:tab/>
        <w:t>means a place at which an activity referred to in subsection (2) is, or is to be, carried out; and</w:t>
      </w:r>
    </w:p>
    <w:p>
      <w:pPr>
        <w:pStyle w:val="Defpara"/>
      </w:pPr>
      <w:r>
        <w:tab/>
        <w:t>(b)</w:t>
      </w:r>
      <w:r>
        <w:tab/>
        <w:t>includes any fixture, fitting, plant or structure at the place;</w:t>
      </w:r>
    </w:p>
    <w:p>
      <w:pPr>
        <w:pStyle w:val="Defstart"/>
        <w:keepNext/>
      </w:pPr>
      <w:r>
        <w:tab/>
      </w:r>
      <w:r>
        <w:rPr>
          <w:rStyle w:val="CharDefText"/>
        </w:rPr>
        <w:t>petroleum title</w:t>
      </w:r>
      <w:r>
        <w:t xml:space="preserve"> means — </w:t>
      </w:r>
    </w:p>
    <w:p>
      <w:pPr>
        <w:pStyle w:val="Defpara"/>
        <w:keepNext/>
      </w:pPr>
      <w:r>
        <w:tab/>
        <w:t>(a)</w:t>
      </w:r>
      <w:r>
        <w:tab/>
        <w:t xml:space="preserve">a permit, drilling reservation, lease, licence or other authority (however described) granted under — </w:t>
      </w:r>
    </w:p>
    <w:p>
      <w:pPr>
        <w:pStyle w:val="Defsubpara"/>
      </w:pPr>
      <w:r>
        <w:tab/>
        <w:t>(i)</w:t>
      </w:r>
      <w:r>
        <w:tab/>
        <w:t xml:space="preserve">the </w:t>
      </w:r>
      <w:r>
        <w:rPr>
          <w:i/>
        </w:rPr>
        <w:t>Petroleum and Geothermal Energy Resources Act 1967</w:t>
      </w:r>
      <w:r>
        <w:t xml:space="preserve"> in relation to petroleum; or</w:t>
      </w:r>
    </w:p>
    <w:p>
      <w:pPr>
        <w:pStyle w:val="Defsubpara"/>
      </w:pPr>
      <w:r>
        <w:tab/>
        <w:t>(ii)</w:t>
      </w:r>
      <w:r>
        <w:tab/>
        <w:t xml:space="preserve">the </w:t>
      </w:r>
      <w:r>
        <w:rPr>
          <w:i/>
        </w:rPr>
        <w:t>Petroleum Pipelines Act 1969</w:t>
      </w:r>
      <w:r>
        <w:t>; or</w:t>
      </w:r>
    </w:p>
    <w:p>
      <w:pPr>
        <w:pStyle w:val="Defsubpara"/>
        <w:keepNext/>
      </w:pPr>
      <w:r>
        <w:tab/>
        <w:t>(iii)</w:t>
      </w:r>
      <w:r>
        <w:tab/>
        <w:t xml:space="preserve">the </w:t>
      </w:r>
      <w:r>
        <w:rPr>
          <w:i/>
        </w:rPr>
        <w:t>Petroleum (Submerged Lands) Act 1982</w:t>
      </w:r>
      <w:r>
        <w:t>;</w:t>
      </w:r>
    </w:p>
    <w:p>
      <w:pPr>
        <w:pStyle w:val="Defpara"/>
      </w:pPr>
      <w:r>
        <w:tab/>
      </w:r>
      <w:r>
        <w:tab/>
        <w:t>or</w:t>
      </w:r>
    </w:p>
    <w:p>
      <w:pPr>
        <w:pStyle w:val="Defpara"/>
      </w:pPr>
      <w:r>
        <w:tab/>
        <w:t>(b)</w:t>
      </w:r>
      <w:r>
        <w:tab/>
        <w:t xml:space="preserve">the Barrow Island lease as defined in the </w:t>
      </w:r>
      <w:r>
        <w:rPr>
          <w:i/>
        </w:rPr>
        <w:t>Barrow Island Act 2003</w:t>
      </w:r>
      <w:r>
        <w:t xml:space="preserve"> section 3.</w:t>
      </w:r>
    </w:p>
    <w:p>
      <w:pPr>
        <w:pStyle w:val="Subsection"/>
        <w:keepNext/>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pPr>
        <w:pStyle w:val="Indenta"/>
      </w:pPr>
      <w:r>
        <w:tab/>
        <w:t>(a)</w:t>
      </w:r>
      <w:r>
        <w:tab/>
        <w:t>exploring for petroleum;</w:t>
      </w:r>
    </w:p>
    <w:p>
      <w:pPr>
        <w:pStyle w:val="Indenta"/>
      </w:pPr>
      <w:r>
        <w:tab/>
        <w:t>(b)</w:t>
      </w:r>
      <w:r>
        <w:tab/>
        <w:t>drilling or servicing a well for petroleum;</w:t>
      </w:r>
    </w:p>
    <w:p>
      <w:pPr>
        <w:pStyle w:val="Indenta"/>
      </w:pPr>
      <w:r>
        <w:tab/>
        <w:t>(c)</w:t>
      </w:r>
      <w:r>
        <w:tab/>
        <w:t>extracting or recovering petroleum;</w:t>
      </w:r>
    </w:p>
    <w:p>
      <w:pPr>
        <w:pStyle w:val="Indenta"/>
      </w:pPr>
      <w:r>
        <w:tab/>
        <w:t>(d)</w:t>
      </w:r>
      <w:r>
        <w:tab/>
        <w:t>injecting petroleum into a natural underground reservoir;</w:t>
      </w:r>
    </w:p>
    <w:p>
      <w:pPr>
        <w:pStyle w:val="Indenta"/>
      </w:pPr>
      <w:r>
        <w:tab/>
        <w:t>(e)</w:t>
      </w:r>
      <w:r>
        <w:tab/>
        <w:t>processing petroleum;</w:t>
      </w:r>
    </w:p>
    <w:p>
      <w:pPr>
        <w:pStyle w:val="Indenta"/>
      </w:pPr>
      <w:r>
        <w:tab/>
        <w:t>(f)</w:t>
      </w:r>
      <w:r>
        <w:tab/>
        <w:t>handling or storing petroleum;</w:t>
      </w:r>
    </w:p>
    <w:p>
      <w:pPr>
        <w:pStyle w:val="Indenta"/>
      </w:pPr>
      <w:r>
        <w:tab/>
        <w:t>(g)</w:t>
      </w:r>
      <w:r>
        <w:tab/>
        <w:t>the piped conveyance or offloading of petroleum.</w:t>
      </w:r>
    </w:p>
    <w:p>
      <w:pPr>
        <w:pStyle w:val="Subsection"/>
        <w:keepNext/>
      </w:pPr>
      <w:r>
        <w:tab/>
        <w:t>(3)</w:t>
      </w:r>
      <w:r>
        <w:tab/>
        <w:t xml:space="preserve">Without limiting subsection (2), a </w:t>
      </w:r>
      <w:r>
        <w:rPr>
          <w:rStyle w:val="CharDefText"/>
        </w:rPr>
        <w:t>petroleum operation</w:t>
      </w:r>
      <w:r>
        <w:t xml:space="preserve"> includes the following activities — </w:t>
      </w:r>
    </w:p>
    <w:p>
      <w:pPr>
        <w:pStyle w:val="Indenta"/>
      </w:pPr>
      <w:r>
        <w:tab/>
        <w:t>(a)</w:t>
      </w:r>
      <w:r>
        <w:tab/>
        <w:t>planning, designing, preparing or constructing a petroleum site if the activity is carried out at or in the vicinity of the petroleum site;</w:t>
      </w:r>
    </w:p>
    <w:p>
      <w:pPr>
        <w:pStyle w:val="Indenta"/>
      </w:pPr>
      <w:r>
        <w:tab/>
        <w:t>(b)</w:t>
      </w:r>
      <w:r>
        <w:tab/>
        <w:t>commissioning, operating or maintaining a petroleum site;</w:t>
      </w:r>
    </w:p>
    <w:p>
      <w:pPr>
        <w:pStyle w:val="Indenta"/>
      </w:pPr>
      <w:r>
        <w:tab/>
        <w:t>(c)</w:t>
      </w:r>
      <w:r>
        <w:tab/>
        <w:t>decommissioning or abandoning a petroleum site or removing any fixture, fitting, plant or structure from a petroleum site;</w:t>
      </w:r>
    </w:p>
    <w:p>
      <w:pPr>
        <w:pStyle w:val="Indenta"/>
      </w:pPr>
      <w:r>
        <w:tab/>
        <w:t>(d)</w:t>
      </w:r>
      <w:r>
        <w:tab/>
        <w:t>constructing, commissioning, operating or maintaining administrative or other support facilities at or in the vicinity of a petroleum site;</w:t>
      </w:r>
    </w:p>
    <w:p>
      <w:pPr>
        <w:pStyle w:val="Indenta"/>
      </w:pPr>
      <w:r>
        <w:tab/>
        <w:t>(e)</w:t>
      </w:r>
      <w:r>
        <w:tab/>
        <w:t>an activity relating to the care, security or maintenance of a petroleum site carried out at or in the vicinity of the petroleum site;</w:t>
      </w:r>
    </w:p>
    <w:p>
      <w:pPr>
        <w:pStyle w:val="Indenta"/>
      </w:pPr>
      <w:r>
        <w:tab/>
        <w:t>(f)</w:t>
      </w:r>
      <w:r>
        <w:tab/>
        <w:t>constructing, commissioning, operating or maintaining accommodation premises at or in the vicinity of a petroleum site;</w:t>
      </w:r>
    </w:p>
    <w:p>
      <w:pPr>
        <w:pStyle w:val="Indenta"/>
        <w:keepNext/>
      </w:pPr>
      <w:r>
        <w:tab/>
        <w:t>(g)</w:t>
      </w:r>
      <w:r>
        <w:tab/>
        <w:t xml:space="preserve">a prescribed activity carried out in — </w:t>
      </w:r>
    </w:p>
    <w:p>
      <w:pPr>
        <w:pStyle w:val="Indenti"/>
      </w:pPr>
      <w:r>
        <w:tab/>
        <w:t>(i)</w:t>
      </w:r>
      <w:r>
        <w:tab/>
        <w:t>an area in respect of which a petroleum title is in force; or</w:t>
      </w:r>
    </w:p>
    <w:p>
      <w:pPr>
        <w:pStyle w:val="Indenti"/>
        <w:keepNext/>
      </w:pPr>
      <w:r>
        <w:tab/>
        <w:t>(ii)</w:t>
      </w:r>
      <w:r>
        <w:tab/>
        <w:t>the adjacent area.</w:t>
      </w:r>
    </w:p>
    <w:p>
      <w:pPr>
        <w:pStyle w:val="Footnotesection"/>
      </w:pPr>
      <w:r>
        <w:tab/>
        <w:t>[Section 3D inserted: No. 36 of 2020 s. 311.]</w:t>
      </w:r>
    </w:p>
    <w:p>
      <w:pPr>
        <w:pStyle w:val="Heading5"/>
      </w:pPr>
      <w:bookmarkStart w:id="23" w:name="_Toc166680993"/>
      <w:bookmarkStart w:id="24" w:name="_Toc99021424"/>
      <w:r>
        <w:rPr>
          <w:rStyle w:val="CharSectno"/>
        </w:rPr>
        <w:t>3E</w:t>
      </w:r>
      <w:r>
        <w:t>.</w:t>
      </w:r>
      <w:r>
        <w:tab/>
        <w:t>Safety case</w:t>
      </w:r>
      <w:bookmarkEnd w:id="23"/>
      <w:bookmarkEnd w:id="24"/>
    </w:p>
    <w:p>
      <w:pPr>
        <w:pStyle w:val="Subsection"/>
        <w:keepNext/>
      </w:pPr>
      <w:r>
        <w:tab/>
        <w:t>(1)</w:t>
      </w:r>
      <w:r>
        <w:tab/>
        <w:t xml:space="preserve">In this section — </w:t>
      </w:r>
    </w:p>
    <w:p>
      <w:pPr>
        <w:pStyle w:val="Defstart"/>
      </w:pPr>
      <w:r>
        <w:tab/>
      </w:r>
      <w:r>
        <w:rPr>
          <w:rStyle w:val="CharDefText"/>
        </w:rPr>
        <w:t>document</w:t>
      </w:r>
      <w:r>
        <w:t xml:space="preserve"> has the meaning given in the </w:t>
      </w:r>
      <w:r>
        <w:rPr>
          <w:i/>
        </w:rPr>
        <w:t>Work Health and Safety Act 2020</w:t>
      </w:r>
      <w:r>
        <w:t xml:space="preserve"> section 4.</w:t>
      </w:r>
    </w:p>
    <w:p>
      <w:pPr>
        <w:pStyle w:val="Subsection"/>
        <w:keepNext/>
      </w:pPr>
      <w:r>
        <w:tab/>
        <w:t>(2)</w:t>
      </w:r>
      <w:r>
        <w:tab/>
        <w:t xml:space="preserve">A </w:t>
      </w:r>
      <w:r>
        <w:rPr>
          <w:rStyle w:val="CharDefText"/>
        </w:rPr>
        <w:t>safety case</w:t>
      </w:r>
      <w:r>
        <w:t xml:space="preserve"> is a document — </w:t>
      </w:r>
    </w:p>
    <w:p>
      <w:pPr>
        <w:pStyle w:val="Indenta"/>
      </w:pPr>
      <w:r>
        <w:tab/>
        <w:t>(a)</w:t>
      </w:r>
      <w:r>
        <w:tab/>
        <w:t>that a prescribed provision of WHS regulations requires for a petroleum operation or a geothermal energy operation; and</w:t>
      </w:r>
    </w:p>
    <w:p>
      <w:pPr>
        <w:pStyle w:val="Indenta"/>
        <w:keepNext/>
      </w:pPr>
      <w:r>
        <w:tab/>
        <w:t>(b)</w:t>
      </w:r>
      <w:r>
        <w:tab/>
        <w:t>that must set out, in accordance with any applicable requirements of WHS regulations, a case for safety of the operation.</w:t>
      </w:r>
    </w:p>
    <w:p>
      <w:pPr>
        <w:pStyle w:val="Footnotesection"/>
      </w:pPr>
      <w:r>
        <w:tab/>
        <w:t>[Section 3E inserted: No. 36 of 2020 s. 311.]</w:t>
      </w:r>
    </w:p>
    <w:p>
      <w:pPr>
        <w:pStyle w:val="Heading2"/>
      </w:pPr>
      <w:bookmarkStart w:id="25" w:name="_Toc166679340"/>
      <w:bookmarkStart w:id="26" w:name="_Toc166679651"/>
      <w:bookmarkStart w:id="27" w:name="_Toc166680994"/>
      <w:bookmarkStart w:id="28" w:name="_Toc98491731"/>
      <w:bookmarkStart w:id="29" w:name="_Toc99021425"/>
      <w:r>
        <w:rPr>
          <w:rStyle w:val="CharPartNo"/>
        </w:rPr>
        <w:t>Part 2</w:t>
      </w:r>
      <w:r>
        <w:rPr>
          <w:b w:val="0"/>
        </w:rPr>
        <w:t> </w:t>
      </w:r>
      <w:r>
        <w:t>—</w:t>
      </w:r>
      <w:r>
        <w:rPr>
          <w:b w:val="0"/>
        </w:rPr>
        <w:t> </w:t>
      </w:r>
      <w:r>
        <w:rPr>
          <w:rStyle w:val="CharPartText"/>
        </w:rPr>
        <w:t>Safety levies</w:t>
      </w:r>
      <w:bookmarkEnd w:id="25"/>
      <w:bookmarkEnd w:id="26"/>
      <w:bookmarkEnd w:id="27"/>
      <w:bookmarkEnd w:id="28"/>
      <w:bookmarkEnd w:id="29"/>
    </w:p>
    <w:p>
      <w:pPr>
        <w:pStyle w:val="Footnoteheading"/>
      </w:pPr>
      <w:r>
        <w:tab/>
        <w:t>[Heading inserted: No. 36 of 2020 s. 312.]</w:t>
      </w:r>
    </w:p>
    <w:p>
      <w:pPr>
        <w:pStyle w:val="Heading3"/>
      </w:pPr>
      <w:bookmarkStart w:id="30" w:name="_Toc166679341"/>
      <w:bookmarkStart w:id="31" w:name="_Toc166679652"/>
      <w:bookmarkStart w:id="32" w:name="_Toc166680995"/>
      <w:bookmarkStart w:id="33" w:name="_Toc98491732"/>
      <w:bookmarkStart w:id="34" w:name="_Toc99021426"/>
      <w:r>
        <w:rPr>
          <w:rStyle w:val="CharDivNo"/>
        </w:rPr>
        <w:t>Division 1</w:t>
      </w:r>
      <w:r>
        <w:t> — </w:t>
      </w:r>
      <w:r>
        <w:rPr>
          <w:rStyle w:val="CharDivText"/>
        </w:rPr>
        <w:t>Safety case levy</w:t>
      </w:r>
      <w:bookmarkEnd w:id="30"/>
      <w:bookmarkEnd w:id="31"/>
      <w:bookmarkEnd w:id="32"/>
      <w:bookmarkEnd w:id="33"/>
      <w:bookmarkEnd w:id="34"/>
    </w:p>
    <w:p>
      <w:pPr>
        <w:pStyle w:val="Footnoteheading"/>
      </w:pPr>
      <w:r>
        <w:tab/>
        <w:t>[Heading inserted: No. 36 of 2020 s. 312.]</w:t>
      </w:r>
    </w:p>
    <w:p>
      <w:pPr>
        <w:pStyle w:val="Heading5"/>
      </w:pPr>
      <w:bookmarkStart w:id="35" w:name="_Toc166680996"/>
      <w:bookmarkStart w:id="36" w:name="_Toc99021427"/>
      <w:r>
        <w:rPr>
          <w:rStyle w:val="CharSectno"/>
        </w:rPr>
        <w:t>4</w:t>
      </w:r>
      <w:r>
        <w:t>.</w:t>
      </w:r>
      <w:r>
        <w:tab/>
        <w:t>Safety case levy payable</w:t>
      </w:r>
      <w:bookmarkEnd w:id="35"/>
      <w:bookmarkEnd w:id="36"/>
    </w:p>
    <w:p>
      <w:pPr>
        <w:pStyle w:val="Subsection"/>
      </w:pPr>
      <w:r>
        <w:tab/>
        <w:t>(1)</w:t>
      </w:r>
      <w:r>
        <w:tab/>
        <w:t>If, for the whole or a part of a levy period, a safety case is in force for a petroleum operation or a geothermal energy operation, a levy is payable in respect of the safety case.</w:t>
      </w:r>
    </w:p>
    <w:p>
      <w:pPr>
        <w:pStyle w:val="Subsection"/>
      </w:pPr>
      <w:r>
        <w:tab/>
        <w:t>(2)</w:t>
      </w:r>
      <w:r>
        <w:tab/>
        <w:t>The levy is payable in accordance with the regulations.</w:t>
      </w:r>
    </w:p>
    <w:p>
      <w:pPr>
        <w:pStyle w:val="Subsection"/>
      </w:pPr>
      <w:r>
        <w:tab/>
        <w:t>(2A)</w:t>
      </w:r>
      <w:r>
        <w:tab/>
        <w:t>The levy is imposed.</w:t>
      </w:r>
    </w:p>
    <w:p>
      <w:pPr>
        <w:pStyle w:val="Subsection"/>
      </w:pPr>
      <w:r>
        <w:tab/>
        <w:t>(3)</w:t>
      </w:r>
      <w:r>
        <w:tab/>
        <w:t>The regulations may make provision specifying, or for working out, when a safety case is in force for a petroleum operation or a geothermal energy operation.</w:t>
      </w:r>
    </w:p>
    <w:p>
      <w:pPr>
        <w:pStyle w:val="Footnotesection"/>
      </w:pPr>
      <w:r>
        <w:tab/>
        <w:t>[Section 4 inserted: No. 36 of 2020 s. 312; amended: No. 37 of 2020 s. 6.]</w:t>
      </w:r>
    </w:p>
    <w:p>
      <w:pPr>
        <w:pStyle w:val="Heading5"/>
      </w:pPr>
      <w:bookmarkStart w:id="37" w:name="_Toc166680997"/>
      <w:bookmarkStart w:id="38" w:name="_Toc99021428"/>
      <w:r>
        <w:rPr>
          <w:rStyle w:val="CharSectno"/>
        </w:rPr>
        <w:t>5</w:t>
      </w:r>
      <w:r>
        <w:t>.</w:t>
      </w:r>
      <w:r>
        <w:tab/>
        <w:t>Liability for payment of safety case levy</w:t>
      </w:r>
      <w:bookmarkEnd w:id="37"/>
      <w:bookmarkEnd w:id="38"/>
    </w:p>
    <w:p>
      <w:pPr>
        <w:pStyle w:val="Subsection"/>
      </w:pPr>
      <w:r>
        <w:tab/>
        <w:t>(1)</w:t>
      </w:r>
      <w:r>
        <w:tab/>
        <w:t>The person liable to pay the safety case levy is the person responsible for the safety case.</w:t>
      </w:r>
    </w:p>
    <w:p>
      <w:pPr>
        <w:pStyle w:val="Subsection"/>
      </w:pPr>
      <w:r>
        <w:tab/>
        <w:t>(2)</w:t>
      </w:r>
      <w:r>
        <w:tab/>
        <w:t>The regulations may make provision specifying, or for working out, the person responsible for a safety case.</w:t>
      </w:r>
    </w:p>
    <w:p>
      <w:pPr>
        <w:pStyle w:val="Footnotesection"/>
      </w:pPr>
      <w:r>
        <w:tab/>
        <w:t>[Section 5 inserted: No. 36 of 2020 s. 312.]</w:t>
      </w:r>
    </w:p>
    <w:p>
      <w:pPr>
        <w:pStyle w:val="Heading5"/>
      </w:pPr>
      <w:bookmarkStart w:id="39" w:name="_Toc166680998"/>
      <w:bookmarkStart w:id="40" w:name="_Toc99021429"/>
      <w:r>
        <w:rPr>
          <w:rStyle w:val="CharSectno"/>
        </w:rPr>
        <w:t>6</w:t>
      </w:r>
      <w:r>
        <w:t>.</w:t>
      </w:r>
      <w:r>
        <w:tab/>
        <w:t>Amount of safety case levy</w:t>
      </w:r>
      <w:bookmarkEnd w:id="39"/>
      <w:bookmarkEnd w:id="40"/>
    </w:p>
    <w:p>
      <w:pPr>
        <w:pStyle w:val="Subsection"/>
      </w:pPr>
      <w:r>
        <w:tab/>
        <w:t>(1)</w:t>
      </w:r>
      <w:r>
        <w:tab/>
        <w:t>The amount of safety case levy payable is the amount specified in, or worked out in accordance with, the regulations.</w:t>
      </w:r>
    </w:p>
    <w:p>
      <w:pPr>
        <w:pStyle w:val="Subsection"/>
        <w:keepNext/>
      </w:pPr>
      <w:r>
        <w:tab/>
        <w:t>(2)</w:t>
      </w:r>
      <w:r>
        <w:tab/>
        <w:t>Without limiting section 26(3), the regulations may specify different amounts of safety case levy, or different means of working out amounts of safety case levy, for different classes of safety cases.</w:t>
      </w:r>
    </w:p>
    <w:p>
      <w:pPr>
        <w:pStyle w:val="Footnotesection"/>
      </w:pPr>
      <w:r>
        <w:tab/>
        <w:t>[Section 6 inserted: No. 36 of 2020 s. 312.]</w:t>
      </w:r>
    </w:p>
    <w:p>
      <w:pPr>
        <w:pStyle w:val="Heading3"/>
      </w:pPr>
      <w:bookmarkStart w:id="41" w:name="_Toc166679345"/>
      <w:bookmarkStart w:id="42" w:name="_Toc166679656"/>
      <w:bookmarkStart w:id="43" w:name="_Toc166680999"/>
      <w:bookmarkStart w:id="44" w:name="_Toc98491736"/>
      <w:bookmarkStart w:id="45" w:name="_Toc99021430"/>
      <w:r>
        <w:rPr>
          <w:rStyle w:val="CharDivNo"/>
        </w:rPr>
        <w:t>Division 2</w:t>
      </w:r>
      <w:r>
        <w:t> — </w:t>
      </w:r>
      <w:r>
        <w:rPr>
          <w:rStyle w:val="CharDivText"/>
        </w:rPr>
        <w:t>DSMS levy</w:t>
      </w:r>
      <w:bookmarkEnd w:id="41"/>
      <w:bookmarkEnd w:id="42"/>
      <w:bookmarkEnd w:id="43"/>
      <w:bookmarkEnd w:id="44"/>
      <w:bookmarkEnd w:id="45"/>
    </w:p>
    <w:p>
      <w:pPr>
        <w:pStyle w:val="Footnoteheading"/>
      </w:pPr>
      <w:r>
        <w:tab/>
        <w:t>[Heading inserted: No. 36 of 2020 s. 312.]</w:t>
      </w:r>
    </w:p>
    <w:p>
      <w:pPr>
        <w:pStyle w:val="Heading5"/>
      </w:pPr>
      <w:bookmarkStart w:id="46" w:name="_Toc166681000"/>
      <w:bookmarkStart w:id="47" w:name="_Toc99021431"/>
      <w:r>
        <w:rPr>
          <w:rStyle w:val="CharSectno"/>
        </w:rPr>
        <w:t>7</w:t>
      </w:r>
      <w:r>
        <w:t>.</w:t>
      </w:r>
      <w:r>
        <w:tab/>
        <w:t>DSMS levy payable</w:t>
      </w:r>
      <w:bookmarkEnd w:id="46"/>
      <w:bookmarkEnd w:id="47"/>
    </w:p>
    <w:p>
      <w:pPr>
        <w:pStyle w:val="Subsection"/>
      </w:pPr>
      <w:r>
        <w:tab/>
        <w:t>(1)</w:t>
      </w:r>
      <w:r>
        <w:tab/>
        <w:t>If, for the whole or a part of a levy period, a DSMS is in force for a diving operation, a levy is payable in respect of the DSMS.</w:t>
      </w:r>
    </w:p>
    <w:p>
      <w:pPr>
        <w:pStyle w:val="Subsection"/>
      </w:pPr>
      <w:r>
        <w:tab/>
        <w:t>(2)</w:t>
      </w:r>
      <w:r>
        <w:tab/>
        <w:t>The levy is payable in accordance with the regulations.</w:t>
      </w:r>
    </w:p>
    <w:p>
      <w:pPr>
        <w:pStyle w:val="Subsection"/>
      </w:pPr>
      <w:r>
        <w:tab/>
        <w:t>(2A)</w:t>
      </w:r>
      <w:r>
        <w:tab/>
        <w:t>The levy is imposed.</w:t>
      </w:r>
    </w:p>
    <w:p>
      <w:pPr>
        <w:pStyle w:val="Subsection"/>
      </w:pPr>
      <w:r>
        <w:tab/>
        <w:t>(3)</w:t>
      </w:r>
      <w:r>
        <w:tab/>
        <w:t>The regulations may make provision specifying, or for working out, when a DSMS is in force for a diving operation.</w:t>
      </w:r>
    </w:p>
    <w:p>
      <w:pPr>
        <w:pStyle w:val="Footnotesection"/>
      </w:pPr>
      <w:r>
        <w:tab/>
        <w:t>[Section 7 inserted: No. 36 of 2020 s. 312; amended: No. 37 of 2020 s. 7.]</w:t>
      </w:r>
    </w:p>
    <w:p>
      <w:pPr>
        <w:pStyle w:val="Heading5"/>
      </w:pPr>
      <w:bookmarkStart w:id="48" w:name="_Toc166681001"/>
      <w:bookmarkStart w:id="49" w:name="_Toc99021432"/>
      <w:r>
        <w:rPr>
          <w:rStyle w:val="CharSectno"/>
        </w:rPr>
        <w:t>8</w:t>
      </w:r>
      <w:r>
        <w:t>.</w:t>
      </w:r>
      <w:r>
        <w:tab/>
        <w:t>Liability for payment of DSMS levy</w:t>
      </w:r>
      <w:bookmarkEnd w:id="48"/>
      <w:bookmarkEnd w:id="49"/>
    </w:p>
    <w:p>
      <w:pPr>
        <w:pStyle w:val="Subsection"/>
      </w:pPr>
      <w:r>
        <w:tab/>
        <w:t>(1)</w:t>
      </w:r>
      <w:r>
        <w:tab/>
        <w:t>The person liable to pay the DSMS levy is the person responsible for the DSMS.</w:t>
      </w:r>
    </w:p>
    <w:p>
      <w:pPr>
        <w:pStyle w:val="Subsection"/>
      </w:pPr>
      <w:r>
        <w:tab/>
        <w:t>(2)</w:t>
      </w:r>
      <w:r>
        <w:tab/>
        <w:t>The regulations may make provision specifying, or for working out, the person responsible for a DSMS.</w:t>
      </w:r>
    </w:p>
    <w:p>
      <w:pPr>
        <w:pStyle w:val="Footnotesection"/>
      </w:pPr>
      <w:r>
        <w:tab/>
        <w:t>[Section 8 inserted: No. 36 of 2020 s. 312.]</w:t>
      </w:r>
    </w:p>
    <w:p>
      <w:pPr>
        <w:pStyle w:val="Heading5"/>
      </w:pPr>
      <w:bookmarkStart w:id="50" w:name="_Toc166681002"/>
      <w:bookmarkStart w:id="51" w:name="_Toc99021433"/>
      <w:r>
        <w:rPr>
          <w:rStyle w:val="CharSectno"/>
        </w:rPr>
        <w:t>9</w:t>
      </w:r>
      <w:r>
        <w:t>.</w:t>
      </w:r>
      <w:r>
        <w:tab/>
        <w:t>Amount of DSMS levy</w:t>
      </w:r>
      <w:bookmarkEnd w:id="50"/>
      <w:bookmarkEnd w:id="51"/>
    </w:p>
    <w:p>
      <w:pPr>
        <w:pStyle w:val="Subsection"/>
      </w:pPr>
      <w:r>
        <w:tab/>
        <w:t>(1)</w:t>
      </w:r>
      <w:r>
        <w:tab/>
        <w:t>The amount of DSMS levy payable is the amount specified in, or worked out in accordance with, the regulations.</w:t>
      </w:r>
    </w:p>
    <w:p>
      <w:pPr>
        <w:pStyle w:val="Subsection"/>
        <w:keepNext/>
      </w:pPr>
      <w:r>
        <w:tab/>
        <w:t>(2)</w:t>
      </w:r>
      <w:r>
        <w:tab/>
        <w:t>Without limiting section 26(3), the regulations may specify different amounts of DSMS levy, or different means of working out amounts of DSMS levy, for different classes of DSMSs.</w:t>
      </w:r>
    </w:p>
    <w:p>
      <w:pPr>
        <w:pStyle w:val="Footnotesection"/>
      </w:pPr>
      <w:r>
        <w:tab/>
        <w:t>[Section 9 inserted: No. 36 of 2020 s. 312.]</w:t>
      </w:r>
    </w:p>
    <w:p>
      <w:pPr>
        <w:pStyle w:val="Heading2"/>
      </w:pPr>
      <w:bookmarkStart w:id="52" w:name="_Toc166679349"/>
      <w:bookmarkStart w:id="53" w:name="_Toc166679660"/>
      <w:bookmarkStart w:id="54" w:name="_Toc166681003"/>
      <w:bookmarkStart w:id="55" w:name="_Toc98488860"/>
      <w:bookmarkStart w:id="56" w:name="_Toc98491740"/>
      <w:bookmarkStart w:id="57" w:name="_Toc99021434"/>
      <w:bookmarkEnd w:id="16"/>
      <w:r>
        <w:rPr>
          <w:rStyle w:val="CharPartNo"/>
        </w:rPr>
        <w:t>Part 3</w:t>
      </w:r>
      <w:r>
        <w:rPr>
          <w:rStyle w:val="CharDivNo"/>
        </w:rPr>
        <w:t> </w:t>
      </w:r>
      <w:r>
        <w:t>—</w:t>
      </w:r>
      <w:r>
        <w:rPr>
          <w:rStyle w:val="CharDivText"/>
        </w:rPr>
        <w:t> </w:t>
      </w:r>
      <w:r>
        <w:rPr>
          <w:rStyle w:val="CharPartText"/>
        </w:rPr>
        <w:t>Assessment and recovery of safety levies</w:t>
      </w:r>
      <w:bookmarkEnd w:id="52"/>
      <w:bookmarkEnd w:id="53"/>
      <w:bookmarkEnd w:id="54"/>
      <w:bookmarkEnd w:id="55"/>
      <w:bookmarkEnd w:id="56"/>
      <w:bookmarkEnd w:id="57"/>
    </w:p>
    <w:p>
      <w:pPr>
        <w:pStyle w:val="Heading5"/>
      </w:pPr>
      <w:bookmarkStart w:id="58" w:name="_Toc166681004"/>
      <w:bookmarkStart w:id="59" w:name="_Toc99021435"/>
      <w:r>
        <w:rPr>
          <w:rStyle w:val="CharSectno"/>
        </w:rPr>
        <w:t>10</w:t>
      </w:r>
      <w:r>
        <w:t>.</w:t>
      </w:r>
      <w:r>
        <w:tab/>
        <w:t>Assessment of safety levy</w:t>
      </w:r>
      <w:bookmarkEnd w:id="58"/>
      <w:bookmarkEnd w:id="59"/>
    </w:p>
    <w:p>
      <w:pPr>
        <w:pStyle w:val="Subsection"/>
      </w:pPr>
      <w:r>
        <w:tab/>
        <w:t>(1)</w:t>
      </w:r>
      <w:r>
        <w:tab/>
        <w:t xml:space="preserve">The CIPS must — </w:t>
      </w:r>
    </w:p>
    <w:p>
      <w:pPr>
        <w:pStyle w:val="Indenta"/>
      </w:pPr>
      <w:r>
        <w:tab/>
        <w:t>(a)</w:t>
      </w:r>
      <w:r>
        <w:tab/>
        <w:t>assess the amount of safety levy that is payable; and</w:t>
      </w:r>
    </w:p>
    <w:p>
      <w:pPr>
        <w:pStyle w:val="Indenta"/>
      </w:pPr>
      <w:r>
        <w:tab/>
        <w:t>(b)</w:t>
      </w:r>
      <w:r>
        <w:tab/>
        <w:t xml:space="preserve">give a notice to each of the persons liable to pay a safety levy specifying — </w:t>
      </w:r>
    </w:p>
    <w:p>
      <w:pPr>
        <w:pStyle w:val="Indenti"/>
      </w:pPr>
      <w:r>
        <w:tab/>
        <w:t>(i)</w:t>
      </w:r>
      <w:r>
        <w:tab/>
        <w:t>the amount of safety levy payable; and</w:t>
      </w:r>
    </w:p>
    <w:p>
      <w:pPr>
        <w:pStyle w:val="Indenti"/>
      </w:pPr>
      <w:r>
        <w:tab/>
        <w:t>(ii)</w:t>
      </w:r>
      <w:r>
        <w:tab/>
        <w:t>the day on which the safety levy is payable; and</w:t>
      </w:r>
    </w:p>
    <w:p>
      <w:pPr>
        <w:pStyle w:val="Indenti"/>
      </w:pPr>
      <w:r>
        <w:tab/>
        <w:t>(iii)</w:t>
      </w:r>
      <w:r>
        <w:tab/>
        <w:t>any other matter required by the regulations.</w:t>
      </w:r>
    </w:p>
    <w:p>
      <w:pPr>
        <w:pStyle w:val="Subsection"/>
      </w:pPr>
      <w:r>
        <w:tab/>
        <w:t>(2)</w:t>
      </w:r>
      <w:r>
        <w:tab/>
        <w:t xml:space="preserve">The CIPS may make an assessment on the basis of information obtained or provided under this Act, the </w:t>
      </w:r>
      <w:r>
        <w:rPr>
          <w:i/>
        </w:rPr>
        <w:t xml:space="preserve">Petroleum and Geothermal Energy Resources Act 1967, </w:t>
      </w:r>
      <w:r>
        <w:t xml:space="preserve">the </w:t>
      </w:r>
      <w:r>
        <w:rPr>
          <w:i/>
        </w:rPr>
        <w:t>Petroleum Pipelines Act 1969</w:t>
      </w:r>
      <w:r>
        <w:t xml:space="preserve">, the </w:t>
      </w:r>
      <w:r>
        <w:rPr>
          <w:i/>
        </w:rPr>
        <w:t xml:space="preserve">Petroleum (Submerged Lands) Act 1982 </w:t>
      </w:r>
      <w:r>
        <w:t xml:space="preserve">or the </w:t>
      </w:r>
      <w:r>
        <w:rPr>
          <w:i/>
        </w:rPr>
        <w:t>Work Health and Safety Act 2020</w:t>
      </w:r>
      <w:r>
        <w:t>.</w:t>
      </w:r>
    </w:p>
    <w:p>
      <w:pPr>
        <w:pStyle w:val="Subsection"/>
      </w:pPr>
      <w:r>
        <w:tab/>
        <w:t>(3)</w:t>
      </w:r>
      <w:r>
        <w:tab/>
        <w:t>Subsection (2) does not limit the material to which the CIPS can have regard when making an assessment.</w:t>
      </w:r>
    </w:p>
    <w:p>
      <w:pPr>
        <w:pStyle w:val="Footnotesection"/>
      </w:pPr>
      <w:r>
        <w:tab/>
        <w:t>[Section 10 amended: No. 19 of 2012 s. 10; No. 36 of 2020 s. 313.]</w:t>
      </w:r>
    </w:p>
    <w:p>
      <w:pPr>
        <w:pStyle w:val="Heading5"/>
      </w:pPr>
      <w:bookmarkStart w:id="60" w:name="_Toc166681005"/>
      <w:bookmarkStart w:id="61" w:name="_Toc99021436"/>
      <w:r>
        <w:rPr>
          <w:rStyle w:val="CharSectno"/>
        </w:rPr>
        <w:t>11</w:t>
      </w:r>
      <w:r>
        <w:t>.</w:t>
      </w:r>
      <w:r>
        <w:tab/>
        <w:t>Payment of safety levy</w:t>
      </w:r>
      <w:bookmarkEnd w:id="60"/>
      <w:bookmarkEnd w:id="61"/>
    </w:p>
    <w:p>
      <w:pPr>
        <w:pStyle w:val="Subsection"/>
      </w:pPr>
      <w:r>
        <w:tab/>
        <w:t>(1)</w:t>
      </w:r>
      <w:r>
        <w:tab/>
        <w:t>An amount of safety levy becomes due and payable on the day specified in, or worked out in accordance with, the regulations.</w:t>
      </w:r>
    </w:p>
    <w:p>
      <w:pPr>
        <w:pStyle w:val="Subsection"/>
      </w:pPr>
      <w:r>
        <w:tab/>
        <w:t>(2)</w:t>
      </w:r>
      <w:r>
        <w:tab/>
        <w:t>A safety levy is payable to the CIPS.</w:t>
      </w:r>
    </w:p>
    <w:p>
      <w:pPr>
        <w:pStyle w:val="Footnotesection"/>
      </w:pPr>
      <w:r>
        <w:tab/>
        <w:t>[Section 11 amended: No. 36 of 2020 s. 314.]</w:t>
      </w:r>
    </w:p>
    <w:p>
      <w:pPr>
        <w:pStyle w:val="Heading5"/>
      </w:pPr>
      <w:bookmarkStart w:id="62" w:name="_Toc166681006"/>
      <w:bookmarkStart w:id="63" w:name="_Toc99021437"/>
      <w:r>
        <w:rPr>
          <w:rStyle w:val="CharSectno"/>
        </w:rPr>
        <w:t>12</w:t>
      </w:r>
      <w:r>
        <w:t>.</w:t>
      </w:r>
      <w:r>
        <w:tab/>
        <w:t>Penalty for non</w:t>
      </w:r>
      <w:r>
        <w:noBreakHyphen/>
        <w:t>payment of safety levy</w:t>
      </w:r>
      <w:bookmarkEnd w:id="62"/>
      <w:bookmarkEnd w:id="63"/>
    </w:p>
    <w:p>
      <w:pPr>
        <w:pStyle w:val="Subsection"/>
      </w:pPr>
      <w:r>
        <w:tab/>
        <w:t>(1)</w:t>
      </w:r>
      <w:r>
        <w:tab/>
        <w:t>If an amount of safety levy remains unpaid after the day on which it becomes due and payable, the person liable to pay the safety levy is liable to pay to the CIPS, in addition to the amount of safety levy, an amount calculated at the prescribed rate on the amount of safety levy from time to time remaining unpaid.</w:t>
      </w:r>
    </w:p>
    <w:p>
      <w:pPr>
        <w:pStyle w:val="Subsection"/>
      </w:pPr>
      <w:r>
        <w:tab/>
        <w:t>(2)</w:t>
      </w:r>
      <w:r>
        <w:tab/>
        <w:t>The CIPS may waive, in whole or in part, a penalty amount if the CIPS considers that there are good reasons for doing so.</w:t>
      </w:r>
    </w:p>
    <w:p>
      <w:pPr>
        <w:pStyle w:val="Footnotesection"/>
      </w:pPr>
      <w:r>
        <w:tab/>
        <w:t>[Section 12 amended: No. 36 of 2020 s. 315.]</w:t>
      </w:r>
    </w:p>
    <w:p>
      <w:pPr>
        <w:pStyle w:val="Heading5"/>
      </w:pPr>
      <w:bookmarkStart w:id="64" w:name="_Toc166681007"/>
      <w:bookmarkStart w:id="65" w:name="_Toc99021438"/>
      <w:r>
        <w:rPr>
          <w:rStyle w:val="CharSectno"/>
        </w:rPr>
        <w:t>13</w:t>
      </w:r>
      <w:r>
        <w:t>.</w:t>
      </w:r>
      <w:r>
        <w:tab/>
        <w:t>Recovery of safety levy and penalty amount</w:t>
      </w:r>
      <w:bookmarkEnd w:id="64"/>
      <w:bookmarkEnd w:id="65"/>
    </w:p>
    <w:p>
      <w:pPr>
        <w:pStyle w:val="Subsection"/>
      </w:pPr>
      <w:r>
        <w:tab/>
      </w:r>
      <w:r>
        <w:tab/>
        <w:t xml:space="preserve">The following amounts may be recovered by the CIPS in a court of competent jurisdiction as debts due to the State — </w:t>
      </w:r>
    </w:p>
    <w:p>
      <w:pPr>
        <w:pStyle w:val="Indenta"/>
      </w:pPr>
      <w:r>
        <w:tab/>
        <w:t>(a)</w:t>
      </w:r>
      <w:r>
        <w:tab/>
        <w:t>an amount of safety levy that remains unpaid after the day on which it becomes due and payable;</w:t>
      </w:r>
    </w:p>
    <w:p>
      <w:pPr>
        <w:pStyle w:val="Indenta"/>
      </w:pPr>
      <w:r>
        <w:tab/>
        <w:t>(b)</w:t>
      </w:r>
      <w:r>
        <w:tab/>
        <w:t>a penalty amount that remains unpaid.</w:t>
      </w:r>
    </w:p>
    <w:p>
      <w:pPr>
        <w:pStyle w:val="Footnotesection"/>
      </w:pPr>
      <w:bookmarkStart w:id="66" w:name="_Toc98488865"/>
      <w:r>
        <w:tab/>
        <w:t>[Section 13 amended: No. 36 of 2020 s. 316.]</w:t>
      </w:r>
    </w:p>
    <w:p>
      <w:pPr>
        <w:pStyle w:val="Heading2"/>
      </w:pPr>
      <w:bookmarkStart w:id="67" w:name="_Toc166679354"/>
      <w:bookmarkStart w:id="68" w:name="_Toc166679665"/>
      <w:bookmarkStart w:id="69" w:name="_Toc166681008"/>
      <w:bookmarkStart w:id="70" w:name="_Toc98491745"/>
      <w:bookmarkStart w:id="71" w:name="_Toc99021439"/>
      <w:r>
        <w:rPr>
          <w:rStyle w:val="CharPartNo"/>
        </w:rPr>
        <w:t>Part 4</w:t>
      </w:r>
      <w:r>
        <w:rPr>
          <w:rStyle w:val="CharDivNo"/>
        </w:rPr>
        <w:t> </w:t>
      </w:r>
      <w:r>
        <w:t>—</w:t>
      </w:r>
      <w:r>
        <w:rPr>
          <w:rStyle w:val="CharDivText"/>
        </w:rPr>
        <w:t> </w:t>
      </w:r>
      <w:r>
        <w:rPr>
          <w:rStyle w:val="CharPartText"/>
        </w:rPr>
        <w:t>Objections and review</w:t>
      </w:r>
      <w:bookmarkEnd w:id="67"/>
      <w:bookmarkEnd w:id="68"/>
      <w:bookmarkEnd w:id="69"/>
      <w:bookmarkEnd w:id="66"/>
      <w:bookmarkEnd w:id="70"/>
      <w:bookmarkEnd w:id="71"/>
    </w:p>
    <w:p>
      <w:pPr>
        <w:pStyle w:val="Heading5"/>
      </w:pPr>
      <w:bookmarkStart w:id="72" w:name="_Toc166681009"/>
      <w:bookmarkStart w:id="73" w:name="_Toc99021440"/>
      <w:r>
        <w:rPr>
          <w:rStyle w:val="CharSectno"/>
        </w:rPr>
        <w:t>14</w:t>
      </w:r>
      <w:r>
        <w:t>.</w:t>
      </w:r>
      <w:r>
        <w:tab/>
        <w:t>Objection</w:t>
      </w:r>
      <w:bookmarkEnd w:id="72"/>
      <w:bookmarkEnd w:id="73"/>
    </w:p>
    <w:p>
      <w:pPr>
        <w:pStyle w:val="Subsection"/>
      </w:pPr>
      <w:r>
        <w:tab/>
        <w:t>(1)</w:t>
      </w:r>
      <w:r>
        <w:tab/>
        <w:t xml:space="preserve">A person may object to an assessment notice given to the person — </w:t>
      </w:r>
    </w:p>
    <w:p>
      <w:pPr>
        <w:pStyle w:val="Indenta"/>
      </w:pPr>
      <w:r>
        <w:tab/>
        <w:t>(a)</w:t>
      </w:r>
      <w:r>
        <w:tab/>
        <w:t>on the ground that the person is not liable to pay the safety levy to which the notice relates; or</w:t>
      </w:r>
    </w:p>
    <w:p>
      <w:pPr>
        <w:pStyle w:val="Indenta"/>
      </w:pPr>
      <w:r>
        <w:tab/>
        <w:t>(b)</w:t>
      </w:r>
      <w:r>
        <w:tab/>
        <w:t>on the ground that there is an error in the assessment or reassessment of the amount of safety levy payable; or</w:t>
      </w:r>
    </w:p>
    <w:p>
      <w:pPr>
        <w:pStyle w:val="Indenta"/>
      </w:pPr>
      <w:r>
        <w:tab/>
        <w:t>(c)</w:t>
      </w:r>
      <w:r>
        <w:tab/>
        <w:t>on a prescribed ground (if any).</w:t>
      </w:r>
    </w:p>
    <w:p>
      <w:pPr>
        <w:pStyle w:val="Subsection"/>
      </w:pPr>
      <w:r>
        <w:tab/>
        <w:t>(2)</w:t>
      </w:r>
      <w:r>
        <w:tab/>
        <w:t>An objection must be made to the CIPS in writing within the prescribed period or any longer period that the CIPS may allow.</w:t>
      </w:r>
    </w:p>
    <w:p>
      <w:pPr>
        <w:pStyle w:val="Subsection"/>
      </w:pPr>
      <w:r>
        <w:tab/>
        <w:t>(3)</w:t>
      </w:r>
      <w:r>
        <w:tab/>
        <w:t xml:space="preserve">An objection must — </w:t>
      </w:r>
    </w:p>
    <w:p>
      <w:pPr>
        <w:pStyle w:val="Indenta"/>
      </w:pPr>
      <w:r>
        <w:tab/>
        <w:t>(a)</w:t>
      </w:r>
      <w:r>
        <w:tab/>
        <w:t>identify the person making the objection; and</w:t>
      </w:r>
    </w:p>
    <w:p>
      <w:pPr>
        <w:pStyle w:val="Indenta"/>
      </w:pPr>
      <w:r>
        <w:tab/>
        <w:t>(b)</w:t>
      </w:r>
      <w:r>
        <w:tab/>
        <w:t>give details of the grounds of the objection; and</w:t>
      </w:r>
    </w:p>
    <w:p>
      <w:pPr>
        <w:pStyle w:val="Indenta"/>
      </w:pPr>
      <w:r>
        <w:tab/>
        <w:t>(c)</w:t>
      </w:r>
      <w:r>
        <w:tab/>
        <w:t>comply with any other prescribed requirements.</w:t>
      </w:r>
    </w:p>
    <w:p>
      <w:pPr>
        <w:pStyle w:val="Footnotesection"/>
      </w:pPr>
      <w:r>
        <w:tab/>
        <w:t>[Section 14 amended: No. 36 of 2020 s. 317.]</w:t>
      </w:r>
    </w:p>
    <w:p>
      <w:pPr>
        <w:pStyle w:val="Heading5"/>
      </w:pPr>
      <w:bookmarkStart w:id="74" w:name="_Toc166681010"/>
      <w:bookmarkStart w:id="75" w:name="_Toc99021441"/>
      <w:r>
        <w:rPr>
          <w:rStyle w:val="CharSectno"/>
        </w:rPr>
        <w:t>15</w:t>
      </w:r>
      <w:r>
        <w:t>.</w:t>
      </w:r>
      <w:r>
        <w:tab/>
        <w:t>Determination of objection</w:t>
      </w:r>
      <w:bookmarkEnd w:id="74"/>
      <w:bookmarkEnd w:id="75"/>
    </w:p>
    <w:p>
      <w:pPr>
        <w:pStyle w:val="Subsection"/>
      </w:pPr>
      <w:r>
        <w:tab/>
      </w:r>
      <w:r>
        <w:tab/>
        <w:t>The CIPS must consider and make a decision on an objection in accordance with the regulations.</w:t>
      </w:r>
    </w:p>
    <w:p>
      <w:pPr>
        <w:pStyle w:val="Footnotesection"/>
      </w:pPr>
      <w:r>
        <w:tab/>
        <w:t>[Section 15 amended: No. 36 of 2020 s. 318.]</w:t>
      </w:r>
    </w:p>
    <w:p>
      <w:pPr>
        <w:pStyle w:val="Heading5"/>
      </w:pPr>
      <w:bookmarkStart w:id="76" w:name="_Toc166681011"/>
      <w:bookmarkStart w:id="77" w:name="_Toc99021442"/>
      <w:r>
        <w:rPr>
          <w:rStyle w:val="CharSectno"/>
        </w:rPr>
        <w:t>16</w:t>
      </w:r>
      <w:r>
        <w:t>.</w:t>
      </w:r>
      <w:r>
        <w:tab/>
        <w:t>Review of decision on objection</w:t>
      </w:r>
      <w:bookmarkEnd w:id="76"/>
      <w:bookmarkEnd w:id="77"/>
    </w:p>
    <w:p>
      <w:pPr>
        <w:pStyle w:val="Subsection"/>
      </w:pPr>
      <w:r>
        <w:tab/>
      </w:r>
      <w:r>
        <w:tab/>
        <w:t>A person who is dissatisfied with a decision of the CIPS on an objection may apply to the State Administrative Tribunal for a review of the decision.</w:t>
      </w:r>
    </w:p>
    <w:p>
      <w:pPr>
        <w:pStyle w:val="Footnotesection"/>
      </w:pPr>
      <w:r>
        <w:tab/>
        <w:t>[Section 16 amended: No. 36 of 2020 s. 319.]</w:t>
      </w:r>
    </w:p>
    <w:p>
      <w:pPr>
        <w:pStyle w:val="Heading5"/>
      </w:pPr>
      <w:bookmarkStart w:id="78" w:name="_Toc166681012"/>
      <w:bookmarkStart w:id="79" w:name="_Toc99021443"/>
      <w:r>
        <w:rPr>
          <w:rStyle w:val="CharSectno"/>
        </w:rPr>
        <w:t>17</w:t>
      </w:r>
      <w:r>
        <w:t>.</w:t>
      </w:r>
      <w:r>
        <w:tab/>
        <w:t>Liability to pay not affected by objection</w:t>
      </w:r>
      <w:bookmarkEnd w:id="78"/>
      <w:bookmarkEnd w:id="79"/>
    </w:p>
    <w:p>
      <w:pPr>
        <w:pStyle w:val="Subsection"/>
      </w:pPr>
      <w:r>
        <w:tab/>
      </w:r>
      <w:r>
        <w:tab/>
        <w:t>A person’s liability to pay an amount of safety levy, or a penalty amount, is not affected by the making of an objection.</w:t>
      </w:r>
    </w:p>
    <w:p>
      <w:pPr>
        <w:pStyle w:val="Heading2"/>
      </w:pPr>
      <w:bookmarkStart w:id="80" w:name="_Toc166679359"/>
      <w:bookmarkStart w:id="81" w:name="_Toc166679670"/>
      <w:bookmarkStart w:id="82" w:name="_Toc166681013"/>
      <w:bookmarkStart w:id="83" w:name="_Toc98488870"/>
      <w:bookmarkStart w:id="84" w:name="_Toc98491750"/>
      <w:bookmarkStart w:id="85" w:name="_Toc99021444"/>
      <w:r>
        <w:rPr>
          <w:rStyle w:val="CharPartNo"/>
        </w:rPr>
        <w:t>Part 5</w:t>
      </w:r>
      <w:r>
        <w:rPr>
          <w:rStyle w:val="CharDivNo"/>
        </w:rPr>
        <w:t> </w:t>
      </w:r>
      <w:r>
        <w:t>—</w:t>
      </w:r>
      <w:r>
        <w:rPr>
          <w:rStyle w:val="CharDivText"/>
        </w:rPr>
        <w:t> </w:t>
      </w:r>
      <w:r>
        <w:rPr>
          <w:rStyle w:val="CharPartText"/>
        </w:rPr>
        <w:t>Information and records</w:t>
      </w:r>
      <w:bookmarkEnd w:id="80"/>
      <w:bookmarkEnd w:id="81"/>
      <w:bookmarkEnd w:id="82"/>
      <w:bookmarkEnd w:id="83"/>
      <w:bookmarkEnd w:id="84"/>
      <w:bookmarkEnd w:id="85"/>
    </w:p>
    <w:p>
      <w:pPr>
        <w:pStyle w:val="Heading5"/>
      </w:pPr>
      <w:bookmarkStart w:id="86" w:name="_Toc166681014"/>
      <w:bookmarkStart w:id="87" w:name="_Toc99021445"/>
      <w:r>
        <w:rPr>
          <w:rStyle w:val="CharSectno"/>
        </w:rPr>
        <w:t>18</w:t>
      </w:r>
      <w:r>
        <w:t>.</w:t>
      </w:r>
      <w:r>
        <w:tab/>
        <w:t>CIPS may require information and records</w:t>
      </w:r>
      <w:bookmarkEnd w:id="86"/>
      <w:bookmarkEnd w:id="87"/>
    </w:p>
    <w:p>
      <w:pPr>
        <w:pStyle w:val="Subsection"/>
      </w:pPr>
      <w:r>
        <w:tab/>
        <w:t>(1)</w:t>
      </w:r>
      <w:r>
        <w:tab/>
        <w:t xml:space="preserve">The CIPS, for the purposes of the administration and enforcement of this Act, may do any of the following — </w:t>
      </w:r>
    </w:p>
    <w:p>
      <w:pPr>
        <w:pStyle w:val="Indenta"/>
      </w:pPr>
      <w:r>
        <w:tab/>
        <w:t>(a)</w:t>
      </w:r>
      <w:r>
        <w:tab/>
        <w:t xml:space="preserve">direct a person — </w:t>
      </w:r>
    </w:p>
    <w:p>
      <w:pPr>
        <w:pStyle w:val="Indenti"/>
      </w:pPr>
      <w:r>
        <w:tab/>
        <w:t>(i)</w:t>
      </w:r>
      <w:r>
        <w:tab/>
        <w:t>to give such information as the CIPS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Footnotesection"/>
      </w:pPr>
      <w:r>
        <w:tab/>
        <w:t>[Section 18 amended: No. 36 of 2020 s. 320.]</w:t>
      </w:r>
    </w:p>
    <w:p>
      <w:pPr>
        <w:pStyle w:val="Heading5"/>
      </w:pPr>
      <w:bookmarkStart w:id="88" w:name="_Toc166681015"/>
      <w:bookmarkStart w:id="89" w:name="_Toc99021446"/>
      <w:r>
        <w:rPr>
          <w:rStyle w:val="CharSectno"/>
        </w:rPr>
        <w:t>19</w:t>
      </w:r>
      <w:r>
        <w:t>.</w:t>
      </w:r>
      <w:r>
        <w:tab/>
        <w:t>Incriminating information</w:t>
      </w:r>
      <w:bookmarkEnd w:id="88"/>
      <w:bookmarkEnd w:id="89"/>
    </w:p>
    <w:p>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20.</w:t>
      </w:r>
    </w:p>
    <w:p>
      <w:pPr>
        <w:pStyle w:val="Heading5"/>
      </w:pPr>
      <w:bookmarkStart w:id="90" w:name="_Toc166681016"/>
      <w:bookmarkStart w:id="91" w:name="_Toc99021447"/>
      <w:r>
        <w:rPr>
          <w:rStyle w:val="CharSectno"/>
        </w:rPr>
        <w:t>20</w:t>
      </w:r>
      <w:r>
        <w:t>.</w:t>
      </w:r>
      <w:r>
        <w:tab/>
        <w:t>False or misleading information</w:t>
      </w:r>
      <w:bookmarkEnd w:id="90"/>
      <w:bookmarkEnd w:id="91"/>
    </w:p>
    <w:p>
      <w:pPr>
        <w:pStyle w:val="Subsection"/>
        <w:keepNext/>
      </w:pPr>
      <w:r>
        <w:tab/>
        <w:t>(1)</w:t>
      </w:r>
      <w:r>
        <w:tab/>
        <w:t>A person must not, in compliance or purported compliance with a direction under section 18 or any other requirement under this Act, do any of the things set out in subsection (2).</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2"/>
      </w:pPr>
      <w:bookmarkStart w:id="92" w:name="_Toc166679363"/>
      <w:bookmarkStart w:id="93" w:name="_Toc166679674"/>
      <w:bookmarkStart w:id="94" w:name="_Toc166681017"/>
      <w:bookmarkStart w:id="95" w:name="_Toc98488874"/>
      <w:bookmarkStart w:id="96" w:name="_Toc98491754"/>
      <w:bookmarkStart w:id="97" w:name="_Toc99021448"/>
      <w:r>
        <w:rPr>
          <w:rStyle w:val="CharPartNo"/>
        </w:rPr>
        <w:t>Part 6</w:t>
      </w:r>
      <w:r>
        <w:rPr>
          <w:rStyle w:val="CharDivNo"/>
        </w:rPr>
        <w:t> </w:t>
      </w:r>
      <w:r>
        <w:t>—</w:t>
      </w:r>
      <w:r>
        <w:rPr>
          <w:rStyle w:val="CharDivText"/>
        </w:rPr>
        <w:t> </w:t>
      </w:r>
      <w:r>
        <w:rPr>
          <w:rStyle w:val="CharPartText"/>
        </w:rPr>
        <w:t>Other matters</w:t>
      </w:r>
      <w:bookmarkEnd w:id="92"/>
      <w:bookmarkEnd w:id="93"/>
      <w:bookmarkEnd w:id="94"/>
      <w:bookmarkEnd w:id="95"/>
      <w:bookmarkEnd w:id="96"/>
      <w:bookmarkEnd w:id="97"/>
    </w:p>
    <w:p>
      <w:pPr>
        <w:pStyle w:val="Heading5"/>
      </w:pPr>
      <w:bookmarkStart w:id="98" w:name="_Toc166681018"/>
      <w:bookmarkStart w:id="99" w:name="_Toc99021449"/>
      <w:r>
        <w:rPr>
          <w:rStyle w:val="CharSectno"/>
        </w:rPr>
        <w:t>21</w:t>
      </w:r>
      <w:r>
        <w:t>.</w:t>
      </w:r>
      <w:r>
        <w:tab/>
        <w:t>Petroleum and Geothermal Energy Safety Levies Account</w:t>
      </w:r>
      <w:bookmarkEnd w:id="98"/>
      <w:bookmarkEnd w:id="99"/>
    </w:p>
    <w:p>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pPr>
        <w:pStyle w:val="Subsection"/>
      </w:pPr>
      <w:r>
        <w:tab/>
        <w:t>(2)</w:t>
      </w:r>
      <w:r>
        <w:tab/>
        <w:t xml:space="preserve">The Account must be credited with the following — </w:t>
      </w:r>
    </w:p>
    <w:p>
      <w:pPr>
        <w:pStyle w:val="Indenta"/>
      </w:pPr>
      <w:r>
        <w:tab/>
        <w:t>(a)</w:t>
      </w:r>
      <w:r>
        <w:tab/>
        <w:t>any safety levy paid or recovered;</w:t>
      </w:r>
    </w:p>
    <w:p>
      <w:pPr>
        <w:pStyle w:val="Indenta"/>
      </w:pPr>
      <w:r>
        <w:tab/>
        <w:t>(b)</w:t>
      </w:r>
      <w:r>
        <w:tab/>
        <w:t>any penalty amount paid or recovered.</w:t>
      </w:r>
    </w:p>
    <w:p>
      <w:pPr>
        <w:pStyle w:val="Subsection"/>
      </w:pPr>
      <w:r>
        <w:tab/>
        <w:t>(3)</w:t>
      </w:r>
      <w:r>
        <w:tab/>
        <w:t xml:space="preserve">Moneys held in the Account must be applied in payment of the costs and expenses incurred in the administration and enforcement of these enactments — </w:t>
      </w:r>
    </w:p>
    <w:p>
      <w:pPr>
        <w:pStyle w:val="Indenta"/>
      </w:pPr>
      <w:r>
        <w:tab/>
        <w:t>(a)</w:t>
      </w:r>
      <w:r>
        <w:tab/>
        <w:t>this Act;</w:t>
      </w:r>
    </w:p>
    <w:p>
      <w:pPr>
        <w:pStyle w:val="Indenta"/>
      </w:pPr>
      <w:r>
        <w:tab/>
        <w:t>(b)</w:t>
      </w:r>
      <w:r>
        <w:tab/>
        <w:t xml:space="preserve">the </w:t>
      </w:r>
      <w:r>
        <w:rPr>
          <w:i/>
        </w:rPr>
        <w:t>Work Health and Safety Act 2020</w:t>
      </w:r>
      <w:r>
        <w:t xml:space="preserve"> in relation to petroleum operations and geothermal energy operations.</w:t>
      </w:r>
    </w:p>
    <w:p>
      <w:pPr>
        <w:pStyle w:val="Ednotepara"/>
      </w:pPr>
      <w:r>
        <w:tab/>
        <w:t>[(c), (d)</w:t>
      </w:r>
      <w:r>
        <w:tab/>
        <w:t>deleted]</w:t>
      </w:r>
    </w:p>
    <w:p>
      <w:pPr>
        <w:pStyle w:val="Footnotesection"/>
      </w:pPr>
      <w:r>
        <w:tab/>
        <w:t>[Section 21 amended: No. 19 of 2012 s. 11; No. 36 of 2020 s. 321.]</w:t>
      </w:r>
    </w:p>
    <w:p>
      <w:pPr>
        <w:pStyle w:val="Heading5"/>
      </w:pPr>
      <w:bookmarkStart w:id="100" w:name="_Toc166681019"/>
      <w:bookmarkStart w:id="101" w:name="_Toc99021450"/>
      <w:r>
        <w:rPr>
          <w:rStyle w:val="CharSectno"/>
        </w:rPr>
        <w:t>22</w:t>
      </w:r>
      <w:r>
        <w:t>.</w:t>
      </w:r>
      <w:r>
        <w:tab/>
        <w:t>Delegation</w:t>
      </w:r>
      <w:bookmarkEnd w:id="100"/>
      <w:bookmarkEnd w:id="101"/>
    </w:p>
    <w:p>
      <w:pPr>
        <w:pStyle w:val="Subsection"/>
      </w:pPr>
      <w:r>
        <w:tab/>
        <w:t>(1)</w:t>
      </w:r>
      <w:r>
        <w:tab/>
        <w:t>The CIPS may delegate to a public service officer in the department any power or duty of the CIPS under another provision of this Act.</w:t>
      </w:r>
    </w:p>
    <w:p>
      <w:pPr>
        <w:pStyle w:val="Subsection"/>
      </w:pPr>
      <w:r>
        <w:tab/>
        <w:t>(2)</w:t>
      </w:r>
      <w:r>
        <w:tab/>
        <w:t>The delegation must be in writing signed by the CIPS.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CIPS to perform a function through an officer or agent.</w:t>
      </w:r>
    </w:p>
    <w:p>
      <w:pPr>
        <w:pStyle w:val="Footnotesection"/>
      </w:pPr>
      <w:r>
        <w:tab/>
        <w:t>[Section 22 amended: No. 36 of 2020 s. 322.]</w:t>
      </w:r>
    </w:p>
    <w:p>
      <w:pPr>
        <w:pStyle w:val="Heading5"/>
      </w:pPr>
      <w:bookmarkStart w:id="102" w:name="_Toc166681020"/>
      <w:bookmarkStart w:id="103" w:name="_Toc99021451"/>
      <w:r>
        <w:rPr>
          <w:rStyle w:val="CharSectno"/>
        </w:rPr>
        <w:t>23</w:t>
      </w:r>
      <w:r>
        <w:t>.</w:t>
      </w:r>
      <w:r>
        <w:tab/>
        <w:t>Confidentiality</w:t>
      </w:r>
      <w:bookmarkEnd w:id="102"/>
      <w:bookmarkEnd w:id="103"/>
    </w:p>
    <w:p>
      <w:pPr>
        <w:pStyle w:val="Subsection"/>
        <w:keepNext/>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keepNext/>
      </w:pPr>
      <w:r>
        <w:tab/>
        <w:t>(e)</w:t>
      </w:r>
      <w:r>
        <w:tab/>
        <w:t>in prescribed circumstances.</w:t>
      </w:r>
    </w:p>
    <w:p>
      <w:pPr>
        <w:pStyle w:val="Penstart"/>
      </w:pPr>
      <w:r>
        <w:tab/>
        <w:t>Penalty: a fine of $20 000.</w:t>
      </w:r>
    </w:p>
    <w:p>
      <w:pPr>
        <w:pStyle w:val="Heading5"/>
      </w:pPr>
      <w:bookmarkStart w:id="104" w:name="_Toc166681021"/>
      <w:bookmarkStart w:id="105" w:name="_Toc99021452"/>
      <w:r>
        <w:rPr>
          <w:rStyle w:val="CharSectno"/>
        </w:rPr>
        <w:t>24</w:t>
      </w:r>
      <w:r>
        <w:t>.</w:t>
      </w:r>
      <w:r>
        <w:tab/>
        <w:t>Protection from liability</w:t>
      </w:r>
      <w:bookmarkEnd w:id="104"/>
      <w:bookmarkEnd w:id="10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106" w:name="_Toc166681022"/>
      <w:bookmarkStart w:id="107" w:name="_Toc99021453"/>
      <w:r>
        <w:rPr>
          <w:rStyle w:val="CharSectno"/>
        </w:rPr>
        <w:t>25</w:t>
      </w:r>
      <w:r>
        <w:t>.</w:t>
      </w:r>
      <w:r>
        <w:tab/>
        <w:t>Evidentiary value of assessment notice</w:t>
      </w:r>
      <w:bookmarkEnd w:id="106"/>
      <w:bookmarkEnd w:id="107"/>
    </w:p>
    <w:p>
      <w:pPr>
        <w:pStyle w:val="Subsection"/>
        <w:keepNext/>
      </w:pPr>
      <w:r>
        <w:tab/>
      </w:r>
      <w:r>
        <w:tab/>
        <w:t xml:space="preserve">An assessment notice (or a copy of an assessment notice) is admissible as evidence in proceedings under this Act and, in the absence of proof to the contrary, is proof of the following — </w:t>
      </w:r>
    </w:p>
    <w:p>
      <w:pPr>
        <w:pStyle w:val="Indenta"/>
      </w:pPr>
      <w:r>
        <w:tab/>
        <w:t>(a)</w:t>
      </w:r>
      <w:r>
        <w:tab/>
        <w:t xml:space="preserve">the making of the assessment; </w:t>
      </w:r>
    </w:p>
    <w:p>
      <w:pPr>
        <w:pStyle w:val="Indenta"/>
      </w:pPr>
      <w:r>
        <w:tab/>
        <w:t>(b)</w:t>
      </w:r>
      <w:r>
        <w:tab/>
        <w:t>the amount of safety levy assessed;</w:t>
      </w:r>
    </w:p>
    <w:p>
      <w:pPr>
        <w:pStyle w:val="Indenta"/>
      </w:pPr>
      <w:r>
        <w:tab/>
        <w:t>(c)</w:t>
      </w:r>
      <w:r>
        <w:tab/>
        <w:t>the identity of the person liable to pay the safety levy;</w:t>
      </w:r>
    </w:p>
    <w:p>
      <w:pPr>
        <w:pStyle w:val="Indenta"/>
      </w:pPr>
      <w:r>
        <w:tab/>
        <w:t>(d)</w:t>
      </w:r>
      <w:r>
        <w:tab/>
        <w:t>when payment of the safety levy is due;</w:t>
      </w:r>
    </w:p>
    <w:p>
      <w:pPr>
        <w:pStyle w:val="Indenta"/>
      </w:pPr>
      <w:r>
        <w:tab/>
        <w:t>(e)</w:t>
      </w:r>
      <w:r>
        <w:tab/>
        <w:t>any other fact stated in the notice.</w:t>
      </w:r>
    </w:p>
    <w:p>
      <w:pPr>
        <w:pStyle w:val="Heading5"/>
      </w:pPr>
      <w:bookmarkStart w:id="108" w:name="_Toc166681023"/>
      <w:bookmarkStart w:id="109" w:name="_Toc99021454"/>
      <w:r>
        <w:rPr>
          <w:rStyle w:val="CharSectno"/>
        </w:rPr>
        <w:t>26</w:t>
      </w:r>
      <w:r>
        <w:t>.</w:t>
      </w:r>
      <w:r>
        <w:tab/>
        <w:t>Regulations</w:t>
      </w:r>
      <w:bookmarkEnd w:id="108"/>
      <w:bookmarkEnd w:id="109"/>
    </w:p>
    <w:p>
      <w:pPr>
        <w:pStyle w:val="Subsection"/>
        <w:keepNext/>
      </w:pPr>
      <w:r>
        <w:tab/>
        <w:t>(1)</w:t>
      </w:r>
      <w:r>
        <w:tab/>
        <w:t xml:space="preserve">The Governor may make regulations prescribing all matters that are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amount of safety levy payable to be worked out on such basis, and in accordance with such factors, as are prescribed; and</w:t>
      </w:r>
    </w:p>
    <w:p>
      <w:pPr>
        <w:pStyle w:val="Ednotepara"/>
      </w:pPr>
      <w:r>
        <w:tab/>
        <w:t>[(b), (c)</w:t>
      </w:r>
      <w:r>
        <w:tab/>
        <w:t>deleted]</w:t>
      </w:r>
    </w:p>
    <w:p>
      <w:pPr>
        <w:pStyle w:val="Indenta"/>
      </w:pPr>
      <w:r>
        <w:tab/>
        <w:t>(d)</w:t>
      </w:r>
      <w:r>
        <w:tab/>
        <w:t>deal with the assessment of the amount of safety levy payable and the procedure for assessment; and</w:t>
      </w:r>
    </w:p>
    <w:p>
      <w:pPr>
        <w:pStyle w:val="Indenta"/>
      </w:pPr>
      <w:r>
        <w:tab/>
        <w:t>(e)</w:t>
      </w:r>
      <w:r>
        <w:tab/>
        <w:t>deal with the reassessment of the amount of safety levy payable and the procedure for reassessment; and</w:t>
      </w:r>
    </w:p>
    <w:p>
      <w:pPr>
        <w:pStyle w:val="Indenta"/>
      </w:pPr>
      <w:r>
        <w:tab/>
        <w:t>(f)</w:t>
      </w:r>
      <w:r>
        <w:tab/>
        <w:t>provide for the payment and recovery of amounts, or the refund of amounts, after reassessment; and</w:t>
      </w:r>
    </w:p>
    <w:p>
      <w:pPr>
        <w:pStyle w:val="Indenta"/>
      </w:pPr>
      <w:r>
        <w:tab/>
        <w:t>(g)</w:t>
      </w:r>
      <w:r>
        <w:tab/>
        <w:t>provide for matters relating to the determination of objections, and the review of decisions on objections, under Part 4; and</w:t>
      </w:r>
    </w:p>
    <w:p>
      <w:pPr>
        <w:pStyle w:val="Indenta"/>
      </w:pPr>
      <w:r>
        <w:tab/>
        <w:t>(h)</w:t>
      </w:r>
      <w:r>
        <w:tab/>
        <w:t>provide for the keeping of records by persons who are or may be liable to pay a safety levy; and</w:t>
      </w:r>
    </w:p>
    <w:p>
      <w:pPr>
        <w:pStyle w:val="Indenta"/>
      </w:pPr>
      <w:r>
        <w:tab/>
        <w:t>(i)</w:t>
      </w:r>
      <w:r>
        <w:tab/>
        <w:t>provide for review by the State Administrative Tribunal of decisions made under the regulations; and</w:t>
      </w:r>
    </w:p>
    <w:p>
      <w:pPr>
        <w:pStyle w:val="Indenta"/>
      </w:pPr>
      <w:r>
        <w:tab/>
        <w:t>(j)</w:t>
      </w:r>
      <w:r>
        <w:tab/>
        <w:t>provide that contravention of a regulation is an offence and, for an offence against the regulations, provide for a penalty not exceeding a fine of $10 000.</w:t>
      </w:r>
    </w:p>
    <w:p>
      <w:pPr>
        <w:pStyle w:val="Subsection"/>
        <w:keepNext/>
      </w:pPr>
      <w:r>
        <w:tab/>
        <w:t>(3)</w:t>
      </w:r>
      <w:r>
        <w:tab/>
        <w:t xml:space="preserve">Without limiting subsection (1), the regulations may make different provision for different classes of safety cases or DSMSs and may, accordingly — </w:t>
      </w:r>
    </w:p>
    <w:p>
      <w:pPr>
        <w:pStyle w:val="Indenta"/>
      </w:pPr>
      <w:r>
        <w:tab/>
        <w:t>(a)</w:t>
      </w:r>
      <w:r>
        <w:tab/>
        <w:t>provide for the classification of safety cases or DSMSs; and</w:t>
      </w:r>
    </w:p>
    <w:p>
      <w:pPr>
        <w:pStyle w:val="Indenta"/>
        <w:keepNext/>
      </w:pPr>
      <w:r>
        <w:tab/>
        <w:t>(b)</w:t>
      </w:r>
      <w:r>
        <w:tab/>
        <w:t>without limiting paragraph (a), authorise or require the CIPS to determine the classification of a safety case or DSMS for the purposes of the regulations.</w:t>
      </w:r>
    </w:p>
    <w:p>
      <w:pPr>
        <w:pStyle w:val="Footnotesection"/>
      </w:pPr>
      <w:r>
        <w:tab/>
        <w:t>[Section 26 amended: No. 19 of 2012 s. 12; No. 36 of 2020 s. 323.]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544" w:gutter="0"/>
          <w:pgNumType w:start="1"/>
          <w:cols w:space="720"/>
          <w:noEndnote/>
          <w:titlePg/>
          <w:docGrid w:linePitch="326"/>
        </w:sectPr>
      </w:pPr>
    </w:p>
    <w:p>
      <w:pPr>
        <w:pStyle w:val="nHeading2"/>
      </w:pPr>
      <w:bookmarkStart w:id="110" w:name="_Toc166679370"/>
      <w:bookmarkStart w:id="111" w:name="_Toc166679681"/>
      <w:bookmarkStart w:id="112" w:name="_Toc166681024"/>
      <w:bookmarkStart w:id="113" w:name="_Toc98488881"/>
      <w:bookmarkStart w:id="114" w:name="_Toc98491761"/>
      <w:bookmarkStart w:id="115" w:name="_Toc99021455"/>
      <w:r>
        <w:t>Notes</w:t>
      </w:r>
      <w:bookmarkEnd w:id="110"/>
      <w:bookmarkEnd w:id="111"/>
      <w:bookmarkEnd w:id="112"/>
      <w:bookmarkEnd w:id="113"/>
      <w:bookmarkEnd w:id="114"/>
      <w:bookmarkEnd w:id="115"/>
    </w:p>
    <w:p>
      <w:pPr>
        <w:pStyle w:val="nStatement"/>
      </w:pPr>
      <w:r>
        <w:t xml:space="preserve">This is a compilation of the </w:t>
      </w:r>
      <w:r>
        <w:rPr>
          <w:i/>
          <w:noProof/>
        </w:rPr>
        <w:t>Petroleum and Geothermal Energy Safety Levies Act</w:t>
      </w:r>
      <w:del w:id="116" w:author="Master Repository Process" w:date="2025-05-28T13:19:00Z">
        <w:r>
          <w:rPr>
            <w:i/>
            <w:noProof/>
          </w:rPr>
          <w:delText xml:space="preserve"> </w:delText>
        </w:r>
      </w:del>
      <w:ins w:id="117" w:author="Master Repository Process" w:date="2025-05-28T13:19:00Z">
        <w:r>
          <w:rPr>
            <w:i/>
            <w:noProof/>
          </w:rPr>
          <w:t> </w:t>
        </w:r>
      </w:ins>
      <w:r>
        <w:rPr>
          <w:i/>
          <w:noProof/>
        </w:rPr>
        <w:t>2011</w:t>
      </w:r>
      <w:r>
        <w:t xml:space="preserve"> and includes amendments made by other written laws. For provisions that have come into operation see the compilation table. </w:t>
      </w:r>
      <w:ins w:id="118" w:author="Master Repository Process" w:date="2025-05-28T13:19:00Z">
        <w:r>
          <w:t>For provisions that have not yet come into operation see the uncommenced provisions table.</w:t>
        </w:r>
      </w:ins>
    </w:p>
    <w:p>
      <w:pPr>
        <w:pStyle w:val="nHeading3"/>
      </w:pPr>
      <w:bookmarkStart w:id="119" w:name="_Toc166681025"/>
      <w:bookmarkStart w:id="120" w:name="_Toc99021456"/>
      <w:r>
        <w:t>Compilation table</w:t>
      </w:r>
      <w:bookmarkEnd w:id="119"/>
      <w:bookmarkEnd w:id="12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21"/>
        <w:gridCol w:w="1247"/>
        <w:gridCol w:w="2552"/>
      </w:tblGrid>
      <w:tr>
        <w:trPr>
          <w:tblHeader/>
        </w:trPr>
        <w:tc>
          <w:tcPr>
            <w:tcW w:w="2268" w:type="dxa"/>
          </w:tcPr>
          <w:p>
            <w:pPr>
              <w:pStyle w:val="nTable"/>
              <w:spacing w:after="40"/>
              <w:rPr>
                <w:b/>
              </w:rPr>
            </w:pPr>
            <w:r>
              <w:rPr>
                <w:b/>
              </w:rPr>
              <w:t>Short title</w:t>
            </w:r>
          </w:p>
        </w:tc>
        <w:tc>
          <w:tcPr>
            <w:tcW w:w="1021" w:type="dxa"/>
          </w:tcPr>
          <w:p>
            <w:pPr>
              <w:pStyle w:val="nTable"/>
              <w:spacing w:after="40"/>
              <w:rPr>
                <w:b/>
              </w:rPr>
            </w:pPr>
            <w:r>
              <w:rPr>
                <w:b/>
              </w:rPr>
              <w:t>Number and year</w:t>
            </w:r>
          </w:p>
        </w:tc>
        <w:tc>
          <w:tcPr>
            <w:tcW w:w="1247"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Petroleum and Geothermal Energy Safety Levies Act 2011</w:t>
            </w:r>
          </w:p>
        </w:tc>
        <w:tc>
          <w:tcPr>
            <w:tcW w:w="1021" w:type="dxa"/>
            <w:tcBorders>
              <w:bottom w:val="nil"/>
            </w:tcBorders>
          </w:tcPr>
          <w:p>
            <w:pPr>
              <w:pStyle w:val="nTable"/>
              <w:spacing w:after="40"/>
            </w:pPr>
            <w:r>
              <w:t>50 of 2011</w:t>
            </w:r>
          </w:p>
        </w:tc>
        <w:tc>
          <w:tcPr>
            <w:tcW w:w="1247" w:type="dxa"/>
            <w:tcBorders>
              <w:bottom w:val="nil"/>
            </w:tcBorders>
          </w:tcPr>
          <w:p>
            <w:pPr>
              <w:pStyle w:val="nTable"/>
              <w:spacing w:after="40"/>
            </w:pPr>
            <w:r>
              <w:t>11 Nov 2011</w:t>
            </w:r>
          </w:p>
        </w:tc>
        <w:tc>
          <w:tcPr>
            <w:tcW w:w="2552" w:type="dxa"/>
            <w:tcBorders>
              <w:bottom w:val="nil"/>
            </w:tcBorders>
          </w:tcPr>
          <w:p>
            <w:pPr>
              <w:pStyle w:val="nTable"/>
              <w:spacing w:after="40"/>
            </w:pPr>
            <w:r>
              <w:t>s. 1 and 2: 11 Nov 2011 (see s. 2(a));</w:t>
            </w:r>
            <w:r>
              <w:br/>
              <w:t xml:space="preserve">Act other than s. 1 and 2: 1 Jan 2012 (see s. 2(b)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2011</w:t>
            </w:r>
          </w:p>
        </w:tc>
        <w:tc>
          <w:tcPr>
            <w:tcW w:w="1021" w:type="dxa"/>
            <w:tcBorders>
              <w:top w:val="nil"/>
              <w:bottom w:val="nil"/>
            </w:tcBorders>
          </w:tcPr>
          <w:p>
            <w:pPr>
              <w:pStyle w:val="nTable"/>
              <w:spacing w:after="40"/>
            </w:pPr>
            <w:r>
              <w:t>51 of 2011</w:t>
            </w:r>
          </w:p>
        </w:tc>
        <w:tc>
          <w:tcPr>
            <w:tcW w:w="1247" w:type="dxa"/>
            <w:tcBorders>
              <w:top w:val="nil"/>
              <w:bottom w:val="nil"/>
            </w:tcBorders>
          </w:tcPr>
          <w:p>
            <w:pPr>
              <w:pStyle w:val="nTable"/>
              <w:spacing w:after="40"/>
            </w:pPr>
            <w:r>
              <w:t>11 Nov 2011</w:t>
            </w:r>
          </w:p>
        </w:tc>
        <w:tc>
          <w:tcPr>
            <w:tcW w:w="2552" w:type="dxa"/>
            <w:tcBorders>
              <w:top w:val="nil"/>
              <w:bottom w:val="nil"/>
            </w:tcBorders>
          </w:tcPr>
          <w:p>
            <w:pPr>
              <w:pStyle w:val="nTable"/>
              <w:spacing w:after="40"/>
            </w:pPr>
            <w:r>
              <w:t>s. 1 and 2: 11 Nov 2011 (see s. 2(a));</w:t>
            </w:r>
            <w:r>
              <w:br/>
              <w:t>s. 3</w:t>
            </w:r>
            <w:r>
              <w:noBreakHyphen/>
              <w:t>5: 1 Jan 2012 (see s. 2(b)</w:t>
            </w:r>
            <w:r>
              <w:noBreakHyphen/>
              <w:t xml:space="preserve">(d)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2012</w:t>
            </w:r>
          </w:p>
        </w:tc>
        <w:tc>
          <w:tcPr>
            <w:tcW w:w="1021" w:type="dxa"/>
            <w:tcBorders>
              <w:top w:val="nil"/>
              <w:bottom w:val="nil"/>
            </w:tcBorders>
          </w:tcPr>
          <w:p>
            <w:pPr>
              <w:pStyle w:val="nTable"/>
              <w:spacing w:after="40"/>
            </w:pPr>
            <w:r>
              <w:rPr>
                <w:snapToGrid w:val="0"/>
              </w:rPr>
              <w:t>19 of 2012</w:t>
            </w:r>
          </w:p>
        </w:tc>
        <w:tc>
          <w:tcPr>
            <w:tcW w:w="1247" w:type="dxa"/>
            <w:tcBorders>
              <w:top w:val="nil"/>
              <w:bottom w:val="nil"/>
            </w:tcBorders>
          </w:tcPr>
          <w:p>
            <w:pPr>
              <w:pStyle w:val="nTable"/>
              <w:spacing w:after="40"/>
            </w:pPr>
            <w:r>
              <w:t>3 Jul 2012</w:t>
            </w:r>
          </w:p>
        </w:tc>
        <w:tc>
          <w:tcPr>
            <w:tcW w:w="2552" w:type="dxa"/>
            <w:tcBorders>
              <w:top w:val="nil"/>
              <w:bottom w:val="nil"/>
            </w:tcBorders>
          </w:tcPr>
          <w:p>
            <w:pPr>
              <w:pStyle w:val="nTable"/>
              <w:spacing w:after="40"/>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tc>
          <w:tcPr>
            <w:tcW w:w="2268" w:type="dxa"/>
            <w:tcBorders>
              <w:top w:val="nil"/>
              <w:bottom w:val="nil"/>
              <w:right w:val="nil"/>
            </w:tcBorders>
          </w:tcPr>
          <w:p>
            <w:pPr>
              <w:pStyle w:val="nTable"/>
              <w:spacing w:after="40"/>
              <w:rPr>
                <w:i/>
                <w:noProof/>
                <w:snapToGrid w:val="0"/>
              </w:rPr>
            </w:pPr>
            <w:r>
              <w:rPr>
                <w:i/>
                <w:noProof/>
                <w:snapToGrid w:val="0"/>
              </w:rPr>
              <w:t>Petroleum and Geothermal Energy Safety Levies Amendment Act (No. 2) 2012</w:t>
            </w:r>
          </w:p>
        </w:tc>
        <w:tc>
          <w:tcPr>
            <w:tcW w:w="1021" w:type="dxa"/>
            <w:tcBorders>
              <w:top w:val="nil"/>
              <w:left w:val="nil"/>
              <w:bottom w:val="nil"/>
              <w:right w:val="nil"/>
            </w:tcBorders>
          </w:tcPr>
          <w:p>
            <w:pPr>
              <w:pStyle w:val="nTable"/>
              <w:spacing w:after="40"/>
              <w:rPr>
                <w:snapToGrid w:val="0"/>
              </w:rPr>
            </w:pPr>
            <w:r>
              <w:rPr>
                <w:snapToGrid w:val="0"/>
              </w:rPr>
              <w:t>20 of 2012</w:t>
            </w:r>
          </w:p>
        </w:tc>
        <w:tc>
          <w:tcPr>
            <w:tcW w:w="1247" w:type="dxa"/>
            <w:tcBorders>
              <w:top w:val="nil"/>
              <w:left w:val="nil"/>
              <w:bottom w:val="nil"/>
              <w:right w:val="nil"/>
            </w:tcBorders>
          </w:tcPr>
          <w:p>
            <w:pPr>
              <w:pStyle w:val="nTable"/>
              <w:spacing w:after="40"/>
            </w:pPr>
            <w:r>
              <w:t>3 Jul 2012</w:t>
            </w:r>
          </w:p>
        </w:tc>
        <w:tc>
          <w:tcPr>
            <w:tcW w:w="2552" w:type="dxa"/>
            <w:tcBorders>
              <w:top w:val="nil"/>
              <w:left w:val="nil"/>
              <w:bottom w:val="nil"/>
            </w:tcBorders>
          </w:tcPr>
          <w:p>
            <w:pPr>
              <w:pStyle w:val="nTable"/>
              <w:spacing w:after="40"/>
              <w:rPr>
                <w:snapToGrid w:val="0"/>
              </w:rPr>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tc>
          <w:tcPr>
            <w:tcW w:w="2268" w:type="dxa"/>
            <w:tcBorders>
              <w:top w:val="nil"/>
              <w:bottom w:val="nil"/>
              <w:right w:val="nil"/>
            </w:tcBorders>
          </w:tcPr>
          <w:p>
            <w:pPr>
              <w:pStyle w:val="nTable"/>
              <w:spacing w:after="40"/>
              <w:rPr>
                <w:i/>
                <w:noProof/>
                <w:snapToGrid w:val="0"/>
              </w:rPr>
            </w:pPr>
            <w:r>
              <w:rPr>
                <w:i/>
              </w:rPr>
              <w:t>Work Health and Safety Act 2020</w:t>
            </w:r>
            <w:r>
              <w:t xml:space="preserve"> Pt. 15 Div. 3 Subdiv. 2</w:t>
            </w:r>
          </w:p>
        </w:tc>
        <w:tc>
          <w:tcPr>
            <w:tcW w:w="1021" w:type="dxa"/>
            <w:tcBorders>
              <w:top w:val="nil"/>
              <w:left w:val="nil"/>
              <w:bottom w:val="nil"/>
              <w:right w:val="nil"/>
            </w:tcBorders>
          </w:tcPr>
          <w:p>
            <w:pPr>
              <w:pStyle w:val="nTable"/>
              <w:spacing w:after="40"/>
              <w:rPr>
                <w:snapToGrid w:val="0"/>
              </w:rPr>
            </w:pPr>
            <w:r>
              <w:t>36 of 2020</w:t>
            </w:r>
          </w:p>
        </w:tc>
        <w:tc>
          <w:tcPr>
            <w:tcW w:w="1247" w:type="dxa"/>
            <w:tcBorders>
              <w:top w:val="nil"/>
              <w:left w:val="nil"/>
              <w:bottom w:val="nil"/>
              <w:right w:val="nil"/>
            </w:tcBorders>
          </w:tcPr>
          <w:p>
            <w:pPr>
              <w:pStyle w:val="nTable"/>
              <w:spacing w:after="40"/>
            </w:pPr>
            <w:r>
              <w:t>10 Nov 2020</w:t>
            </w:r>
          </w:p>
        </w:tc>
        <w:tc>
          <w:tcPr>
            <w:tcW w:w="2552" w:type="dxa"/>
            <w:tcBorders>
              <w:top w:val="nil"/>
              <w:left w:val="nil"/>
              <w:bottom w:val="nil"/>
            </w:tcBorders>
          </w:tcPr>
          <w:p>
            <w:pPr>
              <w:pStyle w:val="nTable"/>
              <w:spacing w:after="40"/>
              <w:rPr>
                <w:snapToGrid w:val="0"/>
              </w:rPr>
            </w:pPr>
            <w:r>
              <w:rPr>
                <w:snapToGrid w:val="0"/>
              </w:rPr>
              <w:t>31 Mar 2022 (see s. 2(1)(c) and SL 2022/18 cl. 2)</w:t>
            </w:r>
          </w:p>
        </w:tc>
      </w:tr>
      <w:tr>
        <w:tc>
          <w:tcPr>
            <w:tcW w:w="2268" w:type="dxa"/>
            <w:tcBorders>
              <w:top w:val="nil"/>
              <w:bottom w:val="single" w:sz="4" w:space="0" w:color="auto"/>
              <w:right w:val="nil"/>
            </w:tcBorders>
          </w:tcPr>
          <w:p>
            <w:pPr>
              <w:pStyle w:val="nTable"/>
              <w:spacing w:after="40"/>
              <w:rPr>
                <w:i/>
              </w:rPr>
            </w:pPr>
            <w:r>
              <w:rPr>
                <w:i/>
              </w:rPr>
              <w:t>Safety Levies Amendment Act 2020</w:t>
            </w:r>
            <w:r>
              <w:t xml:space="preserve"> Pt. 3</w:t>
            </w:r>
          </w:p>
        </w:tc>
        <w:tc>
          <w:tcPr>
            <w:tcW w:w="1021" w:type="dxa"/>
            <w:tcBorders>
              <w:top w:val="nil"/>
              <w:left w:val="nil"/>
              <w:bottom w:val="single" w:sz="4" w:space="0" w:color="auto"/>
              <w:right w:val="nil"/>
            </w:tcBorders>
          </w:tcPr>
          <w:p>
            <w:pPr>
              <w:pStyle w:val="nTable"/>
              <w:spacing w:after="40"/>
            </w:pPr>
            <w:r>
              <w:t>37 of 2020</w:t>
            </w:r>
          </w:p>
        </w:tc>
        <w:tc>
          <w:tcPr>
            <w:tcW w:w="1247" w:type="dxa"/>
            <w:tcBorders>
              <w:top w:val="nil"/>
              <w:left w:val="nil"/>
              <w:bottom w:val="single" w:sz="4" w:space="0" w:color="auto"/>
              <w:right w:val="nil"/>
            </w:tcBorders>
          </w:tcPr>
          <w:p>
            <w:pPr>
              <w:pStyle w:val="nTable"/>
              <w:spacing w:after="40"/>
            </w:pPr>
            <w:r>
              <w:t>10 Nov 2020</w:t>
            </w:r>
          </w:p>
        </w:tc>
        <w:tc>
          <w:tcPr>
            <w:tcW w:w="2552" w:type="dxa"/>
            <w:tcBorders>
              <w:top w:val="nil"/>
              <w:left w:val="nil"/>
              <w:bottom w:val="single" w:sz="4" w:space="0" w:color="auto"/>
            </w:tcBorders>
          </w:tcPr>
          <w:p>
            <w:pPr>
              <w:pStyle w:val="nTable"/>
              <w:spacing w:after="40"/>
              <w:rPr>
                <w:snapToGrid w:val="0"/>
              </w:rPr>
            </w:pPr>
            <w:r>
              <w:rPr>
                <w:snapToGrid w:val="0"/>
              </w:rPr>
              <w:t>31 Mar 2022 (see s. 2(1)(b)</w:t>
            </w:r>
            <w:r>
              <w:t xml:space="preserve"> and SL 2022/18 cl. 2</w:t>
            </w:r>
            <w:r>
              <w:rPr>
                <w:snapToGrid w:val="0"/>
              </w:rPr>
              <w:t>)</w:t>
            </w:r>
          </w:p>
        </w:tc>
      </w:tr>
    </w:tbl>
    <w:p>
      <w:pPr>
        <w:rPr>
          <w:del w:id="121" w:author="Master Repository Process" w:date="2025-05-28T13:19:00Z"/>
        </w:rPr>
      </w:pPr>
      <w:bookmarkStart w:id="122" w:name="_Toc166681026"/>
    </w:p>
    <w:p>
      <w:pPr>
        <w:rPr>
          <w:del w:id="123" w:author="Master Repository Process" w:date="2025-05-28T13:19:00Z"/>
        </w:rPr>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nHeading3"/>
        <w:rPr>
          <w:ins w:id="124" w:author="Master Repository Process" w:date="2025-05-28T13:19:00Z"/>
        </w:rPr>
      </w:pPr>
      <w:ins w:id="125" w:author="Master Repository Process" w:date="2025-05-28T13:19:00Z">
        <w:r>
          <w:t>Uncommenced provisions table</w:t>
        </w:r>
        <w:bookmarkEnd w:id="122"/>
      </w:ins>
    </w:p>
    <w:p>
      <w:pPr>
        <w:pStyle w:val="nStatement"/>
        <w:keepNext/>
        <w:spacing w:after="240"/>
        <w:rPr>
          <w:ins w:id="126" w:author="Master Repository Process" w:date="2025-05-28T13:19:00Z"/>
        </w:rPr>
      </w:pPr>
      <w:ins w:id="127" w:author="Master Repository Process" w:date="2025-05-28T13:19: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28" w:author="Master Repository Process" w:date="2025-05-28T13:19:00Z"/>
        </w:trPr>
        <w:tc>
          <w:tcPr>
            <w:tcW w:w="2268" w:type="dxa"/>
            <w:tcBorders>
              <w:bottom w:val="single" w:sz="8" w:space="0" w:color="auto"/>
            </w:tcBorders>
          </w:tcPr>
          <w:p>
            <w:pPr>
              <w:pStyle w:val="nTable"/>
              <w:spacing w:after="40"/>
              <w:rPr>
                <w:ins w:id="129" w:author="Master Repository Process" w:date="2025-05-28T13:19:00Z"/>
                <w:b/>
              </w:rPr>
            </w:pPr>
            <w:ins w:id="130" w:author="Master Repository Process" w:date="2025-05-28T13:19:00Z">
              <w:r>
                <w:rPr>
                  <w:b/>
                </w:rPr>
                <w:t>Short title</w:t>
              </w:r>
            </w:ins>
          </w:p>
        </w:tc>
        <w:tc>
          <w:tcPr>
            <w:tcW w:w="1134" w:type="dxa"/>
            <w:tcBorders>
              <w:bottom w:val="single" w:sz="8" w:space="0" w:color="auto"/>
            </w:tcBorders>
          </w:tcPr>
          <w:p>
            <w:pPr>
              <w:pStyle w:val="nTable"/>
              <w:spacing w:after="40"/>
              <w:rPr>
                <w:ins w:id="131" w:author="Master Repository Process" w:date="2025-05-28T13:19:00Z"/>
                <w:b/>
              </w:rPr>
            </w:pPr>
            <w:ins w:id="132" w:author="Master Repository Process" w:date="2025-05-28T13:19:00Z">
              <w:r>
                <w:rPr>
                  <w:b/>
                </w:rPr>
                <w:t>Number and year</w:t>
              </w:r>
            </w:ins>
          </w:p>
        </w:tc>
        <w:tc>
          <w:tcPr>
            <w:tcW w:w="1134" w:type="dxa"/>
            <w:tcBorders>
              <w:bottom w:val="single" w:sz="8" w:space="0" w:color="auto"/>
            </w:tcBorders>
          </w:tcPr>
          <w:p>
            <w:pPr>
              <w:pStyle w:val="nTable"/>
              <w:spacing w:after="40"/>
              <w:rPr>
                <w:ins w:id="133" w:author="Master Repository Process" w:date="2025-05-28T13:19:00Z"/>
                <w:b/>
              </w:rPr>
            </w:pPr>
            <w:ins w:id="134" w:author="Master Repository Process" w:date="2025-05-28T13:19:00Z">
              <w:r>
                <w:rPr>
                  <w:b/>
                </w:rPr>
                <w:t>Assent</w:t>
              </w:r>
            </w:ins>
          </w:p>
        </w:tc>
        <w:tc>
          <w:tcPr>
            <w:tcW w:w="2552" w:type="dxa"/>
            <w:tcBorders>
              <w:bottom w:val="single" w:sz="8" w:space="0" w:color="auto"/>
            </w:tcBorders>
          </w:tcPr>
          <w:p>
            <w:pPr>
              <w:pStyle w:val="nTable"/>
              <w:spacing w:after="40"/>
              <w:rPr>
                <w:ins w:id="135" w:author="Master Repository Process" w:date="2025-05-28T13:19:00Z"/>
                <w:b/>
              </w:rPr>
            </w:pPr>
            <w:ins w:id="136" w:author="Master Repository Process" w:date="2025-05-28T13:19:00Z">
              <w:r>
                <w:rPr>
                  <w:b/>
                </w:rPr>
                <w:t>Commencement</w:t>
              </w:r>
            </w:ins>
          </w:p>
        </w:tc>
      </w:tr>
      <w:tr>
        <w:trPr>
          <w:ins w:id="137" w:author="Master Repository Process" w:date="2025-05-28T13:19:00Z"/>
        </w:trPr>
        <w:tc>
          <w:tcPr>
            <w:tcW w:w="2268" w:type="dxa"/>
            <w:tcBorders>
              <w:bottom w:val="nil"/>
            </w:tcBorders>
          </w:tcPr>
          <w:p>
            <w:pPr>
              <w:pStyle w:val="nTable"/>
              <w:spacing w:after="40"/>
              <w:rPr>
                <w:ins w:id="138" w:author="Master Repository Process" w:date="2025-05-28T13:19:00Z"/>
                <w:iCs/>
              </w:rPr>
            </w:pPr>
            <w:ins w:id="139" w:author="Master Repository Process" w:date="2025-05-28T13:19:00Z">
              <w:r>
                <w:rPr>
                  <w:i/>
                </w:rPr>
                <w:t xml:space="preserve">Petroleum Legislation Amendment Act 2024 </w:t>
              </w:r>
              <w:r>
                <w:rPr>
                  <w:iCs/>
                </w:rPr>
                <w:t>Pt. 5 Div. 10</w:t>
              </w:r>
            </w:ins>
          </w:p>
        </w:tc>
        <w:tc>
          <w:tcPr>
            <w:tcW w:w="1134" w:type="dxa"/>
            <w:tcBorders>
              <w:bottom w:val="nil"/>
            </w:tcBorders>
          </w:tcPr>
          <w:p>
            <w:pPr>
              <w:pStyle w:val="nTable"/>
              <w:spacing w:after="40"/>
              <w:rPr>
                <w:ins w:id="140" w:author="Master Repository Process" w:date="2025-05-28T13:19:00Z"/>
              </w:rPr>
            </w:pPr>
            <w:ins w:id="141" w:author="Master Repository Process" w:date="2025-05-28T13:19:00Z">
              <w:r>
                <w:t>17 of 2024</w:t>
              </w:r>
            </w:ins>
          </w:p>
        </w:tc>
        <w:tc>
          <w:tcPr>
            <w:tcW w:w="1134" w:type="dxa"/>
            <w:tcBorders>
              <w:bottom w:val="nil"/>
            </w:tcBorders>
          </w:tcPr>
          <w:p>
            <w:pPr>
              <w:pStyle w:val="nTable"/>
              <w:spacing w:after="40"/>
              <w:rPr>
                <w:ins w:id="142" w:author="Master Repository Process" w:date="2025-05-28T13:19:00Z"/>
              </w:rPr>
            </w:pPr>
            <w:ins w:id="143" w:author="Master Repository Process" w:date="2025-05-28T13:19:00Z">
              <w:r>
                <w:t>14 May 2024</w:t>
              </w:r>
            </w:ins>
          </w:p>
        </w:tc>
        <w:tc>
          <w:tcPr>
            <w:tcW w:w="2552" w:type="dxa"/>
            <w:tcBorders>
              <w:bottom w:val="nil"/>
            </w:tcBorders>
          </w:tcPr>
          <w:p>
            <w:pPr>
              <w:pStyle w:val="nTable"/>
              <w:spacing w:after="40"/>
              <w:rPr>
                <w:ins w:id="144" w:author="Master Repository Process" w:date="2025-05-28T13:19:00Z"/>
              </w:rPr>
            </w:pPr>
            <w:ins w:id="145" w:author="Master Repository Process" w:date="2025-05-28T13:19:00Z">
              <w:r>
                <w:t>To be proclaimed (see s. 2(b))</w:t>
              </w:r>
            </w:ins>
          </w:p>
        </w:tc>
      </w:tr>
      <w:tr>
        <w:trPr>
          <w:ins w:id="146" w:author="Master Repository Process" w:date="2025-05-28T13:19:00Z"/>
        </w:trPr>
        <w:tc>
          <w:tcPr>
            <w:tcW w:w="2268" w:type="dxa"/>
            <w:tcBorders>
              <w:top w:val="nil"/>
            </w:tcBorders>
          </w:tcPr>
          <w:p>
            <w:pPr>
              <w:pStyle w:val="nTable"/>
              <w:spacing w:after="40"/>
              <w:rPr>
                <w:ins w:id="147" w:author="Master Repository Process" w:date="2025-05-28T13:19:00Z"/>
                <w:i/>
              </w:rPr>
            </w:pPr>
            <w:ins w:id="148" w:author="Master Repository Process" w:date="2025-05-28T13:19:00Z">
              <w:r>
                <w:rPr>
                  <w:i/>
                </w:rPr>
                <w:t>Petroleum and Geothermal Energy Safety Levies Amendment Act 2024</w:t>
              </w:r>
              <w:r>
                <w:rPr>
                  <w:iCs/>
                </w:rPr>
                <w:t xml:space="preserve"> Pt. 2 and 3</w:t>
              </w:r>
            </w:ins>
          </w:p>
        </w:tc>
        <w:tc>
          <w:tcPr>
            <w:tcW w:w="1134" w:type="dxa"/>
            <w:tcBorders>
              <w:top w:val="nil"/>
            </w:tcBorders>
          </w:tcPr>
          <w:p>
            <w:pPr>
              <w:pStyle w:val="nTable"/>
              <w:spacing w:after="40"/>
              <w:rPr>
                <w:ins w:id="149" w:author="Master Repository Process" w:date="2025-05-28T13:19:00Z"/>
              </w:rPr>
            </w:pPr>
            <w:ins w:id="150" w:author="Master Repository Process" w:date="2025-05-28T13:19:00Z">
              <w:r>
                <w:t>18 of 2024</w:t>
              </w:r>
            </w:ins>
          </w:p>
        </w:tc>
        <w:tc>
          <w:tcPr>
            <w:tcW w:w="1134" w:type="dxa"/>
            <w:tcBorders>
              <w:top w:val="nil"/>
            </w:tcBorders>
          </w:tcPr>
          <w:p>
            <w:pPr>
              <w:pStyle w:val="nTable"/>
              <w:spacing w:after="40"/>
              <w:rPr>
                <w:ins w:id="151" w:author="Master Repository Process" w:date="2025-05-28T13:19:00Z"/>
              </w:rPr>
            </w:pPr>
            <w:ins w:id="152" w:author="Master Repository Process" w:date="2025-05-28T13:19:00Z">
              <w:r>
                <w:t>14 May 2024</w:t>
              </w:r>
            </w:ins>
          </w:p>
        </w:tc>
        <w:tc>
          <w:tcPr>
            <w:tcW w:w="2552" w:type="dxa"/>
            <w:tcBorders>
              <w:top w:val="nil"/>
            </w:tcBorders>
          </w:tcPr>
          <w:p>
            <w:pPr>
              <w:pStyle w:val="nTable"/>
              <w:spacing w:after="40"/>
              <w:rPr>
                <w:ins w:id="153" w:author="Master Repository Process" w:date="2025-05-28T13:19:00Z"/>
              </w:rPr>
            </w:pPr>
            <w:ins w:id="154" w:author="Master Repository Process" w:date="2025-05-28T13:19:00Z">
              <w:r>
                <w:t>To be proclaimed (see s. 2(b))</w:t>
              </w:r>
            </w:ins>
          </w:p>
        </w:tc>
      </w:tr>
    </w:tbl>
    <w:p>
      <w:pPr>
        <w:rPr>
          <w:ins w:id="155" w:author="Master Repository Process" w:date="2025-05-28T13:19:00Z"/>
        </w:rPr>
        <w:sectPr>
          <w:headerReference w:type="even" r:id="rId23"/>
          <w:headerReference w:type="default" r:id="rId24"/>
          <w:pgSz w:w="11907" w:h="16840" w:code="9"/>
          <w:pgMar w:top="2376" w:right="2405" w:bottom="3542" w:left="2405" w:header="706" w:footer="3544" w:gutter="0"/>
          <w:cols w:space="720"/>
          <w:noEndnote/>
          <w:docGrid w:linePitch="326"/>
        </w:sectPr>
      </w:pPr>
    </w:p>
    <w:p>
      <w:ins w:id="157" w:author="Master Repository Process" w:date="2025-05-28T13:1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58" w:author="Master Repository Process" w:date="2025-05-28T13:19:00Z"/>
                                  <w:sz w:val="16"/>
                                </w:rPr>
                              </w:pPr>
                              <w:ins w:id="159" w:author="Master Repository Process" w:date="2025-05-28T13: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60" w:author="Master Repository Process" w:date="2025-05-28T13:19:00Z"/>
                                  <w:sz w:val="16"/>
                                </w:rPr>
                              </w:pPr>
                              <w:ins w:id="161" w:author="Master Repository Process" w:date="2025-05-28T13: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2" w:author="Master Repository Process" w:date="2025-05-28T13:19:00Z"/>
                                  <w:sz w:val="16"/>
                                </w:rPr>
                              </w:pPr>
                              <w:ins w:id="163" w:author="Master Repository Process" w:date="2025-05-28T13: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64" w:author="Master Repository Process" w:date="2025-05-28T13:19:00Z"/>
                                  <w:rFonts w:ascii="Arial" w:hAnsi="Arial" w:cs="Arial"/>
                                  <w:sz w:val="12"/>
                                </w:rPr>
                              </w:pPr>
                              <w:ins w:id="165" w:author="Master Repository Process" w:date="2025-05-28T13:1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66" w:author="Master Repository Process" w:date="2025-05-28T13:19:00Z"/>
                            <w:sz w:val="16"/>
                          </w:rPr>
                        </w:pPr>
                        <w:ins w:id="167" w:author="Master Repository Process" w:date="2025-05-28T13: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68" w:author="Master Repository Process" w:date="2025-05-28T13:19:00Z"/>
                            <w:sz w:val="16"/>
                          </w:rPr>
                        </w:pPr>
                        <w:ins w:id="169" w:author="Master Repository Process" w:date="2025-05-28T13: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0" w:author="Master Repository Process" w:date="2025-05-28T13:19:00Z"/>
                            <w:sz w:val="16"/>
                          </w:rPr>
                        </w:pPr>
                        <w:ins w:id="171" w:author="Master Repository Process" w:date="2025-05-28T13: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72" w:author="Master Repository Process" w:date="2025-05-28T13:19:00Z"/>
                            <w:rFonts w:ascii="Arial" w:hAnsi="Arial" w:cs="Arial"/>
                            <w:sz w:val="12"/>
                          </w:rPr>
                        </w:pPr>
                        <w:ins w:id="173" w:author="Master Repository Process" w:date="2025-05-28T13:1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52706"/>
    <w:docVar w:name="WAFER_20140115162159" w:val="RemoveTocBookmarks,RemoveUnusedBookmarks,RemoveLanguageTags,UsedStyles,ResetPageSize,UpdateArrangement"/>
    <w:docVar w:name="WAFER_20140115162159_GUID" w:val="558c0853-cdfe-4b88-95d0-ab95a1f94c11"/>
    <w:docVar w:name="WAFER_20140115162536" w:val="RemoveTocBookmarks,RunningHeaders"/>
    <w:docVar w:name="WAFER_20140115162536_GUID" w:val="45d96e27-82ba-4a67-83d2-1b413979234b"/>
    <w:docVar w:name="WAFER_20150709161151" w:val="ResetPageSize,UpdateArrangement,UpdateNTable"/>
    <w:docVar w:name="WAFER_20150709161151_GUID" w:val="5d6d1ce4-a87d-4695-983b-02f80f276f39"/>
    <w:docVar w:name="WAFER_20151109112415" w:val="UpdateStyles,UsedStyles"/>
    <w:docVar w:name="WAFER_20151109112415_GUID" w:val="083a23a5-6ed0-4159-ad9a-5c251908e3a3"/>
    <w:docVar w:name="WAFER_202011091454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45446_GUID" w:val="14e1b9b9-de68-42be-9301-058224f1f7d8"/>
    <w:docVar w:name="WAFER_20220308104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44_GUID" w:val="1db86573-e84f-4864-af20-30127a7e9187"/>
    <w:docVar w:name="WAFER_2022031716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07_GUID" w:val="edb921b8-1f6a-4616-bc17-5985ff8ca459"/>
    <w:docVar w:name="WAFER_2024051515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52706_GUID" w:val="0f19aa41-be5f-41ba-b784-8672485b54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83AB38-BB7E-4994-ABC0-72D252A91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4928</Words>
  <Characters>23558</Characters>
  <Application>Microsoft Office Word</Application>
  <DocSecurity>0</DocSecurity>
  <Lines>692</Lines>
  <Paragraphs>452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00-f0-00 - 00-g0-00</dc:title>
  <dc:subject/>
  <dc:creator/>
  <cp:keywords/>
  <dc:description/>
  <cp:lastModifiedBy>Master Repository Process</cp:lastModifiedBy>
  <cp:revision>2</cp:revision>
  <cp:lastPrinted>2011-11-14T01:25:00Z</cp:lastPrinted>
  <dcterms:created xsi:type="dcterms:W3CDTF">2025-05-28T05:18:00Z</dcterms:created>
  <dcterms:modified xsi:type="dcterms:W3CDTF">2025-05-28T05:19:00Z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20240514</vt:lpwstr>
  </property>
  <property fmtid="{D5CDD505-2E9C-101B-9397-08002B2CF9AE}" pid="6" name="CommencementAsAt">
    <vt:filetime>2024-05-13T16:00:00Z</vt:filetime>
  </property>
  <property fmtid="{D5CDD505-2E9C-101B-9397-08002B2CF9AE}" pid="7" name="CommencementYear">
    <vt:lpwstr>2024</vt:lpwstr>
  </property>
  <property fmtid="{D5CDD505-2E9C-101B-9397-08002B2CF9AE}" pid="8" name="FromSuffix">
    <vt:lpwstr>00-f0-00</vt:lpwstr>
  </property>
  <property fmtid="{D5CDD505-2E9C-101B-9397-08002B2CF9AE}" pid="9" name="FromAsAtDate">
    <vt:lpwstr>31 Mar 2022</vt:lpwstr>
  </property>
  <property fmtid="{D5CDD505-2E9C-101B-9397-08002B2CF9AE}" pid="10" name="ToSuffix">
    <vt:lpwstr>00-g0-00</vt:lpwstr>
  </property>
  <property fmtid="{D5CDD505-2E9C-101B-9397-08002B2CF9AE}" pid="11" name="ToAsAtDate">
    <vt:lpwstr>14 May 2024</vt:lpwstr>
  </property>
</Properties>
</file>