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31 Mar 2022</w:t>
      </w:r>
      <w:r>
        <w:fldChar w:fldCharType="end"/>
      </w:r>
      <w:r>
        <w:t xml:space="preserve">, </w:t>
      </w:r>
      <w:r>
        <w:fldChar w:fldCharType="begin"/>
      </w:r>
      <w:r>
        <w:instrText xml:space="preserve"> DocProperty FromSuffix </w:instrText>
      </w:r>
      <w:r>
        <w:fldChar w:fldCharType="separate"/>
      </w:r>
      <w:r>
        <w:t>04-j0-00</w:t>
      </w:r>
      <w:r>
        <w:fldChar w:fldCharType="end"/>
      </w:r>
      <w:r>
        <w:t>] and [</w:t>
      </w:r>
      <w:r>
        <w:fldChar w:fldCharType="begin"/>
      </w:r>
      <w:r>
        <w:instrText xml:space="preserve"> DocProperty ToAsAtDate</w:instrText>
      </w:r>
      <w:r>
        <w:fldChar w:fldCharType="separate"/>
      </w:r>
      <w:r>
        <w:t>14 May 2024</w:t>
      </w:r>
      <w:r>
        <w:fldChar w:fldCharType="end"/>
      </w:r>
      <w:r>
        <w:t xml:space="preserve">, </w:t>
      </w:r>
      <w:r>
        <w:fldChar w:fldCharType="begin"/>
      </w:r>
      <w:r>
        <w:instrText xml:space="preserve"> DocProperty ToSuffix</w:instrText>
      </w:r>
      <w:r>
        <w:fldChar w:fldCharType="separate"/>
      </w:r>
      <w:r>
        <w:t>04-k0-00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1" w:name="_Toc166679916"/>
      <w:bookmarkStart w:id="2" w:name="_Toc166680578"/>
      <w:bookmarkStart w:id="3" w:name="_Toc166681057"/>
      <w:bookmarkStart w:id="4" w:name="_Toc98831962"/>
      <w:bookmarkStart w:id="5" w:name="_Toc98835510"/>
      <w:bookmarkStart w:id="6" w:name="_Toc99460662"/>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r>
        <w:rPr>
          <w:rStyle w:val="CharPartText"/>
        </w:rPr>
        <w:t xml:space="preserve"> </w:t>
      </w:r>
    </w:p>
    <w:p>
      <w:pPr>
        <w:pStyle w:val="Heading5"/>
        <w:spacing w:before="240"/>
        <w:rPr>
          <w:snapToGrid w:val="0"/>
        </w:rPr>
      </w:pPr>
      <w:bookmarkStart w:id="7" w:name="_Toc166681058"/>
      <w:bookmarkStart w:id="8" w:name="_Toc99460663"/>
      <w:r>
        <w:rPr>
          <w:rStyle w:val="CharSectno"/>
        </w:rPr>
        <w:t>1</w:t>
      </w:r>
      <w:r>
        <w:rPr>
          <w:snapToGrid w:val="0"/>
        </w:rPr>
        <w:t>.</w:t>
      </w:r>
      <w:r>
        <w:rPr>
          <w:snapToGrid w:val="0"/>
        </w:rPr>
        <w:tab/>
        <w:t>Short title</w:t>
      </w:r>
      <w:bookmarkEnd w:id="7"/>
      <w:bookmarkEnd w:id="8"/>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w:t>
      </w:r>
    </w:p>
    <w:p>
      <w:pPr>
        <w:pStyle w:val="Heading5"/>
        <w:spacing w:before="240"/>
        <w:rPr>
          <w:snapToGrid w:val="0"/>
        </w:rPr>
      </w:pPr>
      <w:bookmarkStart w:id="9" w:name="_Toc166681059"/>
      <w:bookmarkStart w:id="10" w:name="_Toc99460664"/>
      <w:r>
        <w:rPr>
          <w:rStyle w:val="CharSectno"/>
        </w:rPr>
        <w:t>2</w:t>
      </w:r>
      <w:r>
        <w:rPr>
          <w:snapToGrid w:val="0"/>
        </w:rPr>
        <w:t>.</w:t>
      </w:r>
      <w:r>
        <w:rPr>
          <w:snapToGrid w:val="0"/>
        </w:rPr>
        <w:tab/>
        <w:t>Commencement</w:t>
      </w:r>
      <w:bookmarkEnd w:id="9"/>
      <w:bookmarkEnd w:id="10"/>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p>
    <w:p>
      <w:pPr>
        <w:pStyle w:val="Ednotesection"/>
        <w:spacing w:before="240"/>
      </w:pPr>
      <w:r>
        <w:t>[</w:t>
      </w:r>
      <w:r>
        <w:rPr>
          <w:b/>
        </w:rPr>
        <w:t>3.</w:t>
      </w:r>
      <w:r>
        <w:tab/>
        <w:t xml:space="preserve">Deleted: No. 12 of 1990 s. 120.] </w:t>
      </w:r>
    </w:p>
    <w:p>
      <w:pPr>
        <w:pStyle w:val="Heading5"/>
        <w:spacing w:before="240"/>
        <w:rPr>
          <w:snapToGrid w:val="0"/>
        </w:rPr>
      </w:pPr>
      <w:bookmarkStart w:id="11" w:name="_Toc166681060"/>
      <w:bookmarkStart w:id="12" w:name="_Toc99460665"/>
      <w:r>
        <w:rPr>
          <w:rStyle w:val="CharSectno"/>
        </w:rPr>
        <w:t>4</w:t>
      </w:r>
      <w:r>
        <w:rPr>
          <w:snapToGrid w:val="0"/>
        </w:rPr>
        <w:t>.</w:t>
      </w:r>
      <w:r>
        <w:rPr>
          <w:snapToGrid w:val="0"/>
        </w:rPr>
        <w:tab/>
        <w:t>Terms used</w:t>
      </w:r>
      <w:bookmarkEnd w:id="11"/>
      <w:bookmarkEnd w:id="12"/>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rPr>
          <w:iCs/>
        </w:rPr>
      </w:pPr>
      <w:r>
        <w:rPr>
          <w:b/>
          <w:i/>
        </w:rPr>
        <w:tab/>
      </w:r>
      <w:r>
        <w:rPr>
          <w:rStyle w:val="CharDefText"/>
        </w:rPr>
        <w:t>Minister for Lands</w:t>
      </w:r>
      <w:r>
        <w:t xml:space="preserve"> means the Minister as defined in the </w:t>
      </w:r>
      <w:r>
        <w:rPr>
          <w:i/>
        </w:rPr>
        <w:t xml:space="preserve">Land Administration Act 1997 </w:t>
      </w:r>
      <w:r>
        <w:rPr>
          <w:iCs/>
        </w:rPr>
        <w:t>section 3(1);</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pPr>
      <w:r>
        <w:tab/>
        <w:t>(i)</w:t>
      </w:r>
      <w:r>
        <w:tab/>
        <w:t>is entitled to the land for an estate of freehold in possession;</w:t>
      </w:r>
    </w:p>
    <w:p>
      <w:pPr>
        <w:pStyle w:val="Defsubpara"/>
        <w:keepLines w:val="0"/>
      </w:pPr>
      <w:r>
        <w:tab/>
        <w:t>(ii)</w:t>
      </w:r>
      <w:r>
        <w:tab/>
        <w:t xml:space="preserve">is a person to whom the Crown has lawfully contracted to transfer the land in fee simple under </w:t>
      </w:r>
      <w:r>
        <w:lastRenderedPageBreak/>
        <w:t xml:space="preserve">the </w:t>
      </w:r>
      <w:r>
        <w:rPr>
          <w:i/>
        </w:rPr>
        <w:t>Land Administration Act 1997</w:t>
      </w:r>
      <w:r>
        <w:t>, or any other Act;</w:t>
      </w:r>
    </w:p>
    <w:p>
      <w:pPr>
        <w:pStyle w:val="Defsubpara"/>
      </w:pPr>
      <w:r>
        <w:tab/>
        <w:t>(iii)</w:t>
      </w:r>
      <w: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keepNext/>
      </w:pPr>
      <w:r>
        <w:tab/>
        <w:t>(b)</w:t>
      </w:r>
      <w:r>
        <w:tab/>
        <w:t>a pipeline that is used — </w:t>
      </w:r>
    </w:p>
    <w:p>
      <w:pPr>
        <w:pStyle w:val="Defsubpara"/>
        <w:keepLines w:val="0"/>
      </w:pPr>
      <w:r>
        <w:tab/>
        <w:t>(i)</w:t>
      </w:r>
      <w:r>
        <w:tab/>
        <w:t>for the conveyance of petroleum from the well head to a tank or separator or for the collection of petroleum within the area in which it is produced or recovered;</w:t>
      </w:r>
    </w:p>
    <w:p>
      <w:pPr>
        <w:pStyle w:val="Defsubpara"/>
        <w:keepLines w:val="0"/>
      </w:pPr>
      <w:r>
        <w:tab/>
        <w:t>(ii)</w:t>
      </w:r>
      <w:r>
        <w:tab/>
        <w:t>for returning petroleum to a natural reservoir;</w:t>
      </w:r>
    </w:p>
    <w:p>
      <w:pPr>
        <w:pStyle w:val="Defsubpara"/>
        <w:keepLines w:val="0"/>
      </w:pPr>
      <w:r>
        <w:tab/>
        <w:t>(iii)</w:t>
      </w:r>
      <w:r>
        <w:tab/>
        <w:t>for the conveyance of petroleum for use for the purpose of petroleum exploration operations or operations for the recovery of petroleum;</w:t>
      </w:r>
    </w:p>
    <w:p>
      <w:pPr>
        <w:pStyle w:val="Defsubpara"/>
        <w:keepLines w:val="0"/>
      </w:pPr>
      <w:r>
        <w:tab/>
        <w:t>(iv)</w:t>
      </w:r>
      <w: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pPr>
      <w:r>
        <w:tab/>
        <w:t>(i)</w:t>
      </w:r>
      <w:r>
        <w:tab/>
        <w:t>which is established under an Act; and</w:t>
      </w:r>
    </w:p>
    <w:p>
      <w:pPr>
        <w:pStyle w:val="Defsubpara"/>
        <w:keepLines w:val="0"/>
      </w:pPr>
      <w:r>
        <w:tab/>
        <w:t>(ii)</w:t>
      </w:r>
      <w:r>
        <w:tab/>
        <w:t>which administers or carries out any social service or public utility for the benefit of the State; and</w:t>
      </w:r>
    </w:p>
    <w:p>
      <w:pPr>
        <w:pStyle w:val="Defsubpara"/>
        <w:keepLines w:val="0"/>
      </w:pPr>
      <w:r>
        <w:tab/>
        <w:t>(iii)</w:t>
      </w:r>
      <w: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[Section 4 amended: No. 12 of 1990 s. 121; No. 28 of 1994 s. 64; No. 73 of 1994 s. 4; No. 31 of 1997 s. 77(1) and 141; No. 20 of 1999 s. 10(5); No. 13 of 2005 s. 19; No. 8 of 2010 s. 22; No. 42 of 2010 s. 173; No. 36 of 2020 s. 325.]</w:t>
      </w:r>
    </w:p>
    <w:p>
      <w:pPr>
        <w:pStyle w:val="Heading5"/>
        <w:rPr>
          <w:snapToGrid w:val="0"/>
        </w:rPr>
      </w:pPr>
      <w:bookmarkStart w:id="13" w:name="_Toc166681061"/>
      <w:bookmarkStart w:id="14" w:name="_Toc99460666"/>
      <w:r>
        <w:rPr>
          <w:rStyle w:val="CharSectno"/>
        </w:rPr>
        <w:t>5</w:t>
      </w:r>
      <w:r>
        <w:rPr>
          <w:snapToGrid w:val="0"/>
        </w:rPr>
        <w:t>.</w:t>
      </w:r>
      <w:r>
        <w:rPr>
          <w:snapToGrid w:val="0"/>
        </w:rPr>
        <w:tab/>
        <w:t>Power of Minister to make certain declarations for interpretation purposes</w:t>
      </w:r>
      <w:bookmarkEnd w:id="13"/>
      <w:bookmarkEnd w:id="14"/>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No. 12 of 1990</w:t>
      </w:r>
      <w:r>
        <w:rPr>
          <w:vertAlign w:val="superscript"/>
        </w:rPr>
        <w:t xml:space="preserve"> </w:t>
      </w:r>
      <w:r>
        <w:rPr>
          <w:i w:val="0"/>
          <w:iCs/>
          <w:vertAlign w:val="superscript"/>
        </w:rPr>
        <w:t>2</w:t>
      </w:r>
      <w:r>
        <w:t xml:space="preserve"> s. 122.] </w:t>
      </w:r>
    </w:p>
    <w:p>
      <w:pPr>
        <w:pStyle w:val="Ednotesection"/>
        <w:spacing w:before="160"/>
      </w:pPr>
      <w:r>
        <w:t>[</w:t>
      </w:r>
      <w:r>
        <w:rPr>
          <w:b/>
        </w:rPr>
        <w:t>5AA.</w:t>
      </w:r>
      <w:r>
        <w:tab/>
        <w:t>Deleted: No. 36 of 2020 s. 326.]</w:t>
      </w:r>
    </w:p>
    <w:p>
      <w:pPr>
        <w:pStyle w:val="Heading2"/>
      </w:pPr>
      <w:bookmarkStart w:id="15" w:name="_Toc166679921"/>
      <w:bookmarkStart w:id="16" w:name="_Toc166680583"/>
      <w:bookmarkStart w:id="17" w:name="_Toc166681062"/>
      <w:bookmarkStart w:id="18" w:name="_Toc98831968"/>
      <w:bookmarkStart w:id="19" w:name="_Toc98835515"/>
      <w:bookmarkStart w:id="20" w:name="_Toc99460667"/>
      <w:r>
        <w:rPr>
          <w:rStyle w:val="CharPartNo"/>
        </w:rPr>
        <w:t>Part II</w:t>
      </w:r>
      <w:r>
        <w:rPr>
          <w:rStyle w:val="CharDivNo"/>
        </w:rPr>
        <w:t> </w:t>
      </w:r>
      <w:r>
        <w:t>—</w:t>
      </w:r>
      <w:r>
        <w:rPr>
          <w:rStyle w:val="CharDivText"/>
        </w:rPr>
        <w:t> </w:t>
      </w:r>
      <w:r>
        <w:rPr>
          <w:rStyle w:val="CharPartText"/>
        </w:rPr>
        <w:t>Licences and acquisition of land and rights over land</w:t>
      </w:r>
      <w:bookmarkEnd w:id="15"/>
      <w:bookmarkEnd w:id="16"/>
      <w:bookmarkEnd w:id="17"/>
      <w:bookmarkEnd w:id="18"/>
      <w:bookmarkEnd w:id="19"/>
      <w:bookmarkEnd w:id="20"/>
      <w:r>
        <w:rPr>
          <w:rStyle w:val="CharPartText"/>
        </w:rPr>
        <w:t xml:space="preserve"> </w:t>
      </w:r>
    </w:p>
    <w:p>
      <w:pPr>
        <w:pStyle w:val="Ednotesection"/>
        <w:spacing w:before="160"/>
      </w:pPr>
      <w:r>
        <w:t>[</w:t>
      </w:r>
      <w:r>
        <w:rPr>
          <w:b/>
        </w:rPr>
        <w:t>5A.</w:t>
      </w:r>
      <w:r>
        <w:tab/>
        <w:t>Deleted: No. 16 of 2009 s. 72.]</w:t>
      </w:r>
    </w:p>
    <w:p>
      <w:pPr>
        <w:pStyle w:val="Heading5"/>
        <w:spacing w:before="160"/>
        <w:rPr>
          <w:snapToGrid w:val="0"/>
        </w:rPr>
      </w:pPr>
      <w:bookmarkStart w:id="21" w:name="_Toc166681063"/>
      <w:bookmarkStart w:id="22" w:name="_Toc99460668"/>
      <w:r>
        <w:rPr>
          <w:rStyle w:val="CharSectno"/>
        </w:rPr>
        <w:t>6</w:t>
      </w:r>
      <w:r>
        <w:rPr>
          <w:snapToGrid w:val="0"/>
        </w:rPr>
        <w:t>.</w:t>
      </w:r>
      <w:r>
        <w:rPr>
          <w:snapToGrid w:val="0"/>
        </w:rPr>
        <w:tab/>
        <w:t>Construction etc. of pipelines</w:t>
      </w:r>
      <w:bookmarkEnd w:id="21"/>
      <w:bookmarkEnd w:id="22"/>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tab/>
        <w:t xml:space="preserve">[Section 6 amended: No. 12 of 1990 s. 123; No. 13 of 2005 s. 31; No. 42 of 2010 s. 182(1).] </w:t>
      </w:r>
    </w:p>
    <w:p>
      <w:pPr>
        <w:pStyle w:val="Heading5"/>
        <w:spacing w:before="180"/>
        <w:rPr>
          <w:snapToGrid w:val="0"/>
        </w:rPr>
      </w:pPr>
      <w:bookmarkStart w:id="23" w:name="_Toc166681064"/>
      <w:bookmarkStart w:id="24" w:name="_Toc99460669"/>
      <w:r>
        <w:rPr>
          <w:rStyle w:val="CharSectno"/>
        </w:rPr>
        <w:t>7</w:t>
      </w:r>
      <w:r>
        <w:rPr>
          <w:snapToGrid w:val="0"/>
        </w:rPr>
        <w:t>.</w:t>
      </w:r>
      <w:r>
        <w:rPr>
          <w:snapToGrid w:val="0"/>
        </w:rPr>
        <w:tab/>
        <w:t>Power of Minister to authorise entry</w:t>
      </w:r>
      <w:bookmarkEnd w:id="23"/>
      <w:bookmarkEnd w:id="24"/>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No. 12 of 1990 s. 124; No. 42 of 2010 s. 182(13).] </w:t>
      </w:r>
    </w:p>
    <w:p>
      <w:pPr>
        <w:pStyle w:val="Heading5"/>
        <w:rPr>
          <w:snapToGrid w:val="0"/>
        </w:rPr>
      </w:pPr>
      <w:bookmarkStart w:id="25" w:name="_Toc166681065"/>
      <w:bookmarkStart w:id="26" w:name="_Toc99460670"/>
      <w:r>
        <w:rPr>
          <w:rStyle w:val="CharSectno"/>
        </w:rPr>
        <w:t>8</w:t>
      </w:r>
      <w:r>
        <w:rPr>
          <w:snapToGrid w:val="0"/>
        </w:rPr>
        <w:t>.</w:t>
      </w:r>
      <w:r>
        <w:rPr>
          <w:snapToGrid w:val="0"/>
        </w:rPr>
        <w:tab/>
        <w:t>Application for licence</w:t>
      </w:r>
      <w:bookmarkEnd w:id="25"/>
      <w:bookmarkEnd w:id="26"/>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No. 12 of 1990 s. 125; No. 28 of 1994 s. 77; No. 14 of 1996 s. 4; No. 42 of 2010 s. 174.] </w:t>
      </w:r>
    </w:p>
    <w:p>
      <w:pPr>
        <w:pStyle w:val="Heading5"/>
        <w:rPr>
          <w:snapToGrid w:val="0"/>
        </w:rPr>
      </w:pPr>
      <w:bookmarkStart w:id="27" w:name="_Toc166681066"/>
      <w:bookmarkStart w:id="28" w:name="_Toc99460671"/>
      <w:r>
        <w:rPr>
          <w:rStyle w:val="CharSectno"/>
        </w:rPr>
        <w:t>9</w:t>
      </w:r>
      <w:r>
        <w:rPr>
          <w:snapToGrid w:val="0"/>
        </w:rPr>
        <w:t>.</w:t>
      </w:r>
      <w:r>
        <w:rPr>
          <w:snapToGrid w:val="0"/>
        </w:rPr>
        <w:tab/>
        <w:t>Refusal of licence</w:t>
      </w:r>
      <w:bookmarkEnd w:id="27"/>
      <w:bookmarkEnd w:id="28"/>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No. 28 of 1994 s. 65.] </w:t>
      </w:r>
    </w:p>
    <w:p>
      <w:pPr>
        <w:pStyle w:val="Heading5"/>
        <w:rPr>
          <w:snapToGrid w:val="0"/>
        </w:rPr>
      </w:pPr>
      <w:bookmarkStart w:id="29" w:name="_Toc166681067"/>
      <w:bookmarkStart w:id="30" w:name="_Toc99460672"/>
      <w:r>
        <w:rPr>
          <w:rStyle w:val="CharSectno"/>
        </w:rPr>
        <w:t>10</w:t>
      </w:r>
      <w:r>
        <w:rPr>
          <w:snapToGrid w:val="0"/>
        </w:rPr>
        <w:t>.</w:t>
      </w:r>
      <w:r>
        <w:rPr>
          <w:snapToGrid w:val="0"/>
        </w:rPr>
        <w:tab/>
        <w:t>Grant of licence</w:t>
      </w:r>
      <w:bookmarkEnd w:id="29"/>
      <w:bookmarkEnd w:id="30"/>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No. 28 of 1994 s. 66; No. 38 of 2005 s. 15.] </w:t>
      </w:r>
    </w:p>
    <w:p>
      <w:pPr>
        <w:pStyle w:val="Ednotesection"/>
      </w:pPr>
      <w:r>
        <w:t>[</w:t>
      </w:r>
      <w:r>
        <w:rPr>
          <w:b/>
        </w:rPr>
        <w:t>10A.</w:t>
      </w:r>
      <w:r>
        <w:tab/>
        <w:t xml:space="preserve">Deleted: No. 52 of 1995 s. 43.] </w:t>
      </w:r>
    </w:p>
    <w:p>
      <w:pPr>
        <w:pStyle w:val="Ednotesection"/>
      </w:pPr>
      <w:r>
        <w:t>[</w:t>
      </w:r>
      <w:r>
        <w:rPr>
          <w:b/>
        </w:rPr>
        <w:t>11.</w:t>
      </w:r>
      <w:r>
        <w:tab/>
        <w:t xml:space="preserve">Deleted: No. 42 of 2010 s. 175.] </w:t>
      </w:r>
    </w:p>
    <w:p>
      <w:pPr>
        <w:pStyle w:val="Heading5"/>
        <w:rPr>
          <w:snapToGrid w:val="0"/>
        </w:rPr>
      </w:pPr>
      <w:bookmarkStart w:id="31" w:name="_Toc166681068"/>
      <w:bookmarkStart w:id="32" w:name="_Toc99460673"/>
      <w:r>
        <w:rPr>
          <w:rStyle w:val="CharSectno"/>
        </w:rPr>
        <w:t>12</w:t>
      </w:r>
      <w:r>
        <w:rPr>
          <w:snapToGrid w:val="0"/>
        </w:rPr>
        <w:t>.</w:t>
      </w:r>
      <w:r>
        <w:rPr>
          <w:snapToGrid w:val="0"/>
        </w:rPr>
        <w:tab/>
        <w:t>Conditions of licence</w:t>
      </w:r>
      <w:bookmarkEnd w:id="31"/>
      <w:bookmarkEnd w:id="32"/>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No. 42 of 1970 s. 2; No. 10 of 1983 s. 3; No. 12 of 1990 s. 126; No. 28 of 1994 s. 68.] </w:t>
      </w:r>
    </w:p>
    <w:p>
      <w:pPr>
        <w:pStyle w:val="Heading5"/>
        <w:rPr>
          <w:snapToGrid w:val="0"/>
        </w:rPr>
      </w:pPr>
      <w:bookmarkStart w:id="33" w:name="_Toc166681069"/>
      <w:bookmarkStart w:id="34" w:name="_Toc99460674"/>
      <w:r>
        <w:rPr>
          <w:rStyle w:val="CharSectno"/>
        </w:rPr>
        <w:t>13</w:t>
      </w:r>
      <w:r>
        <w:rPr>
          <w:snapToGrid w:val="0"/>
        </w:rPr>
        <w:t>.</w:t>
      </w:r>
      <w:r>
        <w:rPr>
          <w:snapToGrid w:val="0"/>
        </w:rPr>
        <w:tab/>
        <w:t>Security</w:t>
      </w:r>
      <w:bookmarkEnd w:id="33"/>
      <w:bookmarkEnd w:id="34"/>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No. 28 of 1994 s. 69.] </w:t>
      </w:r>
    </w:p>
    <w:p>
      <w:pPr>
        <w:pStyle w:val="Heading5"/>
      </w:pPr>
      <w:bookmarkStart w:id="35" w:name="_Toc166681070"/>
      <w:bookmarkStart w:id="36" w:name="_Toc99460675"/>
      <w:r>
        <w:rPr>
          <w:rStyle w:val="CharSectno"/>
        </w:rPr>
        <w:t>14</w:t>
      </w:r>
      <w:r>
        <w:t>.</w:t>
      </w:r>
      <w:r>
        <w:tab/>
        <w:t>Term of licence</w:t>
      </w:r>
      <w:bookmarkEnd w:id="35"/>
      <w:bookmarkEnd w:id="36"/>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 No. 42 of 2010 s. 176.]</w:t>
      </w:r>
    </w:p>
    <w:p>
      <w:pPr>
        <w:pStyle w:val="Heading5"/>
      </w:pPr>
      <w:bookmarkStart w:id="37" w:name="_Toc166681071"/>
      <w:bookmarkStart w:id="38" w:name="_Toc99460676"/>
      <w:r>
        <w:rPr>
          <w:rStyle w:val="CharSectno"/>
        </w:rPr>
        <w:t>15A</w:t>
      </w:r>
      <w:r>
        <w:t>.</w:t>
      </w:r>
      <w:r>
        <w:tab/>
        <w:t>Termination of pipeline licence if no operations for 5 years</w:t>
      </w:r>
      <w:bookmarkEnd w:id="37"/>
      <w:bookmarkEnd w:id="38"/>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 No. 42 of 2010 s. 176.]</w:t>
      </w:r>
    </w:p>
    <w:p>
      <w:pPr>
        <w:pStyle w:val="Heading5"/>
        <w:rPr>
          <w:snapToGrid w:val="0"/>
        </w:rPr>
      </w:pPr>
      <w:bookmarkStart w:id="39" w:name="_Toc166681072"/>
      <w:bookmarkStart w:id="40" w:name="_Toc99460677"/>
      <w:r>
        <w:rPr>
          <w:rStyle w:val="CharSectno"/>
        </w:rPr>
        <w:t>15</w:t>
      </w:r>
      <w:r>
        <w:rPr>
          <w:snapToGrid w:val="0"/>
        </w:rPr>
        <w:t>.</w:t>
      </w:r>
      <w:r>
        <w:rPr>
          <w:snapToGrid w:val="0"/>
        </w:rPr>
        <w:tab/>
        <w:t>Variation of licence on application by licensee</w:t>
      </w:r>
      <w:bookmarkEnd w:id="39"/>
      <w:bookmarkEnd w:id="40"/>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No. 28 of 1994 s. 77; No. 42 of 2010 s. 177.] </w:t>
      </w:r>
    </w:p>
    <w:p>
      <w:pPr>
        <w:pStyle w:val="Heading5"/>
        <w:rPr>
          <w:rFonts w:eastAsia="Arial Unicode MS"/>
          <w:snapToGrid w:val="0"/>
        </w:rPr>
      </w:pPr>
      <w:bookmarkStart w:id="41" w:name="_Toc166681073"/>
      <w:bookmarkStart w:id="42" w:name="_Toc99460678"/>
      <w:r>
        <w:rPr>
          <w:rStyle w:val="CharSectno"/>
        </w:rPr>
        <w:t>16</w:t>
      </w:r>
      <w:r>
        <w:rPr>
          <w:snapToGrid w:val="0"/>
        </w:rPr>
        <w:t>.</w:t>
      </w:r>
      <w:r>
        <w:rPr>
          <w:snapToGrid w:val="0"/>
        </w:rPr>
        <w:tab/>
        <w:t>Power of Minister to grant easements etc. over Crown land</w:t>
      </w:r>
      <w:bookmarkEnd w:id="41"/>
      <w:bookmarkEnd w:id="42"/>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No. 8 of 2010 s. 23.]</w:t>
      </w:r>
    </w:p>
    <w:p>
      <w:pPr>
        <w:pStyle w:val="Heading5"/>
        <w:rPr>
          <w:snapToGrid w:val="0"/>
        </w:rPr>
      </w:pPr>
      <w:bookmarkStart w:id="43" w:name="_Toc166681074"/>
      <w:bookmarkStart w:id="44" w:name="_Toc99460679"/>
      <w:r>
        <w:rPr>
          <w:rStyle w:val="CharSectno"/>
        </w:rPr>
        <w:t>17</w:t>
      </w:r>
      <w:r>
        <w:rPr>
          <w:snapToGrid w:val="0"/>
        </w:rPr>
        <w:t>.</w:t>
      </w:r>
      <w:r>
        <w:rPr>
          <w:snapToGrid w:val="0"/>
        </w:rPr>
        <w:tab/>
        <w:t>Power of public authority to grant easements etc.</w:t>
      </w:r>
      <w:bookmarkEnd w:id="43"/>
      <w:bookmarkEnd w:id="44"/>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45" w:name="_Toc166681075"/>
      <w:bookmarkStart w:id="46" w:name="_Toc99460680"/>
      <w:r>
        <w:rPr>
          <w:rStyle w:val="CharSectno"/>
        </w:rPr>
        <w:t>18</w:t>
      </w:r>
      <w:r>
        <w:rPr>
          <w:snapToGrid w:val="0"/>
        </w:rPr>
        <w:t>.</w:t>
      </w:r>
      <w:r>
        <w:rPr>
          <w:snapToGrid w:val="0"/>
        </w:rPr>
        <w:tab/>
        <w:t>Authority to make arrangements and agreements for easements</w:t>
      </w:r>
      <w:bookmarkEnd w:id="45"/>
      <w:bookmarkEnd w:id="46"/>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47" w:name="_Toc166681076"/>
      <w:bookmarkStart w:id="48" w:name="_Toc99460681"/>
      <w:r>
        <w:rPr>
          <w:rStyle w:val="CharSectno"/>
        </w:rPr>
        <w:t>19</w:t>
      </w:r>
      <w:r>
        <w:rPr>
          <w:snapToGrid w:val="0"/>
        </w:rPr>
        <w:t>.</w:t>
      </w:r>
      <w:r>
        <w:rPr>
          <w:snapToGrid w:val="0"/>
        </w:rPr>
        <w:tab/>
        <w:t>Taking of land or easement over land for the purposes of or incidental to construction or operation of pipeline</w:t>
      </w:r>
      <w:bookmarkEnd w:id="47"/>
      <w:bookmarkEnd w:id="48"/>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w:t>
      </w:r>
      <w:r>
        <w:t xml:space="preserve"> Registrar of Deeds and Transfers</w:t>
      </w:r>
      <w:r>
        <w:rPr>
          <w:snapToGrid w:val="0"/>
        </w:rPr>
        <w:t>, who shall, by memorial in the Register of Deeds, duly record the notification of the easement.</w:t>
      </w:r>
    </w:p>
    <w:p>
      <w:pPr>
        <w:pStyle w:val="Footnotesection"/>
      </w:pPr>
      <w:r>
        <w:tab/>
        <w:t>[Section 19 amended: No. 31 of 1997 s. 77(2)</w:t>
      </w:r>
      <w:r>
        <w:noBreakHyphen/>
        <w:t>(4) and 142</w:t>
      </w:r>
      <w:r>
        <w:rPr>
          <w:spacing w:val="-4"/>
        </w:rPr>
        <w:t>; No. 47 of 2011 s.</w:t>
      </w:r>
      <w:r>
        <w:t> 16.]</w:t>
      </w:r>
    </w:p>
    <w:p>
      <w:pPr>
        <w:pStyle w:val="Heading5"/>
        <w:spacing w:before="260"/>
        <w:rPr>
          <w:snapToGrid w:val="0"/>
        </w:rPr>
      </w:pPr>
      <w:bookmarkStart w:id="49" w:name="_Toc166681077"/>
      <w:bookmarkStart w:id="50" w:name="_Toc99460682"/>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49"/>
      <w:bookmarkEnd w:id="50"/>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 xml:space="preserve">the Minister shall notify in writing forthwith the Registrar of Titles or the </w:t>
      </w:r>
      <w:r>
        <w:t>Registrar of Deeds and Transfers</w:t>
      </w:r>
      <w:r>
        <w:rPr>
          <w:snapToGrid w:val="0"/>
        </w:rPr>
        <w:t xml:space="preserve">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w:t>
      </w:r>
      <w:r>
        <w:t xml:space="preserve"> Registrar of Deeds and Transfers</w:t>
      </w:r>
      <w:r>
        <w:rPr>
          <w:snapToGrid w:val="0"/>
        </w:rPr>
        <w:t>,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w:t>
      </w:r>
      <w:r>
        <w:t xml:space="preserve"> Registrar of Deeds and Transfers</w:t>
      </w:r>
      <w:r>
        <w:rPr>
          <w:snapToGrid w:val="0"/>
        </w:rPr>
        <w:t>.</w:t>
      </w:r>
    </w:p>
    <w:p>
      <w:pPr>
        <w:pStyle w:val="Subsection"/>
        <w:rPr>
          <w:snapToGrid w:val="0"/>
        </w:rPr>
      </w:pPr>
      <w:r>
        <w:rPr>
          <w:snapToGrid w:val="0"/>
        </w:rPr>
        <w:tab/>
        <w:t>(b)</w:t>
      </w:r>
      <w:r>
        <w:rPr>
          <w:snapToGrid w:val="0"/>
        </w:rPr>
        <w:tab/>
        <w:t xml:space="preserve">Upon receipt of such notification the Registrar of Titles or </w:t>
      </w:r>
      <w:r>
        <w:t>Registrar of Deeds and Transfers</w:t>
      </w:r>
      <w:r>
        <w:rPr>
          <w:snapToGrid w:val="0"/>
        </w:rPr>
        <w:t xml:space="preserve">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w:t>
      </w:r>
      <w:r>
        <w:t xml:space="preserve"> Registrar of Deeds and Transfers</w:t>
      </w:r>
      <w:r>
        <w:rPr>
          <w:snapToGrid w:val="0"/>
        </w:rPr>
        <w:t>,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 No. 12 of 1990 s. 127; No. 31 of 1997 s. 77(5)</w:t>
      </w:r>
      <w:r>
        <w:noBreakHyphen/>
        <w:t>(8); No. 42 of 2010 s. 182(2)</w:t>
      </w:r>
      <w:r>
        <w:rPr>
          <w:spacing w:val="-4"/>
        </w:rPr>
        <w:t>; No. 47 of 2011 s.</w:t>
      </w:r>
      <w:r>
        <w:t xml:space="preserve"> 16.] </w:t>
      </w:r>
    </w:p>
    <w:p>
      <w:pPr>
        <w:pStyle w:val="Heading5"/>
        <w:rPr>
          <w:snapToGrid w:val="0"/>
        </w:rPr>
      </w:pPr>
      <w:bookmarkStart w:id="51" w:name="_Toc166681078"/>
      <w:bookmarkStart w:id="52" w:name="_Toc99460683"/>
      <w:r>
        <w:rPr>
          <w:rStyle w:val="CharSectno"/>
        </w:rPr>
        <w:t>21</w:t>
      </w:r>
      <w:r>
        <w:rPr>
          <w:snapToGrid w:val="0"/>
        </w:rPr>
        <w:t>.</w:t>
      </w:r>
      <w:r>
        <w:rPr>
          <w:snapToGrid w:val="0"/>
        </w:rPr>
        <w:tab/>
        <w:t>Directions as to conveyance of petroleum</w:t>
      </w:r>
      <w:bookmarkEnd w:id="51"/>
      <w:bookmarkEnd w:id="52"/>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No. 12 of 1990 s. 128; No. 28 of 1994 s. 77; No. 65 of 1998 s. 89; No. 42 of 2010 s. 182(13).] </w:t>
      </w:r>
    </w:p>
    <w:p>
      <w:pPr>
        <w:pStyle w:val="Heading5"/>
        <w:keepLines w:val="0"/>
        <w:rPr>
          <w:snapToGrid w:val="0"/>
        </w:rPr>
      </w:pPr>
      <w:bookmarkStart w:id="53" w:name="_Toc166681079"/>
      <w:bookmarkStart w:id="54" w:name="_Toc99460684"/>
      <w:r>
        <w:rPr>
          <w:rStyle w:val="CharSectno"/>
        </w:rPr>
        <w:t>22</w:t>
      </w:r>
      <w:r>
        <w:rPr>
          <w:snapToGrid w:val="0"/>
        </w:rPr>
        <w:t>.</w:t>
      </w:r>
      <w:r>
        <w:rPr>
          <w:snapToGrid w:val="0"/>
        </w:rPr>
        <w:tab/>
        <w:t>Exemptions</w:t>
      </w:r>
      <w:bookmarkEnd w:id="53"/>
      <w:bookmarkEnd w:id="54"/>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No. 65 of 1998 s. 89; No. 13 of 2005 s. 31.]</w:t>
      </w:r>
    </w:p>
    <w:p>
      <w:pPr>
        <w:pStyle w:val="Heading5"/>
        <w:spacing w:before="180"/>
        <w:rPr>
          <w:snapToGrid w:val="0"/>
        </w:rPr>
      </w:pPr>
      <w:bookmarkStart w:id="55" w:name="_Toc166681080"/>
      <w:bookmarkStart w:id="56" w:name="_Toc99460685"/>
      <w:r>
        <w:rPr>
          <w:rStyle w:val="CharSectno"/>
        </w:rPr>
        <w:t>23</w:t>
      </w:r>
      <w:r>
        <w:rPr>
          <w:snapToGrid w:val="0"/>
        </w:rPr>
        <w:t>.</w:t>
      </w:r>
      <w:r>
        <w:rPr>
          <w:snapToGrid w:val="0"/>
        </w:rPr>
        <w:tab/>
        <w:t>Surrender of licence</w:t>
      </w:r>
      <w:bookmarkEnd w:id="55"/>
      <w:bookmarkEnd w:id="56"/>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57" w:name="_Toc166681081"/>
      <w:bookmarkStart w:id="58" w:name="_Toc99460686"/>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57"/>
      <w:bookmarkEnd w:id="58"/>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59" w:name="_Toc166681082"/>
      <w:bookmarkStart w:id="60" w:name="_Toc99460687"/>
      <w:r>
        <w:rPr>
          <w:rStyle w:val="CharSectno"/>
        </w:rPr>
        <w:t>25</w:t>
      </w:r>
      <w:r>
        <w:rPr>
          <w:snapToGrid w:val="0"/>
        </w:rPr>
        <w:t>.</w:t>
      </w:r>
      <w:r>
        <w:rPr>
          <w:snapToGrid w:val="0"/>
        </w:rPr>
        <w:tab/>
        <w:t>Change in position or route of pipeline</w:t>
      </w:r>
      <w:bookmarkEnd w:id="59"/>
      <w:bookmarkEnd w:id="60"/>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No. 12 of 1990 s. 129; No. 42 of 2010 s. 182(13).] </w:t>
      </w:r>
    </w:p>
    <w:p>
      <w:pPr>
        <w:pStyle w:val="Heading5"/>
        <w:rPr>
          <w:snapToGrid w:val="0"/>
        </w:rPr>
      </w:pPr>
      <w:bookmarkStart w:id="61" w:name="_Toc166681083"/>
      <w:bookmarkStart w:id="62" w:name="_Toc99460688"/>
      <w:r>
        <w:rPr>
          <w:rStyle w:val="CharSectno"/>
        </w:rPr>
        <w:t>26</w:t>
      </w:r>
      <w:r>
        <w:rPr>
          <w:snapToGrid w:val="0"/>
        </w:rPr>
        <w:t>.</w:t>
      </w:r>
      <w:r>
        <w:rPr>
          <w:snapToGrid w:val="0"/>
        </w:rPr>
        <w:tab/>
        <w:t>Cancellation of licences not affected by other provisions</w:t>
      </w:r>
      <w:bookmarkEnd w:id="61"/>
      <w:bookmarkEnd w:id="62"/>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63" w:name="_Toc166681084"/>
      <w:bookmarkStart w:id="64" w:name="_Toc99460689"/>
      <w:r>
        <w:rPr>
          <w:rStyle w:val="CharSectno"/>
        </w:rPr>
        <w:t>27</w:t>
      </w:r>
      <w:r>
        <w:rPr>
          <w:snapToGrid w:val="0"/>
        </w:rPr>
        <w:t>.</w:t>
      </w:r>
      <w:r>
        <w:rPr>
          <w:snapToGrid w:val="0"/>
        </w:rPr>
        <w:tab/>
        <w:t>Removal of property etc. by licensee</w:t>
      </w:r>
      <w:bookmarkEnd w:id="63"/>
      <w:bookmarkEnd w:id="64"/>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 xml:space="preserve">[Section 27 amended: No. 12 of 1990 s. 130; No. 42 of 2010 s. 182(3).] </w:t>
      </w:r>
    </w:p>
    <w:p>
      <w:pPr>
        <w:pStyle w:val="Heading5"/>
        <w:rPr>
          <w:snapToGrid w:val="0"/>
        </w:rPr>
      </w:pPr>
      <w:bookmarkStart w:id="65" w:name="_Toc166681085"/>
      <w:bookmarkStart w:id="66" w:name="_Toc99460690"/>
      <w:r>
        <w:rPr>
          <w:rStyle w:val="CharSectno"/>
        </w:rPr>
        <w:t>28</w:t>
      </w:r>
      <w:r>
        <w:rPr>
          <w:snapToGrid w:val="0"/>
        </w:rPr>
        <w:t>.</w:t>
      </w:r>
      <w:r>
        <w:rPr>
          <w:snapToGrid w:val="0"/>
        </w:rPr>
        <w:tab/>
        <w:t>Powers of Minister where direction not complied with</w:t>
      </w:r>
      <w:bookmarkEnd w:id="65"/>
      <w:bookmarkEnd w:id="66"/>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67" w:name="_Toc166681086"/>
      <w:bookmarkStart w:id="68" w:name="_Toc99460691"/>
      <w:r>
        <w:rPr>
          <w:rStyle w:val="CharSectno"/>
        </w:rPr>
        <w:t>29</w:t>
      </w:r>
      <w:r>
        <w:rPr>
          <w:snapToGrid w:val="0"/>
        </w:rPr>
        <w:t>.</w:t>
      </w:r>
      <w:r>
        <w:rPr>
          <w:snapToGrid w:val="0"/>
        </w:rPr>
        <w:tab/>
        <w:t>Licence fees</w:t>
      </w:r>
      <w:bookmarkEnd w:id="67"/>
      <w:bookmarkEnd w:id="68"/>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No. 94 of 1972 s. 4 (as amended: No. 42 of 1975); No. 10 of 1983 s. 4; No. 12 of 1990 s. 131.] </w:t>
      </w:r>
    </w:p>
    <w:p>
      <w:pPr>
        <w:pStyle w:val="Heading5"/>
        <w:rPr>
          <w:snapToGrid w:val="0"/>
        </w:rPr>
      </w:pPr>
      <w:bookmarkStart w:id="69" w:name="_Toc166681087"/>
      <w:bookmarkStart w:id="70" w:name="_Toc99460692"/>
      <w:r>
        <w:rPr>
          <w:rStyle w:val="CharSectno"/>
        </w:rPr>
        <w:t>30</w:t>
      </w:r>
      <w:r>
        <w:rPr>
          <w:snapToGrid w:val="0"/>
        </w:rPr>
        <w:t>.</w:t>
      </w:r>
      <w:r>
        <w:rPr>
          <w:snapToGrid w:val="0"/>
        </w:rPr>
        <w:tab/>
        <w:t>Penalty for late payment</w:t>
      </w:r>
      <w:bookmarkEnd w:id="69"/>
      <w:bookmarkEnd w:id="70"/>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71" w:name="_Toc166681088"/>
      <w:bookmarkStart w:id="72" w:name="_Toc99460693"/>
      <w:r>
        <w:rPr>
          <w:rStyle w:val="CharSectno"/>
        </w:rPr>
        <w:t>31</w:t>
      </w:r>
      <w:r>
        <w:rPr>
          <w:snapToGrid w:val="0"/>
        </w:rPr>
        <w:t>.</w:t>
      </w:r>
      <w:r>
        <w:rPr>
          <w:snapToGrid w:val="0"/>
        </w:rPr>
        <w:tab/>
        <w:t>Fees and penalties debts due to the Crown</w:t>
      </w:r>
      <w:bookmarkEnd w:id="71"/>
      <w:bookmarkEnd w:id="72"/>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pPr>
      <w:bookmarkStart w:id="73" w:name="_Toc166681089"/>
      <w:bookmarkStart w:id="74" w:name="_Toc99460694"/>
      <w:r>
        <w:rPr>
          <w:rStyle w:val="CharSectno"/>
        </w:rPr>
        <w:t>32</w:t>
      </w:r>
      <w:r>
        <w:t>.</w:t>
      </w:r>
      <w:r>
        <w:tab/>
        <w:t>Certain local laws not to apply to licensed pipelines</w:t>
      </w:r>
      <w:bookmarkEnd w:id="73"/>
      <w:bookmarkEnd w:id="74"/>
    </w:p>
    <w:p>
      <w:pPr>
        <w:pStyle w:val="Subsection"/>
      </w:pPr>
      <w:r>
        <w:tab/>
      </w:r>
      <w:r>
        <w:tab/>
        <w:t xml:space="preserve">The provisions of local laws made under the </w:t>
      </w:r>
      <w:r>
        <w:rPr>
          <w:i/>
        </w:rPr>
        <w:t>Local Government Act 1995</w:t>
      </w:r>
      <w:r>
        <w:t xml:space="preserve"> in relation to the following matters do not apply to or in respect of a pipeline the construction or operation of which is authorised by a licence — </w:t>
      </w:r>
    </w:p>
    <w:p>
      <w:pPr>
        <w:pStyle w:val="Indenta"/>
      </w:pPr>
      <w:r>
        <w:tab/>
        <w:t>(a)</w:t>
      </w:r>
      <w:r>
        <w:tab/>
        <w:t>the keeping, carrying, handling and storage of dangerous things;</w:t>
      </w:r>
    </w:p>
    <w:p>
      <w:pPr>
        <w:pStyle w:val="Indenta"/>
      </w:pPr>
      <w:r>
        <w:tab/>
        <w:t>(b)</w:t>
      </w:r>
      <w:r>
        <w:tab/>
        <w:t>the use, management and maintenance of thoroughfares.</w:t>
      </w:r>
    </w:p>
    <w:p>
      <w:pPr>
        <w:pStyle w:val="Footnotesection"/>
      </w:pPr>
      <w:r>
        <w:tab/>
        <w:t>[Section 32 inserted: No. 36 of 2020 s. 327.]</w:t>
      </w:r>
    </w:p>
    <w:p>
      <w:pPr>
        <w:pStyle w:val="Ednotepart"/>
      </w:pPr>
      <w:r>
        <w:t>[Part IIA (s. 32A</w:t>
      </w:r>
      <w:r>
        <w:noBreakHyphen/>
        <w:t>32H) deleted: No. 52 of 1995 s. 44.]</w:t>
      </w:r>
    </w:p>
    <w:p>
      <w:pPr>
        <w:pStyle w:val="Heading2"/>
      </w:pPr>
      <w:bookmarkStart w:id="75" w:name="_Toc166679949"/>
      <w:bookmarkStart w:id="76" w:name="_Toc166680611"/>
      <w:bookmarkStart w:id="77" w:name="_Toc166681090"/>
      <w:bookmarkStart w:id="78" w:name="_Toc98831996"/>
      <w:bookmarkStart w:id="79" w:name="_Toc98835543"/>
      <w:bookmarkStart w:id="80" w:name="_Toc99460695"/>
      <w:r>
        <w:rPr>
          <w:rStyle w:val="CharPartNo"/>
        </w:rPr>
        <w:t>Part III</w:t>
      </w:r>
      <w:r>
        <w:rPr>
          <w:rStyle w:val="CharDivNo"/>
        </w:rPr>
        <w:t> </w:t>
      </w:r>
      <w:r>
        <w:t>—</w:t>
      </w:r>
      <w:r>
        <w:rPr>
          <w:rStyle w:val="CharDivText"/>
        </w:rPr>
        <w:t> </w:t>
      </w:r>
      <w:r>
        <w:rPr>
          <w:rStyle w:val="CharPartText"/>
        </w:rPr>
        <w:t>Construction and operation of pipeline</w:t>
      </w:r>
      <w:bookmarkEnd w:id="75"/>
      <w:bookmarkEnd w:id="76"/>
      <w:bookmarkEnd w:id="77"/>
      <w:bookmarkEnd w:id="78"/>
      <w:bookmarkEnd w:id="79"/>
      <w:bookmarkEnd w:id="80"/>
      <w:r>
        <w:rPr>
          <w:rStyle w:val="CharPartText"/>
        </w:rPr>
        <w:t xml:space="preserve"> </w:t>
      </w:r>
    </w:p>
    <w:p>
      <w:pPr>
        <w:pStyle w:val="Heading5"/>
        <w:rPr>
          <w:snapToGrid w:val="0"/>
        </w:rPr>
      </w:pPr>
      <w:bookmarkStart w:id="81" w:name="_Toc166681091"/>
      <w:bookmarkStart w:id="82" w:name="_Toc99460696"/>
      <w:r>
        <w:rPr>
          <w:rStyle w:val="CharSectno"/>
        </w:rPr>
        <w:t>33</w:t>
      </w:r>
      <w:r>
        <w:rPr>
          <w:snapToGrid w:val="0"/>
        </w:rPr>
        <w:t>.</w:t>
      </w:r>
      <w:r>
        <w:rPr>
          <w:snapToGrid w:val="0"/>
        </w:rPr>
        <w:tab/>
        <w:t>Construction to be along authorised route</w:t>
      </w:r>
      <w:bookmarkEnd w:id="81"/>
      <w:bookmarkEnd w:id="82"/>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83" w:name="_Toc166681092"/>
      <w:bookmarkStart w:id="84" w:name="_Toc99460697"/>
      <w:r>
        <w:rPr>
          <w:rStyle w:val="CharSectno"/>
        </w:rPr>
        <w:t>34</w:t>
      </w:r>
      <w:r>
        <w:rPr>
          <w:snapToGrid w:val="0"/>
        </w:rPr>
        <w:t>.</w:t>
      </w:r>
      <w:r>
        <w:rPr>
          <w:snapToGrid w:val="0"/>
        </w:rPr>
        <w:tab/>
        <w:t>Construction to be in accordance with prescribed standards etc.</w:t>
      </w:r>
      <w:bookmarkEnd w:id="83"/>
      <w:bookmarkEnd w:id="84"/>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85" w:name="_Toc166681093"/>
      <w:bookmarkStart w:id="86" w:name="_Toc99460698"/>
      <w:r>
        <w:rPr>
          <w:rStyle w:val="CharSectno"/>
        </w:rPr>
        <w:t>35</w:t>
      </w:r>
      <w:r>
        <w:rPr>
          <w:snapToGrid w:val="0"/>
        </w:rPr>
        <w:t>.</w:t>
      </w:r>
      <w:r>
        <w:rPr>
          <w:snapToGrid w:val="0"/>
        </w:rPr>
        <w:tab/>
        <w:t>Pipelines to be operated continuously</w:t>
      </w:r>
      <w:bookmarkEnd w:id="85"/>
      <w:bookmarkEnd w:id="86"/>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No. 12 of 1990 s. 133; No. 42 of 2010 s. 182(13).] </w:t>
      </w:r>
    </w:p>
    <w:p>
      <w:pPr>
        <w:pStyle w:val="Heading5"/>
        <w:keepNext w:val="0"/>
        <w:keepLines w:val="0"/>
        <w:rPr>
          <w:snapToGrid w:val="0"/>
        </w:rPr>
      </w:pPr>
      <w:bookmarkStart w:id="87" w:name="_Toc166681094"/>
      <w:bookmarkStart w:id="88" w:name="_Toc99460699"/>
      <w:r>
        <w:rPr>
          <w:rStyle w:val="CharSectno"/>
        </w:rPr>
        <w:t>36</w:t>
      </w:r>
      <w:r>
        <w:rPr>
          <w:snapToGrid w:val="0"/>
        </w:rPr>
        <w:t>.</w:t>
      </w:r>
      <w:r>
        <w:rPr>
          <w:snapToGrid w:val="0"/>
        </w:rPr>
        <w:tab/>
        <w:t>Consent to commencement or resumption of pipeline operations</w:t>
      </w:r>
      <w:bookmarkEnd w:id="87"/>
      <w:bookmarkEnd w:id="88"/>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 xml:space="preserve">may, if he is of the opinion that the pipeline </w:t>
      </w:r>
      <w:r>
        <w:t>is fit to be operated,</w:t>
      </w:r>
      <w:r>
        <w:rPr>
          <w:snapToGrid w:val="0"/>
        </w:rPr>
        <w:t xml:space="preserve">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Footnotesection"/>
      </w:pPr>
      <w:r>
        <w:tab/>
        <w:t>[Section 36 amended: No. 36 of 2020 s. 328.]</w:t>
      </w:r>
    </w:p>
    <w:p>
      <w:pPr>
        <w:pStyle w:val="Heading5"/>
        <w:spacing w:before="260"/>
        <w:rPr>
          <w:snapToGrid w:val="0"/>
        </w:rPr>
      </w:pPr>
      <w:bookmarkStart w:id="89" w:name="_Toc166681095"/>
      <w:bookmarkStart w:id="90" w:name="_Toc99460700"/>
      <w:r>
        <w:rPr>
          <w:rStyle w:val="CharSectno"/>
        </w:rPr>
        <w:t>36A</w:t>
      </w:r>
      <w:r>
        <w:rPr>
          <w:snapToGrid w:val="0"/>
        </w:rPr>
        <w:t>.</w:t>
      </w:r>
      <w:r>
        <w:rPr>
          <w:snapToGrid w:val="0"/>
        </w:rPr>
        <w:tab/>
        <w:t>Manner of operating pipelines</w:t>
      </w:r>
      <w:bookmarkEnd w:id="89"/>
      <w:bookmarkEnd w:id="90"/>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 xml:space="preserve">[Section 36A inserted: No. 28 of 1994 s. 70; amended: No. 13 of 2005 s. 21; No. 42 of 2010 s. 182(13).] </w:t>
      </w:r>
    </w:p>
    <w:p>
      <w:pPr>
        <w:pStyle w:val="Heading5"/>
        <w:spacing w:before="260"/>
        <w:rPr>
          <w:snapToGrid w:val="0"/>
        </w:rPr>
      </w:pPr>
      <w:bookmarkStart w:id="91" w:name="_Toc166681096"/>
      <w:bookmarkStart w:id="92" w:name="_Toc99460701"/>
      <w:r>
        <w:rPr>
          <w:rStyle w:val="CharSectno"/>
        </w:rPr>
        <w:t>37</w:t>
      </w:r>
      <w:r>
        <w:rPr>
          <w:snapToGrid w:val="0"/>
        </w:rPr>
        <w:t>.</w:t>
      </w:r>
      <w:r>
        <w:rPr>
          <w:snapToGrid w:val="0"/>
        </w:rPr>
        <w:tab/>
        <w:t>Waste or escape of substances from pipeline</w:t>
      </w:r>
      <w:bookmarkEnd w:id="91"/>
      <w:bookmarkEnd w:id="92"/>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tab/>
        <w:t xml:space="preserve">[Section 37 amended: No. 12 of 1990 s. 134; No. 42 of 2010 s. 182(13).] </w:t>
      </w:r>
    </w:p>
    <w:p>
      <w:pPr>
        <w:pStyle w:val="Heading5"/>
        <w:rPr>
          <w:snapToGrid w:val="0"/>
        </w:rPr>
      </w:pPr>
      <w:bookmarkStart w:id="93" w:name="_Toc166681097"/>
      <w:bookmarkStart w:id="94" w:name="_Toc99460702"/>
      <w:r>
        <w:rPr>
          <w:rStyle w:val="CharSectno"/>
        </w:rPr>
        <w:t>37A</w:t>
      </w:r>
      <w:r>
        <w:rPr>
          <w:snapToGrid w:val="0"/>
        </w:rPr>
        <w:t>.</w:t>
      </w:r>
      <w:r>
        <w:rPr>
          <w:snapToGrid w:val="0"/>
        </w:rPr>
        <w:tab/>
        <w:t>Insurance requirements</w:t>
      </w:r>
      <w:bookmarkEnd w:id="93"/>
      <w:bookmarkEnd w:id="94"/>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No. 28 of 1994 s. 71.] </w:t>
      </w:r>
    </w:p>
    <w:p>
      <w:pPr>
        <w:pStyle w:val="Heading5"/>
        <w:spacing w:before="180"/>
        <w:rPr>
          <w:snapToGrid w:val="0"/>
        </w:rPr>
      </w:pPr>
      <w:bookmarkStart w:id="95" w:name="_Toc166681098"/>
      <w:bookmarkStart w:id="96" w:name="_Toc99460703"/>
      <w:r>
        <w:rPr>
          <w:rStyle w:val="CharSectno"/>
        </w:rPr>
        <w:t>38</w:t>
      </w:r>
      <w:r>
        <w:rPr>
          <w:snapToGrid w:val="0"/>
        </w:rPr>
        <w:t>.</w:t>
      </w:r>
      <w:r>
        <w:rPr>
          <w:snapToGrid w:val="0"/>
        </w:rPr>
        <w:tab/>
        <w:t>Marking route of pipeline and maintenance etc. of property</w:t>
      </w:r>
      <w:bookmarkEnd w:id="95"/>
      <w:bookmarkEnd w:id="96"/>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 xml:space="preserve">[Section 38 amended: No. 12 of 1990 s. 135; No. 28 of 1994 s. 77; No. 42 of 2010 s. 182(13).] </w:t>
      </w:r>
    </w:p>
    <w:p>
      <w:pPr>
        <w:pStyle w:val="Heading5"/>
        <w:spacing w:before="260"/>
        <w:rPr>
          <w:snapToGrid w:val="0"/>
        </w:rPr>
      </w:pPr>
      <w:bookmarkStart w:id="97" w:name="_Toc166681099"/>
      <w:bookmarkStart w:id="98" w:name="_Toc99460704"/>
      <w:r>
        <w:rPr>
          <w:rStyle w:val="CharSectno"/>
        </w:rPr>
        <w:t>39</w:t>
      </w:r>
      <w:r>
        <w:rPr>
          <w:snapToGrid w:val="0"/>
        </w:rPr>
        <w:t>.</w:t>
      </w:r>
      <w:r>
        <w:rPr>
          <w:snapToGrid w:val="0"/>
        </w:rPr>
        <w:tab/>
        <w:t>Pipelines on agricultural land, licensee’s duties</w:t>
      </w:r>
      <w:bookmarkEnd w:id="97"/>
      <w:bookmarkEnd w:id="98"/>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99" w:name="_Toc166681100"/>
      <w:bookmarkStart w:id="100" w:name="_Toc99460705"/>
      <w:r>
        <w:rPr>
          <w:rStyle w:val="CharSectno"/>
        </w:rPr>
        <w:t>40</w:t>
      </w:r>
      <w:r>
        <w:rPr>
          <w:snapToGrid w:val="0"/>
        </w:rPr>
        <w:t>.</w:t>
      </w:r>
      <w:r>
        <w:rPr>
          <w:snapToGrid w:val="0"/>
        </w:rPr>
        <w:tab/>
        <w:t>Pipelines crossing any water</w:t>
      </w:r>
      <w:bookmarkEnd w:id="99"/>
      <w:bookmarkEnd w:id="100"/>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 xml:space="preserve">[Section 40 amended: No. 12 of 1990 s. 136; No. 42 of 2010 s. 182(13).] </w:t>
      </w:r>
    </w:p>
    <w:p>
      <w:pPr>
        <w:pStyle w:val="Heading5"/>
        <w:rPr>
          <w:snapToGrid w:val="0"/>
        </w:rPr>
      </w:pPr>
      <w:bookmarkStart w:id="101" w:name="_Toc166681101"/>
      <w:bookmarkStart w:id="102" w:name="_Toc99460706"/>
      <w:r>
        <w:rPr>
          <w:rStyle w:val="CharSectno"/>
        </w:rPr>
        <w:t>41</w:t>
      </w:r>
      <w:r>
        <w:rPr>
          <w:snapToGrid w:val="0"/>
        </w:rPr>
        <w:t>.</w:t>
      </w:r>
      <w:r>
        <w:rPr>
          <w:snapToGrid w:val="0"/>
        </w:rPr>
        <w:tab/>
        <w:t>Directions</w:t>
      </w:r>
      <w:bookmarkEnd w:id="101"/>
      <w:bookmarkEnd w:id="102"/>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No. 12 of 1990 s. 137; No. 28 of 1994 s. 72; No. 42 of 2010 s. 182(13).] </w:t>
      </w:r>
    </w:p>
    <w:p>
      <w:pPr>
        <w:pStyle w:val="Heading5"/>
        <w:rPr>
          <w:snapToGrid w:val="0"/>
        </w:rPr>
      </w:pPr>
      <w:bookmarkStart w:id="103" w:name="_Toc166681102"/>
      <w:bookmarkStart w:id="104" w:name="_Toc99460707"/>
      <w:r>
        <w:rPr>
          <w:rStyle w:val="CharSectno"/>
        </w:rPr>
        <w:t>42</w:t>
      </w:r>
      <w:r>
        <w:rPr>
          <w:snapToGrid w:val="0"/>
        </w:rPr>
        <w:t>.</w:t>
      </w:r>
      <w:r>
        <w:rPr>
          <w:snapToGrid w:val="0"/>
        </w:rPr>
        <w:tab/>
        <w:t>Non-compliance with directions</w:t>
      </w:r>
      <w:bookmarkEnd w:id="103"/>
      <w:bookmarkEnd w:id="104"/>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No. 28 of 1994 s. 73; amended: No. 13 of 2005 s. 31.] </w:t>
      </w:r>
    </w:p>
    <w:p>
      <w:pPr>
        <w:pStyle w:val="Heading2"/>
      </w:pPr>
      <w:bookmarkStart w:id="105" w:name="_Toc166679962"/>
      <w:bookmarkStart w:id="106" w:name="_Toc166680624"/>
      <w:bookmarkStart w:id="107" w:name="_Toc166681103"/>
      <w:bookmarkStart w:id="108" w:name="_Toc98832009"/>
      <w:bookmarkStart w:id="109" w:name="_Toc98835556"/>
      <w:bookmarkStart w:id="110" w:name="_Toc99460708"/>
      <w:r>
        <w:rPr>
          <w:rStyle w:val="CharPartNo"/>
        </w:rPr>
        <w:t>Part IV</w:t>
      </w:r>
      <w:r>
        <w:rPr>
          <w:rStyle w:val="CharDivNo"/>
        </w:rPr>
        <w:t> </w:t>
      </w:r>
      <w:r>
        <w:t>—</w:t>
      </w:r>
      <w:r>
        <w:rPr>
          <w:rStyle w:val="CharDivText"/>
        </w:rPr>
        <w:t> </w:t>
      </w:r>
      <w:r>
        <w:rPr>
          <w:rStyle w:val="CharPartText"/>
        </w:rPr>
        <w:t>Registration of licences and related instruments</w:t>
      </w:r>
      <w:bookmarkEnd w:id="105"/>
      <w:bookmarkEnd w:id="106"/>
      <w:bookmarkEnd w:id="107"/>
      <w:bookmarkEnd w:id="108"/>
      <w:bookmarkEnd w:id="109"/>
      <w:bookmarkEnd w:id="110"/>
      <w:r>
        <w:rPr>
          <w:rStyle w:val="CharPartText"/>
        </w:rPr>
        <w:t xml:space="preserve"> </w:t>
      </w:r>
    </w:p>
    <w:p>
      <w:pPr>
        <w:pStyle w:val="Heading5"/>
        <w:spacing w:before="180"/>
        <w:rPr>
          <w:snapToGrid w:val="0"/>
        </w:rPr>
      </w:pPr>
      <w:bookmarkStart w:id="111" w:name="_Toc166681104"/>
      <w:bookmarkStart w:id="112" w:name="_Toc99460709"/>
      <w:r>
        <w:rPr>
          <w:rStyle w:val="CharSectno"/>
        </w:rPr>
        <w:t>43</w:t>
      </w:r>
      <w:r>
        <w:rPr>
          <w:snapToGrid w:val="0"/>
        </w:rPr>
        <w:t>.</w:t>
      </w:r>
      <w:r>
        <w:rPr>
          <w:snapToGrid w:val="0"/>
        </w:rPr>
        <w:tab/>
        <w:t>Register of licences to be kept</w:t>
      </w:r>
      <w:bookmarkEnd w:id="111"/>
      <w:bookmarkEnd w:id="112"/>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No. 12 of 1990 s. 138.] </w:t>
      </w:r>
    </w:p>
    <w:p>
      <w:pPr>
        <w:pStyle w:val="Heading5"/>
        <w:rPr>
          <w:snapToGrid w:val="0"/>
        </w:rPr>
      </w:pPr>
      <w:bookmarkStart w:id="113" w:name="_Toc166681105"/>
      <w:bookmarkStart w:id="114" w:name="_Toc99460710"/>
      <w:r>
        <w:rPr>
          <w:rStyle w:val="CharSectno"/>
        </w:rPr>
        <w:t>44</w:t>
      </w:r>
      <w:r>
        <w:rPr>
          <w:snapToGrid w:val="0"/>
        </w:rPr>
        <w:t>.</w:t>
      </w:r>
      <w:r>
        <w:rPr>
          <w:snapToGrid w:val="0"/>
        </w:rPr>
        <w:tab/>
        <w:t>Approval and registration of transfers</w:t>
      </w:r>
      <w:bookmarkEnd w:id="113"/>
      <w:bookmarkEnd w:id="114"/>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No. 12 of 1990</w:t>
      </w:r>
      <w:r>
        <w:rPr>
          <w:vertAlign w:val="superscript"/>
        </w:rPr>
        <w:t xml:space="preserve"> </w:t>
      </w:r>
      <w:r>
        <w:rPr>
          <w:i w:val="0"/>
          <w:iCs/>
          <w:vertAlign w:val="superscript"/>
        </w:rPr>
        <w:t>4</w:t>
      </w:r>
      <w:r>
        <w:t xml:space="preserve"> s. 139; amended: No. 28 of 1994 s. 74.] </w:t>
      </w:r>
    </w:p>
    <w:p>
      <w:pPr>
        <w:pStyle w:val="Heading5"/>
        <w:rPr>
          <w:snapToGrid w:val="0"/>
        </w:rPr>
      </w:pPr>
      <w:bookmarkStart w:id="115" w:name="_Toc166681106"/>
      <w:bookmarkStart w:id="116" w:name="_Toc99460711"/>
      <w:r>
        <w:rPr>
          <w:rStyle w:val="CharSectno"/>
        </w:rPr>
        <w:t>45</w:t>
      </w:r>
      <w:r>
        <w:rPr>
          <w:snapToGrid w:val="0"/>
        </w:rPr>
        <w:t>.</w:t>
      </w:r>
      <w:r>
        <w:rPr>
          <w:snapToGrid w:val="0"/>
        </w:rPr>
        <w:tab/>
        <w:t>Entries in register on devolution of rights of registered holder</w:t>
      </w:r>
      <w:bookmarkEnd w:id="115"/>
      <w:bookmarkEnd w:id="116"/>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No. 10 of 1983 s. 6; No. 12 of 1990 s. 140.] </w:t>
      </w:r>
    </w:p>
    <w:p>
      <w:pPr>
        <w:pStyle w:val="Ednotesection"/>
      </w:pPr>
      <w:r>
        <w:t>[</w:t>
      </w:r>
      <w:r>
        <w:rPr>
          <w:b/>
        </w:rPr>
        <w:t>46.</w:t>
      </w:r>
      <w:r>
        <w:tab/>
        <w:t xml:space="preserve">Deleted: No. 12 of 1990 s. 141.] </w:t>
      </w:r>
    </w:p>
    <w:p>
      <w:pPr>
        <w:pStyle w:val="Heading5"/>
        <w:rPr>
          <w:snapToGrid w:val="0"/>
        </w:rPr>
      </w:pPr>
      <w:bookmarkStart w:id="117" w:name="_Toc166681107"/>
      <w:bookmarkStart w:id="118" w:name="_Toc99460712"/>
      <w:r>
        <w:rPr>
          <w:rStyle w:val="CharSectno"/>
        </w:rPr>
        <w:t>47</w:t>
      </w:r>
      <w:r>
        <w:rPr>
          <w:snapToGrid w:val="0"/>
        </w:rPr>
        <w:t>.</w:t>
      </w:r>
      <w:r>
        <w:rPr>
          <w:snapToGrid w:val="0"/>
        </w:rPr>
        <w:tab/>
        <w:t>Approval of dealings creating etc. interests etc. in existing licences</w:t>
      </w:r>
      <w:bookmarkEnd w:id="117"/>
      <w:bookmarkEnd w:id="118"/>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Acts Amendment (Petroleum) Act 1990</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No. 12 of 1990</w:t>
      </w:r>
      <w:r>
        <w:rPr>
          <w:vertAlign w:val="superscript"/>
        </w:rPr>
        <w:t xml:space="preserve"> </w:t>
      </w:r>
      <w:r>
        <w:rPr>
          <w:i w:val="0"/>
          <w:iCs/>
          <w:vertAlign w:val="superscript"/>
        </w:rPr>
        <w:t>5</w:t>
      </w:r>
      <w:r>
        <w:t xml:space="preserve"> s. 141; amended: No. 20 of 2003 s. 36.] </w:t>
      </w:r>
    </w:p>
    <w:p>
      <w:pPr>
        <w:pStyle w:val="Ednotesection"/>
      </w:pPr>
      <w:r>
        <w:t>[</w:t>
      </w:r>
      <w:r>
        <w:rPr>
          <w:b/>
        </w:rPr>
        <w:t>47A.</w:t>
      </w:r>
      <w:r>
        <w:tab/>
        <w:t>Deleted: No. 42 of 2010 s. 178.]</w:t>
      </w:r>
    </w:p>
    <w:p>
      <w:pPr>
        <w:pStyle w:val="Heading5"/>
        <w:rPr>
          <w:snapToGrid w:val="0"/>
        </w:rPr>
      </w:pPr>
      <w:bookmarkStart w:id="119" w:name="_Toc166681108"/>
      <w:bookmarkStart w:id="120" w:name="_Toc99460713"/>
      <w:r>
        <w:rPr>
          <w:rStyle w:val="CharSectno"/>
        </w:rPr>
        <w:t>48</w:t>
      </w:r>
      <w:r>
        <w:rPr>
          <w:snapToGrid w:val="0"/>
        </w:rPr>
        <w:t>.</w:t>
      </w:r>
      <w:r>
        <w:rPr>
          <w:snapToGrid w:val="0"/>
        </w:rPr>
        <w:tab/>
        <w:t>True consideration to be shown</w:t>
      </w:r>
      <w:bookmarkEnd w:id="119"/>
      <w:bookmarkEnd w:id="120"/>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 xml:space="preserve">[Section 48 inserted: No. 12 of 1990 s. 142; amended: No. 42 of 2010 s. 182(13).] </w:t>
      </w:r>
    </w:p>
    <w:p>
      <w:pPr>
        <w:pStyle w:val="Heading5"/>
        <w:keepNext w:val="0"/>
        <w:keepLines w:val="0"/>
        <w:rPr>
          <w:snapToGrid w:val="0"/>
        </w:rPr>
      </w:pPr>
      <w:bookmarkStart w:id="121" w:name="_Toc166681109"/>
      <w:bookmarkStart w:id="122" w:name="_Toc99460714"/>
      <w:r>
        <w:rPr>
          <w:rStyle w:val="CharSectno"/>
        </w:rPr>
        <w:t>49</w:t>
      </w:r>
      <w:r>
        <w:rPr>
          <w:snapToGrid w:val="0"/>
        </w:rPr>
        <w:t>.</w:t>
      </w:r>
      <w:r>
        <w:rPr>
          <w:snapToGrid w:val="0"/>
        </w:rPr>
        <w:tab/>
        <w:t>Minister not concerned with certain matters</w:t>
      </w:r>
      <w:bookmarkEnd w:id="121"/>
      <w:bookmarkEnd w:id="122"/>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No. 12 of 1990 s. 143.] </w:t>
      </w:r>
    </w:p>
    <w:p>
      <w:pPr>
        <w:pStyle w:val="Heading5"/>
        <w:rPr>
          <w:snapToGrid w:val="0"/>
        </w:rPr>
      </w:pPr>
      <w:bookmarkStart w:id="123" w:name="_Toc166681110"/>
      <w:bookmarkStart w:id="124" w:name="_Toc99460715"/>
      <w:r>
        <w:rPr>
          <w:rStyle w:val="CharSectno"/>
        </w:rPr>
        <w:t>50</w:t>
      </w:r>
      <w:r>
        <w:rPr>
          <w:snapToGrid w:val="0"/>
        </w:rPr>
        <w:t>.</w:t>
      </w:r>
      <w:r>
        <w:rPr>
          <w:snapToGrid w:val="0"/>
        </w:rPr>
        <w:tab/>
        <w:t>Power of Minister to require information as to proposed dealings</w:t>
      </w:r>
      <w:bookmarkEnd w:id="123"/>
      <w:bookmarkEnd w:id="124"/>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 xml:space="preserve">[Section 50 amended: No. 12 of 1990 s. 144; No. 42 of 2010 s. 182(4) and (5).] </w:t>
      </w:r>
    </w:p>
    <w:p>
      <w:pPr>
        <w:pStyle w:val="Heading5"/>
        <w:rPr>
          <w:snapToGrid w:val="0"/>
        </w:rPr>
      </w:pPr>
      <w:bookmarkStart w:id="125" w:name="_Toc166681111"/>
      <w:bookmarkStart w:id="126" w:name="_Toc99460716"/>
      <w:r>
        <w:rPr>
          <w:rStyle w:val="CharSectno"/>
        </w:rPr>
        <w:t>51</w:t>
      </w:r>
      <w:r>
        <w:rPr>
          <w:snapToGrid w:val="0"/>
        </w:rPr>
        <w:t>.</w:t>
      </w:r>
      <w:r>
        <w:rPr>
          <w:snapToGrid w:val="0"/>
        </w:rPr>
        <w:tab/>
        <w:t>Production and inspection of books, records and documents</w:t>
      </w:r>
      <w:bookmarkEnd w:id="125"/>
      <w:bookmarkEnd w:id="126"/>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 xml:space="preserve">[Section 51 amended: No. 12 of 1990 s. 145; No. 42 of 2010 s. 182(6).] </w:t>
      </w:r>
    </w:p>
    <w:p>
      <w:pPr>
        <w:pStyle w:val="Heading5"/>
        <w:rPr>
          <w:snapToGrid w:val="0"/>
        </w:rPr>
      </w:pPr>
      <w:bookmarkStart w:id="127" w:name="_Toc166681112"/>
      <w:bookmarkStart w:id="128" w:name="_Toc99460717"/>
      <w:r>
        <w:rPr>
          <w:rStyle w:val="CharSectno"/>
        </w:rPr>
        <w:t>52</w:t>
      </w:r>
      <w:r>
        <w:rPr>
          <w:snapToGrid w:val="0"/>
        </w:rPr>
        <w:t>.</w:t>
      </w:r>
      <w:r>
        <w:rPr>
          <w:snapToGrid w:val="0"/>
        </w:rPr>
        <w:tab/>
        <w:t>Inspection of register and documents</w:t>
      </w:r>
      <w:bookmarkEnd w:id="127"/>
      <w:bookmarkEnd w:id="128"/>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No. 12 of 1990 s. 146.] </w:t>
      </w:r>
    </w:p>
    <w:p>
      <w:pPr>
        <w:pStyle w:val="Heading5"/>
        <w:rPr>
          <w:snapToGrid w:val="0"/>
        </w:rPr>
      </w:pPr>
      <w:bookmarkStart w:id="129" w:name="_Toc166681113"/>
      <w:bookmarkStart w:id="130" w:name="_Toc99460718"/>
      <w:r>
        <w:rPr>
          <w:rStyle w:val="CharSectno"/>
        </w:rPr>
        <w:t>53</w:t>
      </w:r>
      <w:r>
        <w:rPr>
          <w:snapToGrid w:val="0"/>
        </w:rPr>
        <w:t>.</w:t>
      </w:r>
      <w:r>
        <w:rPr>
          <w:snapToGrid w:val="0"/>
        </w:rPr>
        <w:tab/>
        <w:t>Evidentiary provisions</w:t>
      </w:r>
      <w:bookmarkEnd w:id="129"/>
      <w:bookmarkEnd w:id="130"/>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131" w:name="_Toc166681114"/>
      <w:bookmarkStart w:id="132" w:name="_Toc99460719"/>
      <w:r>
        <w:rPr>
          <w:rStyle w:val="CharSectno"/>
        </w:rPr>
        <w:t>53A</w:t>
      </w:r>
      <w:r>
        <w:rPr>
          <w:snapToGrid w:val="0"/>
        </w:rPr>
        <w:t>.</w:t>
      </w:r>
      <w:r>
        <w:rPr>
          <w:snapToGrid w:val="0"/>
        </w:rPr>
        <w:tab/>
        <w:t>Minister may make corrections to register</w:t>
      </w:r>
      <w:bookmarkEnd w:id="131"/>
      <w:bookmarkEnd w:id="132"/>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No. 12 of 1990 s. 147.] </w:t>
      </w:r>
    </w:p>
    <w:p>
      <w:pPr>
        <w:pStyle w:val="Heading5"/>
        <w:rPr>
          <w:snapToGrid w:val="0"/>
        </w:rPr>
      </w:pPr>
      <w:bookmarkStart w:id="133" w:name="_Toc166681115"/>
      <w:bookmarkStart w:id="134" w:name="_Toc99460720"/>
      <w:r>
        <w:rPr>
          <w:rStyle w:val="CharSectno"/>
        </w:rPr>
        <w:t>54</w:t>
      </w:r>
      <w:r>
        <w:rPr>
          <w:snapToGrid w:val="0"/>
        </w:rPr>
        <w:t>.</w:t>
      </w:r>
      <w:r>
        <w:rPr>
          <w:snapToGrid w:val="0"/>
        </w:rPr>
        <w:tab/>
        <w:t>Reviews</w:t>
      </w:r>
      <w:bookmarkEnd w:id="133"/>
      <w:bookmarkEnd w:id="134"/>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No. 55 of 2004 s. 921.]</w:t>
      </w:r>
    </w:p>
    <w:p>
      <w:pPr>
        <w:pStyle w:val="Ednotesection"/>
      </w:pPr>
      <w:r>
        <w:t>[</w:t>
      </w:r>
      <w:r>
        <w:rPr>
          <w:b/>
          <w:bCs/>
        </w:rPr>
        <w:t>55.</w:t>
      </w:r>
      <w:r>
        <w:tab/>
        <w:t>Deleted: No. 13 of 2005 s. 22.]</w:t>
      </w:r>
    </w:p>
    <w:p>
      <w:pPr>
        <w:pStyle w:val="Heading5"/>
        <w:rPr>
          <w:snapToGrid w:val="0"/>
        </w:rPr>
      </w:pPr>
      <w:bookmarkStart w:id="135" w:name="_Toc166681116"/>
      <w:bookmarkStart w:id="136" w:name="_Toc99460721"/>
      <w:r>
        <w:rPr>
          <w:rStyle w:val="CharSectno"/>
        </w:rPr>
        <w:t>56</w:t>
      </w:r>
      <w:r>
        <w:rPr>
          <w:snapToGrid w:val="0"/>
        </w:rPr>
        <w:t>.</w:t>
      </w:r>
      <w:r>
        <w:rPr>
          <w:snapToGrid w:val="0"/>
        </w:rPr>
        <w:tab/>
        <w:t>Offences</w:t>
      </w:r>
      <w:bookmarkEnd w:id="135"/>
      <w:bookmarkEnd w:id="136"/>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 xml:space="preserve">[Section 56 amended: No. 12 of 1990 s. 149; No. 42 of 2010 s. 182(7) and (8).] </w:t>
      </w:r>
    </w:p>
    <w:p>
      <w:pPr>
        <w:pStyle w:val="Ednotepart"/>
      </w:pPr>
      <w:bookmarkStart w:id="137" w:name="_Toc98832027"/>
      <w:r>
        <w:t>[Part IVA (s. 56A</w:t>
      </w:r>
      <w:r>
        <w:noBreakHyphen/>
        <w:t>56C) deleted: No. 36 of 2020 s. 329.]</w:t>
      </w:r>
    </w:p>
    <w:p>
      <w:pPr>
        <w:pStyle w:val="Heading2"/>
      </w:pPr>
      <w:bookmarkStart w:id="138" w:name="_Toc166679976"/>
      <w:bookmarkStart w:id="139" w:name="_Toc166680638"/>
      <w:bookmarkStart w:id="140" w:name="_Toc166681117"/>
      <w:bookmarkStart w:id="141" w:name="_Toc98835570"/>
      <w:bookmarkStart w:id="142" w:name="_Toc99460722"/>
      <w:r>
        <w:rPr>
          <w:rStyle w:val="CharPartNo"/>
        </w:rPr>
        <w:t>Part V</w:t>
      </w:r>
      <w:r>
        <w:rPr>
          <w:rStyle w:val="CharDivNo"/>
        </w:rPr>
        <w:t> </w:t>
      </w:r>
      <w:r>
        <w:t>—</w:t>
      </w:r>
      <w:r>
        <w:rPr>
          <w:rStyle w:val="CharDivText"/>
        </w:rPr>
        <w:t> </w:t>
      </w:r>
      <w:r>
        <w:rPr>
          <w:rStyle w:val="CharPartText"/>
        </w:rPr>
        <w:t>Miscellaneous</w:t>
      </w:r>
      <w:bookmarkEnd w:id="138"/>
      <w:bookmarkEnd w:id="139"/>
      <w:bookmarkEnd w:id="140"/>
      <w:bookmarkEnd w:id="137"/>
      <w:bookmarkEnd w:id="141"/>
      <w:bookmarkEnd w:id="142"/>
      <w:r>
        <w:rPr>
          <w:rStyle w:val="CharPartText"/>
        </w:rPr>
        <w:t xml:space="preserve"> </w:t>
      </w:r>
    </w:p>
    <w:p>
      <w:pPr>
        <w:pStyle w:val="Heading5"/>
        <w:rPr>
          <w:snapToGrid w:val="0"/>
        </w:rPr>
      </w:pPr>
      <w:bookmarkStart w:id="143" w:name="_Toc166681118"/>
      <w:bookmarkStart w:id="144" w:name="_Toc99460723"/>
      <w:r>
        <w:rPr>
          <w:rStyle w:val="CharSectno"/>
        </w:rPr>
        <w:t>57</w:t>
      </w:r>
      <w:r>
        <w:rPr>
          <w:snapToGrid w:val="0"/>
        </w:rPr>
        <w:t>.</w:t>
      </w:r>
      <w:r>
        <w:rPr>
          <w:snapToGrid w:val="0"/>
        </w:rPr>
        <w:tab/>
        <w:t>Pipelines to remain property of owner</w:t>
      </w:r>
      <w:bookmarkEnd w:id="143"/>
      <w:bookmarkEnd w:id="144"/>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145" w:name="_Toc166681119"/>
      <w:bookmarkStart w:id="146" w:name="_Toc99460724"/>
      <w:r>
        <w:rPr>
          <w:rStyle w:val="CharSectno"/>
        </w:rPr>
        <w:t>58</w:t>
      </w:r>
      <w:r>
        <w:rPr>
          <w:snapToGrid w:val="0"/>
        </w:rPr>
        <w:t>.</w:t>
      </w:r>
      <w:r>
        <w:rPr>
          <w:snapToGrid w:val="0"/>
        </w:rPr>
        <w:tab/>
        <w:t>Notices of grants etc. of licences to be published</w:t>
      </w:r>
      <w:bookmarkEnd w:id="145"/>
      <w:bookmarkEnd w:id="146"/>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147" w:name="_Toc166681120"/>
      <w:bookmarkStart w:id="148" w:name="_Toc99460725"/>
      <w:r>
        <w:rPr>
          <w:rStyle w:val="CharSectno"/>
        </w:rPr>
        <w:t>59</w:t>
      </w:r>
      <w:r>
        <w:rPr>
          <w:snapToGrid w:val="0"/>
        </w:rPr>
        <w:t>.</w:t>
      </w:r>
      <w:r>
        <w:rPr>
          <w:snapToGrid w:val="0"/>
        </w:rPr>
        <w:tab/>
        <w:t>Judicial notice</w:t>
      </w:r>
      <w:bookmarkEnd w:id="147"/>
      <w:bookmarkEnd w:id="148"/>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Acts Amendment (Petroleum) Act 1990</w:t>
      </w:r>
      <w:r>
        <w:t>.</w:t>
      </w:r>
    </w:p>
    <w:p>
      <w:pPr>
        <w:pStyle w:val="Footnotesection"/>
      </w:pPr>
      <w:r>
        <w:tab/>
        <w:t xml:space="preserve">[Section 59 inserted: No. 12 of 1990 s. 150; amended: No. 28 of 1994 s. 75.] </w:t>
      </w:r>
    </w:p>
    <w:p>
      <w:pPr>
        <w:pStyle w:val="Heading5"/>
        <w:spacing w:before="260"/>
        <w:rPr>
          <w:snapToGrid w:val="0"/>
        </w:rPr>
      </w:pPr>
      <w:bookmarkStart w:id="149" w:name="_Toc166681121"/>
      <w:bookmarkStart w:id="150" w:name="_Toc99460726"/>
      <w:r>
        <w:rPr>
          <w:rStyle w:val="CharSectno"/>
        </w:rPr>
        <w:t>60</w:t>
      </w:r>
      <w:r>
        <w:rPr>
          <w:snapToGrid w:val="0"/>
        </w:rPr>
        <w:t>.</w:t>
      </w:r>
      <w:r>
        <w:rPr>
          <w:snapToGrid w:val="0"/>
        </w:rPr>
        <w:tab/>
        <w:t>Address for service</w:t>
      </w:r>
      <w:bookmarkEnd w:id="149"/>
      <w:bookmarkEnd w:id="150"/>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151" w:name="_Toc166681122"/>
      <w:bookmarkStart w:id="152" w:name="_Toc99460727"/>
      <w:r>
        <w:rPr>
          <w:rStyle w:val="CharSectno"/>
        </w:rPr>
        <w:t>60A</w:t>
      </w:r>
      <w:r>
        <w:rPr>
          <w:snapToGrid w:val="0"/>
        </w:rPr>
        <w:t>.</w:t>
      </w:r>
      <w:r>
        <w:rPr>
          <w:snapToGrid w:val="0"/>
        </w:rPr>
        <w:tab/>
        <w:t>Service of documents on 2 or more licensees</w:t>
      </w:r>
      <w:bookmarkEnd w:id="151"/>
      <w:bookmarkEnd w:id="152"/>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No. 12 of 1990 s. 151.] </w:t>
      </w:r>
    </w:p>
    <w:p>
      <w:pPr>
        <w:pStyle w:val="Heading5"/>
      </w:pPr>
      <w:bookmarkStart w:id="153" w:name="_Toc166681123"/>
      <w:bookmarkStart w:id="154" w:name="_Toc99460728"/>
      <w:r>
        <w:rPr>
          <w:rStyle w:val="CharSectno"/>
        </w:rPr>
        <w:t>61</w:t>
      </w:r>
      <w:r>
        <w:t>.</w:t>
      </w:r>
      <w:r>
        <w:tab/>
        <w:t>Power of Minister to delegate</w:t>
      </w:r>
      <w:bookmarkEnd w:id="153"/>
      <w:bookmarkEnd w:id="154"/>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tab/>
        <w:t>[Section 61 inserted: No. 42 of 2010 s. 179.]</w:t>
      </w:r>
    </w:p>
    <w:p>
      <w:pPr>
        <w:pStyle w:val="Heading5"/>
        <w:rPr>
          <w:snapToGrid w:val="0"/>
        </w:rPr>
      </w:pPr>
      <w:bookmarkStart w:id="155" w:name="_Toc166681124"/>
      <w:bookmarkStart w:id="156" w:name="_Toc99460729"/>
      <w:r>
        <w:rPr>
          <w:rStyle w:val="CharSectno"/>
        </w:rPr>
        <w:t>62</w:t>
      </w:r>
      <w:r>
        <w:rPr>
          <w:snapToGrid w:val="0"/>
        </w:rPr>
        <w:t>.</w:t>
      </w:r>
      <w:r>
        <w:rPr>
          <w:snapToGrid w:val="0"/>
        </w:rPr>
        <w:tab/>
        <w:t>Inspectors</w:t>
      </w:r>
      <w:bookmarkEnd w:id="155"/>
      <w:bookmarkEnd w:id="156"/>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 xml:space="preserve">[Section 62 amended: No. 12 of 1990 s. 153; No. 13 of 2005 s. 25; No. 42 of 2010 s. 182(9).] </w:t>
      </w:r>
    </w:p>
    <w:p>
      <w:pPr>
        <w:pStyle w:val="Heading5"/>
        <w:rPr>
          <w:snapToGrid w:val="0"/>
        </w:rPr>
      </w:pPr>
      <w:bookmarkStart w:id="157" w:name="_Toc166681125"/>
      <w:bookmarkStart w:id="158" w:name="_Toc99460730"/>
      <w:r>
        <w:rPr>
          <w:rStyle w:val="CharSectno"/>
        </w:rPr>
        <w:t>63</w:t>
      </w:r>
      <w:r>
        <w:rPr>
          <w:snapToGrid w:val="0"/>
        </w:rPr>
        <w:t>.</w:t>
      </w:r>
      <w:r>
        <w:rPr>
          <w:snapToGrid w:val="0"/>
        </w:rPr>
        <w:tab/>
        <w:t>Powers of inspectors</w:t>
      </w:r>
      <w:bookmarkEnd w:id="157"/>
      <w:bookmarkEnd w:id="158"/>
      <w:r>
        <w:rPr>
          <w:snapToGrid w:val="0"/>
        </w:rPr>
        <w:t xml:space="preserve"> </w:t>
      </w:r>
    </w:p>
    <w:p>
      <w:pPr>
        <w:pStyle w:val="Subsection"/>
        <w:rPr>
          <w:snapToGrid w:val="0"/>
        </w:rPr>
      </w:pPr>
      <w:r>
        <w:rPr>
          <w:snapToGrid w:val="0"/>
        </w:rPr>
        <w:tab/>
        <w:t>(1)</w:t>
      </w:r>
      <w:r>
        <w:rPr>
          <w:snapToGrid w:val="0"/>
        </w:rPr>
        <w:tab/>
        <w:t>For the purposes of this Act</w:t>
      </w:r>
      <w:r>
        <w:t xml:space="preserve">,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[Section 63 amended: No. 12 of 1990 s. 154; No. 13 of 2005 s. 26; No. 42 of 2010 s. 182(10); No. 36 of 2020 s. 330.]</w:t>
      </w:r>
    </w:p>
    <w:p>
      <w:pPr>
        <w:pStyle w:val="Heading5"/>
      </w:pPr>
      <w:bookmarkStart w:id="159" w:name="_Toc166681126"/>
      <w:bookmarkStart w:id="160" w:name="_Toc99460731"/>
      <w:r>
        <w:rPr>
          <w:rStyle w:val="CharSectno"/>
        </w:rPr>
        <w:t>63A</w:t>
      </w:r>
      <w:r>
        <w:t>.</w:t>
      </w:r>
      <w:r>
        <w:tab/>
        <w:t>Protection from liability for wrongdoing</w:t>
      </w:r>
      <w:bookmarkEnd w:id="159"/>
      <w:bookmarkEnd w:id="160"/>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No. 13 of 2005 s. 27.]</w:t>
      </w:r>
    </w:p>
    <w:p>
      <w:pPr>
        <w:pStyle w:val="Heading5"/>
        <w:rPr>
          <w:snapToGrid w:val="0"/>
        </w:rPr>
      </w:pPr>
      <w:bookmarkStart w:id="161" w:name="_Toc166681127"/>
      <w:bookmarkStart w:id="162" w:name="_Toc99460732"/>
      <w:r>
        <w:rPr>
          <w:rStyle w:val="CharSectno"/>
        </w:rPr>
        <w:t>64</w:t>
      </w:r>
      <w:r>
        <w:rPr>
          <w:snapToGrid w:val="0"/>
        </w:rPr>
        <w:t>.</w:t>
      </w:r>
      <w:r>
        <w:rPr>
          <w:snapToGrid w:val="0"/>
        </w:rPr>
        <w:tab/>
        <w:t>Theft of petroleum from pipeline</w:t>
      </w:r>
      <w:bookmarkEnd w:id="161"/>
      <w:bookmarkEnd w:id="162"/>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163" w:name="_Toc166681128"/>
      <w:bookmarkStart w:id="164" w:name="_Toc99460733"/>
      <w:r>
        <w:rPr>
          <w:rStyle w:val="CharSectno"/>
        </w:rPr>
        <w:t>65</w:t>
      </w:r>
      <w:r>
        <w:t>.</w:t>
      </w:r>
      <w:r>
        <w:tab/>
        <w:t>Interfering with pipeline operation</w:t>
      </w:r>
      <w:bookmarkEnd w:id="163"/>
      <w:bookmarkEnd w:id="164"/>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No. 13 of 2005 s. 28.]</w:t>
      </w:r>
    </w:p>
    <w:p>
      <w:pPr>
        <w:pStyle w:val="Heading5"/>
        <w:rPr>
          <w:snapToGrid w:val="0"/>
        </w:rPr>
      </w:pPr>
      <w:bookmarkStart w:id="165" w:name="_Toc166681129"/>
      <w:bookmarkStart w:id="166" w:name="_Toc99460734"/>
      <w:r>
        <w:rPr>
          <w:rStyle w:val="CharSectno"/>
        </w:rPr>
        <w:t>66</w:t>
      </w:r>
      <w:r>
        <w:rPr>
          <w:snapToGrid w:val="0"/>
        </w:rPr>
        <w:t>.</w:t>
      </w:r>
      <w:r>
        <w:rPr>
          <w:snapToGrid w:val="0"/>
        </w:rPr>
        <w:tab/>
        <w:t>Continuing offences</w:t>
      </w:r>
      <w:bookmarkEnd w:id="165"/>
      <w:bookmarkEnd w:id="166"/>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No. 12 of 1990 s. 156; No. 13 of 2005 s. 31.] </w:t>
      </w:r>
    </w:p>
    <w:p>
      <w:pPr>
        <w:pStyle w:val="Heading5"/>
        <w:spacing w:before="240"/>
        <w:rPr>
          <w:snapToGrid w:val="0"/>
        </w:rPr>
      </w:pPr>
      <w:bookmarkStart w:id="167" w:name="_Toc166681130"/>
      <w:bookmarkStart w:id="168" w:name="_Toc99460735"/>
      <w:r>
        <w:rPr>
          <w:rStyle w:val="CharSectno"/>
        </w:rPr>
        <w:t>66A</w:t>
      </w:r>
      <w:r>
        <w:rPr>
          <w:snapToGrid w:val="0"/>
        </w:rPr>
        <w:t>.</w:t>
      </w:r>
      <w:r>
        <w:rPr>
          <w:snapToGrid w:val="0"/>
        </w:rPr>
        <w:tab/>
        <w:t>Persons concerned in commission of offences</w:t>
      </w:r>
      <w:bookmarkEnd w:id="167"/>
      <w:bookmarkEnd w:id="168"/>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No. 12 of 1990 s. 157; amended: No. 13 of 2005 s. 31.] </w:t>
      </w:r>
    </w:p>
    <w:p>
      <w:pPr>
        <w:pStyle w:val="Heading5"/>
        <w:spacing w:before="240"/>
      </w:pPr>
      <w:bookmarkStart w:id="169" w:name="_Toc166681131"/>
      <w:bookmarkStart w:id="170" w:name="_Toc99460736"/>
      <w:r>
        <w:rPr>
          <w:rStyle w:val="CharSectno"/>
        </w:rPr>
        <w:t>66B</w:t>
      </w:r>
      <w:r>
        <w:t>.</w:t>
      </w:r>
      <w:r>
        <w:tab/>
        <w:t>Crimes and other offences</w:t>
      </w:r>
      <w:bookmarkEnd w:id="169"/>
      <w:bookmarkEnd w:id="170"/>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No. 4 of 2004 s. 58.]</w:t>
      </w:r>
    </w:p>
    <w:p>
      <w:pPr>
        <w:pStyle w:val="Heading5"/>
        <w:spacing w:before="240"/>
      </w:pPr>
      <w:bookmarkStart w:id="171" w:name="_Toc166681132"/>
      <w:bookmarkStart w:id="172" w:name="_Toc99460737"/>
      <w:r>
        <w:rPr>
          <w:rStyle w:val="CharSectno"/>
        </w:rPr>
        <w:t>66BA</w:t>
      </w:r>
      <w:r>
        <w:t>.</w:t>
      </w:r>
      <w:r>
        <w:tab/>
        <w:t>Time for bringing proceedings for offences against this Act (including the regulations)</w:t>
      </w:r>
      <w:bookmarkEnd w:id="171"/>
      <w:bookmarkEnd w:id="172"/>
    </w:p>
    <w:p>
      <w:pPr>
        <w:pStyle w:val="Subsection"/>
      </w:pPr>
      <w:r>
        <w:tab/>
      </w:r>
      <w:r>
        <w:tab/>
        <w:t>A proceeding for an offence against this Act may be brought at any time.</w:t>
      </w:r>
    </w:p>
    <w:p>
      <w:pPr>
        <w:pStyle w:val="Footnotesection"/>
      </w:pPr>
      <w:r>
        <w:tab/>
        <w:t>[Section 66BA inserted: No. 13 of 2005 s. 29(1).]</w:t>
      </w:r>
    </w:p>
    <w:p>
      <w:pPr>
        <w:pStyle w:val="Heading5"/>
      </w:pPr>
      <w:bookmarkStart w:id="173" w:name="_Toc166681133"/>
      <w:bookmarkStart w:id="174" w:name="_Toc99460738"/>
      <w:r>
        <w:rPr>
          <w:rStyle w:val="CharSectno"/>
        </w:rPr>
        <w:t>66BB</w:t>
      </w:r>
      <w:r>
        <w:t>.</w:t>
      </w:r>
      <w:r>
        <w:tab/>
        <w:t>Evidentiary matters</w:t>
      </w:r>
      <w:bookmarkEnd w:id="173"/>
      <w:bookmarkEnd w:id="174"/>
    </w:p>
    <w:p>
      <w:pPr>
        <w:pStyle w:val="Subsection"/>
      </w:pPr>
      <w:r>
        <w:tab/>
        <w:t>(1)</w:t>
      </w:r>
      <w:r>
        <w:tab/>
        <w:t xml:space="preserve">In a proceeding for an offence against this Act an averment in the charge of the offence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w:t>
      </w:r>
    </w:p>
    <w:p>
      <w:pPr>
        <w:pStyle w:val="Ednotepara"/>
      </w:pPr>
      <w:r>
        <w:tab/>
        <w:t>[(c)</w:t>
      </w:r>
      <w:r>
        <w:tab/>
        <w:t>deleted]</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No. 13 of 2005 s. 29(1); amended: No. 17 of 2014 s. 9; No. 36 of 2020 s. 331.]</w:t>
      </w:r>
    </w:p>
    <w:p>
      <w:pPr>
        <w:pStyle w:val="Heading5"/>
        <w:rPr>
          <w:snapToGrid w:val="0"/>
        </w:rPr>
      </w:pPr>
      <w:bookmarkStart w:id="175" w:name="_Toc166681134"/>
      <w:bookmarkStart w:id="176" w:name="_Toc99460739"/>
      <w:r>
        <w:rPr>
          <w:rStyle w:val="CharSectno"/>
        </w:rPr>
        <w:t>66C</w:t>
      </w:r>
      <w:r>
        <w:rPr>
          <w:snapToGrid w:val="0"/>
        </w:rPr>
        <w:t>.</w:t>
      </w:r>
      <w:r>
        <w:rPr>
          <w:snapToGrid w:val="0"/>
        </w:rPr>
        <w:tab/>
        <w:t>Orders for forfeiture in respect of certain offences</w:t>
      </w:r>
      <w:bookmarkEnd w:id="175"/>
      <w:bookmarkEnd w:id="176"/>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No. 12 of 1990 s. 157.] </w:t>
      </w:r>
    </w:p>
    <w:p>
      <w:pPr>
        <w:pStyle w:val="Heading5"/>
        <w:rPr>
          <w:snapToGrid w:val="0"/>
        </w:rPr>
      </w:pPr>
      <w:bookmarkStart w:id="177" w:name="_Toc166681135"/>
      <w:bookmarkStart w:id="178" w:name="_Toc99460740"/>
      <w:r>
        <w:rPr>
          <w:rStyle w:val="CharSectno"/>
        </w:rPr>
        <w:t>66D</w:t>
      </w:r>
      <w:r>
        <w:rPr>
          <w:snapToGrid w:val="0"/>
        </w:rPr>
        <w:t>.</w:t>
      </w:r>
      <w:r>
        <w:rPr>
          <w:snapToGrid w:val="0"/>
        </w:rPr>
        <w:tab/>
        <w:t>Disposal of forfeited goods</w:t>
      </w:r>
      <w:bookmarkEnd w:id="177"/>
      <w:bookmarkEnd w:id="178"/>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No. 12 of 1990 s. 157.] </w:t>
      </w:r>
    </w:p>
    <w:p>
      <w:pPr>
        <w:pStyle w:val="Heading5"/>
      </w:pPr>
      <w:bookmarkStart w:id="179" w:name="_Toc166681136"/>
      <w:bookmarkStart w:id="180" w:name="_Toc99460741"/>
      <w:r>
        <w:rPr>
          <w:rStyle w:val="CharSectno"/>
        </w:rPr>
        <w:t>66E</w:t>
      </w:r>
      <w:r>
        <w:t>.</w:t>
      </w:r>
      <w:r>
        <w:tab/>
        <w:t xml:space="preserve">Licences under section 10 are not personal property for the purposes of the </w:t>
      </w:r>
      <w:r>
        <w:rPr>
          <w:i/>
          <w:iCs/>
        </w:rPr>
        <w:t>Personal Property Securities Act 2009</w:t>
      </w:r>
      <w:r>
        <w:t xml:space="preserve"> (Commonwealth)</w:t>
      </w:r>
      <w:bookmarkEnd w:id="179"/>
      <w:bookmarkEnd w:id="180"/>
    </w:p>
    <w:p>
      <w:pPr>
        <w:pStyle w:val="Subsection"/>
      </w:pPr>
      <w:r>
        <w:tab/>
      </w:r>
      <w:r>
        <w:tab/>
        <w:t>In accordance with the</w:t>
      </w:r>
      <w:r>
        <w:rPr>
          <w:i/>
          <w:iCs/>
        </w:rPr>
        <w:t xml:space="preserve"> Personal Property Securities Act 2009</w:t>
      </w:r>
      <w:r>
        <w:t xml:space="preserve"> (Commonwealth) section 10 the definition of </w:t>
      </w:r>
      <w:r>
        <w:rPr>
          <w:b/>
          <w:bCs/>
          <w:i/>
          <w:iCs/>
        </w:rPr>
        <w:t>licence</w:t>
      </w:r>
      <w:r>
        <w:t xml:space="preserve"> paragraph (d), a licence granted under section 10 is declared not to be personal property for the purposes of that Act.</w:t>
      </w:r>
    </w:p>
    <w:p>
      <w:pPr>
        <w:pStyle w:val="Footnotesection"/>
      </w:pPr>
      <w:r>
        <w:tab/>
        <w:t>[Section 66E inserted: No. 42 of 2011 s. 89.]</w:t>
      </w:r>
    </w:p>
    <w:p>
      <w:pPr>
        <w:pStyle w:val="Heading5"/>
        <w:rPr>
          <w:snapToGrid w:val="0"/>
        </w:rPr>
      </w:pPr>
      <w:bookmarkStart w:id="181" w:name="_Toc166681137"/>
      <w:bookmarkStart w:id="182" w:name="_Toc99460742"/>
      <w:r>
        <w:rPr>
          <w:rStyle w:val="CharSectno"/>
        </w:rPr>
        <w:t>67</w:t>
      </w:r>
      <w:r>
        <w:rPr>
          <w:snapToGrid w:val="0"/>
        </w:rPr>
        <w:t>.</w:t>
      </w:r>
      <w:r>
        <w:rPr>
          <w:snapToGrid w:val="0"/>
        </w:rPr>
        <w:tab/>
        <w:t>Regulations</w:t>
      </w:r>
      <w:bookmarkEnd w:id="181"/>
      <w:bookmarkEnd w:id="182"/>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pPr>
      <w:r>
        <w:tab/>
        <w:t>(a)</w:t>
      </w:r>
      <w:r>
        <w:tab/>
        <w:t>the construction, maintenance and operation of pipelines;</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tab/>
        <w:t>(eb)</w:t>
      </w:r>
      <w:r>
        <w:tab/>
        <w:t>the prohibition of the doing of an act or thing otherwise than in accordance with an approved environment plan;</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keepNext/>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No. 12 of 1990 s. 158; No. 28 of 1994 s. 76; No. 13 of 2005 s. 30; No. 35 of 2007 s. 102</w:t>
      </w:r>
      <w:r>
        <w:rPr>
          <w:vertAlign w:val="superscript"/>
        </w:rPr>
        <w:t> </w:t>
      </w:r>
      <w:r>
        <w:rPr>
          <w:i w:val="0"/>
          <w:iCs/>
          <w:vertAlign w:val="superscript"/>
        </w:rPr>
        <w:t>7</w:t>
      </w:r>
      <w:r>
        <w:rPr>
          <w:i w:val="0"/>
          <w:iCs/>
        </w:rPr>
        <w:t xml:space="preserve">; </w:t>
      </w:r>
      <w:r>
        <w:rPr>
          <w:iCs/>
        </w:rPr>
        <w:t>No. 42 of 2010 s. 180; No. 36 of 2020 s. 332</w:t>
      </w:r>
      <w:r>
        <w:t xml:space="preserve">.] </w:t>
      </w:r>
    </w:p>
    <w:p>
      <w:pPr>
        <w:pStyle w:val="yEdnoteschedule"/>
      </w:pPr>
      <w:r>
        <w:t>[Schedule 1 (Div. 1</w:t>
      </w:r>
      <w:r>
        <w:noBreakHyphen/>
        <w:t>6) deleted: No. 36 of 2020 s. 333.]</w:t>
      </w:r>
    </w:p>
    <w:p>
      <w:pPr>
        <w:pStyle w:val="CentredBaseLine"/>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rPr>
          <w:del w:id="183" w:author="Master Repository Process" w:date="2025-05-29T10:13:00Z"/>
        </w:rPr>
      </w:pPr>
    </w:p>
    <w:p>
      <w:p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544" w:gutter="0"/>
          <w:pgNumType w:start="1"/>
          <w:cols w:space="720"/>
          <w:noEndnote/>
          <w:titlePg/>
          <w:docGrid w:linePitch="326"/>
        </w:sectPr>
      </w:pPr>
      <w:bookmarkStart w:id="184" w:name="_Toc98832149"/>
      <w:bookmarkStart w:id="185" w:name="_Toc98835591"/>
    </w:p>
    <w:p>
      <w:pPr>
        <w:pStyle w:val="nHeading2"/>
      </w:pPr>
      <w:bookmarkStart w:id="186" w:name="_Toc166679997"/>
      <w:bookmarkStart w:id="187" w:name="_Toc166680659"/>
      <w:bookmarkStart w:id="188" w:name="_Toc166681138"/>
      <w:bookmarkStart w:id="189" w:name="_Toc99460743"/>
      <w:r>
        <w:t>Notes</w:t>
      </w:r>
      <w:bookmarkEnd w:id="186"/>
      <w:bookmarkEnd w:id="187"/>
      <w:bookmarkEnd w:id="188"/>
      <w:bookmarkEnd w:id="184"/>
      <w:bookmarkEnd w:id="185"/>
      <w:bookmarkEnd w:id="189"/>
    </w:p>
    <w:p>
      <w:pPr>
        <w:pStyle w:val="nStatement"/>
      </w:pPr>
      <w:r>
        <w:t xml:space="preserve">This is a compilation of the </w:t>
      </w:r>
      <w:r>
        <w:rPr>
          <w:i/>
          <w:noProof/>
        </w:rPr>
        <w:t>Petroleum Pipelines Act 1969</w:t>
      </w:r>
      <w:r>
        <w:t xml:space="preserve"> and includes amendments made by other written laws </w:t>
      </w:r>
      <w:r>
        <w:rPr>
          <w:snapToGrid w:val="0"/>
          <w:vertAlign w:val="superscript"/>
        </w:rPr>
        <w:t>8, 9, 10, 16</w:t>
      </w:r>
      <w:r>
        <w:t>. For provisions that have come into operation, and for information about any reprints, see the compilation table. For provisions that have not yet come into operation see the uncommenced provisions table.</w:t>
      </w:r>
    </w:p>
    <w:p>
      <w:pPr>
        <w:pStyle w:val="nHeading3"/>
      </w:pPr>
      <w:bookmarkStart w:id="190" w:name="_Toc166681139"/>
      <w:bookmarkStart w:id="191" w:name="_Toc99460744"/>
      <w:r>
        <w:t>Compilation table</w:t>
      </w:r>
      <w:bookmarkEnd w:id="190"/>
      <w:bookmarkEnd w:id="191"/>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7"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4" w:type="dxa"/>
          </w:tcPr>
          <w:p>
            <w:pPr>
              <w:pStyle w:val="nTable"/>
              <w:spacing w:after="40"/>
              <w:ind w:right="113"/>
            </w:pPr>
            <w:r>
              <w:rPr>
                <w:i/>
              </w:rPr>
              <w:t>Petroleum Pipelines Act 1969</w:t>
            </w:r>
          </w:p>
        </w:tc>
        <w:tc>
          <w:tcPr>
            <w:tcW w:w="1134" w:type="dxa"/>
          </w:tcPr>
          <w:p>
            <w:pPr>
              <w:pStyle w:val="nTable"/>
              <w:spacing w:after="40"/>
            </w:pPr>
            <w:r>
              <w:t>112 of 1969</w:t>
            </w:r>
          </w:p>
        </w:tc>
        <w:tc>
          <w:tcPr>
            <w:tcW w:w="1137" w:type="dxa"/>
          </w:tcPr>
          <w:p>
            <w:pPr>
              <w:pStyle w:val="nTable"/>
              <w:spacing w:after="40"/>
            </w:pPr>
            <w:r>
              <w:t>28 Nov 1969</w:t>
            </w:r>
          </w:p>
        </w:tc>
        <w:tc>
          <w:tcPr>
            <w:tcW w:w="2552" w:type="dxa"/>
          </w:tcPr>
          <w:p>
            <w:pPr>
              <w:pStyle w:val="nTable"/>
              <w:spacing w:after="40"/>
            </w:pPr>
            <w:r>
              <w:t xml:space="preserve">12 Dec 1969 (see s. 2 and </w:t>
            </w:r>
            <w:r>
              <w:rPr>
                <w:i/>
              </w:rPr>
              <w:t>Gazette</w:t>
            </w:r>
            <w:r>
              <w:t xml:space="preserve"> 12 Dec 1969 p. 4002)</w:t>
            </w:r>
          </w:p>
        </w:tc>
      </w:tr>
      <w:tr>
        <w:trPr>
          <w:cantSplit/>
        </w:trPr>
        <w:tc>
          <w:tcPr>
            <w:tcW w:w="2264" w:type="dxa"/>
          </w:tcPr>
          <w:p>
            <w:pPr>
              <w:pStyle w:val="nTable"/>
              <w:spacing w:after="40"/>
              <w:ind w:right="113"/>
            </w:pPr>
            <w:r>
              <w:rPr>
                <w:i/>
              </w:rPr>
              <w:t>Petroleum Pipelines Act Amendment Act 1970</w:t>
            </w:r>
          </w:p>
        </w:tc>
        <w:tc>
          <w:tcPr>
            <w:tcW w:w="1134" w:type="dxa"/>
          </w:tcPr>
          <w:p>
            <w:pPr>
              <w:pStyle w:val="nTable"/>
              <w:spacing w:after="40"/>
            </w:pPr>
            <w:r>
              <w:t>42 of 1970</w:t>
            </w:r>
          </w:p>
        </w:tc>
        <w:tc>
          <w:tcPr>
            <w:tcW w:w="1137" w:type="dxa"/>
          </w:tcPr>
          <w:p>
            <w:pPr>
              <w:pStyle w:val="nTable"/>
              <w:spacing w:after="40"/>
            </w:pPr>
            <w:r>
              <w:t>23 Sep 1970</w:t>
            </w:r>
          </w:p>
        </w:tc>
        <w:tc>
          <w:tcPr>
            <w:tcW w:w="2552" w:type="dxa"/>
          </w:tcPr>
          <w:p>
            <w:pPr>
              <w:pStyle w:val="nTable"/>
              <w:spacing w:after="40"/>
            </w:pPr>
            <w:r>
              <w:t>23 Sep 1970</w:t>
            </w:r>
          </w:p>
        </w:tc>
      </w:tr>
      <w:tr>
        <w:trPr>
          <w:cantSplit/>
        </w:trPr>
        <w:tc>
          <w:tcPr>
            <w:tcW w:w="2264" w:type="dxa"/>
          </w:tcPr>
          <w:p>
            <w:pPr>
              <w:pStyle w:val="nTable"/>
              <w:spacing w:after="40"/>
              <w:ind w:right="113"/>
            </w:pPr>
            <w:r>
              <w:rPr>
                <w:i/>
              </w:rPr>
              <w:t>Metric Conversion Act 1972</w:t>
            </w:r>
          </w:p>
        </w:tc>
        <w:tc>
          <w:tcPr>
            <w:tcW w:w="1134" w:type="dxa"/>
          </w:tcPr>
          <w:p>
            <w:pPr>
              <w:pStyle w:val="nTable"/>
              <w:spacing w:after="40"/>
            </w:pPr>
            <w:r>
              <w:t>94 of 1972 (as amended by No. 42 of 1975 s. 3)</w:t>
            </w:r>
          </w:p>
        </w:tc>
        <w:tc>
          <w:tcPr>
            <w:tcW w:w="1137" w:type="dxa"/>
          </w:tcPr>
          <w:p>
            <w:pPr>
              <w:pStyle w:val="nTable"/>
              <w:spacing w:after="40"/>
            </w:pPr>
            <w:r>
              <w:t>4 Dec 1972</w:t>
            </w:r>
          </w:p>
        </w:tc>
        <w:tc>
          <w:tcPr>
            <w:tcW w:w="2552" w:type="dxa"/>
          </w:tcPr>
          <w:p>
            <w:pPr>
              <w:pStyle w:val="nTable"/>
              <w:spacing w:after="40"/>
            </w:pPr>
            <w:r>
              <w:t>Relevant amendments (see Fourth Sch.</w:t>
            </w:r>
            <w:r>
              <w:rPr>
                <w:vertAlign w:val="superscript"/>
              </w:rPr>
              <w:t>11</w:t>
            </w:r>
            <w:r>
              <w:t xml:space="preserve">) took effect on 28 Nov 1975 (see s. 4(2) and </w:t>
            </w:r>
            <w:r>
              <w:rPr>
                <w:i/>
              </w:rPr>
              <w:t>Gazette</w:t>
            </w:r>
            <w:r>
              <w:t xml:space="preserve"> 28 Nov 1975 p. 4352)</w:t>
            </w:r>
          </w:p>
        </w:tc>
      </w:tr>
      <w:tr>
        <w:trPr>
          <w:cantSplit/>
        </w:trPr>
        <w:tc>
          <w:tcPr>
            <w:tcW w:w="2264" w:type="dxa"/>
          </w:tcPr>
          <w:p>
            <w:pPr>
              <w:pStyle w:val="nTable"/>
              <w:spacing w:after="40"/>
              <w:ind w:right="113"/>
            </w:pPr>
            <w:r>
              <w:rPr>
                <w:i/>
              </w:rPr>
              <w:t>Petroleum Pipelines Amendment Act 1983</w:t>
            </w:r>
          </w:p>
        </w:tc>
        <w:tc>
          <w:tcPr>
            <w:tcW w:w="1134" w:type="dxa"/>
          </w:tcPr>
          <w:p>
            <w:pPr>
              <w:pStyle w:val="nTable"/>
              <w:spacing w:after="40"/>
            </w:pPr>
            <w:r>
              <w:t>10 of 1983</w:t>
            </w:r>
          </w:p>
        </w:tc>
        <w:tc>
          <w:tcPr>
            <w:tcW w:w="1137" w:type="dxa"/>
          </w:tcPr>
          <w:p>
            <w:pPr>
              <w:pStyle w:val="nTable"/>
              <w:spacing w:after="40"/>
            </w:pPr>
            <w:r>
              <w:t>7 Oct 1983</w:t>
            </w:r>
          </w:p>
        </w:tc>
        <w:tc>
          <w:tcPr>
            <w:tcW w:w="2552" w:type="dxa"/>
          </w:tcPr>
          <w:p>
            <w:pPr>
              <w:pStyle w:val="nTable"/>
              <w:spacing w:after="40"/>
            </w:pPr>
            <w:r>
              <w:t xml:space="preserve">11 Nov 1983 (see s. 2 and </w:t>
            </w:r>
            <w:r>
              <w:rPr>
                <w:i/>
              </w:rPr>
              <w:t>Gazette</w:t>
            </w:r>
            <w:r>
              <w:t xml:space="preserve"> 11 Nov 1983 p. 4503)</w:t>
            </w:r>
          </w:p>
        </w:tc>
      </w:tr>
      <w:tr>
        <w:trPr>
          <w:cantSplit/>
        </w:trPr>
        <w:tc>
          <w:tcPr>
            <w:tcW w:w="2264" w:type="dxa"/>
          </w:tcPr>
          <w:p>
            <w:pPr>
              <w:pStyle w:val="nTable"/>
              <w:spacing w:after="40"/>
              <w:ind w:right="113"/>
              <w:rPr>
                <w:vertAlign w:val="superscript"/>
              </w:rPr>
            </w:pPr>
            <w:r>
              <w:rPr>
                <w:i/>
              </w:rPr>
              <w:t xml:space="preserve">Acts Amendment (Petroleum) Act 1990 </w:t>
            </w:r>
            <w:r>
              <w:rPr>
                <w:iCs/>
              </w:rPr>
              <w:t>Pt. III</w:t>
            </w:r>
            <w:r>
              <w:rPr>
                <w:iCs/>
                <w:vertAlign w:val="superscript"/>
              </w:rPr>
              <w:t> 2, 4, 5, 12</w:t>
            </w:r>
          </w:p>
        </w:tc>
        <w:tc>
          <w:tcPr>
            <w:tcW w:w="1134" w:type="dxa"/>
          </w:tcPr>
          <w:p>
            <w:pPr>
              <w:pStyle w:val="nTable"/>
              <w:spacing w:after="40"/>
            </w:pPr>
            <w:r>
              <w:t>12 of 1990</w:t>
            </w:r>
          </w:p>
        </w:tc>
        <w:tc>
          <w:tcPr>
            <w:tcW w:w="1137" w:type="dxa"/>
          </w:tcPr>
          <w:p>
            <w:pPr>
              <w:pStyle w:val="nTable"/>
              <w:spacing w:after="40"/>
            </w:pPr>
            <w:r>
              <w:t>31 Jul 1990</w:t>
            </w:r>
          </w:p>
        </w:tc>
        <w:tc>
          <w:tcPr>
            <w:tcW w:w="2552" w:type="dxa"/>
          </w:tcPr>
          <w:p>
            <w:pPr>
              <w:pStyle w:val="nTable"/>
              <w:spacing w:after="40"/>
            </w:pPr>
            <w:r>
              <w:t>s. 132: 12 Dec 1969 (see s. 2(2));</w:t>
            </w:r>
            <w:r>
              <w:br/>
              <w:t>s. 120</w:t>
            </w:r>
            <w:r>
              <w:noBreakHyphen/>
              <w:t>131 and 133</w:t>
            </w:r>
            <w:r>
              <w:noBreakHyphen/>
              <w:t xml:space="preserve">158: 1 Oct 1990 (see s. 2(1) and </w:t>
            </w:r>
            <w:r>
              <w:rPr>
                <w:i/>
              </w:rPr>
              <w:t>Gazette</w:t>
            </w:r>
            <w:r>
              <w:t xml:space="preserve"> 28 Sep 1990 p. 5099)</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19 Feb 1992</w:t>
            </w:r>
            <w:r>
              <w:t xml:space="preserve"> (includes amendments listed above)</w:t>
            </w:r>
          </w:p>
        </w:tc>
      </w:tr>
      <w:tr>
        <w:trPr>
          <w:cantSplit/>
        </w:trPr>
        <w:tc>
          <w:tcPr>
            <w:tcW w:w="2264" w:type="dxa"/>
          </w:tcPr>
          <w:p>
            <w:pPr>
              <w:pStyle w:val="nTable"/>
              <w:spacing w:after="40"/>
              <w:ind w:right="113"/>
            </w:pPr>
            <w:r>
              <w:rPr>
                <w:i/>
              </w:rPr>
              <w:t>Land (Titles and Traditional Usage) Act 1993</w:t>
            </w:r>
            <w:r>
              <w:t xml:space="preserve"> s. 45</w:t>
            </w:r>
          </w:p>
        </w:tc>
        <w:tc>
          <w:tcPr>
            <w:tcW w:w="1134" w:type="dxa"/>
          </w:tcPr>
          <w:p>
            <w:pPr>
              <w:pStyle w:val="nTable"/>
              <w:keepNext/>
              <w:spacing w:after="40"/>
            </w:pPr>
            <w:r>
              <w:t>21 of 1993</w:t>
            </w:r>
          </w:p>
        </w:tc>
        <w:tc>
          <w:tcPr>
            <w:tcW w:w="1137" w:type="dxa"/>
          </w:tcPr>
          <w:p>
            <w:pPr>
              <w:pStyle w:val="nTable"/>
              <w:keepNext/>
              <w:spacing w:after="40"/>
            </w:pPr>
            <w:r>
              <w:t>2 Dec 1993</w:t>
            </w:r>
          </w:p>
        </w:tc>
        <w:tc>
          <w:tcPr>
            <w:tcW w:w="2552" w:type="dxa"/>
          </w:tcPr>
          <w:p>
            <w:pPr>
              <w:pStyle w:val="nTable"/>
              <w:keepNext/>
              <w:spacing w:after="40"/>
            </w:pPr>
            <w:r>
              <w:t>2 Dec 1993 (see s. 2)</w:t>
            </w:r>
          </w:p>
        </w:tc>
      </w:tr>
      <w:tr>
        <w:trPr>
          <w:cantSplit/>
        </w:trPr>
        <w:tc>
          <w:tcPr>
            <w:tcW w:w="2264" w:type="dxa"/>
          </w:tcPr>
          <w:p>
            <w:pPr>
              <w:pStyle w:val="nTable"/>
              <w:spacing w:after="40"/>
              <w:ind w:right="113"/>
            </w:pPr>
            <w:r>
              <w:rPr>
                <w:i/>
              </w:rPr>
              <w:t>Acts Amendment (Petroleum) Act 1994</w:t>
            </w:r>
            <w:r>
              <w:t xml:space="preserve"> Pt. 4</w:t>
            </w:r>
          </w:p>
        </w:tc>
        <w:tc>
          <w:tcPr>
            <w:tcW w:w="1134" w:type="dxa"/>
          </w:tcPr>
          <w:p>
            <w:pPr>
              <w:pStyle w:val="nTable"/>
              <w:spacing w:after="40"/>
            </w:pPr>
            <w:r>
              <w:t>28 of 1994</w:t>
            </w:r>
          </w:p>
        </w:tc>
        <w:tc>
          <w:tcPr>
            <w:tcW w:w="1137" w:type="dxa"/>
          </w:tcPr>
          <w:p>
            <w:pPr>
              <w:pStyle w:val="nTable"/>
              <w:spacing w:after="40"/>
            </w:pPr>
            <w:r>
              <w:t>29 Jun 1994</w:t>
            </w:r>
          </w:p>
        </w:tc>
        <w:tc>
          <w:tcPr>
            <w:tcW w:w="2552" w:type="dxa"/>
          </w:tcPr>
          <w:p>
            <w:pPr>
              <w:pStyle w:val="nTable"/>
              <w:spacing w:after="40"/>
            </w:pPr>
            <w:r>
              <w:t xml:space="preserve">22 Jul 1994 (see s. 2 and </w:t>
            </w:r>
            <w:r>
              <w:rPr>
                <w:i/>
              </w:rPr>
              <w:t>Gazette</w:t>
            </w:r>
            <w:r>
              <w:t xml:space="preserve"> 22 Jul 1994 p. 3728)</w:t>
            </w:r>
          </w:p>
        </w:tc>
      </w:tr>
      <w:tr>
        <w:trPr>
          <w:cantSplit/>
        </w:trPr>
        <w:tc>
          <w:tcPr>
            <w:tcW w:w="2264"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7" w:type="dxa"/>
          </w:tcPr>
          <w:p>
            <w:pPr>
              <w:pStyle w:val="nTable"/>
              <w:spacing w:after="40"/>
            </w:pPr>
            <w:r>
              <w:t>9 Dec 1994</w:t>
            </w:r>
          </w:p>
        </w:tc>
        <w:tc>
          <w:tcPr>
            <w:tcW w:w="2552" w:type="dxa"/>
          </w:tcPr>
          <w:p>
            <w:pPr>
              <w:pStyle w:val="nTable"/>
              <w:spacing w:after="40"/>
            </w:pPr>
            <w:r>
              <w:t>9 Dec 1994 (see s. 2)</w:t>
            </w:r>
          </w:p>
        </w:tc>
      </w:tr>
      <w:tr>
        <w:trPr>
          <w:cantSplit/>
        </w:trPr>
        <w:tc>
          <w:tcPr>
            <w:tcW w:w="2264" w:type="dxa"/>
          </w:tcPr>
          <w:p>
            <w:pPr>
              <w:pStyle w:val="nTable"/>
              <w:spacing w:after="40"/>
              <w:ind w:right="113"/>
            </w:pPr>
            <w:r>
              <w:rPr>
                <w:i/>
              </w:rPr>
              <w:t xml:space="preserve">Acts Amendment and Repeal (Native Title) Act 1995 </w:t>
            </w:r>
            <w:r>
              <w:t>Pt. 9</w:t>
            </w:r>
          </w:p>
        </w:tc>
        <w:tc>
          <w:tcPr>
            <w:tcW w:w="1134" w:type="dxa"/>
          </w:tcPr>
          <w:p>
            <w:pPr>
              <w:pStyle w:val="nTable"/>
              <w:spacing w:after="40"/>
            </w:pPr>
            <w:r>
              <w:t>52 of 1995</w:t>
            </w:r>
          </w:p>
        </w:tc>
        <w:tc>
          <w:tcPr>
            <w:tcW w:w="1137" w:type="dxa"/>
          </w:tcPr>
          <w:p>
            <w:pPr>
              <w:pStyle w:val="nTable"/>
              <w:spacing w:after="40"/>
            </w:pPr>
            <w:r>
              <w:t>24 Nov 1995</w:t>
            </w:r>
          </w:p>
        </w:tc>
        <w:tc>
          <w:tcPr>
            <w:tcW w:w="2552" w:type="dxa"/>
          </w:tcPr>
          <w:p>
            <w:pPr>
              <w:pStyle w:val="nTable"/>
              <w:spacing w:after="40"/>
            </w:pPr>
            <w:r>
              <w:t xml:space="preserve">9 Dec 1995 (see s. 2 and </w:t>
            </w:r>
            <w:r>
              <w:rPr>
                <w:i/>
              </w:rPr>
              <w:t>Gazette</w:t>
            </w:r>
            <w:r>
              <w:t xml:space="preserve"> 8 Dec 1995 p. 5935)</w:t>
            </w:r>
          </w:p>
        </w:tc>
      </w:tr>
      <w:tr>
        <w:trPr>
          <w:cantSplit/>
        </w:trPr>
        <w:tc>
          <w:tcPr>
            <w:tcW w:w="2264" w:type="dxa"/>
          </w:tcPr>
          <w:p>
            <w:pPr>
              <w:pStyle w:val="nTable"/>
              <w:spacing w:after="40"/>
              <w:ind w:right="113"/>
            </w:pPr>
            <w:r>
              <w:rPr>
                <w:i/>
              </w:rPr>
              <w:t xml:space="preserve">Local Government (Consequential Amendments) Act 1996 </w:t>
            </w:r>
            <w:r>
              <w:t>s. 4</w:t>
            </w:r>
          </w:p>
        </w:tc>
        <w:tc>
          <w:tcPr>
            <w:tcW w:w="1134" w:type="dxa"/>
          </w:tcPr>
          <w:p>
            <w:pPr>
              <w:pStyle w:val="nTable"/>
              <w:spacing w:after="40"/>
            </w:pPr>
            <w:r>
              <w:t>14 of 1996</w:t>
            </w:r>
          </w:p>
        </w:tc>
        <w:tc>
          <w:tcPr>
            <w:tcW w:w="1137" w:type="dxa"/>
          </w:tcPr>
          <w:p>
            <w:pPr>
              <w:pStyle w:val="nTable"/>
              <w:spacing w:after="40"/>
            </w:pPr>
            <w:r>
              <w:t>28 Jun 1996</w:t>
            </w:r>
          </w:p>
        </w:tc>
        <w:tc>
          <w:tcPr>
            <w:tcW w:w="2552" w:type="dxa"/>
          </w:tcPr>
          <w:p>
            <w:pPr>
              <w:pStyle w:val="nTable"/>
              <w:spacing w:after="40"/>
            </w:pPr>
            <w:r>
              <w:t>1 Jul 1996 (see s. 2)</w:t>
            </w:r>
          </w:p>
        </w:tc>
      </w:tr>
      <w:tr>
        <w:trPr>
          <w:cantSplit/>
        </w:trPr>
        <w:tc>
          <w:tcPr>
            <w:tcW w:w="2264" w:type="dxa"/>
          </w:tcPr>
          <w:p>
            <w:pPr>
              <w:pStyle w:val="nTable"/>
              <w:spacing w:after="40"/>
              <w:ind w:right="113"/>
            </w:pPr>
            <w:r>
              <w:rPr>
                <w:i/>
              </w:rPr>
              <w:t>Acts Amendment (Land Administration) Act 1997</w:t>
            </w:r>
            <w:r>
              <w:t xml:space="preserve"> Pt. 50 and s. 141 and 142</w:t>
            </w:r>
          </w:p>
        </w:tc>
        <w:tc>
          <w:tcPr>
            <w:tcW w:w="1134" w:type="dxa"/>
          </w:tcPr>
          <w:p>
            <w:pPr>
              <w:pStyle w:val="nTable"/>
              <w:spacing w:after="40"/>
            </w:pPr>
            <w:r>
              <w:t>31 of 1997</w:t>
            </w:r>
          </w:p>
        </w:tc>
        <w:tc>
          <w:tcPr>
            <w:tcW w:w="1137" w:type="dxa"/>
          </w:tcPr>
          <w:p>
            <w:pPr>
              <w:pStyle w:val="nTable"/>
              <w:spacing w:after="40"/>
            </w:pPr>
            <w:r>
              <w:t>3 Oct 1997</w:t>
            </w:r>
          </w:p>
        </w:tc>
        <w:tc>
          <w:tcPr>
            <w:tcW w:w="2552" w:type="dxa"/>
          </w:tcPr>
          <w:p>
            <w:pPr>
              <w:pStyle w:val="nTable"/>
              <w:spacing w:after="40"/>
            </w:pPr>
            <w:r>
              <w:t xml:space="preserve">30 Mar 1998 (see s. 2 and </w:t>
            </w:r>
            <w:r>
              <w:rPr>
                <w:i/>
              </w:rPr>
              <w:t>Gazette</w:t>
            </w:r>
            <w:r>
              <w:t xml:space="preserve"> 27 Mar 1998 p. 1765)</w:t>
            </w:r>
          </w:p>
        </w:tc>
      </w:tr>
      <w:tr>
        <w:trPr>
          <w:cantSplit/>
        </w:trPr>
        <w:tc>
          <w:tcPr>
            <w:tcW w:w="2264" w:type="dxa"/>
          </w:tcPr>
          <w:p>
            <w:pPr>
              <w:pStyle w:val="nTable"/>
              <w:spacing w:after="40"/>
              <w:ind w:right="113"/>
            </w:pPr>
            <w:r>
              <w:rPr>
                <w:i/>
              </w:rPr>
              <w:t>Gas Pipelines Access (Western Australia) Act 1998</w:t>
            </w:r>
            <w:r>
              <w:t xml:space="preserve"> Sch. 3 Div. 9</w:t>
            </w:r>
          </w:p>
        </w:tc>
        <w:tc>
          <w:tcPr>
            <w:tcW w:w="1134" w:type="dxa"/>
          </w:tcPr>
          <w:p>
            <w:pPr>
              <w:pStyle w:val="nTable"/>
              <w:spacing w:after="40"/>
            </w:pPr>
            <w:r>
              <w:t>65 of 1998</w:t>
            </w:r>
          </w:p>
        </w:tc>
        <w:tc>
          <w:tcPr>
            <w:tcW w:w="1137" w:type="dxa"/>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cantSplit/>
        </w:trPr>
        <w:tc>
          <w:tcPr>
            <w:tcW w:w="2264" w:type="dxa"/>
          </w:tcPr>
          <w:p>
            <w:pPr>
              <w:pStyle w:val="nTable"/>
              <w:spacing w:after="40"/>
              <w:ind w:right="113"/>
            </w:pPr>
            <w:r>
              <w:rPr>
                <w:i/>
              </w:rPr>
              <w:t xml:space="preserve">Energy Coordination Amendment Act 1999 </w:t>
            </w:r>
            <w:r>
              <w:t>s. 10(5)</w:t>
            </w:r>
          </w:p>
        </w:tc>
        <w:tc>
          <w:tcPr>
            <w:tcW w:w="1134" w:type="dxa"/>
          </w:tcPr>
          <w:p>
            <w:pPr>
              <w:pStyle w:val="nTable"/>
              <w:spacing w:after="40"/>
            </w:pPr>
            <w:r>
              <w:t>20 of 1999</w:t>
            </w:r>
          </w:p>
        </w:tc>
        <w:tc>
          <w:tcPr>
            <w:tcW w:w="1137" w:type="dxa"/>
          </w:tcPr>
          <w:p>
            <w:pPr>
              <w:pStyle w:val="nTable"/>
              <w:spacing w:after="40"/>
            </w:pPr>
            <w:r>
              <w:t>24 Jun 1999</w:t>
            </w:r>
          </w:p>
        </w:tc>
        <w:tc>
          <w:tcPr>
            <w:tcW w:w="2552" w:type="dxa"/>
          </w:tcPr>
          <w:p>
            <w:pPr>
              <w:pStyle w:val="nTable"/>
              <w:spacing w:after="40"/>
            </w:pPr>
            <w:r>
              <w:t xml:space="preserve">16 Oct 1999 (see s. 2 and </w:t>
            </w:r>
            <w:r>
              <w:rPr>
                <w:i/>
              </w:rPr>
              <w:t>Gazette</w:t>
            </w:r>
            <w:r>
              <w:t xml:space="preserve"> 15 Oct 1999 p. 4865)</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12 May 2000</w:t>
            </w:r>
            <w:r>
              <w:t xml:space="preserve"> (includes amendments listed above)</w:t>
            </w:r>
          </w:p>
        </w:tc>
      </w:tr>
      <w:tr>
        <w:trPr>
          <w:cantSplit/>
        </w:trPr>
        <w:tc>
          <w:tcPr>
            <w:tcW w:w="2264" w:type="dxa"/>
          </w:tcPr>
          <w:p>
            <w:pPr>
              <w:pStyle w:val="nTable"/>
              <w:spacing w:after="40"/>
              <w:ind w:right="113"/>
              <w:rPr>
                <w:i/>
              </w:rPr>
            </w:pPr>
            <w:r>
              <w:rPr>
                <w:i/>
              </w:rPr>
              <w:t>Corporations (Consequential Amendments) Act (No. 2) 2003</w:t>
            </w:r>
            <w:r>
              <w:t xml:space="preserve"> Pt. 16</w:t>
            </w:r>
          </w:p>
        </w:tc>
        <w:tc>
          <w:tcPr>
            <w:tcW w:w="1134" w:type="dxa"/>
          </w:tcPr>
          <w:p>
            <w:pPr>
              <w:pStyle w:val="nTable"/>
              <w:spacing w:after="40"/>
            </w:pPr>
            <w:r>
              <w:t>20 of 2003</w:t>
            </w:r>
          </w:p>
        </w:tc>
        <w:tc>
          <w:tcPr>
            <w:tcW w:w="1137" w:type="dxa"/>
          </w:tcPr>
          <w:p>
            <w:pPr>
              <w:pStyle w:val="nTable"/>
              <w:spacing w:after="40"/>
            </w:pPr>
            <w:r>
              <w:t>23 Apr 2003</w:t>
            </w:r>
          </w:p>
        </w:tc>
        <w:tc>
          <w:tcPr>
            <w:tcW w:w="2552" w:type="dxa"/>
          </w:tcPr>
          <w:p>
            <w:pPr>
              <w:pStyle w:val="nTable"/>
              <w:spacing w:after="40"/>
            </w:pPr>
            <w:r>
              <w:t xml:space="preserve">15 Jul 2001 (see s. 2(1) and Cwlth </w:t>
            </w:r>
            <w:r>
              <w:rPr>
                <w:i/>
              </w:rPr>
              <w:t>Gazette</w:t>
            </w:r>
            <w:r>
              <w:t xml:space="preserve"> 13 Jul 2001 No. S285)</w:t>
            </w:r>
          </w:p>
        </w:tc>
      </w:tr>
      <w:tr>
        <w:trPr>
          <w:cantSplit/>
        </w:trPr>
        <w:tc>
          <w:tcPr>
            <w:tcW w:w="2264" w:type="dxa"/>
          </w:tcPr>
          <w:p>
            <w:pPr>
              <w:pStyle w:val="nTable"/>
              <w:spacing w:after="40"/>
              <w:ind w:right="113"/>
              <w:rPr>
                <w:i/>
              </w:rPr>
            </w:pPr>
            <w:r>
              <w:rPr>
                <w:i/>
              </w:rPr>
              <w:t>Criminal Code Amendment Act 2004</w:t>
            </w:r>
            <w:r>
              <w:t xml:space="preserve"> s. 58</w:t>
            </w:r>
          </w:p>
        </w:tc>
        <w:tc>
          <w:tcPr>
            <w:tcW w:w="1134" w:type="dxa"/>
          </w:tcPr>
          <w:p>
            <w:pPr>
              <w:pStyle w:val="nTable"/>
              <w:spacing w:after="40"/>
            </w:pPr>
            <w:r>
              <w:t>4 of 2004</w:t>
            </w:r>
          </w:p>
        </w:tc>
        <w:tc>
          <w:tcPr>
            <w:tcW w:w="1137" w:type="dxa"/>
          </w:tcPr>
          <w:p>
            <w:pPr>
              <w:pStyle w:val="nTable"/>
              <w:spacing w:after="40"/>
            </w:pPr>
            <w:r>
              <w:t>23 Apr 2004</w:t>
            </w:r>
          </w:p>
        </w:tc>
        <w:tc>
          <w:tcPr>
            <w:tcW w:w="2552" w:type="dxa"/>
          </w:tcPr>
          <w:p>
            <w:pPr>
              <w:pStyle w:val="nTable"/>
              <w:spacing w:after="40"/>
            </w:pPr>
            <w:r>
              <w:t>21 May 2004 (see s. 2)</w:t>
            </w:r>
          </w:p>
        </w:tc>
      </w:tr>
      <w:tr>
        <w:trPr>
          <w:cantSplit/>
        </w:trPr>
        <w:tc>
          <w:tcPr>
            <w:tcW w:w="2264" w:type="dxa"/>
          </w:tcPr>
          <w:p>
            <w:pPr>
              <w:pStyle w:val="nTable"/>
              <w:spacing w:after="40"/>
              <w:ind w:right="113"/>
              <w:rPr>
                <w:i/>
              </w:rPr>
            </w:pPr>
            <w:r>
              <w:rPr>
                <w:bCs/>
                <w:i/>
                <w:iCs/>
              </w:rPr>
              <w:t>Dangerous Goods Safety Act 2004</w:t>
            </w:r>
            <w:r>
              <w:rPr>
                <w:bCs/>
                <w:i/>
              </w:rPr>
              <w:t xml:space="preserve"> </w:t>
            </w:r>
            <w:r>
              <w:rPr>
                <w:bCs/>
                <w:iCs/>
              </w:rPr>
              <w:t>s. 70</w:t>
            </w:r>
          </w:p>
        </w:tc>
        <w:tc>
          <w:tcPr>
            <w:tcW w:w="1134" w:type="dxa"/>
          </w:tcPr>
          <w:p>
            <w:pPr>
              <w:pStyle w:val="nTable"/>
              <w:spacing w:after="40"/>
            </w:pPr>
            <w:r>
              <w:rPr>
                <w:bCs/>
              </w:rPr>
              <w:t>7 of 2004</w:t>
            </w:r>
          </w:p>
        </w:tc>
        <w:tc>
          <w:tcPr>
            <w:tcW w:w="1137" w:type="dxa"/>
          </w:tcPr>
          <w:p>
            <w:pPr>
              <w:pStyle w:val="nTable"/>
              <w:spacing w:after="40"/>
            </w:pPr>
            <w:r>
              <w:rPr>
                <w:bCs/>
              </w:rPr>
              <w:t>10 Jun 2004</w:t>
            </w:r>
          </w:p>
        </w:tc>
        <w:tc>
          <w:tcPr>
            <w:tcW w:w="2552" w:type="dxa"/>
          </w:tcPr>
          <w:p>
            <w:pPr>
              <w:pStyle w:val="nTable"/>
              <w:spacing w:after="40"/>
            </w:pPr>
            <w:r>
              <w:rPr>
                <w:bCs/>
              </w:rPr>
              <w:t xml:space="preserve">1 Mar 2008 (see s. 2 and </w:t>
            </w:r>
            <w:r>
              <w:rPr>
                <w:bCs/>
                <w:i/>
                <w:iCs/>
              </w:rPr>
              <w:t>Gazette</w:t>
            </w:r>
            <w:r>
              <w:rPr>
                <w:bCs/>
              </w:rPr>
              <w:t xml:space="preserve"> 29 Feb 2008 p. 669)</w:t>
            </w:r>
          </w:p>
        </w:tc>
      </w:tr>
      <w:tr>
        <w:trPr>
          <w:cantSplit/>
        </w:trPr>
        <w:tc>
          <w:tcPr>
            <w:tcW w:w="2264" w:type="dxa"/>
          </w:tcPr>
          <w:p>
            <w:pPr>
              <w:pStyle w:val="nTable"/>
              <w:spacing w:after="40"/>
              <w:ind w:right="113"/>
              <w:rPr>
                <w:i/>
                <w:vertAlign w:val="superscript"/>
              </w:rPr>
            </w:pPr>
            <w:r>
              <w:rPr>
                <w:i/>
                <w:iCs/>
              </w:rPr>
              <w:t>State Administrative Tribunal (Conferral of Jurisdiction) Amendment and Repeal Act 2004</w:t>
            </w:r>
            <w:r>
              <w:t xml:space="preserve"> Pt. 2 Div. 99</w:t>
            </w:r>
            <w:r>
              <w:rPr>
                <w:vertAlign w:val="superscript"/>
              </w:rPr>
              <w:t> 13</w:t>
            </w:r>
          </w:p>
        </w:tc>
        <w:tc>
          <w:tcPr>
            <w:tcW w:w="1134" w:type="dxa"/>
          </w:tcPr>
          <w:p>
            <w:pPr>
              <w:pStyle w:val="nTable"/>
              <w:spacing w:after="40"/>
            </w:pPr>
            <w:r>
              <w:t>55 of 2004</w:t>
            </w:r>
          </w:p>
        </w:tc>
        <w:tc>
          <w:tcPr>
            <w:tcW w:w="1137" w:type="dxa"/>
          </w:tcPr>
          <w:p>
            <w:pPr>
              <w:pStyle w:val="nTable"/>
              <w:spacing w:after="40"/>
            </w:pPr>
            <w:r>
              <w:t>24 Nov 2004</w:t>
            </w:r>
          </w:p>
        </w:tc>
        <w:tc>
          <w:tcPr>
            <w:tcW w:w="2552" w:type="dxa"/>
          </w:tcPr>
          <w:p>
            <w:pPr>
              <w:pStyle w:val="nTable"/>
              <w:spacing w:after="40"/>
            </w:pPr>
            <w:r>
              <w:t xml:space="preserve">1 Jan 2005 (see s. 2 and </w:t>
            </w:r>
            <w:r>
              <w:rPr>
                <w:i/>
                <w:iCs/>
              </w:rPr>
              <w:t>Gazette</w:t>
            </w:r>
            <w:r>
              <w:t xml:space="preserve"> 31 Dec 2004 p. 7130)</w:t>
            </w:r>
          </w:p>
        </w:tc>
      </w:tr>
      <w:tr>
        <w:trPr>
          <w:cantSplit/>
        </w:trPr>
        <w:tc>
          <w:tcPr>
            <w:tcW w:w="2264" w:type="dxa"/>
          </w:tcPr>
          <w:p>
            <w:pPr>
              <w:pStyle w:val="nTable"/>
              <w:spacing w:after="40"/>
              <w:ind w:right="113"/>
              <w:rPr>
                <w:i/>
                <w:iCs/>
              </w:rPr>
            </w:pPr>
            <w:r>
              <w:rPr>
                <w:i/>
                <w:snapToGrid w:val="0"/>
              </w:rPr>
              <w:t>Petroleum Legislation Amendment and Repeal Act 2005</w:t>
            </w:r>
            <w:r>
              <w:rPr>
                <w:iCs/>
                <w:snapToGrid w:val="0"/>
              </w:rPr>
              <w:t xml:space="preserve"> Pt. 3 (other than s. 29(2))</w:t>
            </w:r>
            <w:r>
              <w:rPr>
                <w:iCs/>
                <w:snapToGrid w:val="0"/>
                <w:vertAlign w:val="superscript"/>
              </w:rPr>
              <w:t> 15</w:t>
            </w:r>
          </w:p>
        </w:tc>
        <w:tc>
          <w:tcPr>
            <w:tcW w:w="1134" w:type="dxa"/>
          </w:tcPr>
          <w:p>
            <w:pPr>
              <w:pStyle w:val="nTable"/>
              <w:spacing w:after="40"/>
            </w:pPr>
            <w:r>
              <w:t>13 of 2005 (as amended by No. 17 of 2014 s. 31)</w:t>
            </w:r>
          </w:p>
        </w:tc>
        <w:tc>
          <w:tcPr>
            <w:tcW w:w="1137" w:type="dxa"/>
          </w:tcPr>
          <w:p>
            <w:pPr>
              <w:pStyle w:val="nTable"/>
              <w:spacing w:after="40"/>
            </w:pPr>
            <w:r>
              <w:t>1 Sep 2005</w:t>
            </w:r>
          </w:p>
        </w:tc>
        <w:tc>
          <w:tcPr>
            <w:tcW w:w="2552" w:type="dxa"/>
          </w:tcPr>
          <w:p>
            <w:pPr>
              <w:pStyle w:val="nTable"/>
              <w:spacing w:after="40"/>
            </w:pPr>
            <w:r>
              <w:rPr>
                <w:snapToGrid w:val="0"/>
                <w:spacing w:val="-2"/>
              </w:rPr>
              <w:t xml:space="preserve">15 May 2010 (see s. 2 and </w:t>
            </w:r>
            <w:r>
              <w:rPr>
                <w:i/>
                <w:iCs/>
                <w:snapToGrid w:val="0"/>
                <w:spacing w:val="-2"/>
              </w:rPr>
              <w:t>Gazette</w:t>
            </w:r>
            <w:r>
              <w:rPr>
                <w:snapToGrid w:val="0"/>
                <w:spacing w:val="-2"/>
              </w:rPr>
              <w:t xml:space="preserve"> 14 May 2010 p. 2015)</w:t>
            </w:r>
          </w:p>
        </w:tc>
      </w:tr>
      <w:tr>
        <w:trPr>
          <w:cantSplit/>
        </w:trPr>
        <w:tc>
          <w:tcPr>
            <w:tcW w:w="2264" w:type="dxa"/>
          </w:tcPr>
          <w:p>
            <w:pPr>
              <w:pStyle w:val="nTable"/>
              <w:spacing w:after="40"/>
              <w:ind w:right="113"/>
              <w:rPr>
                <w:i/>
                <w:iCs/>
              </w:rPr>
            </w:pPr>
            <w:r>
              <w:rPr>
                <w:i/>
                <w:snapToGrid w:val="0"/>
              </w:rPr>
              <w:t xml:space="preserve">Planning and Development (Consequential and Transitional Provisions) Act 2005 </w:t>
            </w:r>
            <w:r>
              <w:rPr>
                <w:iCs/>
                <w:snapToGrid w:val="0"/>
              </w:rPr>
              <w:t>s. 15</w:t>
            </w:r>
          </w:p>
        </w:tc>
        <w:tc>
          <w:tcPr>
            <w:tcW w:w="1134" w:type="dxa"/>
          </w:tcPr>
          <w:p>
            <w:pPr>
              <w:pStyle w:val="nTable"/>
              <w:spacing w:after="40"/>
            </w:pPr>
            <w:r>
              <w:t>38 of 2005</w:t>
            </w:r>
          </w:p>
        </w:tc>
        <w:tc>
          <w:tcPr>
            <w:tcW w:w="1137" w:type="dxa"/>
          </w:tcPr>
          <w:p>
            <w:pPr>
              <w:pStyle w:val="nTable"/>
              <w:spacing w:after="40"/>
            </w:pPr>
            <w:r>
              <w:t>12 Dec 2005</w:t>
            </w:r>
          </w:p>
        </w:tc>
        <w:tc>
          <w:tcPr>
            <w:tcW w:w="2552" w:type="dxa"/>
          </w:tcPr>
          <w:p>
            <w:pPr>
              <w:pStyle w:val="nTable"/>
              <w:spacing w:after="40"/>
            </w:pPr>
            <w:r>
              <w:t xml:space="preserve">9 Apr 2006 (see s. 2(2) and </w:t>
            </w:r>
            <w:r>
              <w:rPr>
                <w:i/>
                <w:iCs/>
              </w:rPr>
              <w:t>Gazette</w:t>
            </w:r>
            <w:r>
              <w:t xml:space="preserve"> 21 Mar 2006 p. 1078)</w:t>
            </w:r>
          </w:p>
        </w:tc>
      </w:tr>
      <w:tr>
        <w:trPr>
          <w:cantSplit/>
        </w:trPr>
        <w:tc>
          <w:tcPr>
            <w:tcW w:w="7087" w:type="dxa"/>
            <w:gridSpan w:val="4"/>
          </w:tcPr>
          <w:p>
            <w:pPr>
              <w:pStyle w:val="nTable"/>
              <w:spacing w:after="40"/>
            </w:pPr>
            <w:r>
              <w:rPr>
                <w:b/>
                <w:bCs/>
              </w:rPr>
              <w:t xml:space="preserve">Reprint 3: The </w:t>
            </w:r>
            <w:r>
              <w:rPr>
                <w:b/>
                <w:bCs/>
                <w:i/>
              </w:rPr>
              <w:t>Petroleum Pipelines Act 1969</w:t>
            </w:r>
            <w:r>
              <w:rPr>
                <w:b/>
                <w:bCs/>
              </w:rPr>
              <w:t xml:space="preserve"> as at 7 Jul 2006</w:t>
            </w:r>
            <w:r>
              <w:t xml:space="preserve"> (includes amendments listed above, except those in the </w:t>
            </w:r>
            <w:r>
              <w:rPr>
                <w:bCs/>
                <w:i/>
                <w:iCs/>
              </w:rPr>
              <w:t>Dangerous Goods Safety Act 2004</w:t>
            </w:r>
            <w:r>
              <w:rPr>
                <w:bCs/>
              </w:rPr>
              <w:t xml:space="preserve"> and the </w:t>
            </w:r>
            <w:r>
              <w:rPr>
                <w:i/>
                <w:snapToGrid w:val="0"/>
              </w:rPr>
              <w:t>Petroleum Legislation Amendment and Repeal Act 2005</w:t>
            </w:r>
            <w:r>
              <w:t>)</w:t>
            </w:r>
          </w:p>
        </w:tc>
      </w:tr>
      <w:tr>
        <w:trPr>
          <w:cantSplit/>
        </w:trPr>
        <w:tc>
          <w:tcPr>
            <w:tcW w:w="2264" w:type="dxa"/>
          </w:tcPr>
          <w:p>
            <w:pPr>
              <w:pStyle w:val="nTable"/>
              <w:spacing w:after="40"/>
              <w:ind w:right="113"/>
              <w:rPr>
                <w:i/>
              </w:rPr>
            </w:pPr>
            <w:r>
              <w:rPr>
                <w:i/>
              </w:rPr>
              <w:t xml:space="preserve">Petroleum Amendment Act 2007 </w:t>
            </w:r>
            <w:r>
              <w:rPr>
                <w:iCs/>
              </w:rPr>
              <w:t>s. 102</w:t>
            </w:r>
          </w:p>
        </w:tc>
        <w:tc>
          <w:tcPr>
            <w:tcW w:w="1134" w:type="dxa"/>
          </w:tcPr>
          <w:p>
            <w:pPr>
              <w:pStyle w:val="nTable"/>
              <w:spacing w:after="40"/>
            </w:pPr>
            <w:r>
              <w:t>35 of 2007</w:t>
            </w:r>
          </w:p>
        </w:tc>
        <w:tc>
          <w:tcPr>
            <w:tcW w:w="1137" w:type="dxa"/>
          </w:tcPr>
          <w:p>
            <w:pPr>
              <w:pStyle w:val="nTable"/>
              <w:spacing w:after="40"/>
            </w:pPr>
            <w:r>
              <w:t>21 Dec 2007</w:t>
            </w:r>
          </w:p>
        </w:tc>
        <w:tc>
          <w:tcPr>
            <w:tcW w:w="2552" w:type="dxa"/>
          </w:tcPr>
          <w:p>
            <w:pPr>
              <w:pStyle w:val="nTable"/>
              <w:spacing w:after="40"/>
              <w:rPr>
                <w:vertAlign w:val="superscript"/>
              </w:rPr>
            </w:pPr>
            <w:r>
              <w:t>15 May 2010 </w:t>
            </w:r>
            <w:r>
              <w:rPr>
                <w:vertAlign w:val="superscript"/>
              </w:rPr>
              <w:t>7</w:t>
            </w:r>
          </w:p>
        </w:tc>
      </w:tr>
      <w:tr>
        <w:trPr>
          <w:cantSplit/>
        </w:trPr>
        <w:tc>
          <w:tcPr>
            <w:tcW w:w="2264" w:type="dxa"/>
          </w:tcPr>
          <w:p>
            <w:pPr>
              <w:pStyle w:val="nTable"/>
              <w:spacing w:after="40"/>
              <w:ind w:right="113"/>
              <w:rPr>
                <w:iCs/>
              </w:rPr>
            </w:pPr>
            <w:r>
              <w:rPr>
                <w:i/>
              </w:rPr>
              <w:t>National Gas Access (WA) Act 2009</w:t>
            </w:r>
            <w:r>
              <w:rPr>
                <w:iCs/>
              </w:rPr>
              <w:t xml:space="preserve"> s. 72</w:t>
            </w:r>
          </w:p>
        </w:tc>
        <w:tc>
          <w:tcPr>
            <w:tcW w:w="1134" w:type="dxa"/>
          </w:tcPr>
          <w:p>
            <w:pPr>
              <w:pStyle w:val="nTable"/>
              <w:spacing w:after="40"/>
            </w:pPr>
            <w:r>
              <w:t>16 of 2009</w:t>
            </w:r>
          </w:p>
        </w:tc>
        <w:tc>
          <w:tcPr>
            <w:tcW w:w="1137" w:type="dxa"/>
          </w:tcPr>
          <w:p>
            <w:pPr>
              <w:pStyle w:val="nTable"/>
              <w:spacing w:after="40"/>
            </w:pPr>
            <w:r>
              <w:t>1 Sep 2009</w:t>
            </w:r>
          </w:p>
        </w:tc>
        <w:tc>
          <w:tcPr>
            <w:tcW w:w="2552" w:type="dxa"/>
          </w:tcPr>
          <w:p>
            <w:pPr>
              <w:pStyle w:val="nTable"/>
              <w:spacing w:after="40"/>
            </w:pPr>
            <w:r>
              <w:t xml:space="preserve">1 Jan 2010 (see s. 2(b) and </w:t>
            </w:r>
            <w:r>
              <w:rPr>
                <w:i/>
                <w:iCs/>
              </w:rPr>
              <w:t>Gazette</w:t>
            </w:r>
            <w:r>
              <w:t xml:space="preserve"> 31 Dec 2009 p. 5327</w:t>
            </w:r>
          </w:p>
        </w:tc>
      </w:tr>
      <w:tr>
        <w:trPr>
          <w:cantSplit/>
        </w:trPr>
        <w:tc>
          <w:tcPr>
            <w:tcW w:w="2264" w:type="dxa"/>
          </w:tcPr>
          <w:p>
            <w:pPr>
              <w:pStyle w:val="nTable"/>
              <w:spacing w:after="40"/>
              <w:rPr>
                <w:iCs/>
                <w:snapToGrid w:val="0"/>
                <w:vertAlign w:val="superscript"/>
              </w:rPr>
            </w:pPr>
            <w:r>
              <w:rPr>
                <w:i/>
                <w:snapToGrid w:val="0"/>
              </w:rPr>
              <w:t>Approvals and Related Reforms (No. 3) (Crown Land) Act 2010</w:t>
            </w:r>
            <w:r>
              <w:rPr>
                <w:iCs/>
                <w:snapToGrid w:val="0"/>
              </w:rPr>
              <w:t xml:space="preserve"> Pt. 7</w:t>
            </w:r>
          </w:p>
        </w:tc>
        <w:tc>
          <w:tcPr>
            <w:tcW w:w="1134" w:type="dxa"/>
          </w:tcPr>
          <w:p>
            <w:pPr>
              <w:pStyle w:val="nTable"/>
              <w:spacing w:after="40"/>
            </w:pPr>
            <w:r>
              <w:t>8 of 2010</w:t>
            </w:r>
          </w:p>
        </w:tc>
        <w:tc>
          <w:tcPr>
            <w:tcW w:w="1137" w:type="dxa"/>
          </w:tcPr>
          <w:p>
            <w:pPr>
              <w:pStyle w:val="nTable"/>
              <w:spacing w:after="40"/>
            </w:pPr>
            <w:r>
              <w:t>3 Jun 2010</w:t>
            </w:r>
          </w:p>
        </w:tc>
        <w:tc>
          <w:tcPr>
            <w:tcW w:w="2552" w:type="dxa"/>
          </w:tcPr>
          <w:p>
            <w:pPr>
              <w:pStyle w:val="nTable"/>
              <w:spacing w:after="40"/>
            </w:pPr>
            <w:r>
              <w:t xml:space="preserve">18 Sep 2010 (see s. 2(b) and </w:t>
            </w:r>
            <w:r>
              <w:rPr>
                <w:i/>
                <w:iCs/>
              </w:rPr>
              <w:t>Gazette</w:t>
            </w:r>
            <w:r>
              <w:t xml:space="preserve"> 17 Sep 2010 p. 4757)</w:t>
            </w:r>
          </w:p>
        </w:tc>
      </w:tr>
      <w:tr>
        <w:trPr>
          <w:cantSplit/>
        </w:trPr>
        <w:tc>
          <w:tcPr>
            <w:tcW w:w="7087" w:type="dxa"/>
            <w:gridSpan w:val="4"/>
          </w:tcPr>
          <w:p>
            <w:pPr>
              <w:pStyle w:val="nTable"/>
              <w:spacing w:after="40"/>
            </w:pPr>
            <w:r>
              <w:rPr>
                <w:b/>
                <w:bCs/>
              </w:rPr>
              <w:t xml:space="preserve">Reprint 4: The </w:t>
            </w:r>
            <w:r>
              <w:rPr>
                <w:b/>
                <w:bCs/>
                <w:i/>
              </w:rPr>
              <w:t>Petroleum Pipelines Act 1969</w:t>
            </w:r>
            <w:r>
              <w:rPr>
                <w:b/>
                <w:bCs/>
              </w:rPr>
              <w:t xml:space="preserve"> as at 1 Oct 2010</w:t>
            </w:r>
            <w:r>
              <w:t xml:space="preserve"> (includes amendments listed above)</w:t>
            </w:r>
          </w:p>
        </w:tc>
      </w:tr>
      <w:tr>
        <w:trPr>
          <w:cantSplit/>
        </w:trPr>
        <w:tc>
          <w:tcPr>
            <w:tcW w:w="2264" w:type="dxa"/>
          </w:tcPr>
          <w:p>
            <w:pPr>
              <w:pStyle w:val="nTable"/>
              <w:spacing w:after="40"/>
              <w:rPr>
                <w:iCs/>
                <w:snapToGrid w:val="0"/>
                <w:vertAlign w:val="superscript"/>
              </w:rPr>
            </w:pPr>
            <w:r>
              <w:rPr>
                <w:i/>
                <w:snapToGrid w:val="0"/>
              </w:rPr>
              <w:t>Petroleum and Energy Legislation Amendment Act 2010</w:t>
            </w:r>
            <w:r>
              <w:rPr>
                <w:snapToGrid w:val="0"/>
              </w:rPr>
              <w:t xml:space="preserve"> Pt. 4</w:t>
            </w:r>
          </w:p>
        </w:tc>
        <w:tc>
          <w:tcPr>
            <w:tcW w:w="1134" w:type="dxa"/>
          </w:tcPr>
          <w:p>
            <w:pPr>
              <w:pStyle w:val="nTable"/>
              <w:spacing w:after="40"/>
            </w:pPr>
            <w:r>
              <w:t>42 of 2010</w:t>
            </w:r>
          </w:p>
        </w:tc>
        <w:tc>
          <w:tcPr>
            <w:tcW w:w="1137" w:type="dxa"/>
          </w:tcPr>
          <w:p>
            <w:pPr>
              <w:pStyle w:val="nTable"/>
              <w:spacing w:after="40"/>
            </w:pPr>
            <w:r>
              <w:t>28 Oct 2010</w:t>
            </w:r>
          </w:p>
        </w:tc>
        <w:tc>
          <w:tcPr>
            <w:tcW w:w="2552" w:type="dxa"/>
          </w:tcPr>
          <w:p>
            <w:pPr>
              <w:pStyle w:val="nTable"/>
              <w:spacing w:after="40"/>
            </w:pPr>
            <w:r>
              <w:t xml:space="preserve">25 May 2011 (see s. 2(b) and </w:t>
            </w:r>
            <w:r>
              <w:rPr>
                <w:i/>
              </w:rPr>
              <w:t>Gazette</w:t>
            </w:r>
            <w:r>
              <w:t xml:space="preserve"> 24 May 2011 p. 1892)</w:t>
            </w:r>
          </w:p>
        </w:tc>
      </w:tr>
      <w:tr>
        <w:trPr>
          <w:cantSplit/>
        </w:trPr>
        <w:tc>
          <w:tcPr>
            <w:tcW w:w="2264" w:type="dxa"/>
          </w:tcPr>
          <w:p>
            <w:pPr>
              <w:pStyle w:val="nTable"/>
              <w:spacing w:after="40"/>
              <w:rPr>
                <w:i/>
                <w:snapToGrid w:val="0"/>
              </w:rPr>
            </w:pPr>
            <w:r>
              <w:rPr>
                <w:i/>
                <w:snapToGrid w:val="0"/>
              </w:rPr>
              <w:t>Personal Property Securities (Consequential Repeals and Amendments) Act 2011</w:t>
            </w:r>
            <w:r>
              <w:rPr>
                <w:snapToGrid w:val="0"/>
              </w:rPr>
              <w:t xml:space="preserve"> Pt. 9 Div. 4</w:t>
            </w:r>
          </w:p>
        </w:tc>
        <w:tc>
          <w:tcPr>
            <w:tcW w:w="1134" w:type="dxa"/>
          </w:tcPr>
          <w:p>
            <w:pPr>
              <w:pStyle w:val="nTable"/>
              <w:spacing w:after="40"/>
            </w:pPr>
            <w:r>
              <w:rPr>
                <w:snapToGrid w:val="0"/>
              </w:rPr>
              <w:t>42 of 2011</w:t>
            </w:r>
          </w:p>
        </w:tc>
        <w:tc>
          <w:tcPr>
            <w:tcW w:w="1137" w:type="dxa"/>
          </w:tcPr>
          <w:p>
            <w:pPr>
              <w:pStyle w:val="nTable"/>
              <w:spacing w:after="40"/>
            </w:pPr>
            <w:r>
              <w:t>4 Oct 2011</w:t>
            </w:r>
          </w:p>
        </w:tc>
        <w:tc>
          <w:tcPr>
            <w:tcW w:w="2552" w:type="dxa"/>
          </w:tcPr>
          <w:p>
            <w:pPr>
              <w:pStyle w:val="nTable"/>
              <w:spacing w:after="40"/>
            </w:pPr>
            <w:r>
              <w:rPr>
                <w:snapToGrid w:val="0"/>
              </w:rPr>
              <w:t>30 Jan 2012 (see s. 2(c) and Cwlth Legislative Instrument No. F2011L02397 cl. 5 registered 21 Nov 2011)</w:t>
            </w:r>
          </w:p>
        </w:tc>
      </w:tr>
      <w:tr>
        <w:trPr>
          <w:cantSplit/>
        </w:trPr>
        <w:tc>
          <w:tcPr>
            <w:tcW w:w="2264" w:type="dxa"/>
          </w:tcPr>
          <w:p>
            <w:pPr>
              <w:pStyle w:val="nTable"/>
              <w:spacing w:after="40"/>
              <w:rPr>
                <w:snapToGrid w:val="0"/>
              </w:rPr>
            </w:pPr>
            <w:r>
              <w:rPr>
                <w:i/>
                <w:snapToGrid w:val="0"/>
              </w:rPr>
              <w:t>Statutes (Repeals and Minor Amendments) Act 2011</w:t>
            </w:r>
            <w:r>
              <w:rPr>
                <w:snapToGrid w:val="0"/>
              </w:rPr>
              <w:t xml:space="preserve"> s. 15 and 16</w:t>
            </w:r>
          </w:p>
        </w:tc>
        <w:tc>
          <w:tcPr>
            <w:tcW w:w="1134" w:type="dxa"/>
          </w:tcPr>
          <w:p>
            <w:pPr>
              <w:pStyle w:val="nTable"/>
              <w:spacing w:after="40"/>
            </w:pPr>
            <w:r>
              <w:rPr>
                <w:snapToGrid w:val="0"/>
              </w:rPr>
              <w:t>47 of 2011</w:t>
            </w:r>
          </w:p>
        </w:tc>
        <w:tc>
          <w:tcPr>
            <w:tcW w:w="1137" w:type="dxa"/>
          </w:tcPr>
          <w:p>
            <w:pPr>
              <w:pStyle w:val="nTable"/>
              <w:spacing w:after="40"/>
            </w:pPr>
            <w:r>
              <w:rPr>
                <w:snapToGrid w:val="0"/>
              </w:rPr>
              <w:t>25 Oct 2011</w:t>
            </w:r>
          </w:p>
        </w:tc>
        <w:tc>
          <w:tcPr>
            <w:tcW w:w="2552" w:type="dxa"/>
          </w:tcPr>
          <w:p>
            <w:pPr>
              <w:pStyle w:val="nTable"/>
              <w:spacing w:after="40"/>
            </w:pPr>
            <w:r>
              <w:rPr>
                <w:snapToGrid w:val="0"/>
              </w:rPr>
              <w:t>26 Oct 2011 (see s. 2(b))</w:t>
            </w:r>
          </w:p>
        </w:tc>
      </w:tr>
      <w:tr>
        <w:trPr>
          <w:cantSplit/>
        </w:trPr>
        <w:tc>
          <w:tcPr>
            <w:tcW w:w="2264" w:type="dxa"/>
          </w:tcPr>
          <w:p>
            <w:pPr>
              <w:pStyle w:val="nTable"/>
              <w:spacing w:after="40"/>
              <w:rPr>
                <w:snapToGrid w:val="0"/>
              </w:rPr>
            </w:pPr>
            <w:r>
              <w:rPr>
                <w:i/>
                <w:snapToGrid w:val="0"/>
              </w:rPr>
              <w:t>Statutes (Repeals and Minor Amendments) Act 2014</w:t>
            </w:r>
            <w:r>
              <w:rPr>
                <w:snapToGrid w:val="0"/>
              </w:rPr>
              <w:t xml:space="preserve"> s. 9</w:t>
            </w:r>
          </w:p>
        </w:tc>
        <w:tc>
          <w:tcPr>
            <w:tcW w:w="1134" w:type="dxa"/>
          </w:tcPr>
          <w:p>
            <w:pPr>
              <w:pStyle w:val="nTable"/>
              <w:spacing w:after="40"/>
              <w:rPr>
                <w:snapToGrid w:val="0"/>
              </w:rPr>
            </w:pPr>
            <w:r>
              <w:rPr>
                <w:snapToGrid w:val="0"/>
              </w:rPr>
              <w:t>17 of 2014</w:t>
            </w:r>
          </w:p>
        </w:tc>
        <w:tc>
          <w:tcPr>
            <w:tcW w:w="1137" w:type="dxa"/>
          </w:tcPr>
          <w:p>
            <w:pPr>
              <w:pStyle w:val="nTable"/>
              <w:spacing w:after="40"/>
              <w:rPr>
                <w:snapToGrid w:val="0"/>
              </w:rPr>
            </w:pPr>
            <w:r>
              <w:rPr>
                <w:snapToGrid w:val="0"/>
              </w:rPr>
              <w:t>2 Jul 2014</w:t>
            </w:r>
          </w:p>
        </w:tc>
        <w:tc>
          <w:tcPr>
            <w:tcW w:w="2552" w:type="dxa"/>
          </w:tcPr>
          <w:p>
            <w:pPr>
              <w:pStyle w:val="nTable"/>
              <w:spacing w:after="40"/>
              <w:rPr>
                <w:snapToGrid w:val="0"/>
              </w:rPr>
            </w:pPr>
            <w:r>
              <w:rPr>
                <w:snapToGrid w:val="0"/>
              </w:rPr>
              <w:t xml:space="preserve">6 Sep 2014 (see s. 2(b) and </w:t>
            </w:r>
            <w:r>
              <w:rPr>
                <w:i/>
                <w:snapToGrid w:val="0"/>
              </w:rPr>
              <w:t>Gazette</w:t>
            </w:r>
            <w:r>
              <w:rPr>
                <w:snapToGrid w:val="0"/>
              </w:rPr>
              <w:t xml:space="preserve"> 5 Sep 2014 p. 3213)</w:t>
            </w:r>
          </w:p>
        </w:tc>
      </w:tr>
      <w:tr>
        <w:trPr>
          <w:cantSplit/>
        </w:trPr>
        <w:tc>
          <w:tcPr>
            <w:tcW w:w="2264" w:type="dxa"/>
            <w:tcBorders>
              <w:bottom w:val="single" w:sz="4" w:space="0" w:color="auto"/>
            </w:tcBorders>
          </w:tcPr>
          <w:p>
            <w:pPr>
              <w:pStyle w:val="nTable"/>
              <w:spacing w:after="40"/>
              <w:rPr>
                <w:i/>
                <w:snapToGrid w:val="0"/>
              </w:rPr>
            </w:pPr>
            <w:r>
              <w:rPr>
                <w:i/>
              </w:rPr>
              <w:t>Work Health and Safety Act 2020</w:t>
            </w:r>
            <w:r>
              <w:t xml:space="preserve"> Pt. 15 Div. 3 Subdiv. 3</w:t>
            </w:r>
          </w:p>
        </w:tc>
        <w:tc>
          <w:tcPr>
            <w:tcW w:w="1134" w:type="dxa"/>
            <w:tcBorders>
              <w:bottom w:val="single" w:sz="4" w:space="0" w:color="auto"/>
            </w:tcBorders>
          </w:tcPr>
          <w:p>
            <w:pPr>
              <w:pStyle w:val="nTable"/>
              <w:spacing w:after="40"/>
              <w:rPr>
                <w:snapToGrid w:val="0"/>
              </w:rPr>
            </w:pPr>
            <w:r>
              <w:t>36 of 2020</w:t>
            </w:r>
          </w:p>
        </w:tc>
        <w:tc>
          <w:tcPr>
            <w:tcW w:w="1137" w:type="dxa"/>
            <w:tcBorders>
              <w:bottom w:val="single" w:sz="4" w:space="0" w:color="auto"/>
            </w:tcBorders>
          </w:tcPr>
          <w:p>
            <w:pPr>
              <w:pStyle w:val="nTable"/>
              <w:spacing w:after="40"/>
              <w:rPr>
                <w:snapToGrid w:val="0"/>
              </w:rPr>
            </w:pPr>
            <w:r>
              <w:t>10 Nov 2020</w:t>
            </w:r>
          </w:p>
        </w:tc>
        <w:tc>
          <w:tcPr>
            <w:tcW w:w="2552" w:type="dxa"/>
            <w:tcBorders>
              <w:bottom w:val="single" w:sz="4" w:space="0" w:color="auto"/>
            </w:tcBorders>
          </w:tcPr>
          <w:p>
            <w:pPr>
              <w:pStyle w:val="nTable"/>
              <w:spacing w:after="40"/>
              <w:rPr>
                <w:snapToGrid w:val="0"/>
              </w:rPr>
            </w:pPr>
            <w:r>
              <w:t>31 Mar 2022 (see s. 2(1)(c) and SL 2022/18 cl. 2)</w:t>
            </w:r>
          </w:p>
        </w:tc>
      </w:tr>
    </w:tbl>
    <w:p>
      <w:pPr>
        <w:pStyle w:val="nHeading3"/>
      </w:pPr>
      <w:bookmarkStart w:id="192" w:name="_Toc166681140"/>
      <w:bookmarkStart w:id="193" w:name="_Toc99460745"/>
      <w:r>
        <w:t>Uncommenced provisions table</w:t>
      </w:r>
      <w:bookmarkEnd w:id="192"/>
      <w:bookmarkEnd w:id="193"/>
    </w:p>
    <w:p>
      <w:pPr>
        <w:pStyle w:val="nStatement"/>
        <w:keepNext/>
        <w:spacing w:after="240"/>
      </w:pPr>
      <w:r>
        <w:t xml:space="preserve">To view the text of the uncommenced provisions see </w:t>
      </w:r>
      <w:r>
        <w:rPr>
          <w:i/>
        </w:rPr>
        <w:t>Acts as passed</w:t>
      </w:r>
      <w:r>
        <w:t xml:space="preserve"> on the WA Legislation website.</w:t>
      </w:r>
    </w:p>
    <w:tbl>
      <w:tblPr>
        <w:tblW w:w="7093" w:type="dxa"/>
        <w:tblInd w:w="28" w:type="dxa"/>
        <w:tblLayout w:type="fixed"/>
        <w:tblCellMar>
          <w:left w:w="56" w:type="dxa"/>
          <w:right w:w="56" w:type="dxa"/>
        </w:tblCellMar>
        <w:tblLook w:val="0000" w:firstRow="0" w:lastRow="0" w:firstColumn="0" w:lastColumn="0" w:noHBand="0" w:noVBand="0"/>
      </w:tblPr>
      <w:tblGrid>
        <w:gridCol w:w="2273"/>
        <w:gridCol w:w="1134"/>
        <w:gridCol w:w="1134"/>
        <w:gridCol w:w="2552"/>
      </w:tblGrid>
      <w:tr>
        <w:trPr>
          <w:tblHeader/>
        </w:trPr>
        <w:tc>
          <w:tcPr>
            <w:tcW w:w="2273" w:type="dxa"/>
            <w:tcBorders>
              <w:top w:val="single" w:sz="4" w:space="0" w:color="auto"/>
              <w:bottom w:val="single" w:sz="4" w:space="0" w:color="auto"/>
            </w:tcBorders>
          </w:tcPr>
          <w:p>
            <w:pPr>
              <w:pStyle w:val="nTable"/>
              <w:keepNext/>
              <w:keepLines/>
              <w:spacing w:after="40"/>
              <w:rPr>
                <w:b/>
              </w:rPr>
            </w:pPr>
            <w:r>
              <w:rPr>
                <w:b/>
              </w:rPr>
              <w:t>Short title</w:t>
            </w:r>
          </w:p>
        </w:tc>
        <w:tc>
          <w:tcPr>
            <w:tcW w:w="1134" w:type="dxa"/>
            <w:tcBorders>
              <w:top w:val="single" w:sz="4" w:space="0" w:color="auto"/>
              <w:bottom w:val="single" w:sz="4" w:space="0" w:color="auto"/>
            </w:tcBorders>
          </w:tcPr>
          <w:p>
            <w:pPr>
              <w:pStyle w:val="nTable"/>
              <w:keepNext/>
              <w:keepLines/>
              <w:spacing w:after="40"/>
              <w:rPr>
                <w:b/>
              </w:rPr>
            </w:pPr>
            <w:r>
              <w:rPr>
                <w:b/>
              </w:rPr>
              <w:t>Number and year</w:t>
            </w:r>
          </w:p>
        </w:tc>
        <w:tc>
          <w:tcPr>
            <w:tcW w:w="1134" w:type="dxa"/>
            <w:tcBorders>
              <w:top w:val="single" w:sz="4" w:space="0" w:color="auto"/>
              <w:bottom w:val="single" w:sz="4" w:space="0" w:color="auto"/>
            </w:tcBorders>
          </w:tcPr>
          <w:p>
            <w:pPr>
              <w:pStyle w:val="nTable"/>
              <w:keepNext/>
              <w:keepLines/>
              <w:spacing w:after="40"/>
              <w:rPr>
                <w:b/>
              </w:rPr>
            </w:pPr>
            <w:r>
              <w:rPr>
                <w:b/>
              </w:rPr>
              <w:t>Assent</w:t>
            </w:r>
          </w:p>
        </w:tc>
        <w:tc>
          <w:tcPr>
            <w:tcW w:w="2552" w:type="dxa"/>
            <w:tcBorders>
              <w:top w:val="single" w:sz="4" w:space="0" w:color="auto"/>
              <w:bottom w:val="single" w:sz="4" w:space="0" w:color="auto"/>
            </w:tcBorders>
          </w:tcPr>
          <w:p>
            <w:pPr>
              <w:pStyle w:val="nTable"/>
              <w:keepNext/>
              <w:keepLines/>
              <w:spacing w:after="40"/>
              <w:rPr>
                <w:b/>
              </w:rPr>
            </w:pPr>
            <w:r>
              <w:rPr>
                <w:b/>
              </w:rPr>
              <w:t>Commencement</w:t>
            </w:r>
          </w:p>
        </w:tc>
      </w:tr>
      <w:tr>
        <w:tc>
          <w:tcPr>
            <w:tcW w:w="2273" w:type="dxa"/>
            <w:tcBorders>
              <w:top w:val="single" w:sz="4" w:space="0" w:color="auto"/>
            </w:tcBorders>
          </w:tcPr>
          <w:p>
            <w:pPr>
              <w:pStyle w:val="nTable"/>
              <w:spacing w:after="40"/>
              <w:rPr>
                <w:i/>
                <w:vertAlign w:val="superscript"/>
              </w:rPr>
            </w:pPr>
            <w:r>
              <w:rPr>
                <w:i/>
                <w:snapToGrid w:val="0"/>
              </w:rPr>
              <w:t>Native Title (State Provisions) Act </w:t>
            </w:r>
            <w:r>
              <w:rPr>
                <w:i/>
                <w:iCs/>
                <w:snapToGrid w:val="0"/>
              </w:rPr>
              <w:t>1999</w:t>
            </w:r>
            <w:r>
              <w:rPr>
                <w:snapToGrid w:val="0"/>
              </w:rPr>
              <w:t xml:space="preserve"> s. 7.3</w:t>
            </w:r>
          </w:p>
        </w:tc>
        <w:tc>
          <w:tcPr>
            <w:tcW w:w="1134" w:type="dxa"/>
            <w:tcBorders>
              <w:top w:val="single" w:sz="4" w:space="0" w:color="auto"/>
            </w:tcBorders>
          </w:tcPr>
          <w:p>
            <w:pPr>
              <w:pStyle w:val="nTable"/>
              <w:spacing w:after="40"/>
            </w:pPr>
            <w:r>
              <w:t>60 of 1999</w:t>
            </w:r>
          </w:p>
        </w:tc>
        <w:tc>
          <w:tcPr>
            <w:tcW w:w="1134" w:type="dxa"/>
            <w:tcBorders>
              <w:top w:val="single" w:sz="4" w:space="0" w:color="auto"/>
            </w:tcBorders>
          </w:tcPr>
          <w:p>
            <w:pPr>
              <w:pStyle w:val="nTable"/>
              <w:spacing w:after="40"/>
            </w:pPr>
            <w:r>
              <w:t>10 Jan 2000</w:t>
            </w:r>
          </w:p>
        </w:tc>
        <w:tc>
          <w:tcPr>
            <w:tcW w:w="2552" w:type="dxa"/>
            <w:tcBorders>
              <w:top w:val="single" w:sz="4" w:space="0" w:color="auto"/>
            </w:tcBorders>
          </w:tcPr>
          <w:p>
            <w:pPr>
              <w:pStyle w:val="nTable"/>
              <w:spacing w:after="40"/>
            </w:pPr>
            <w:r>
              <w:t>Operative on earliest of commencement of Pt. 2 (except s. 2.2), Pt. 3 (except s. 3.1) and Pt. 4</w:t>
            </w:r>
          </w:p>
        </w:tc>
      </w:tr>
      <w:tr>
        <w:trPr>
          <w:ins w:id="194" w:author="Master Repository Process" w:date="2025-05-29T10:13:00Z"/>
        </w:trPr>
        <w:tc>
          <w:tcPr>
            <w:tcW w:w="2273" w:type="dxa"/>
            <w:tcBorders>
              <w:bottom w:val="single" w:sz="4" w:space="0" w:color="auto"/>
            </w:tcBorders>
          </w:tcPr>
          <w:p>
            <w:pPr>
              <w:pStyle w:val="nTable"/>
              <w:spacing w:after="40"/>
              <w:rPr>
                <w:ins w:id="195" w:author="Master Repository Process" w:date="2025-05-29T10:13:00Z"/>
                <w:iCs/>
                <w:snapToGrid w:val="0"/>
              </w:rPr>
            </w:pPr>
            <w:ins w:id="196" w:author="Master Repository Process" w:date="2025-05-29T10:13:00Z">
              <w:r>
                <w:rPr>
                  <w:i/>
                  <w:snapToGrid w:val="0"/>
                </w:rPr>
                <w:t xml:space="preserve">Petroleum Legislation Amendment Act 2024 </w:t>
              </w:r>
              <w:r>
                <w:rPr>
                  <w:iCs/>
                  <w:snapToGrid w:val="0"/>
                </w:rPr>
                <w:t>Pt. 3</w:t>
              </w:r>
            </w:ins>
          </w:p>
        </w:tc>
        <w:tc>
          <w:tcPr>
            <w:tcW w:w="1134" w:type="dxa"/>
            <w:tcBorders>
              <w:bottom w:val="single" w:sz="4" w:space="0" w:color="auto"/>
            </w:tcBorders>
          </w:tcPr>
          <w:p>
            <w:pPr>
              <w:pStyle w:val="nTable"/>
              <w:spacing w:after="40"/>
              <w:rPr>
                <w:ins w:id="197" w:author="Master Repository Process" w:date="2025-05-29T10:13:00Z"/>
              </w:rPr>
            </w:pPr>
            <w:ins w:id="198" w:author="Master Repository Process" w:date="2025-05-29T10:13:00Z">
              <w:r>
                <w:t>17 of 2024</w:t>
              </w:r>
            </w:ins>
          </w:p>
        </w:tc>
        <w:tc>
          <w:tcPr>
            <w:tcW w:w="1134" w:type="dxa"/>
            <w:tcBorders>
              <w:bottom w:val="single" w:sz="4" w:space="0" w:color="auto"/>
            </w:tcBorders>
          </w:tcPr>
          <w:p>
            <w:pPr>
              <w:pStyle w:val="nTable"/>
              <w:spacing w:after="40"/>
              <w:rPr>
                <w:ins w:id="199" w:author="Master Repository Process" w:date="2025-05-29T10:13:00Z"/>
              </w:rPr>
            </w:pPr>
            <w:ins w:id="200" w:author="Master Repository Process" w:date="2025-05-29T10:13:00Z">
              <w:r>
                <w:t>14 May 2024</w:t>
              </w:r>
            </w:ins>
          </w:p>
        </w:tc>
        <w:tc>
          <w:tcPr>
            <w:tcW w:w="2552" w:type="dxa"/>
            <w:tcBorders>
              <w:bottom w:val="single" w:sz="4" w:space="0" w:color="auto"/>
            </w:tcBorders>
          </w:tcPr>
          <w:p>
            <w:pPr>
              <w:pStyle w:val="nTable"/>
              <w:spacing w:after="40"/>
              <w:rPr>
                <w:ins w:id="201" w:author="Master Repository Process" w:date="2025-05-29T10:13:00Z"/>
              </w:rPr>
            </w:pPr>
            <w:ins w:id="202" w:author="Master Repository Process" w:date="2025-05-29T10:13:00Z">
              <w:r>
                <w:t>To be proclaimed (see s. 2(b))</w:t>
              </w:r>
            </w:ins>
          </w:p>
        </w:tc>
      </w:tr>
    </w:tbl>
    <w:p>
      <w:pPr>
        <w:pStyle w:val="nHeading3"/>
      </w:pPr>
      <w:bookmarkStart w:id="203" w:name="_Toc166681141"/>
      <w:bookmarkStart w:id="204" w:name="_Toc99460746"/>
      <w:r>
        <w:t>Other notes</w:t>
      </w:r>
      <w:bookmarkEnd w:id="203"/>
      <w:bookmarkEnd w:id="204"/>
    </w:p>
    <w:p>
      <w:pPr>
        <w:pStyle w:val="nNote"/>
        <w:keepNext/>
        <w:spacing w:before="240"/>
        <w:rPr>
          <w:snapToGrid w:val="0"/>
        </w:rPr>
      </w:pPr>
      <w:r>
        <w:rPr>
          <w:snapToGrid w:val="0"/>
          <w:vertAlign w:val="superscript"/>
        </w:rPr>
        <w:t>1</w:t>
      </w:r>
      <w:r>
        <w:rPr>
          <w:snapToGrid w:val="0"/>
        </w:rPr>
        <w:tab/>
        <w:t>Footnote no longer required.</w:t>
      </w:r>
    </w:p>
    <w:p>
      <w:pPr>
        <w:pStyle w:val="nNote"/>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Note"/>
      </w:pPr>
      <w:r>
        <w:rPr>
          <w:snapToGrid w:val="0"/>
          <w:vertAlign w:val="superscript"/>
        </w:rPr>
        <w:t>3</w:t>
      </w:r>
      <w:r>
        <w:rPr>
          <w:snapToGrid w:val="0"/>
        </w:rPr>
        <w:tab/>
        <w:t xml:space="preserve">The </w:t>
      </w:r>
      <w:r>
        <w:t xml:space="preserve">Gas Pipelines Access (Western Australia) Law) ceased to apply when the </w:t>
      </w:r>
      <w:r>
        <w:rPr>
          <w:i/>
          <w:iCs/>
        </w:rPr>
        <w:t>National Act Access (WA) Act 2009</w:t>
      </w:r>
      <w:r>
        <w:t xml:space="preserve"> commenced on 1 Jan 2010.</w:t>
      </w:r>
    </w:p>
    <w:p>
      <w:pPr>
        <w:pStyle w:val="nNote"/>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Note"/>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Note"/>
        <w:spacing w:before="60"/>
      </w:pPr>
      <w:r>
        <w:rPr>
          <w:vertAlign w:val="superscript"/>
        </w:rPr>
        <w:t>6</w:t>
      </w:r>
      <w:r>
        <w:tab/>
        <w:t xml:space="preserve">As at the date this compilation was prepared, these offices (of the former Department of Mines) no longer exist.  </w:t>
      </w:r>
    </w:p>
    <w:p>
      <w:pPr>
        <w:pStyle w:val="nNote"/>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Note"/>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keepNext/>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Note"/>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Note"/>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 that was to amend this Act was deleted by the </w:t>
      </w:r>
      <w:r>
        <w:rPr>
          <w:i/>
          <w:iCs/>
          <w:snapToGrid w:val="0"/>
        </w:rPr>
        <w:t>Petroleum Legislation Amendment and Repeal Act 2005</w:t>
      </w:r>
      <w:r>
        <w:rPr>
          <w:snapToGrid w:val="0"/>
        </w:rPr>
        <w:t xml:space="preserve"> s. 51 before the amendment came into operation.</w:t>
      </w:r>
    </w:p>
    <w:p>
      <w:pPr>
        <w:pStyle w:val="nNote"/>
        <w:spacing w:before="60"/>
      </w:pPr>
      <w:r>
        <w:rPr>
          <w:vertAlign w:val="superscript"/>
        </w:rPr>
        <w:t>11</w:t>
      </w:r>
      <w:r>
        <w:tab/>
        <w:t xml:space="preserve">The Fourth Schedule was inserted by the </w:t>
      </w:r>
      <w:r>
        <w:rPr>
          <w:i/>
        </w:rPr>
        <w:t>Metric Conversion Act Amendment Act 1975</w:t>
      </w:r>
      <w:r>
        <w:t>.</w:t>
      </w:r>
    </w:p>
    <w:p>
      <w:pPr>
        <w:pStyle w:val="nNote"/>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Note"/>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Note"/>
        <w:rPr>
          <w:snapToGrid w:val="0"/>
        </w:rPr>
      </w:pPr>
      <w:r>
        <w:rPr>
          <w:snapToGrid w:val="0"/>
          <w:vertAlign w:val="superscript"/>
        </w:rPr>
        <w:t>14</w:t>
      </w:r>
      <w:r>
        <w:rPr>
          <w:snapToGrid w:val="0"/>
          <w:vertAlign w:val="superscript"/>
        </w:rPr>
        <w:tab/>
      </w:r>
      <w:r>
        <w:rPr>
          <w:snapToGrid w:val="0"/>
        </w:rPr>
        <w:t>Footnote no longer required.</w:t>
      </w:r>
    </w:p>
    <w:p>
      <w:pPr>
        <w:pStyle w:val="nNote"/>
        <w:rPr>
          <w:snapToGrid w:val="0"/>
        </w:rPr>
      </w:pPr>
      <w:r>
        <w:rPr>
          <w:snapToGrid w:val="0"/>
          <w:vertAlign w:val="superscript"/>
        </w:rPr>
        <w:t>15</w:t>
      </w:r>
      <w:r>
        <w:rPr>
          <w:snapToGrid w:val="0"/>
        </w:rPr>
        <w:tab/>
        <w:t xml:space="preserve">The </w:t>
      </w:r>
      <w:r>
        <w:rPr>
          <w:i/>
          <w:snapToGrid w:val="0"/>
        </w:rPr>
        <w:t>Petroleum Legislation Amendment and Repeal Act 2005</w:t>
      </w:r>
      <w:r>
        <w:rPr>
          <w:snapToGrid w:val="0"/>
        </w:rPr>
        <w:t xml:space="preserve"> s. 29(2) had not come into operation when it was deleted by the </w:t>
      </w:r>
      <w:r>
        <w:rPr>
          <w:i/>
          <w:snapToGrid w:val="0"/>
        </w:rPr>
        <w:t>Statutes (Repeals and Minor Amendments) Act 2014</w:t>
      </w:r>
      <w:r>
        <w:rPr>
          <w:snapToGrid w:val="0"/>
        </w:rPr>
        <w:t xml:space="preserve"> s.</w:t>
      </w:r>
      <w:r>
        <w:t> 31</w:t>
      </w:r>
      <w:r>
        <w:rPr>
          <w:snapToGrid w:val="0"/>
        </w:rPr>
        <w:t>.</w:t>
      </w:r>
    </w:p>
    <w:p>
      <w:pPr>
        <w:pStyle w:val="nNote"/>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
      <w:pPr>
        <w:sectPr>
          <w:headerReference w:type="even" r:id="rId21"/>
          <w:headerReference w:type="default" r:id="rId22"/>
          <w:pgSz w:w="11907" w:h="16840" w:code="9"/>
          <w:pgMar w:top="2376" w:right="2405" w:bottom="3542" w:left="2405" w:header="706" w:footer="3544" w:gutter="0"/>
          <w:cols w:space="720"/>
          <w:noEndnote/>
          <w:docGrid w:linePitch="326"/>
        </w:sectPr>
      </w:pPr>
    </w:p>
    <w:p>
      <w:ins w:id="206" w:author="Master Repository Process" w:date="2025-05-29T10:13:00Z">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207" w:author="Master Repository Process" w:date="2025-05-29T10:13:00Z"/>
                                  <w:sz w:val="16"/>
                                </w:rPr>
                              </w:pPr>
                              <w:ins w:id="208" w:author="Master Repository Process" w:date="2025-05-29T10:13: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835" w:right="2268"/>
                                <w:rPr>
                                  <w:ins w:id="209" w:author="Master Repository Process" w:date="2025-05-29T10:13:00Z"/>
                                  <w:sz w:val="16"/>
                                </w:rPr>
                              </w:pPr>
                              <w:ins w:id="210" w:author="Master Repository Process" w:date="2025-05-29T10:13: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211" w:author="Master Repository Process" w:date="2025-05-29T10:13:00Z"/>
                                  <w:sz w:val="16"/>
                                </w:rPr>
                              </w:pPr>
                              <w:ins w:id="212" w:author="Master Repository Process" w:date="2025-05-29T10:13: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438" w:right="2098"/>
                                <w:jc w:val="center"/>
                                <w:rPr>
                                  <w:ins w:id="213" w:author="Master Repository Process" w:date="2025-05-29T10:13:00Z"/>
                                  <w:rFonts w:ascii="Arial" w:hAnsi="Arial" w:cs="Arial"/>
                                  <w:sz w:val="12"/>
                                </w:rPr>
                              </w:pPr>
                              <w:ins w:id="214" w:author="Master Repository Process" w:date="2025-05-29T10:13:00Z">
                                <w:r>
                                  <w:rPr>
                                    <w:rFonts w:ascii="Arial" w:hAnsi="Arial" w:cs="Arial"/>
                                    <w:sz w:val="12"/>
                                  </w:rPr>
                                  <w:t>By Authority: GEOFF O. LAWN,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ins w:id="215" w:author="Master Repository Process" w:date="2025-05-29T10:13:00Z"/>
                            <w:sz w:val="16"/>
                          </w:rPr>
                        </w:pPr>
                        <w:ins w:id="216" w:author="Master Repository Process" w:date="2025-05-29T10:13: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835" w:right="2268"/>
                          <w:rPr>
                            <w:ins w:id="217" w:author="Master Repository Process" w:date="2025-05-29T10:13:00Z"/>
                            <w:sz w:val="16"/>
                          </w:rPr>
                        </w:pPr>
                        <w:ins w:id="218" w:author="Master Repository Process" w:date="2025-05-29T10:13: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219" w:author="Master Repository Process" w:date="2025-05-29T10:13:00Z"/>
                            <w:sz w:val="16"/>
                          </w:rPr>
                        </w:pPr>
                        <w:ins w:id="220" w:author="Master Repository Process" w:date="2025-05-29T10:13: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438" w:right="2098"/>
                          <w:jc w:val="center"/>
                          <w:rPr>
                            <w:ins w:id="221" w:author="Master Repository Process" w:date="2025-05-29T10:13:00Z"/>
                            <w:rFonts w:ascii="Arial" w:hAnsi="Arial" w:cs="Arial"/>
                            <w:sz w:val="12"/>
                          </w:rPr>
                        </w:pPr>
                        <w:ins w:id="222" w:author="Master Repository Process" w:date="2025-05-29T10:13:00Z">
                          <w:r>
                            <w:rPr>
                              <w:rFonts w:ascii="Arial" w:hAnsi="Arial" w:cs="Arial"/>
                              <w:sz w:val="12"/>
                            </w:rPr>
                            <w:t>By Authority: GEOFF O. LAWN, Government Printer</w:t>
                          </w:r>
                        </w:ins>
                      </w:p>
                    </w:txbxContent>
                  </v:textbox>
                  <w10:wrap anchorx="page" anchory="page"/>
                </v:shape>
              </w:pict>
            </mc:Fallback>
          </mc:AlternateContent>
        </w:r>
      </w:ins>
    </w:p>
    <w:sectPr>
      <w:headerReference w:type="even" r:id="rId23"/>
      <w:headerReference w:type="default" r:id="rId24"/>
      <w:footerReference w:type="even" r:id="rId25"/>
      <w:footerReference w:type="default" r:id="rId26"/>
      <w:headerReference w:type="first" r:id="rId27"/>
      <w:footerReference w:type="first" r:id="rId28"/>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31 Mar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04-j0-00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May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04-k0-00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31 Mar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04-j0-00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May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04-k0-00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31 Mar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04-j0-00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May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04-k0-00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205" w:name="Compilation"/>
    <w:bookmarkEnd w:id="205"/>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223" w:name="Coversheet"/>
    <w:bookmarkEnd w:id="22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68CE288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515153622"/>
    <w:docVar w:name="WAFER_20140123102952" w:val="RemoveTocBookmarks,RemoveUnusedBookmarks,RemoveLanguageTags,UsedStyles,ResetPageSize,UpdateArrangement"/>
    <w:docVar w:name="WAFER_20140123102952_GUID" w:val="3766b133-72d2-4131-8e5a-067dfa1b756e"/>
    <w:docVar w:name="WAFER_20140123110753" w:val="RemoveTocBookmarks,RunningHeaders"/>
    <w:docVar w:name="WAFER_20140123110753_GUID" w:val="980753bf-6d86-4bb6-92e0-2b1a6c11e7fc"/>
    <w:docVar w:name="WAFER_20150709161221" w:val="ResetPageSize,UpdateArrangement,UpdateNTable"/>
    <w:docVar w:name="WAFER_20150709161221_GUID" w:val="ac1a3e56-2668-4eac-9bf4-da47f19bbc8a"/>
    <w:docVar w:name="WAFER_20151109112530" w:val="UpdateStyles,UsedStyles"/>
    <w:docVar w:name="WAFER_20151109112530_GUID" w:val="c36a22a9-463c-41a9-a4c8-d0d3812c7a6c"/>
    <w:docVar w:name="WAFER_20200226113126"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26113126_GUID" w:val="fa9d4a7d-849b-448a-8942-0cab67bf62c1"/>
    <w:docVar w:name="WAFER_20201109152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109152849_GUID" w:val="1ef08e67-945a-4484-8cf6-c9f9a09abc5c"/>
    <w:docVar w:name="WAFER_2022030411482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304114824_GUID" w:val="9f4fd97b-d6be-467d-b3f2-ce04f95fc0a0"/>
    <w:docVar w:name="WAFER_20220322084335"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22084335_GUID" w:val="0cea4972-604a-4b2e-9558-2204f6ff84d0"/>
    <w:docVar w:name="WAFER_2024051515362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40515153622_GUID" w:val="03d43767-0144-4294-af27-54916fdde58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2038641-6275-44A0-A0FE-66AAA86ED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3">
    <w:name w:val="nzHeading 3"/>
    <w:basedOn w:val="zHeading3"/>
    <w:pPr>
      <w:spacing w:before="120" w:line="240" w:lineRule="auto"/>
    </w:pPr>
    <w:rPr>
      <w:sz w:val="22"/>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eader" Target="header8.xml"/><Relationship Id="rId27" Type="http://schemas.openxmlformats.org/officeDocument/2006/relationships/header" Target="header11.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20842</Words>
  <Characters>96918</Characters>
  <Application>Microsoft Office Word</Application>
  <DocSecurity>0</DocSecurity>
  <Lines>2550</Lines>
  <Paragraphs>1214</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116546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04-j0-00 - 04-k0-00</dc:title>
  <dc:subject/>
  <dc:creator/>
  <cp:keywords/>
  <dc:description/>
  <cp:lastModifiedBy>Master Repository Process</cp:lastModifiedBy>
  <cp:revision>2</cp:revision>
  <cp:lastPrinted>2011-06-27T02:16:00Z</cp:lastPrinted>
  <dcterms:created xsi:type="dcterms:W3CDTF">2025-05-29T02:13:00Z</dcterms:created>
  <dcterms:modified xsi:type="dcterms:W3CDTF">2025-05-29T02:13:00Z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DocumentType">
    <vt:lpwstr>Act</vt:lpwstr>
  </property>
  <property fmtid="{D5CDD505-2E9C-101B-9397-08002B2CF9AE}" pid="4" name="OwlsUID">
    <vt:i4>597</vt:i4>
  </property>
  <property fmtid="{D5CDD505-2E9C-101B-9397-08002B2CF9AE}" pid="5" name="ReprintNo">
    <vt:lpwstr>4</vt:lpwstr>
  </property>
  <property fmtid="{D5CDD505-2E9C-101B-9397-08002B2CF9AE}" pid="6" name="ReprintedAsAt">
    <vt:filetime>2010-09-30T16:00:00Z</vt:filetime>
  </property>
  <property fmtid="{D5CDD505-2E9C-101B-9397-08002B2CF9AE}" pid="7" name="ThisVersion">
    <vt:lpwstr>04-c0-04</vt:lpwstr>
  </property>
  <property fmtid="{D5CDD505-2E9C-101B-9397-08002B2CF9AE}" pid="8" name="CommencementDate">
    <vt:lpwstr>20240514</vt:lpwstr>
  </property>
  <property fmtid="{D5CDD505-2E9C-101B-9397-08002B2CF9AE}" pid="9" name="CommencementAsAt">
    <vt:filetime>2024-05-13T16:00:00Z</vt:filetime>
  </property>
  <property fmtid="{D5CDD505-2E9C-101B-9397-08002B2CF9AE}" pid="10" name="CommencementYear">
    <vt:lpwstr>2024</vt:lpwstr>
  </property>
  <property fmtid="{D5CDD505-2E9C-101B-9397-08002B2CF9AE}" pid="11" name="Official">
    <vt:lpwstr/>
  </property>
  <property fmtid="{D5CDD505-2E9C-101B-9397-08002B2CF9AE}" pid="12" name="FromSuffix">
    <vt:lpwstr>04-j0-00</vt:lpwstr>
  </property>
  <property fmtid="{D5CDD505-2E9C-101B-9397-08002B2CF9AE}" pid="13" name="FromAsAtDate">
    <vt:lpwstr>31 Mar 2022</vt:lpwstr>
  </property>
  <property fmtid="{D5CDD505-2E9C-101B-9397-08002B2CF9AE}" pid="14" name="ToSuffix">
    <vt:lpwstr>04-k0-00</vt:lpwstr>
  </property>
  <property fmtid="{D5CDD505-2E9C-101B-9397-08002B2CF9AE}" pid="15" name="ToAsAtDate">
    <vt:lpwstr>14 May 2024</vt:lpwstr>
  </property>
</Properties>
</file>