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29 May 2024</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First Home Owner Grant Act 2000</w:t>
      </w:r>
    </w:p>
    <w:p>
      <w:pPr>
        <w:pStyle w:val="NameofActReg"/>
      </w:pPr>
      <w:r>
        <w:t>First Home Owner Grant Regulations 2000</w:t>
      </w:r>
    </w:p>
    <w:p>
      <w:pPr>
        <w:pStyle w:val="Heading5"/>
      </w:pPr>
      <w:bookmarkStart w:id="1" w:name="_Toc167369189"/>
      <w:bookmarkStart w:id="2" w:name="_Toc199941287"/>
      <w:r>
        <w:rPr>
          <w:rStyle w:val="CharSectno"/>
        </w:rPr>
        <w:t>1</w:t>
      </w:r>
      <w:r>
        <w:t>.</w:t>
      </w:r>
      <w:r>
        <w:tab/>
        <w:t>Citation</w:t>
      </w:r>
      <w:bookmarkEnd w:id="1"/>
      <w:bookmarkEnd w:id="2"/>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pPr>
        <w:pStyle w:val="Heading5"/>
        <w:rPr>
          <w:spacing w:val="-2"/>
        </w:rPr>
      </w:pPr>
      <w:bookmarkStart w:id="3" w:name="_Toc167369190"/>
      <w:bookmarkStart w:id="4" w:name="_Toc199941288"/>
      <w:r>
        <w:rPr>
          <w:rStyle w:val="CharSectno"/>
        </w:rPr>
        <w:t>2</w:t>
      </w:r>
      <w:r>
        <w:rPr>
          <w:spacing w:val="-2"/>
        </w:rPr>
        <w:t>.</w:t>
      </w:r>
      <w:r>
        <w:rPr>
          <w:spacing w:val="-2"/>
        </w:rPr>
        <w:tab/>
        <w:t>Commencement</w:t>
      </w:r>
      <w:bookmarkEnd w:id="3"/>
      <w:bookmarkEnd w:id="4"/>
    </w:p>
    <w:p>
      <w:pPr>
        <w:pStyle w:val="Subsection"/>
      </w:pPr>
      <w:r>
        <w:rPr>
          <w:spacing w:val="-2"/>
        </w:rPr>
        <w:tab/>
      </w:r>
      <w:r>
        <w:rPr>
          <w:spacing w:val="-2"/>
        </w:rPr>
        <w:tab/>
        <w:t>These regulations come into operation on 1 July 2000</w:t>
      </w:r>
      <w:r>
        <w:t>.</w:t>
      </w:r>
    </w:p>
    <w:p>
      <w:pPr>
        <w:pStyle w:val="Heading5"/>
      </w:pPr>
      <w:bookmarkStart w:id="5" w:name="_Toc167369191"/>
      <w:bookmarkStart w:id="6" w:name="_Toc199941289"/>
      <w:r>
        <w:rPr>
          <w:rStyle w:val="CharSectno"/>
        </w:rPr>
        <w:t>3</w:t>
      </w:r>
      <w:r>
        <w:t>.</w:t>
      </w:r>
      <w:r>
        <w:tab/>
        <w:t>Term used: interested person</w:t>
      </w:r>
      <w:bookmarkEnd w:id="5"/>
      <w:bookmarkEnd w:id="6"/>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7" w:name="_Toc167369192"/>
      <w:bookmarkStart w:id="8" w:name="_Toc199941290"/>
      <w:r>
        <w:rPr>
          <w:rStyle w:val="CharSectno"/>
        </w:rPr>
        <w:t>4</w:t>
      </w:r>
      <w:r>
        <w:t>.</w:t>
      </w:r>
      <w:r>
        <w:tab/>
        <w:t>Interest of disabled person in home prescribed to be relevant interest (s. 6(1)(h))</w:t>
      </w:r>
      <w:bookmarkEnd w:id="7"/>
      <w:bookmarkEnd w:id="8"/>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w:t>
      </w:r>
      <w:r>
        <w:lastRenderedPageBreak/>
        <w:t xml:space="preserve">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9" w:name="_Toc167369193"/>
      <w:bookmarkStart w:id="10" w:name="_Toc199941291"/>
      <w:r>
        <w:rPr>
          <w:rStyle w:val="CharSectno"/>
        </w:rPr>
        <w:t>5</w:t>
      </w:r>
      <w:r>
        <w:t>.</w:t>
      </w:r>
      <w:r>
        <w:tab/>
        <w:t>Interest of occupier of home on primary production land prescribed to be relevant interest (s. 6(1)(h))</w:t>
      </w:r>
      <w:bookmarkEnd w:id="9"/>
      <w:bookmarkEnd w:id="10"/>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lastRenderedPageBreak/>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11" w:name="_Toc167369194"/>
      <w:bookmarkStart w:id="12" w:name="_Toc199941292"/>
      <w:r>
        <w:rPr>
          <w:rStyle w:val="CharSectno"/>
        </w:rPr>
        <w:t>7</w:t>
      </w:r>
      <w:r>
        <w:t>.</w:t>
      </w:r>
      <w:r>
        <w:tab/>
        <w:t>Certain owners of land excluded from the operation of s. 16(1)</w:t>
      </w:r>
      <w:bookmarkEnd w:id="11"/>
      <w:bookmarkEnd w:id="12"/>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 xml:space="preserve">it is proposed at the commencement date of the eligible transaction that the land on which the home is to be built will be the subject of a strata titles scheme registered under the </w:t>
      </w:r>
      <w:r>
        <w:rPr>
          <w:i/>
        </w:rPr>
        <w:t>Strata Titles Act 1985</w:t>
      </w:r>
      <w:r>
        <w:t>; and</w:t>
      </w:r>
    </w:p>
    <w:p>
      <w:pPr>
        <w:pStyle w:val="Indenta"/>
      </w:pPr>
      <w:r>
        <w:tab/>
        <w:t>(b)</w:t>
      </w:r>
      <w:r>
        <w:tab/>
        <w:t>the strata titles scheme is, or will be, registered as soon as practicable after the eligible transaction is completed; and</w:t>
      </w:r>
    </w:p>
    <w:p>
      <w:pPr>
        <w:pStyle w:val="Indenta"/>
      </w:pPr>
      <w:r>
        <w:tab/>
        <w:t>(c)</w:t>
      </w:r>
      <w:r>
        <w:tab/>
        <w:t>the person is not, or will not become, as a result of the registration of the strata titles scheme,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 SL 2020/206 r. 11.]</w:t>
      </w:r>
    </w:p>
    <w:p>
      <w:pPr>
        <w:pStyle w:val="Heading5"/>
      </w:pPr>
      <w:bookmarkStart w:id="13" w:name="_Toc167369195"/>
      <w:bookmarkStart w:id="14" w:name="_Toc199941293"/>
      <w:r>
        <w:rPr>
          <w:rStyle w:val="CharSectno"/>
        </w:rPr>
        <w:t>8</w:t>
      </w:r>
      <w:r>
        <w:t>.</w:t>
      </w:r>
      <w:r>
        <w:tab/>
        <w:t>Prescribed rates of interest (s. 30, 32 and 52)</w:t>
      </w:r>
      <w:bookmarkEnd w:id="13"/>
      <w:bookmarkEnd w:id="14"/>
    </w:p>
    <w:p>
      <w:pPr>
        <w:pStyle w:val="Subsection"/>
      </w:pPr>
      <w:r>
        <w:tab/>
        <w:t>(1)</w:t>
      </w:r>
      <w:r>
        <w:tab/>
        <w:t>The rate of interest for the purposes of section 30(3), (4)(d), (5)(c) and (6)(c) of the Act is 3.7% per annum.</w:t>
      </w:r>
    </w:p>
    <w:p>
      <w:pPr>
        <w:pStyle w:val="Subsection"/>
      </w:pPr>
      <w:r>
        <w:tab/>
        <w:t>(2)</w:t>
      </w:r>
      <w:r>
        <w:tab/>
        <w:t>The rate of interest for the purposes of section 32(2), (3)(d), (4)(c) and (5)(c) of the Act is 3.7% per annum.</w:t>
      </w:r>
    </w:p>
    <w:p>
      <w:pPr>
        <w:pStyle w:val="Subsection"/>
      </w:pPr>
      <w:r>
        <w:tab/>
        <w:t>(3)</w:t>
      </w:r>
      <w:r>
        <w:tab/>
        <w:t>The rate of interest for the purposes of section 52(3)(a) and (7) of the Act is 11.7% per annum.</w:t>
      </w:r>
    </w:p>
    <w:p>
      <w:pPr>
        <w:pStyle w:val="Footnotesection"/>
      </w:pPr>
      <w:r>
        <w:tab/>
        <w:t>[Regulation 8 inserted: Gazette 26 Jun 2015 p. 2278; amended: Gazette 11 Dec 2015 p. 4961; 29 Dec 2017 p. 6085; 28 Jun  2019 p. 2493; SL 2020/71 r. 4; SL 2023/70 r. 4.]</w:t>
      </w:r>
    </w:p>
    <w:p>
      <w:pPr>
        <w:pStyle w:val="Heading5"/>
      </w:pPr>
      <w:bookmarkStart w:id="15" w:name="_Toc167369196"/>
      <w:bookmarkStart w:id="16" w:name="_Toc199941294"/>
      <w:r>
        <w:rPr>
          <w:rStyle w:val="CharSectno"/>
        </w:rPr>
        <w:t>9</w:t>
      </w:r>
      <w:r>
        <w:t>.</w:t>
      </w:r>
      <w:r>
        <w:tab/>
        <w:t>Conditions to be included in administration agreements (s. 37(2))</w:t>
      </w:r>
      <w:bookmarkEnd w:id="15"/>
      <w:bookmarkEnd w:id="16"/>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Gazette 11 Aug 2015 p. 3222.]</w:t>
      </w:r>
    </w:p>
    <w:p>
      <w:pPr>
        <w:pStyle w:val="Heading5"/>
      </w:pPr>
      <w:bookmarkStart w:id="17" w:name="_Toc167369197"/>
      <w:bookmarkStart w:id="18" w:name="_Toc199941295"/>
      <w:r>
        <w:rPr>
          <w:rStyle w:val="CharSectno"/>
        </w:rPr>
        <w:t>10</w:t>
      </w:r>
      <w:r>
        <w:t>.</w:t>
      </w:r>
      <w:r>
        <w:tab/>
        <w:t>Witness fees and expenses (s. 41(7))</w:t>
      </w:r>
      <w:bookmarkEnd w:id="17"/>
      <w:bookmarkEnd w:id="18"/>
    </w:p>
    <w:p>
      <w:pPr>
        <w:pStyle w:val="Subsection"/>
        <w:keepNext/>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19" w:name="_Toc167369198"/>
      <w:bookmarkStart w:id="20" w:name="_Toc199941296"/>
      <w:r>
        <w:rPr>
          <w:rStyle w:val="CharSectno"/>
        </w:rPr>
        <w:t>10A</w:t>
      </w:r>
      <w:r>
        <w:t>.</w:t>
      </w:r>
      <w:r>
        <w:tab/>
        <w:t>Prescribed service times (s. 62(3))</w:t>
      </w:r>
      <w:bookmarkEnd w:id="19"/>
      <w:bookmarkEnd w:id="20"/>
    </w:p>
    <w:p>
      <w:pPr>
        <w:pStyle w:val="Subsection"/>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21" w:name="_Toc167369199"/>
      <w:bookmarkStart w:id="22" w:name="_Toc199941297"/>
      <w:r>
        <w:rPr>
          <w:rStyle w:val="CharSectno"/>
        </w:rPr>
        <w:t>11</w:t>
      </w:r>
      <w:r>
        <w:t>.</w:t>
      </w:r>
      <w:r>
        <w:tab/>
        <w:t>Authorised receipt and permitted disclosure of confidential information (s. 65(3))</w:t>
      </w:r>
      <w:bookmarkEnd w:id="21"/>
      <w:bookmarkEnd w:id="22"/>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pPr>
        <w:pStyle w:val="Indenta"/>
        <w:keepNext/>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3" w:name="_Toc167364503"/>
      <w:bookmarkStart w:id="24" w:name="_Toc167364864"/>
      <w:bookmarkStart w:id="25" w:name="_Toc167369200"/>
      <w:bookmarkStart w:id="26" w:name="_Toc199941298"/>
      <w:r>
        <w:t>Notes</w:t>
      </w:r>
      <w:bookmarkEnd w:id="23"/>
      <w:bookmarkEnd w:id="24"/>
      <w:bookmarkEnd w:id="25"/>
      <w:bookmarkEnd w:id="26"/>
    </w:p>
    <w:p>
      <w:pPr>
        <w:pStyle w:val="nStatement"/>
      </w:pPr>
      <w:r>
        <w:t xml:space="preserve">This is a compilation of the </w:t>
      </w:r>
      <w:r>
        <w:rPr>
          <w:i/>
          <w:noProof/>
        </w:rPr>
        <w:t>First Home Owner Grant Regulations 2000</w:t>
      </w:r>
      <w:r>
        <w:t xml:space="preserve"> and includes amendments made by other written laws. For provisions that have come into operation, and for information about any reprints, see the compilation table.</w:t>
      </w:r>
      <w:ins w:id="27" w:author="Master Repository Process" w:date="2025-06-09T10:13:00Z">
        <w:r>
          <w:t xml:space="preserve"> For provisions that have not yet come into operation see the uncommenced provisions table.</w:t>
        </w:r>
      </w:ins>
    </w:p>
    <w:p>
      <w:pPr>
        <w:pStyle w:val="nHeading3"/>
      </w:pPr>
      <w:bookmarkStart w:id="28" w:name="_Toc167369201"/>
      <w:bookmarkStart w:id="29" w:name="_Toc199941299"/>
      <w:r>
        <w:t>Compilation table</w:t>
      </w:r>
      <w:bookmarkEnd w:id="28"/>
      <w:bookmarkEnd w:id="29"/>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(Western Australia)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trPr>
          <w:cantSplit/>
        </w:trPr>
        <w:tc>
          <w:tcPr>
            <w:tcW w:w="3119" w:type="dxa"/>
          </w:tcPr>
          <w:p>
            <w:pPr>
              <w:pStyle w:val="nTable"/>
              <w:spacing w:after="40"/>
              <w:rPr>
                <w:i/>
              </w:rPr>
            </w:pPr>
            <w:r>
              <w:rPr>
                <w:i/>
              </w:rPr>
              <w:t xml:space="preserve">Finance Regulations Amendment (Interest Rates) Regulations 2019 </w:t>
            </w:r>
            <w:r>
              <w:t>Pt. 2</w:t>
            </w:r>
          </w:p>
        </w:tc>
        <w:tc>
          <w:tcPr>
            <w:tcW w:w="1276" w:type="dxa"/>
          </w:tcPr>
          <w:p>
            <w:pPr>
              <w:pStyle w:val="nTable"/>
              <w:spacing w:after="40"/>
            </w:pPr>
            <w:r>
              <w:t>28 Jun 2019 p. 2492</w:t>
            </w:r>
            <w:r>
              <w:noBreakHyphen/>
              <w:t>3</w:t>
            </w:r>
          </w:p>
        </w:tc>
        <w:tc>
          <w:tcPr>
            <w:tcW w:w="2693" w:type="dxa"/>
          </w:tcPr>
          <w:p>
            <w:pPr>
              <w:pStyle w:val="nTable"/>
              <w:spacing w:after="40"/>
              <w:rPr>
                <w:snapToGrid w:val="0"/>
                <w:spacing w:val="-2"/>
              </w:rPr>
            </w:pPr>
            <w:r>
              <w:t>1 Jul 2019</w:t>
            </w:r>
            <w:r>
              <w:rPr>
                <w:snapToGrid w:val="0"/>
                <w:spacing w:val="-2"/>
              </w:rPr>
              <w:t xml:space="preserve"> (see r. 2(b))</w:t>
            </w:r>
          </w:p>
        </w:tc>
      </w:tr>
      <w:tr>
        <w:trPr>
          <w:cantSplit/>
        </w:trPr>
        <w:tc>
          <w:tcPr>
            <w:tcW w:w="3119" w:type="dxa"/>
          </w:tcPr>
          <w:p>
            <w:pPr>
              <w:pStyle w:val="nTable"/>
              <w:spacing w:after="40"/>
              <w:rPr>
                <w:i/>
              </w:rPr>
            </w:pPr>
            <w:r>
              <w:rPr>
                <w:i/>
              </w:rPr>
              <w:t>Finance Regulations Amendment (Interest Rates) Regulations 2020</w:t>
            </w:r>
            <w:r>
              <w:t xml:space="preserve"> Pt. 2</w:t>
            </w:r>
          </w:p>
        </w:tc>
        <w:tc>
          <w:tcPr>
            <w:tcW w:w="1276" w:type="dxa"/>
          </w:tcPr>
          <w:p>
            <w:pPr>
              <w:pStyle w:val="nTable"/>
              <w:spacing w:after="40"/>
            </w:pPr>
            <w:r>
              <w:t>SL 2020/71 9 Jun 2020</w:t>
            </w:r>
          </w:p>
        </w:tc>
        <w:tc>
          <w:tcPr>
            <w:tcW w:w="2693" w:type="dxa"/>
          </w:tcPr>
          <w:p>
            <w:pPr>
              <w:pStyle w:val="nTable"/>
              <w:spacing w:after="40"/>
            </w:pPr>
            <w:r>
              <w:t>1 Jul 2020 (see r. 2(b))</w:t>
            </w:r>
          </w:p>
        </w:tc>
      </w:tr>
      <w:tr>
        <w:trPr>
          <w:cantSplit/>
        </w:trPr>
        <w:tc>
          <w:tcPr>
            <w:tcW w:w="3119" w:type="dxa"/>
          </w:tcPr>
          <w:p>
            <w:pPr>
              <w:pStyle w:val="nTable"/>
              <w:spacing w:after="40"/>
            </w:pPr>
            <w:r>
              <w:rPr>
                <w:i/>
              </w:rPr>
              <w:t>Finance Regulations Amendment Regulations 2020</w:t>
            </w:r>
            <w:r>
              <w:t xml:space="preserve"> Pt. 4</w:t>
            </w:r>
          </w:p>
        </w:tc>
        <w:tc>
          <w:tcPr>
            <w:tcW w:w="1276" w:type="dxa"/>
          </w:tcPr>
          <w:p>
            <w:pPr>
              <w:pStyle w:val="nTable"/>
              <w:spacing w:after="40"/>
            </w:pPr>
            <w:r>
              <w:t>SL 2020/206 23 Oct 2020</w:t>
            </w:r>
          </w:p>
        </w:tc>
        <w:tc>
          <w:tcPr>
            <w:tcW w:w="2693" w:type="dxa"/>
          </w:tcPr>
          <w:p>
            <w:pPr>
              <w:pStyle w:val="nTable"/>
              <w:spacing w:after="40"/>
            </w:pPr>
            <w:r>
              <w:t>24 Oct 2020 (see r. 2(b))</w:t>
            </w:r>
          </w:p>
        </w:tc>
      </w:tr>
      <w:tr>
        <w:trPr>
          <w:cantSplit/>
        </w:trPr>
        <w:tc>
          <w:tcPr>
            <w:tcW w:w="3119" w:type="dxa"/>
          </w:tcPr>
          <w:p>
            <w:pPr>
              <w:pStyle w:val="nTable"/>
              <w:spacing w:after="40"/>
              <w:rPr>
                <w:i/>
              </w:rPr>
            </w:pPr>
            <w:r>
              <w:rPr>
                <w:i/>
              </w:rPr>
              <w:t>Finance Regulations Amendment (Interest Rates) Regulations 2023</w:t>
            </w:r>
            <w:r>
              <w:t xml:space="preserve"> Pt. 2</w:t>
            </w:r>
          </w:p>
        </w:tc>
        <w:tc>
          <w:tcPr>
            <w:tcW w:w="1276" w:type="dxa"/>
          </w:tcPr>
          <w:p>
            <w:pPr>
              <w:pStyle w:val="nTable"/>
              <w:spacing w:after="40"/>
            </w:pPr>
            <w:r>
              <w:t>SL 2023/70 16 Jun 2023</w:t>
            </w:r>
          </w:p>
        </w:tc>
        <w:tc>
          <w:tcPr>
            <w:tcW w:w="2693" w:type="dxa"/>
          </w:tcPr>
          <w:p>
            <w:pPr>
              <w:pStyle w:val="nTable"/>
              <w:spacing w:after="40"/>
            </w:pPr>
            <w:r>
              <w:t>1 Jul 2023 (see r. 2(b))</w:t>
            </w:r>
          </w:p>
        </w:tc>
      </w:tr>
    </w:tbl>
    <w:p>
      <w:pPr>
        <w:pStyle w:val="nHeading3"/>
        <w:rPr>
          <w:ins w:id="30" w:author="Master Repository Process" w:date="2025-06-09T10:13:00Z"/>
        </w:rPr>
      </w:pPr>
      <w:bookmarkStart w:id="31" w:name="_Toc167369202"/>
      <w:ins w:id="32" w:author="Master Repository Process" w:date="2025-06-09T10:13:00Z">
        <w:r>
          <w:t>Uncommenced provisions table</w:t>
        </w:r>
        <w:bookmarkEnd w:id="31"/>
      </w:ins>
    </w:p>
    <w:p>
      <w:pPr>
        <w:pStyle w:val="nStatement"/>
        <w:keepNext/>
        <w:spacing w:after="240"/>
        <w:rPr>
          <w:ins w:id="33" w:author="Master Repository Process" w:date="2025-06-09T10:13:00Z"/>
        </w:rPr>
      </w:pPr>
      <w:ins w:id="34" w:author="Master Repository Process" w:date="2025-06-09T10:1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 w:author="Master Repository Process" w:date="2025-06-09T10:13:00Z"/>
        </w:trPr>
        <w:tc>
          <w:tcPr>
            <w:tcW w:w="3118" w:type="dxa"/>
          </w:tcPr>
          <w:p>
            <w:pPr>
              <w:pStyle w:val="nTable"/>
              <w:spacing w:after="40"/>
              <w:rPr>
                <w:ins w:id="36" w:author="Master Repository Process" w:date="2025-06-09T10:13:00Z"/>
                <w:b/>
              </w:rPr>
            </w:pPr>
            <w:ins w:id="37" w:author="Master Repository Process" w:date="2025-06-09T10:13:00Z">
              <w:r>
                <w:rPr>
                  <w:b/>
                </w:rPr>
                <w:t>Citation</w:t>
              </w:r>
            </w:ins>
          </w:p>
        </w:tc>
        <w:tc>
          <w:tcPr>
            <w:tcW w:w="1276" w:type="dxa"/>
          </w:tcPr>
          <w:p>
            <w:pPr>
              <w:pStyle w:val="nTable"/>
              <w:spacing w:after="40"/>
              <w:rPr>
                <w:ins w:id="38" w:author="Master Repository Process" w:date="2025-06-09T10:13:00Z"/>
                <w:b/>
              </w:rPr>
            </w:pPr>
            <w:ins w:id="39" w:author="Master Repository Process" w:date="2025-06-09T10:13:00Z">
              <w:r>
                <w:rPr>
                  <w:b/>
                </w:rPr>
                <w:t>Published</w:t>
              </w:r>
            </w:ins>
          </w:p>
        </w:tc>
        <w:tc>
          <w:tcPr>
            <w:tcW w:w="2693" w:type="dxa"/>
          </w:tcPr>
          <w:p>
            <w:pPr>
              <w:pStyle w:val="nTable"/>
              <w:spacing w:after="40"/>
              <w:rPr>
                <w:ins w:id="40" w:author="Master Repository Process" w:date="2025-06-09T10:13:00Z"/>
                <w:b/>
              </w:rPr>
            </w:pPr>
            <w:ins w:id="41" w:author="Master Repository Process" w:date="2025-06-09T10:13:00Z">
              <w:r>
                <w:rPr>
                  <w:b/>
                </w:rPr>
                <w:t>Commencement</w:t>
              </w:r>
            </w:ins>
          </w:p>
        </w:tc>
      </w:tr>
      <w:tr>
        <w:trPr>
          <w:ins w:id="42" w:author="Master Repository Process" w:date="2025-06-09T10:13:00Z"/>
        </w:trPr>
        <w:tc>
          <w:tcPr>
            <w:tcW w:w="3118" w:type="dxa"/>
          </w:tcPr>
          <w:p>
            <w:pPr>
              <w:pStyle w:val="nTable"/>
              <w:spacing w:after="40"/>
              <w:rPr>
                <w:ins w:id="43" w:author="Master Repository Process" w:date="2025-06-09T10:13:00Z"/>
                <w:iCs/>
              </w:rPr>
            </w:pPr>
            <w:ins w:id="44" w:author="Master Repository Process" w:date="2025-06-09T10:13:00Z">
              <w:r>
                <w:rPr>
                  <w:i/>
                </w:rPr>
                <w:t>Finance Regulations Amendment (Interest Rates) Regulations 2024</w:t>
              </w:r>
              <w:r>
                <w:rPr>
                  <w:iCs/>
                </w:rPr>
                <w:t xml:space="preserve"> Pt. 2</w:t>
              </w:r>
            </w:ins>
          </w:p>
        </w:tc>
        <w:tc>
          <w:tcPr>
            <w:tcW w:w="1276" w:type="dxa"/>
          </w:tcPr>
          <w:p>
            <w:pPr>
              <w:pStyle w:val="nTable"/>
              <w:spacing w:after="40"/>
              <w:rPr>
                <w:ins w:id="45" w:author="Master Repository Process" w:date="2025-06-09T10:13:00Z"/>
              </w:rPr>
            </w:pPr>
            <w:ins w:id="46" w:author="Master Repository Process" w:date="2025-06-09T10:13:00Z">
              <w:r>
                <w:t>SL 2024/82 29 May 2024</w:t>
              </w:r>
            </w:ins>
          </w:p>
        </w:tc>
        <w:tc>
          <w:tcPr>
            <w:tcW w:w="2693" w:type="dxa"/>
          </w:tcPr>
          <w:p>
            <w:pPr>
              <w:pStyle w:val="nTable"/>
              <w:spacing w:after="40"/>
              <w:rPr>
                <w:ins w:id="47" w:author="Master Repository Process" w:date="2025-06-09T10:13:00Z"/>
              </w:rPr>
            </w:pPr>
            <w:ins w:id="48" w:author="Master Repository Process" w:date="2025-06-09T10:13:00Z">
              <w:r>
                <w:t>1 Jul 2024 (see r. 2(b))</w:t>
              </w:r>
            </w:ins>
          </w:p>
        </w:tc>
      </w:tr>
    </w:tbl>
    <w:p>
      <w:pPr>
        <w:pStyle w:val="nHeading3"/>
      </w:pPr>
      <w:bookmarkStart w:id="49" w:name="_Toc167369203"/>
      <w:bookmarkStart w:id="50" w:name="_Toc199941300"/>
      <w:r>
        <w:t>Other notes</w:t>
      </w:r>
      <w:bookmarkEnd w:id="49"/>
      <w:bookmarkEnd w:id="50"/>
    </w:p>
    <w:p>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2" w:author="Master Repository Process" w:date="2025-06-09T10:13:00Z">
                              <w:r>
                                <w:rPr>
                                  <w:sz w:val="16"/>
                                </w:rPr>
                                <w:delText>2023</w:delText>
                              </w:r>
                            </w:del>
                            <w:ins w:id="53" w:author="Master Repository Process" w:date="2025-06-09T10:1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4" w:author="Master Repository Process" w:date="2025-06-09T10:13:00Z">
                              <w:r>
                                <w:rPr>
                                  <w:sz w:val="16"/>
                                </w:rPr>
                                <w:delText>2023</w:delText>
                              </w:r>
                            </w:del>
                            <w:ins w:id="55" w:author="Master Repository Process" w:date="2025-06-09T10:1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6" w:author="Master Repository Process" w:date="2025-06-09T10:13:00Z">
                        <w:r>
                          <w:rPr>
                            <w:sz w:val="16"/>
                          </w:rPr>
                          <w:delText>2023</w:delText>
                        </w:r>
                      </w:del>
                      <w:ins w:id="57" w:author="Master Repository Process" w:date="2025-06-09T10:1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8" w:author="Master Repository Process" w:date="2025-06-09T10:13:00Z">
                        <w:r>
                          <w:rPr>
                            <w:sz w:val="16"/>
                          </w:rPr>
                          <w:delText>2023</w:delText>
                        </w:r>
                      </w:del>
                      <w:ins w:id="59" w:author="Master Repository Process" w:date="2025-06-09T10:1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3134626"/>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 w:name="WAFER_20200617154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54921_GUID" w:val="5dfe1403-fb9a-4675-a68d-438e498b3a15"/>
    <w:docVar w:name="WAFER_20201020145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45019_GUID" w:val="aa4c5e3e-81cc-43c6-ad41-422b63048d91"/>
    <w:docVar w:name="WAFER_20230613160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119_GUID" w:val="00cfe5d3-a91e-4f79-bc3b-6c5d40784d34"/>
    <w:docVar w:name="WAFER_20230626172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25_GUID" w:val="4f1a1bd1-fec3-41a7-9875-c2a091d3001a"/>
    <w:docVar w:name="WAFER_202312281142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258_GUID" w:val="f8c79880-a279-4c4d-97a9-5f74e348d432"/>
    <w:docVar w:name="WAFER_20240523134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4626_GUID" w:val="7b5f464b-d5ef-4bd9-8905-a84fa30f3b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EF85A9E-22D3-4F71-A0A5-78795CAF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3360</Words>
  <Characters>15696</Characters>
  <Application>Microsoft Office Word</Application>
  <DocSecurity>0</DocSecurity>
  <Lines>506</Lines>
  <Paragraphs>254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03-h0-01 - 03-i0-00</dc:title>
  <dc:subject/>
  <dc:creator/>
  <cp:keywords/>
  <dc:description/>
  <cp:lastModifiedBy>Master Repository Process</cp:lastModifiedBy>
  <cp:revision>2</cp:revision>
  <cp:lastPrinted>2019-01-18T03:31:00Z</cp:lastPrinted>
  <dcterms:created xsi:type="dcterms:W3CDTF">2025-06-09T02:13:00Z</dcterms:created>
  <dcterms:modified xsi:type="dcterms:W3CDTF">2025-06-09T02:13:00Z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20240529</vt:lpwstr>
  </property>
  <property fmtid="{D5CDD505-2E9C-101B-9397-08002B2CF9AE}" pid="9" name="CommencementAsAt">
    <vt:filetime>2024-05-28T16:00:00Z</vt:filetime>
  </property>
  <property fmtid="{D5CDD505-2E9C-101B-9397-08002B2CF9AE}" pid="10" name="CommencementYear">
    <vt:lpwstr>2024</vt:lpwstr>
  </property>
  <property fmtid="{D5CDD505-2E9C-101B-9397-08002B2CF9AE}" pid="11" name="FromSuffix">
    <vt:lpwstr>03-h0-01</vt:lpwstr>
  </property>
  <property fmtid="{D5CDD505-2E9C-101B-9397-08002B2CF9AE}" pid="12" name="FromAsAtDate">
    <vt:lpwstr>01 Jul 2023</vt:lpwstr>
  </property>
  <property fmtid="{D5CDD505-2E9C-101B-9397-08002B2CF9AE}" pid="13" name="ToSuffix">
    <vt:lpwstr>03-i0-00</vt:lpwstr>
  </property>
  <property fmtid="{D5CDD505-2E9C-101B-9397-08002B2CF9AE}" pid="14" name="ToAsAtDate">
    <vt:lpwstr>29 May 2024</vt:lpwstr>
  </property>
</Properties>
</file>