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2023</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29 May 2024</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rPr>
          <w:del w:id="1" w:author="Master Repository Process" w:date="2025-06-06T11:52:00Z"/>
        </w:rPr>
      </w:pPr>
      <w:del w:id="2" w:author="Master Repository Process" w:date="2025-06-06T11:52:00Z">
        <w:r>
          <w:lastRenderedPageBreak/>
          <w:delText>Western Australia</w:delText>
        </w:r>
      </w:del>
    </w:p>
    <w:p>
      <w:pPr>
        <w:pStyle w:val="PrincipalActReg"/>
      </w:pPr>
      <w:r>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3" w:name="_Toc167437394"/>
      <w:bookmarkStart w:id="4" w:name="_Toc167437967"/>
      <w:bookmarkStart w:id="5" w:name="_Toc167781432"/>
      <w:bookmarkStart w:id="6" w:name="_Toc167781478"/>
      <w:bookmarkStart w:id="7" w:name="_Toc153193683"/>
      <w:bookmarkStart w:id="8" w:name="_Toc153194196"/>
      <w:bookmarkStart w:id="9" w:name="_Toc1532716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67781479"/>
      <w:bookmarkStart w:id="11" w:name="_Toc153271691"/>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13" w:name="_Toc167781480"/>
      <w:bookmarkStart w:id="14" w:name="_Toc153271692"/>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5" w:name="_Toc167781481"/>
      <w:bookmarkStart w:id="16" w:name="_Toc153271693"/>
      <w:r>
        <w:rPr>
          <w:rStyle w:val="CharSectno"/>
        </w:rPr>
        <w:t>3</w:t>
      </w:r>
      <w:r>
        <w:t>.</w:t>
      </w:r>
      <w:r>
        <w:tab/>
        <w:t>Terms used in these regulations</w:t>
      </w:r>
      <w:bookmarkEnd w:id="15"/>
      <w:bookmarkEnd w:id="16"/>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lastRenderedPageBreak/>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w:t>
      </w:r>
      <w:r>
        <w:lastRenderedPageBreak/>
        <w:t xml:space="preserve">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7" w:name="_Toc167781482"/>
      <w:bookmarkStart w:id="18" w:name="_Toc153271694"/>
      <w:r>
        <w:rPr>
          <w:rStyle w:val="CharSectno"/>
        </w:rPr>
        <w:t>4</w:t>
      </w:r>
      <w:r>
        <w:t>.</w:t>
      </w:r>
      <w:r>
        <w:tab/>
        <w:t>Application</w:t>
      </w:r>
      <w:bookmarkEnd w:id="17"/>
      <w:bookmarkEnd w:id="18"/>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9" w:name="_Toc167437399"/>
      <w:bookmarkStart w:id="20" w:name="_Toc167437972"/>
      <w:bookmarkStart w:id="21" w:name="_Toc167781437"/>
      <w:bookmarkStart w:id="22" w:name="_Toc167781483"/>
      <w:bookmarkStart w:id="23" w:name="_Toc153193688"/>
      <w:bookmarkStart w:id="24" w:name="_Toc153194201"/>
      <w:bookmarkStart w:id="25" w:name="_Toc153271695"/>
      <w:r>
        <w:rPr>
          <w:rStyle w:val="CharPartNo"/>
        </w:rPr>
        <w:t>Part 2</w:t>
      </w:r>
      <w:r>
        <w:rPr>
          <w:rStyle w:val="CharDivNo"/>
        </w:rPr>
        <w:t> </w:t>
      </w:r>
      <w:r>
        <w:t>—</w:t>
      </w:r>
      <w:r>
        <w:rPr>
          <w:rStyle w:val="CharDivText"/>
        </w:rPr>
        <w:t> </w:t>
      </w:r>
      <w:r>
        <w:rPr>
          <w:rStyle w:val="CharPartText"/>
        </w:rPr>
        <w:t>Levy</w:t>
      </w:r>
      <w:bookmarkEnd w:id="19"/>
      <w:bookmarkEnd w:id="20"/>
      <w:bookmarkEnd w:id="21"/>
      <w:bookmarkEnd w:id="22"/>
      <w:bookmarkEnd w:id="23"/>
      <w:bookmarkEnd w:id="24"/>
      <w:bookmarkEnd w:id="25"/>
    </w:p>
    <w:p>
      <w:pPr>
        <w:pStyle w:val="Heading5"/>
      </w:pPr>
      <w:bookmarkStart w:id="26" w:name="_Toc167781484"/>
      <w:bookmarkStart w:id="27" w:name="_Toc153271696"/>
      <w:r>
        <w:rPr>
          <w:rStyle w:val="CharSectno"/>
        </w:rPr>
        <w:t>5</w:t>
      </w:r>
      <w:r>
        <w:t>.</w:t>
      </w:r>
      <w:r>
        <w:tab/>
        <w:t>Exemptions</w:t>
      </w:r>
      <w:bookmarkEnd w:id="26"/>
      <w:bookmarkEnd w:id="27"/>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28" w:name="_Toc167781485"/>
      <w:bookmarkStart w:id="29" w:name="_Toc153271697"/>
      <w:r>
        <w:rPr>
          <w:rStyle w:val="CharSectno"/>
        </w:rPr>
        <w:t>6</w:t>
      </w:r>
      <w:r>
        <w:t>.</w:t>
      </w:r>
      <w:r>
        <w:tab/>
        <w:t>Review</w:t>
      </w:r>
      <w:bookmarkEnd w:id="28"/>
      <w:bookmarkEnd w:id="29"/>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30" w:name="_Toc167781486"/>
      <w:bookmarkStart w:id="31" w:name="_Toc153271698"/>
      <w:r>
        <w:rPr>
          <w:rStyle w:val="CharSectno"/>
        </w:rPr>
        <w:t>7</w:t>
      </w:r>
      <w:r>
        <w:t>.</w:t>
      </w:r>
      <w:r>
        <w:tab/>
        <w:t>Financial assurance — exempt waste</w:t>
      </w:r>
      <w:bookmarkEnd w:id="30"/>
      <w:bookmarkEnd w:id="31"/>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32" w:name="_Toc167781487"/>
      <w:bookmarkStart w:id="33" w:name="_Toc153271699"/>
      <w:r>
        <w:rPr>
          <w:rStyle w:val="CharSectno"/>
        </w:rPr>
        <w:t>8</w:t>
      </w:r>
      <w:r>
        <w:t>.</w:t>
      </w:r>
      <w:r>
        <w:tab/>
        <w:t>Category 64 or 65 licensed landfill with weighbridge</w:t>
      </w:r>
      <w:bookmarkEnd w:id="32"/>
      <w:bookmarkEnd w:id="33"/>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34" w:name="_Toc167781488"/>
      <w:bookmarkStart w:id="35" w:name="_Toc153271700"/>
      <w:r>
        <w:rPr>
          <w:rStyle w:val="CharSectno"/>
        </w:rPr>
        <w:t>9</w:t>
      </w:r>
      <w:r>
        <w:t>.</w:t>
      </w:r>
      <w:r>
        <w:tab/>
        <w:t>Other category 64 or 65 landfill premises</w:t>
      </w:r>
      <w:bookmarkEnd w:id="34"/>
      <w:bookmarkEnd w:id="35"/>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36" w:name="_Toc167781489"/>
      <w:bookmarkStart w:id="37" w:name="_Toc153271701"/>
      <w:r>
        <w:rPr>
          <w:rStyle w:val="CharSectno"/>
        </w:rPr>
        <w:t>10</w:t>
      </w:r>
      <w:r>
        <w:t>.</w:t>
      </w:r>
      <w:r>
        <w:tab/>
        <w:t>Category 63 licensed landfills in metropolitan region</w:t>
      </w:r>
      <w:bookmarkEnd w:id="36"/>
      <w:bookmarkEnd w:id="37"/>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38" w:name="_Toc167781490"/>
      <w:bookmarkStart w:id="39" w:name="_Toc153271702"/>
      <w:r>
        <w:rPr>
          <w:rStyle w:val="CharSectno"/>
        </w:rPr>
        <w:t>11</w:t>
      </w:r>
      <w:r>
        <w:t>.</w:t>
      </w:r>
      <w:r>
        <w:tab/>
        <w:t>CEO estimates for certain category 63 premises in metropolitan region</w:t>
      </w:r>
      <w:bookmarkEnd w:id="38"/>
      <w:bookmarkEnd w:id="39"/>
    </w:p>
    <w:p>
      <w:pPr>
        <w:pStyle w:val="Subsection"/>
      </w:pPr>
      <w:r>
        <w:tab/>
        <w:t>(1)</w:t>
      </w:r>
      <w:r>
        <w:tab/>
        <w:t>If the licensee of a category 63 licensed landfill in the metropolitan region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40" w:name="_Toc167781491"/>
      <w:bookmarkStart w:id="41" w:name="_Toc153271703"/>
      <w:r>
        <w:rPr>
          <w:rStyle w:val="CharSectno"/>
        </w:rPr>
        <w:t>12A</w:t>
      </w:r>
      <w:r>
        <w:t>.</w:t>
      </w:r>
      <w:r>
        <w:tab/>
        <w:t>Category 63 licensed landfills outside metropolitan region</w:t>
      </w:r>
      <w:bookmarkEnd w:id="40"/>
      <w:bookmarkEnd w:id="41"/>
    </w:p>
    <w:p>
      <w:pPr>
        <w:pStyle w:val="Subsection"/>
        <w:keepNext/>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42" w:name="_Toc167781492"/>
      <w:bookmarkStart w:id="43" w:name="_Toc153271704"/>
      <w:r>
        <w:rPr>
          <w:rStyle w:val="CharSectno"/>
        </w:rPr>
        <w:t>12B</w:t>
      </w:r>
      <w:r>
        <w:t>.</w:t>
      </w:r>
      <w:r>
        <w:tab/>
        <w:t>Category 63 unlicensed landfills outside metropolitan region</w:t>
      </w:r>
      <w:bookmarkEnd w:id="42"/>
      <w:bookmarkEnd w:id="43"/>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44" w:name="_Toc167781493"/>
      <w:bookmarkStart w:id="45" w:name="_Toc153271705"/>
      <w:r>
        <w:rPr>
          <w:rStyle w:val="CharSectno"/>
        </w:rPr>
        <w:t>12C</w:t>
      </w:r>
      <w:r>
        <w:t>.</w:t>
      </w:r>
      <w:r>
        <w:tab/>
        <w:t>CEO’s costs recoverable</w:t>
      </w:r>
      <w:bookmarkEnd w:id="44"/>
      <w:bookmarkEnd w:id="45"/>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46" w:name="_Toc167781494"/>
      <w:bookmarkStart w:id="47" w:name="_Toc153271706"/>
      <w:r>
        <w:rPr>
          <w:rStyle w:val="CharSectno"/>
        </w:rPr>
        <w:t>12</w:t>
      </w:r>
      <w:r>
        <w:t>.</w:t>
      </w:r>
      <w:r>
        <w:tab/>
        <w:t>Amount of levy</w:t>
      </w:r>
      <w:bookmarkEnd w:id="46"/>
      <w:bookmarkEnd w:id="47"/>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(d)</w:t>
      </w:r>
      <w:r>
        <w:tab/>
        <w:t>on or after 1 July 2019 — $105;</w:t>
      </w:r>
    </w:p>
    <w:p>
      <w:pPr>
        <w:pStyle w:val="Subsection"/>
        <w:tabs>
          <w:tab w:val="clear" w:pos="879"/>
          <w:tab w:val="left" w:pos="1050"/>
        </w:tabs>
        <w:spacing w:before="80"/>
        <w:ind w:left="1666"/>
      </w:pPr>
      <w:r>
        <w:tab/>
      </w:r>
      <w:r>
        <w:tab/>
        <w:t>and</w:t>
      </w:r>
    </w:p>
    <w:p>
      <w:pPr>
        <w:pStyle w:val="MiscellaneousBody"/>
        <w:keepNext/>
        <w:tabs>
          <w:tab w:val="left" w:pos="1218"/>
          <w:tab w:val="left" w:pos="1701"/>
        </w:tabs>
        <w:spacing w:before="80"/>
        <w:ind w:left="1624" w:hanging="1624"/>
      </w:pPr>
      <w:r>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t>(ii)</w:t>
      </w:r>
      <w:r>
        <w:tab/>
        <w:t>$2 000;</w:t>
      </w:r>
    </w:p>
    <w:p>
      <w:pPr>
        <w:pStyle w:val="Subsection"/>
        <w:tabs>
          <w:tab w:val="clear" w:pos="879"/>
          <w:tab w:val="left" w:pos="1050"/>
        </w:tabs>
        <w:spacing w:before="80"/>
        <w:ind w:left="1666"/>
      </w:pPr>
      <w:r>
        <w:tab/>
      </w:r>
      <w:r>
        <w:tab/>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t>(f)</w:t>
      </w:r>
      <w:r>
        <w:tab/>
        <w:t>on or after 1 July 2017 and before 30 June 2018 — $65;</w:t>
      </w:r>
    </w:p>
    <w:p>
      <w:pPr>
        <w:pStyle w:val="MiscellaneousBody"/>
        <w:spacing w:before="80"/>
        <w:ind w:left="2466" w:hanging="635"/>
      </w:pPr>
      <w:r>
        <w:t>(g)</w:t>
      </w:r>
      <w:r>
        <w:tab/>
        <w:t>on or after 1 July 2018 and before 30 June 2019 — $70;</w:t>
      </w:r>
    </w:p>
    <w:p>
      <w:pPr>
        <w:pStyle w:val="MiscellaneousBody"/>
        <w:spacing w:before="80"/>
        <w:ind w:left="2466" w:hanging="635"/>
      </w:pPr>
      <w:r>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48" w:name="_Toc167437411"/>
      <w:bookmarkStart w:id="49" w:name="_Toc167437984"/>
      <w:bookmarkStart w:id="50" w:name="_Toc167781449"/>
      <w:bookmarkStart w:id="51" w:name="_Toc167781495"/>
      <w:bookmarkStart w:id="52" w:name="_Toc153193700"/>
      <w:bookmarkStart w:id="53" w:name="_Toc153194213"/>
      <w:bookmarkStart w:id="54" w:name="_Toc153271707"/>
      <w:r>
        <w:rPr>
          <w:rStyle w:val="CharPartNo"/>
        </w:rPr>
        <w:t>Part 3</w:t>
      </w:r>
      <w:r>
        <w:rPr>
          <w:rStyle w:val="CharDivNo"/>
        </w:rPr>
        <w:t> </w:t>
      </w:r>
      <w:r>
        <w:t>—</w:t>
      </w:r>
      <w:r>
        <w:rPr>
          <w:rStyle w:val="CharDivText"/>
        </w:rPr>
        <w:t> </w:t>
      </w:r>
      <w:r>
        <w:rPr>
          <w:rStyle w:val="CharPartText"/>
        </w:rPr>
        <w:t>Savings and transitional provisions</w:t>
      </w:r>
      <w:bookmarkEnd w:id="48"/>
      <w:bookmarkEnd w:id="49"/>
      <w:bookmarkEnd w:id="50"/>
      <w:bookmarkEnd w:id="51"/>
      <w:bookmarkEnd w:id="52"/>
      <w:bookmarkEnd w:id="53"/>
      <w:bookmarkEnd w:id="54"/>
    </w:p>
    <w:p>
      <w:pPr>
        <w:pStyle w:val="Heading5"/>
      </w:pPr>
      <w:bookmarkStart w:id="55" w:name="_Toc167781496"/>
      <w:bookmarkStart w:id="56" w:name="_Toc153271708"/>
      <w:r>
        <w:rPr>
          <w:rStyle w:val="CharSectno"/>
        </w:rPr>
        <w:t>13</w:t>
      </w:r>
      <w:r>
        <w:t>.</w:t>
      </w:r>
      <w:r>
        <w:tab/>
        <w:t>Exemptions and related financial assurances</w:t>
      </w:r>
      <w:bookmarkEnd w:id="55"/>
      <w:bookmarkEnd w:id="56"/>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57" w:name="_Toc167781497"/>
      <w:bookmarkStart w:id="58" w:name="_Toc153271709"/>
      <w:r>
        <w:rPr>
          <w:rStyle w:val="CharSectno"/>
        </w:rPr>
        <w:t>14</w:t>
      </w:r>
      <w:r>
        <w:t>.</w:t>
      </w:r>
      <w:r>
        <w:tab/>
        <w:t>Baseline reports, estimated bases and quarterly surveys</w:t>
      </w:r>
      <w:bookmarkEnd w:id="57"/>
      <w:bookmarkEnd w:id="58"/>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9" w:name="_Toc167437414"/>
      <w:bookmarkStart w:id="60" w:name="_Toc167437987"/>
      <w:bookmarkStart w:id="61" w:name="_Toc167781452"/>
      <w:bookmarkStart w:id="62" w:name="_Toc167781498"/>
      <w:bookmarkStart w:id="63" w:name="_Toc153193703"/>
      <w:bookmarkStart w:id="64" w:name="_Toc153194216"/>
      <w:bookmarkStart w:id="65" w:name="_Toc153271710"/>
      <w:r>
        <w:t>Notes</w:t>
      </w:r>
      <w:bookmarkEnd w:id="59"/>
      <w:bookmarkEnd w:id="60"/>
      <w:bookmarkEnd w:id="61"/>
      <w:bookmarkEnd w:id="62"/>
      <w:bookmarkEnd w:id="63"/>
      <w:bookmarkEnd w:id="64"/>
      <w:bookmarkEnd w:id="65"/>
    </w:p>
    <w:p>
      <w:pPr>
        <w:pStyle w:val="nStatement"/>
      </w:pPr>
      <w:r>
        <w:t xml:space="preserve">This is a compilation of the </w:t>
      </w:r>
      <w:r>
        <w:rPr>
          <w:i/>
          <w:noProof/>
        </w:rPr>
        <w:t>Waste Avoidance and Resource Recovery Levy Regulations 2008</w:t>
      </w:r>
      <w:r>
        <w:t xml:space="preserve"> and includes amendments made by other written laws</w:t>
      </w:r>
      <w:ins w:id="66" w:author="Master Repository Process" w:date="2025-06-06T11:52:00Z">
        <w:r>
          <w:t> </w:t>
        </w:r>
        <w:r>
          <w:rPr>
            <w:vertAlign w:val="superscript"/>
          </w:rPr>
          <w:t>1</w:t>
        </w:r>
      </w:ins>
      <w:r>
        <w:t>. For provisions that have come into operation see the compilation table. For provisions that have not yet come into operation see the uncommenced provisions table.</w:t>
      </w:r>
    </w:p>
    <w:p>
      <w:pPr>
        <w:pStyle w:val="nHeading3"/>
      </w:pPr>
      <w:bookmarkStart w:id="67" w:name="_Toc167781499"/>
      <w:bookmarkStart w:id="68" w:name="_Toc153271711"/>
      <w:r>
        <w:t>Compilation table</w:t>
      </w:r>
      <w:bookmarkEnd w:id="67"/>
      <w:bookmarkEnd w:id="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single" w:sz="4" w:space="0" w:color="auto"/>
            </w:tcBorders>
            <w:shd w:val="clear" w:color="auto" w:fill="auto"/>
          </w:tcPr>
          <w:p>
            <w:pPr>
              <w:pStyle w:val="nTable"/>
              <w:spacing w:after="40"/>
            </w:pPr>
            <w:r>
              <w:t>SL 2020/3</w:t>
            </w:r>
            <w:r>
              <w:br/>
              <w:t>4 Feb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bl>
    <w:p>
      <w:pPr>
        <w:pStyle w:val="nHeading3"/>
      </w:pPr>
      <w:bookmarkStart w:id="69" w:name="_Toc167781500"/>
      <w:bookmarkStart w:id="70" w:name="_Toc153271712"/>
      <w:r>
        <w:t>Uncommenced provisions table</w:t>
      </w:r>
      <w:bookmarkEnd w:id="69"/>
      <w:bookmarkEnd w:id="7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iCs/>
              </w:rPr>
            </w:pPr>
            <w:r>
              <w:rPr>
                <w:i/>
              </w:rPr>
              <w:t>Waste Avoidance and Resource Recovery Levy Amendment Regulations</w:t>
            </w:r>
            <w:del w:id="71" w:author="Master Repository Process" w:date="2025-06-06T11:52:00Z">
              <w:r>
                <w:rPr>
                  <w:i/>
                </w:rPr>
                <w:delText> 2023</w:delText>
              </w:r>
            </w:del>
            <w:ins w:id="72" w:author="Master Repository Process" w:date="2025-06-06T11:52:00Z">
              <w:r>
                <w:rPr>
                  <w:i/>
                </w:rPr>
                <w:t xml:space="preserve"> (No. 2) 2024</w:t>
              </w:r>
              <w:r>
                <w:rPr>
                  <w:iCs/>
                  <w:vertAlign w:val="superscript"/>
                </w:rPr>
                <w:t> 1</w:t>
              </w:r>
            </w:ins>
            <w:r>
              <w:rPr>
                <w:i/>
              </w:rPr>
              <w:t xml:space="preserve"> </w:t>
            </w:r>
            <w:r>
              <w:rPr>
                <w:iCs/>
              </w:rPr>
              <w:t>r. </w:t>
            </w:r>
            <w:del w:id="73" w:author="Master Repository Process" w:date="2025-06-06T11:52:00Z">
              <w:r>
                <w:rPr>
                  <w:iCs/>
                </w:rPr>
                <w:delText>3 and </w:delText>
              </w:r>
            </w:del>
            <w:r>
              <w:rPr>
                <w:iCs/>
              </w:rPr>
              <w:t>4</w:t>
            </w:r>
          </w:p>
        </w:tc>
        <w:tc>
          <w:tcPr>
            <w:tcW w:w="1276" w:type="dxa"/>
            <w:tcBorders>
              <w:top w:val="nil"/>
              <w:bottom w:val="single" w:sz="4" w:space="0" w:color="auto"/>
            </w:tcBorders>
          </w:tcPr>
          <w:p>
            <w:pPr>
              <w:pStyle w:val="nTable"/>
              <w:spacing w:after="40"/>
            </w:pPr>
            <w:r>
              <w:t>SL </w:t>
            </w:r>
            <w:del w:id="74" w:author="Master Repository Process" w:date="2025-06-06T11:52:00Z">
              <w:r>
                <w:delText>2023/193 13 Dec 2023</w:delText>
              </w:r>
            </w:del>
            <w:ins w:id="75" w:author="Master Repository Process" w:date="2025-06-06T11:52:00Z">
              <w:r>
                <w:t>2024/84 29 May 2024</w:t>
              </w:r>
            </w:ins>
          </w:p>
        </w:tc>
        <w:tc>
          <w:tcPr>
            <w:tcW w:w="2693" w:type="dxa"/>
            <w:tcBorders>
              <w:top w:val="nil"/>
              <w:bottom w:val="single" w:sz="4" w:space="0" w:color="auto"/>
            </w:tcBorders>
          </w:tcPr>
          <w:p>
            <w:pPr>
              <w:pStyle w:val="nTable"/>
              <w:spacing w:after="40"/>
            </w:pPr>
            <w:r>
              <w:t>1 Jul 2024 (see r. 2(</w:t>
            </w:r>
            <w:del w:id="76" w:author="Master Repository Process" w:date="2025-06-06T11:52:00Z">
              <w:r>
                <w:delText>b</w:delText>
              </w:r>
            </w:del>
            <w:ins w:id="77" w:author="Master Repository Process" w:date="2025-06-06T11:52:00Z">
              <w:r>
                <w:t>c</w:t>
              </w:r>
            </w:ins>
            <w:r>
              <w:t>))</w:t>
            </w:r>
          </w:p>
        </w:tc>
      </w:tr>
    </w:tbl>
    <w:p>
      <w:pPr>
        <w:pStyle w:val="nHeading3"/>
        <w:rPr>
          <w:ins w:id="78" w:author="Master Repository Process" w:date="2025-06-06T11:52:00Z"/>
        </w:rPr>
      </w:pPr>
      <w:bookmarkStart w:id="79" w:name="_Toc167781501"/>
      <w:ins w:id="80" w:author="Master Repository Process" w:date="2025-06-06T11:52:00Z">
        <w:r>
          <w:t>Other notes</w:t>
        </w:r>
        <w:bookmarkEnd w:id="79"/>
      </w:ins>
    </w:p>
    <w:p>
      <w:pPr>
        <w:pStyle w:val="nNote"/>
        <w:rPr>
          <w:ins w:id="81" w:author="Master Repository Process" w:date="2025-06-06T11:52:00Z"/>
        </w:rPr>
      </w:pPr>
      <w:ins w:id="82" w:author="Master Repository Process" w:date="2025-06-06T11:52:00Z">
        <w:r>
          <w:rPr>
            <w:vertAlign w:val="superscript"/>
          </w:rPr>
          <w:t>1</w:t>
        </w:r>
        <w:r>
          <w:tab/>
          <w:t xml:space="preserve">The </w:t>
        </w:r>
        <w:r>
          <w:rPr>
            <w:i/>
            <w:iCs/>
          </w:rPr>
          <w:t>Waste Avoidance and Resource Recovery Levy Amendment Regulations 2023</w:t>
        </w:r>
        <w:r>
          <w:t xml:space="preserve">  r. 3 and 4 (SL 2023/193) did not come into operation and were repealed by the </w:t>
        </w:r>
        <w:r>
          <w:rPr>
            <w:i/>
            <w:iCs/>
          </w:rPr>
          <w:t>Waste Avoidance and Resource Recovery Levy Amendment Regulations (No. 2) 2024</w:t>
        </w:r>
        <w:r>
          <w:t xml:space="preserve"> on 30 May 2024 (see SL 2024/84 r. 5).</w:t>
        </w:r>
      </w:ins>
    </w:p>
    <w:p>
      <w:pPr>
        <w:rPr>
          <w:ins w:id="83" w:author="Master Repository Process" w:date="2025-06-06T11:52:00Z"/>
        </w:rPr>
      </w:pPr>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5" w:author="Master Repository Process" w:date="2025-06-06T11:52:00Z">
                              <w:r>
                                <w:rPr>
                                  <w:sz w:val="16"/>
                                </w:rPr>
                                <w:delText>2023</w:delText>
                              </w:r>
                            </w:del>
                            <w:ins w:id="86" w:author="Master Repository Process" w:date="2025-06-06T11:5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7" w:author="Master Repository Process" w:date="2025-06-06T11:52:00Z">
                              <w:r>
                                <w:rPr>
                                  <w:sz w:val="16"/>
                                </w:rPr>
                                <w:delText>2023</w:delText>
                              </w:r>
                            </w:del>
                            <w:ins w:id="88" w:author="Master Repository Process" w:date="2025-06-06T11:5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9" w:author="Master Repository Process" w:date="2025-06-06T11:52:00Z">
                        <w:r>
                          <w:rPr>
                            <w:sz w:val="16"/>
                          </w:rPr>
                          <w:delText>2023</w:delText>
                        </w:r>
                      </w:del>
                      <w:ins w:id="90" w:author="Master Repository Process" w:date="2025-06-06T11:5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1" w:author="Master Repository Process" w:date="2025-06-06T11:52:00Z">
                        <w:r>
                          <w:rPr>
                            <w:sz w:val="16"/>
                          </w:rPr>
                          <w:delText>2023</w:delText>
                        </w:r>
                      </w:del>
                      <w:ins w:id="92" w:author="Master Repository Process" w:date="2025-06-06T11:5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00054"/>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 w:name="WAFER_2024052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054_GUID" w:val="5d18c830-8f4e-4d78-8f5d-d5ffee737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5136</Words>
  <Characters>24499</Characters>
  <Application>Microsoft Office Word</Application>
  <DocSecurity>0</DocSecurity>
  <Lines>680</Lines>
  <Paragraphs>348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00-i0-01 - 00-j0-01</dc:title>
  <dc:subject/>
  <dc:creator/>
  <cp:keywords/>
  <dc:description/>
  <cp:lastModifiedBy>Master Repository Process</cp:lastModifiedBy>
  <cp:revision>2</cp:revision>
  <cp:lastPrinted>2020-02-03T06:09:00Z</cp:lastPrinted>
  <dcterms:created xsi:type="dcterms:W3CDTF">2025-06-06T03:51:00Z</dcterms:created>
  <dcterms:modified xsi:type="dcterms:W3CDTF">2025-06-06T03:52:00Z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20240529</vt:lpwstr>
  </property>
  <property fmtid="{D5CDD505-2E9C-101B-9397-08002B2CF9AE}" pid="7" name="CommencementAsAt">
    <vt:filetime>2024-05-28T16:00:00Z</vt:filetime>
  </property>
  <property fmtid="{D5CDD505-2E9C-101B-9397-08002B2CF9AE}" pid="8" name="CommencementYear">
    <vt:lpwstr>2024</vt:lpwstr>
  </property>
  <property fmtid="{D5CDD505-2E9C-101B-9397-08002B2CF9AE}" pid="9" name="FromSuffix">
    <vt:lpwstr>00-i0-01</vt:lpwstr>
  </property>
  <property fmtid="{D5CDD505-2E9C-101B-9397-08002B2CF9AE}" pid="10" name="FromAsAtDate">
    <vt:lpwstr>13 Dec 2023</vt:lpwstr>
  </property>
  <property fmtid="{D5CDD505-2E9C-101B-9397-08002B2CF9AE}" pid="11" name="ToSuffix">
    <vt:lpwstr>00-j0-01</vt:lpwstr>
  </property>
  <property fmtid="{D5CDD505-2E9C-101B-9397-08002B2CF9AE}" pid="12" name="ToAsAtDate">
    <vt:lpwstr>29 May 2024</vt:lpwstr>
  </property>
</Properties>
</file>