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05-p0-01</w:t>
      </w:r>
      <w:r>
        <w:fldChar w:fldCharType="end"/>
      </w:r>
      <w:r>
        <w:t>] and [</w:t>
      </w:r>
      <w:r>
        <w:fldChar w:fldCharType="begin"/>
      </w:r>
      <w:r>
        <w:instrText xml:space="preserve"> DocProperty ToAsAtDate</w:instrText>
      </w:r>
      <w:r>
        <w:fldChar w:fldCharType="separate"/>
      </w:r>
      <w:r>
        <w:t>12 Jun 2024</w:t>
      </w:r>
      <w:r>
        <w:fldChar w:fldCharType="end"/>
      </w:r>
      <w:r>
        <w:t xml:space="preserve">, </w:t>
      </w:r>
      <w:r>
        <w:fldChar w:fldCharType="begin"/>
      </w:r>
      <w:r>
        <w:instrText xml:space="preserve"> DocProperty ToSuffix</w:instrText>
      </w:r>
      <w:r>
        <w:fldChar w:fldCharType="separate"/>
      </w:r>
      <w:r>
        <w:t>05-q0-00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Pawnbrokers and Second</w:t>
      </w:r>
      <w:r>
        <w:rPr>
          <w:snapToGrid w:val="0"/>
        </w:rPr>
        <w:noBreakHyphen/>
        <w:t>hand Dealers Act 1994</w:t>
      </w:r>
    </w:p>
    <w:p>
      <w:pPr>
        <w:pStyle w:val="NameofActReg"/>
        <w:spacing w:before="600"/>
      </w:pPr>
      <w:r>
        <w:t>Pawnbrokers and Second</w:t>
      </w:r>
      <w:r>
        <w:noBreakHyphen/>
        <w:t>hand Dealers Regulations 1996</w:t>
      </w:r>
    </w:p>
    <w:p>
      <w:pPr>
        <w:pStyle w:val="Heading2"/>
        <w:pageBreakBefore w:val="0"/>
      </w:pPr>
      <w:bookmarkStart w:id="1" w:name="_Toc168660570"/>
      <w:bookmarkStart w:id="2" w:name="_Toc168660710"/>
      <w:bookmarkStart w:id="3" w:name="_Toc168930142"/>
      <w:bookmarkStart w:id="4" w:name="_Toc138691682"/>
      <w:bookmarkStart w:id="5" w:name="_Toc138691986"/>
      <w:bookmarkStart w:id="6" w:name="_Toc138856991"/>
      <w:bookmarkStart w:id="7" w:name="_Toc13885774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8" w:name="_Toc168930143"/>
      <w:bookmarkStart w:id="9" w:name="_Toc138857747"/>
      <w:r>
        <w:rPr>
          <w:rStyle w:val="CharSectno"/>
        </w:rPr>
        <w:t>1</w:t>
      </w:r>
      <w:r>
        <w:rPr>
          <w:snapToGrid w:val="0"/>
        </w:rPr>
        <w:t>.</w:t>
      </w:r>
      <w:r>
        <w:rPr>
          <w:snapToGrid w:val="0"/>
        </w:rPr>
        <w:tab/>
        <w:t>Citation</w:t>
      </w:r>
      <w:bookmarkEnd w:id="8"/>
      <w:bookmarkEnd w:id="9"/>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rPr>
        <w:t>.</w:t>
      </w:r>
    </w:p>
    <w:p>
      <w:pPr>
        <w:pStyle w:val="Heading5"/>
        <w:rPr>
          <w:snapToGrid w:val="0"/>
        </w:rPr>
      </w:pPr>
      <w:bookmarkStart w:id="10" w:name="_Toc168930144"/>
      <w:bookmarkStart w:id="11" w:name="_Toc138857748"/>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12" w:name="_Toc168930145"/>
      <w:bookmarkStart w:id="13" w:name="_Toc138857749"/>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an authorised deposit</w:t>
      </w:r>
      <w:r>
        <w:noBreakHyphen/>
        <w:t xml:space="preserve">taking institution as defined in the </w:t>
      </w:r>
      <w:r>
        <w:rPr>
          <w:i/>
        </w:rPr>
        <w:t>Banking Act 1959</w:t>
      </w:r>
      <w:r>
        <w:t xml:space="preserve"> (Commonwealth) section 5(1); or</w:t>
      </w:r>
    </w:p>
    <w:p>
      <w:pPr>
        <w:pStyle w:val="Defpara"/>
      </w:pPr>
      <w:r>
        <w:tab/>
        <w:t>(aa)</w:t>
      </w:r>
      <w:r>
        <w:tab/>
        <w:t>a bank constituted by a law of a State, a Territory or the Commonwealth; or</w:t>
      </w:r>
    </w:p>
    <w:p>
      <w:pPr>
        <w:pStyle w:val="Defpara"/>
      </w:pPr>
      <w:r>
        <w:tab/>
        <w:t>(b)</w:t>
      </w:r>
      <w:r>
        <w:tab/>
        <w:t xml:space="preserve">a registrable corporation within the meaning of the </w:t>
      </w:r>
      <w:r>
        <w:rPr>
          <w:i/>
        </w:rPr>
        <w:t>Financial Sector (Collection of Data) Act 2001</w:t>
      </w:r>
      <w:r>
        <w:t xml:space="preserve"> (Commonwealth) section 7;</w:t>
      </w:r>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State agency</w:t>
      </w:r>
      <w:r>
        <w:t xml:space="preserve"> has the meaning given in the </w:t>
      </w:r>
      <w:r>
        <w:rPr>
          <w:i/>
        </w:rPr>
        <w:t xml:space="preserve">Procurement Act 2020 </w:t>
      </w:r>
      <w:r>
        <w:t>section 5(1);</w:t>
      </w:r>
    </w:p>
    <w:p>
      <w:pPr>
        <w:pStyle w:val="Defstart"/>
      </w:pPr>
      <w:r>
        <w:lastRenderedPageBreak/>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Gazette 28 Jul 2000 p. 4019; 8 Jan 2015 p. 151; SL 2020/147 r. 4; SL 2020/248 r. 6.]</w:t>
      </w:r>
    </w:p>
    <w:p>
      <w:pPr>
        <w:pStyle w:val="Heading2"/>
      </w:pPr>
      <w:bookmarkStart w:id="14" w:name="_Toc168660574"/>
      <w:bookmarkStart w:id="15" w:name="_Toc168660714"/>
      <w:bookmarkStart w:id="16" w:name="_Toc168930146"/>
      <w:bookmarkStart w:id="17" w:name="_Toc138691686"/>
      <w:bookmarkStart w:id="18" w:name="_Toc138691990"/>
      <w:bookmarkStart w:id="19" w:name="_Toc138856995"/>
      <w:bookmarkStart w:id="20" w:name="_Toc138857750"/>
      <w:r>
        <w:rPr>
          <w:rStyle w:val="CharPartNo"/>
        </w:rPr>
        <w:lastRenderedPageBreak/>
        <w:t>Part 2</w:t>
      </w:r>
      <w:r>
        <w:rPr>
          <w:rStyle w:val="CharDivNo"/>
        </w:rPr>
        <w:t> </w:t>
      </w:r>
      <w:r>
        <w:t>—</w:t>
      </w:r>
      <w:r>
        <w:rPr>
          <w:rStyle w:val="CharDivText"/>
        </w:rPr>
        <w:t> </w:t>
      </w:r>
      <w:r>
        <w:rPr>
          <w:rStyle w:val="CharPartText"/>
        </w:rPr>
        <w:t>Prescribed matters for which Act or certain provisions of Act do not apply</w:t>
      </w:r>
      <w:bookmarkEnd w:id="14"/>
      <w:bookmarkEnd w:id="15"/>
      <w:bookmarkEnd w:id="16"/>
      <w:bookmarkEnd w:id="17"/>
      <w:bookmarkEnd w:id="18"/>
      <w:bookmarkEnd w:id="19"/>
      <w:bookmarkEnd w:id="20"/>
    </w:p>
    <w:p>
      <w:pPr>
        <w:pStyle w:val="Heading5"/>
        <w:rPr>
          <w:snapToGrid w:val="0"/>
        </w:rPr>
      </w:pPr>
      <w:bookmarkStart w:id="21" w:name="_Toc168930147"/>
      <w:bookmarkStart w:id="22" w:name="_Toc138857751"/>
      <w:r>
        <w:rPr>
          <w:rStyle w:val="CharSectno"/>
        </w:rPr>
        <w:t>4</w:t>
      </w:r>
      <w:r>
        <w:rPr>
          <w:snapToGrid w:val="0"/>
        </w:rPr>
        <w:t>.</w:t>
      </w:r>
      <w:r>
        <w:rPr>
          <w:snapToGrid w:val="0"/>
        </w:rPr>
        <w:tab/>
        <w:t>Provisions prescribed for financial bodies (Act s. 4(3))</w:t>
      </w:r>
      <w:bookmarkEnd w:id="21"/>
      <w:bookmarkEnd w:id="22"/>
    </w:p>
    <w:p>
      <w:pPr>
        <w:pStyle w:val="Subsection"/>
        <w:rPr>
          <w:snapToGrid w:val="0"/>
        </w:rPr>
      </w:pPr>
      <w:r>
        <w:rPr>
          <w:snapToGrid w:val="0"/>
        </w:rPr>
        <w:tab/>
      </w:r>
      <w:r>
        <w:rPr>
          <w:snapToGrid w:val="0"/>
        </w:rPr>
        <w:tab/>
        <w:t xml:space="preserve">For the purposes of section 4(3), </w:t>
      </w:r>
      <w:r>
        <w:t xml:space="preserve">the definition of </w:t>
      </w:r>
      <w:r>
        <w:rPr>
          <w:b/>
          <w:i/>
        </w:rPr>
        <w:t>pawnbroker</w:t>
      </w:r>
      <w:r>
        <w:t xml:space="preserve"> in section 3(1) and sections 3A and 5 do</w:t>
      </w:r>
      <w:r>
        <w:rPr>
          <w:snapToGrid w:val="0"/>
        </w:rPr>
        <w:t xml:space="preserve"> not apply to financial bodies.</w:t>
      </w:r>
    </w:p>
    <w:p>
      <w:pPr>
        <w:pStyle w:val="Footnotesection"/>
      </w:pPr>
      <w:r>
        <w:tab/>
        <w:t>[Regulation 4 amended: Gazette 8 Jan 2015 p. 152.]</w:t>
      </w:r>
    </w:p>
    <w:p>
      <w:pPr>
        <w:pStyle w:val="Heading5"/>
        <w:rPr>
          <w:snapToGrid w:val="0"/>
        </w:rPr>
      </w:pPr>
      <w:bookmarkStart w:id="23" w:name="_Toc168930148"/>
      <w:bookmarkStart w:id="24" w:name="_Toc138857752"/>
      <w:r>
        <w:rPr>
          <w:rStyle w:val="CharSectno"/>
        </w:rPr>
        <w:t>5</w:t>
      </w:r>
      <w:r>
        <w:rPr>
          <w:snapToGrid w:val="0"/>
        </w:rPr>
        <w:t>.</w:t>
      </w:r>
      <w:r>
        <w:rPr>
          <w:snapToGrid w:val="0"/>
        </w:rPr>
        <w:tab/>
        <w:t xml:space="preserve">Goods not to be treated as second-hand goods prescribed (Act s. 3(1) </w:t>
      </w:r>
      <w:r>
        <w:rPr>
          <w:i/>
          <w:snapToGrid w:val="0"/>
        </w:rPr>
        <w:t>second-hand goods</w:t>
      </w:r>
      <w:r>
        <w:rPr>
          <w:snapToGrid w:val="0"/>
        </w:rPr>
        <w:t>)</w:t>
      </w:r>
      <w:bookmarkEnd w:id="23"/>
      <w:bookmarkEnd w:id="24"/>
    </w:p>
    <w:p>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trPr>
          <w:gridAfter w:val="1"/>
          <w:wAfter w:w="69" w:type="dxa"/>
          <w:tblHeader/>
        </w:trPr>
        <w:tc>
          <w:tcPr>
            <w:tcW w:w="915" w:type="dxa"/>
          </w:tcPr>
          <w:p>
            <w:pPr>
              <w:pStyle w:val="Table"/>
              <w:spacing w:before="0" w:after="60"/>
            </w:pPr>
            <w:r>
              <w:rPr>
                <w:b/>
              </w:rPr>
              <w:t xml:space="preserve">Item </w:t>
            </w:r>
          </w:p>
        </w:tc>
        <w:tc>
          <w:tcPr>
            <w:tcW w:w="5811" w:type="dxa"/>
          </w:tcPr>
          <w:p>
            <w:pPr>
              <w:pStyle w:val="Table"/>
              <w:spacing w:before="0" w:after="60"/>
              <w:rPr>
                <w:b/>
              </w:rPr>
            </w:pPr>
            <w:r>
              <w:rPr>
                <w:b/>
              </w:rPr>
              <w:t>Goods not to be treated as “second</w:t>
            </w:r>
            <w:r>
              <w:rPr>
                <w:b/>
              </w:rPr>
              <w:noBreakHyphen/>
              <w:t>hand goods”</w:t>
            </w:r>
          </w:p>
        </w:tc>
      </w:tr>
      <w:tr>
        <w:trPr>
          <w:gridAfter w:val="1"/>
          <w:wAfter w:w="69" w:type="dxa"/>
          <w:cantSplit/>
        </w:trPr>
        <w:tc>
          <w:tcPr>
            <w:tcW w:w="915" w:type="dxa"/>
          </w:tcPr>
          <w:p>
            <w:pPr>
              <w:pStyle w:val="Table"/>
              <w:spacing w:before="0"/>
            </w:pPr>
            <w:r>
              <w:t>1.</w:t>
            </w:r>
          </w:p>
        </w:tc>
        <w:tc>
          <w:tcPr>
            <w:tcW w:w="5811" w:type="dxa"/>
          </w:tcPr>
          <w:p>
            <w:pPr>
              <w:pStyle w:val="Table"/>
              <w:spacing w:before="0"/>
              <w:ind w:right="-156"/>
            </w:pPr>
            <w:r>
              <w:t>Goods collected under a local government recycling scheme.</w:t>
            </w:r>
          </w:p>
        </w:tc>
      </w:tr>
      <w:tr>
        <w:trPr>
          <w:gridAfter w:val="1"/>
          <w:wAfter w:w="69" w:type="dxa"/>
          <w:cantSplit/>
        </w:trPr>
        <w:tc>
          <w:tcPr>
            <w:tcW w:w="915" w:type="dxa"/>
          </w:tcPr>
          <w:p>
            <w:pPr>
              <w:pStyle w:val="Table"/>
              <w:spacing w:before="0"/>
            </w:pPr>
            <w:r>
              <w:t>2.</w:t>
            </w:r>
          </w:p>
        </w:tc>
        <w:tc>
          <w:tcPr>
            <w:tcW w:w="5811" w:type="dxa"/>
          </w:tcPr>
          <w:p>
            <w:pPr>
              <w:pStyle w:val="Table"/>
              <w:spacing w:before="0"/>
              <w:ind w:right="-156"/>
            </w:pPr>
            <w:r>
              <w:t>Goods (other than jewellery) purchased for the purpose of manufacturing any other article from the goods.</w:t>
            </w:r>
          </w:p>
        </w:tc>
      </w:tr>
      <w:tr>
        <w:trPr>
          <w:gridAfter w:val="1"/>
          <w:wAfter w:w="69" w:type="dxa"/>
          <w:cantSplit/>
        </w:trPr>
        <w:tc>
          <w:tcPr>
            <w:tcW w:w="915" w:type="dxa"/>
          </w:tcPr>
          <w:p>
            <w:pPr>
              <w:pStyle w:val="Table"/>
              <w:spacing w:before="0"/>
            </w:pPr>
            <w:r>
              <w:t>3.</w:t>
            </w:r>
          </w:p>
        </w:tc>
        <w:tc>
          <w:tcPr>
            <w:tcW w:w="5811" w:type="dxa"/>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gridAfter w:val="1"/>
          <w:wAfter w:w="69" w:type="dxa"/>
          <w:cantSplit/>
        </w:trPr>
        <w:tc>
          <w:tcPr>
            <w:tcW w:w="915" w:type="dxa"/>
          </w:tcPr>
          <w:p>
            <w:pPr>
              <w:pStyle w:val="Table"/>
              <w:spacing w:before="0"/>
            </w:pPr>
            <w:r>
              <w:t>4.</w:t>
            </w:r>
          </w:p>
        </w:tc>
        <w:tc>
          <w:tcPr>
            <w:tcW w:w="5811" w:type="dxa"/>
          </w:tcPr>
          <w:p>
            <w:pPr>
              <w:pStyle w:val="Table"/>
              <w:spacing w:before="0"/>
              <w:ind w:right="-156"/>
            </w:pPr>
            <w:r>
              <w:t>Books, magazines and periodicals.</w:t>
            </w:r>
          </w:p>
        </w:tc>
      </w:tr>
      <w:tr>
        <w:trPr>
          <w:gridAfter w:val="1"/>
          <w:wAfter w:w="69" w:type="dxa"/>
          <w:cantSplit/>
        </w:trPr>
        <w:tc>
          <w:tcPr>
            <w:tcW w:w="915" w:type="dxa"/>
          </w:tcPr>
          <w:p>
            <w:pPr>
              <w:pStyle w:val="Table"/>
              <w:spacing w:before="0"/>
            </w:pPr>
            <w:r>
              <w:t>5.</w:t>
            </w:r>
          </w:p>
        </w:tc>
        <w:tc>
          <w:tcPr>
            <w:tcW w:w="5811" w:type="dxa"/>
          </w:tcPr>
          <w:p>
            <w:pPr>
              <w:pStyle w:val="Table"/>
              <w:spacing w:before="0"/>
              <w:ind w:right="-156"/>
            </w:pPr>
            <w:r>
              <w:t>Boats (but not outboard motors or other marine equipment).</w:t>
            </w:r>
          </w:p>
        </w:tc>
      </w:tr>
      <w:tr>
        <w:trPr>
          <w:gridAfter w:val="1"/>
          <w:wAfter w:w="69" w:type="dxa"/>
          <w:cantSplit/>
        </w:trPr>
        <w:tc>
          <w:tcPr>
            <w:tcW w:w="915" w:type="dxa"/>
          </w:tcPr>
          <w:p>
            <w:pPr>
              <w:pStyle w:val="Table"/>
              <w:spacing w:before="0"/>
            </w:pPr>
            <w:r>
              <w:t>6.</w:t>
            </w:r>
          </w:p>
        </w:tc>
        <w:tc>
          <w:tcPr>
            <w:tcW w:w="5811" w:type="dxa"/>
          </w:tcPr>
          <w:p>
            <w:pPr>
              <w:pStyle w:val="Table"/>
              <w:spacing w:before="0"/>
              <w:ind w:right="-156"/>
            </w:pPr>
            <w:r>
              <w:t>Ferrous and non</w:t>
            </w:r>
            <w:r>
              <w:noBreakHyphen/>
              <w:t>ferrous scrap metals (but not gold, silver, copper or copper alloy (including bronze and brass)).</w:t>
            </w:r>
          </w:p>
        </w:tc>
      </w:tr>
      <w:tr>
        <w:trPr>
          <w:gridAfter w:val="1"/>
          <w:wAfter w:w="69" w:type="dxa"/>
          <w:cantSplit/>
        </w:trPr>
        <w:tc>
          <w:tcPr>
            <w:tcW w:w="915" w:type="dxa"/>
          </w:tcPr>
          <w:p>
            <w:pPr>
              <w:pStyle w:val="Table"/>
              <w:spacing w:before="0"/>
            </w:pPr>
            <w:r>
              <w:t>7.</w:t>
            </w:r>
          </w:p>
        </w:tc>
        <w:tc>
          <w:tcPr>
            <w:tcW w:w="5811" w:type="dxa"/>
          </w:tcPr>
          <w:p>
            <w:pPr>
              <w:pStyle w:val="Table"/>
              <w:spacing w:before="0"/>
              <w:ind w:right="-156"/>
            </w:pPr>
            <w:r>
              <w:t>Clothing, including footwear.</w:t>
            </w:r>
          </w:p>
        </w:tc>
      </w:tr>
      <w:tr>
        <w:trPr>
          <w:gridAfter w:val="1"/>
          <w:wAfter w:w="69" w:type="dxa"/>
          <w:cantSplit/>
        </w:trPr>
        <w:tc>
          <w:tcPr>
            <w:tcW w:w="915" w:type="dxa"/>
          </w:tcPr>
          <w:p>
            <w:pPr>
              <w:pStyle w:val="Table"/>
              <w:spacing w:before="0"/>
            </w:pPr>
            <w:r>
              <w:t>8.</w:t>
            </w:r>
          </w:p>
        </w:tc>
        <w:tc>
          <w:tcPr>
            <w:tcW w:w="5811" w:type="dxa"/>
          </w:tcPr>
          <w:p>
            <w:pPr>
              <w:pStyle w:val="Table"/>
              <w:spacing w:before="0"/>
              <w:ind w:right="-156"/>
            </w:pPr>
            <w:r>
              <w:t>Furniture, including lamps and light fittings (but not electrical or electronic appliances or moveable heaters).</w:t>
            </w:r>
          </w:p>
        </w:tc>
      </w:tr>
      <w:tr>
        <w:trPr>
          <w:gridAfter w:val="1"/>
          <w:wAfter w:w="69" w:type="dxa"/>
          <w:cantSplit/>
        </w:trPr>
        <w:tc>
          <w:tcPr>
            <w:tcW w:w="915" w:type="dxa"/>
          </w:tcPr>
          <w:p>
            <w:pPr>
              <w:pStyle w:val="Table"/>
              <w:spacing w:before="0"/>
            </w:pPr>
            <w:r>
              <w:t>9.</w:t>
            </w:r>
          </w:p>
        </w:tc>
        <w:tc>
          <w:tcPr>
            <w:tcW w:w="5811" w:type="dxa"/>
          </w:tcPr>
          <w:p>
            <w:pPr>
              <w:pStyle w:val="Table"/>
              <w:spacing w:before="0"/>
              <w:ind w:right="-156"/>
            </w:pPr>
            <w:r>
              <w:t>Household soft furnishings, including rugs, curtains and manchester.</w:t>
            </w:r>
          </w:p>
        </w:tc>
      </w:tr>
      <w:tr>
        <w:trPr>
          <w:gridAfter w:val="1"/>
          <w:wAfter w:w="69" w:type="dxa"/>
          <w:cantSplit/>
        </w:trPr>
        <w:tc>
          <w:tcPr>
            <w:tcW w:w="915" w:type="dxa"/>
          </w:tcPr>
          <w:p>
            <w:pPr>
              <w:pStyle w:val="Table"/>
              <w:spacing w:before="0"/>
            </w:pPr>
            <w:r>
              <w:t>10.</w:t>
            </w:r>
          </w:p>
        </w:tc>
        <w:tc>
          <w:tcPr>
            <w:tcW w:w="5811" w:type="dxa"/>
          </w:tcPr>
          <w:p>
            <w:pPr>
              <w:pStyle w:val="Table"/>
              <w:spacing w:before="0"/>
              <w:ind w:right="-156"/>
            </w:pPr>
            <w:r>
              <w:t>Household decorative goods, including statues, figurines, paintings, prints and drawings.</w:t>
            </w:r>
          </w:p>
        </w:tc>
      </w:tr>
      <w:tr>
        <w:trPr>
          <w:gridAfter w:val="1"/>
          <w:wAfter w:w="69" w:type="dxa"/>
          <w:cantSplit/>
        </w:trPr>
        <w:tc>
          <w:tcPr>
            <w:tcW w:w="915" w:type="dxa"/>
          </w:tcPr>
          <w:p>
            <w:pPr>
              <w:pStyle w:val="Table"/>
              <w:spacing w:before="0"/>
            </w:pPr>
            <w:r>
              <w:t>11.</w:t>
            </w:r>
          </w:p>
        </w:tc>
        <w:tc>
          <w:tcPr>
            <w:tcW w:w="5811" w:type="dxa"/>
          </w:tcPr>
          <w:p>
            <w:pPr>
              <w:pStyle w:val="Table"/>
              <w:spacing w:before="0"/>
              <w:ind w:right="-156"/>
            </w:pPr>
            <w:r>
              <w:t>Kitchenware, including pots, pans, crockery and cutlery (but not electrical or electronic appliances).</w:t>
            </w:r>
          </w:p>
        </w:tc>
      </w:tr>
      <w:tr>
        <w:trPr>
          <w:gridAfter w:val="1"/>
          <w:wAfter w:w="69" w:type="dxa"/>
          <w:cantSplit/>
        </w:trPr>
        <w:tc>
          <w:tcPr>
            <w:tcW w:w="915" w:type="dxa"/>
          </w:tcPr>
          <w:p>
            <w:pPr>
              <w:pStyle w:val="Table"/>
              <w:spacing w:before="0"/>
            </w:pPr>
            <w:r>
              <w:t>12.</w:t>
            </w:r>
          </w:p>
        </w:tc>
        <w:tc>
          <w:tcPr>
            <w:tcW w:w="5811" w:type="dxa"/>
          </w:tcPr>
          <w:p>
            <w:pPr>
              <w:pStyle w:val="Table"/>
              <w:spacing w:before="0"/>
              <w:ind w:right="-156"/>
            </w:pPr>
            <w:r>
              <w:t xml:space="preserve">Motor vehicles, as defined in the </w:t>
            </w:r>
            <w:r>
              <w:rPr>
                <w:i/>
                <w:szCs w:val="22"/>
              </w:rPr>
              <w:t>Road Traffic (Administration) Act 2008</w:t>
            </w:r>
            <w:r>
              <w:rPr>
                <w:szCs w:val="22"/>
              </w:rPr>
              <w:t xml:space="preserve"> section 4,</w:t>
            </w:r>
            <w:r>
              <w:t xml:space="preserve"> and their parts including tyres (but not accessories such as audio equipment, roof racks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13.</w:t>
            </w:r>
          </w:p>
        </w:tc>
        <w:tc>
          <w:tcPr>
            <w:tcW w:w="5811" w:type="dxa"/>
          </w:tcPr>
          <w:p>
            <w:pPr>
              <w:pStyle w:val="Table"/>
              <w:spacing w:before="0"/>
              <w:ind w:right="-156"/>
            </w:pPr>
            <w:r>
              <w:t>Mining machinery and parts.</w:t>
            </w:r>
          </w:p>
        </w:tc>
      </w:tr>
      <w:tr>
        <w:trPr>
          <w:gridAfter w:val="1"/>
          <w:wAfter w:w="69" w:type="dxa"/>
          <w:cantSplit/>
        </w:trPr>
        <w:tc>
          <w:tcPr>
            <w:tcW w:w="915" w:type="dxa"/>
          </w:tcPr>
          <w:p>
            <w:pPr>
              <w:pStyle w:val="Table"/>
              <w:spacing w:before="0"/>
            </w:pPr>
            <w:r>
              <w:t>14.</w:t>
            </w:r>
          </w:p>
        </w:tc>
        <w:tc>
          <w:tcPr>
            <w:tcW w:w="5811" w:type="dxa"/>
          </w:tcPr>
          <w:p>
            <w:pPr>
              <w:pStyle w:val="Table"/>
              <w:spacing w:before="0"/>
              <w:ind w:right="-156"/>
            </w:pPr>
            <w:r>
              <w:t>Farming machinery and parts (but not accessories such as audio equipment, electronic monitoring equipment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15.</w:t>
            </w:r>
          </w:p>
        </w:tc>
        <w:tc>
          <w:tcPr>
            <w:tcW w:w="5811" w:type="dxa"/>
          </w:tcPr>
          <w:p>
            <w:pPr>
              <w:pStyle w:val="Table"/>
              <w:spacing w:before="0"/>
              <w:ind w:right="-156"/>
            </w:pPr>
            <w:r>
              <w:t>Rags.</w:t>
            </w:r>
          </w:p>
        </w:tc>
      </w:tr>
      <w:tr>
        <w:trPr>
          <w:gridAfter w:val="1"/>
          <w:wAfter w:w="69" w:type="dxa"/>
          <w:cantSplit/>
        </w:trPr>
        <w:tc>
          <w:tcPr>
            <w:tcW w:w="915" w:type="dxa"/>
          </w:tcPr>
          <w:p>
            <w:pPr>
              <w:pStyle w:val="Table"/>
              <w:spacing w:before="0"/>
            </w:pPr>
            <w:r>
              <w:t>16.</w:t>
            </w:r>
          </w:p>
        </w:tc>
        <w:tc>
          <w:tcPr>
            <w:tcW w:w="5811" w:type="dxa"/>
          </w:tcPr>
          <w:p>
            <w:pPr>
              <w:pStyle w:val="Table"/>
              <w:spacing w:before="0"/>
              <w:ind w:right="-156"/>
            </w:pPr>
            <w:r>
              <w:t>Bones.</w:t>
            </w:r>
          </w:p>
        </w:tc>
      </w:tr>
      <w:tr>
        <w:trPr>
          <w:gridAfter w:val="1"/>
          <w:wAfter w:w="69" w:type="dxa"/>
          <w:cantSplit/>
        </w:trPr>
        <w:tc>
          <w:tcPr>
            <w:tcW w:w="915" w:type="dxa"/>
          </w:tcPr>
          <w:p>
            <w:pPr>
              <w:pStyle w:val="Table"/>
              <w:spacing w:before="0"/>
            </w:pPr>
            <w:r>
              <w:t>17.</w:t>
            </w:r>
          </w:p>
        </w:tc>
        <w:tc>
          <w:tcPr>
            <w:tcW w:w="5811" w:type="dxa"/>
          </w:tcPr>
          <w:p>
            <w:pPr>
              <w:pStyle w:val="Table"/>
              <w:spacing w:before="0"/>
              <w:ind w:right="-156"/>
            </w:pPr>
            <w:r>
              <w:t>Glassware, including bottles.</w:t>
            </w:r>
          </w:p>
        </w:tc>
      </w:tr>
      <w:tr>
        <w:trPr>
          <w:gridAfter w:val="1"/>
          <w:wAfter w:w="69" w:type="dxa"/>
          <w:cantSplit/>
        </w:trPr>
        <w:tc>
          <w:tcPr>
            <w:tcW w:w="915" w:type="dxa"/>
          </w:tcPr>
          <w:p>
            <w:pPr>
              <w:pStyle w:val="Table"/>
              <w:spacing w:before="0"/>
            </w:pPr>
            <w:r>
              <w:t>18.</w:t>
            </w:r>
          </w:p>
        </w:tc>
        <w:tc>
          <w:tcPr>
            <w:tcW w:w="5811" w:type="dxa"/>
          </w:tcPr>
          <w:p>
            <w:pPr>
              <w:pStyle w:val="Table"/>
              <w:spacing w:before="0"/>
              <w:ind w:right="-156"/>
            </w:pPr>
            <w:r>
              <w:t>Cans of any kind.</w:t>
            </w:r>
          </w:p>
        </w:tc>
      </w:tr>
      <w:tr>
        <w:trPr>
          <w:gridAfter w:val="1"/>
          <w:wAfter w:w="69" w:type="dxa"/>
          <w:cantSplit/>
        </w:trPr>
        <w:tc>
          <w:tcPr>
            <w:tcW w:w="915" w:type="dxa"/>
          </w:tcPr>
          <w:p>
            <w:pPr>
              <w:pStyle w:val="Table"/>
              <w:spacing w:before="0"/>
            </w:pPr>
            <w:r>
              <w:t>19.</w:t>
            </w:r>
          </w:p>
        </w:tc>
        <w:tc>
          <w:tcPr>
            <w:tcW w:w="5811" w:type="dxa"/>
          </w:tcPr>
          <w:p>
            <w:pPr>
              <w:pStyle w:val="Table"/>
              <w:spacing w:before="0"/>
              <w:ind w:right="-156"/>
            </w:pPr>
            <w:r>
              <w:t>Waste plastic materials.</w:t>
            </w:r>
          </w:p>
        </w:tc>
      </w:tr>
      <w:tr>
        <w:trPr>
          <w:gridAfter w:val="1"/>
          <w:wAfter w:w="69" w:type="dxa"/>
          <w:cantSplit/>
        </w:trPr>
        <w:tc>
          <w:tcPr>
            <w:tcW w:w="915" w:type="dxa"/>
          </w:tcPr>
          <w:p>
            <w:pPr>
              <w:pStyle w:val="Table"/>
              <w:spacing w:before="0"/>
            </w:pPr>
            <w:r>
              <w:t>20.</w:t>
            </w:r>
          </w:p>
        </w:tc>
        <w:tc>
          <w:tcPr>
            <w:tcW w:w="5811" w:type="dxa"/>
          </w:tcPr>
          <w:p>
            <w:pPr>
              <w:pStyle w:val="Table"/>
              <w:spacing w:before="0"/>
              <w:ind w:right="-156"/>
            </w:pPr>
            <w:r>
              <w:t>Waste paper materials.</w:t>
            </w:r>
          </w:p>
        </w:tc>
      </w:tr>
      <w:tr>
        <w:trPr>
          <w:gridAfter w:val="1"/>
          <w:wAfter w:w="69" w:type="dxa"/>
          <w:cantSplit/>
        </w:trPr>
        <w:tc>
          <w:tcPr>
            <w:tcW w:w="915" w:type="dxa"/>
          </w:tcPr>
          <w:p>
            <w:pPr>
              <w:pStyle w:val="Table"/>
              <w:spacing w:before="0"/>
            </w:pPr>
            <w:r>
              <w:t>21.</w:t>
            </w:r>
          </w:p>
        </w:tc>
        <w:tc>
          <w:tcPr>
            <w:tcW w:w="5811" w:type="dxa"/>
          </w:tcPr>
          <w:p>
            <w:pPr>
              <w:pStyle w:val="Table"/>
              <w:spacing w:before="0"/>
              <w:ind w:right="-156"/>
            </w:pPr>
            <w:r>
              <w:t>Salvaged building materials including doors, window frames, tiles, bricks and timber.</w:t>
            </w:r>
          </w:p>
        </w:tc>
      </w:tr>
      <w:tr>
        <w:trPr>
          <w:gridAfter w:val="1"/>
          <w:wAfter w:w="69" w:type="dxa"/>
          <w:cantSplit/>
        </w:trPr>
        <w:tc>
          <w:tcPr>
            <w:tcW w:w="915" w:type="dxa"/>
          </w:tcPr>
          <w:p>
            <w:pPr>
              <w:pStyle w:val="Table"/>
              <w:spacing w:before="0"/>
            </w:pPr>
            <w:r>
              <w:t>22.</w:t>
            </w:r>
          </w:p>
        </w:tc>
        <w:tc>
          <w:tcPr>
            <w:tcW w:w="5811" w:type="dxa"/>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gridAfter w:val="1"/>
          <w:wAfter w:w="69" w:type="dxa"/>
          <w:cantSplit/>
        </w:trPr>
        <w:tc>
          <w:tcPr>
            <w:tcW w:w="915" w:type="dxa"/>
          </w:tcPr>
          <w:p>
            <w:pPr>
              <w:pStyle w:val="Table"/>
              <w:spacing w:before="0"/>
            </w:pPr>
            <w:r>
              <w:t>23.</w:t>
            </w:r>
          </w:p>
        </w:tc>
        <w:tc>
          <w:tcPr>
            <w:tcW w:w="5811" w:type="dxa"/>
          </w:tcPr>
          <w:p>
            <w:pPr>
              <w:pStyle w:val="Table"/>
              <w:spacing w:before="0"/>
              <w:ind w:right="-156"/>
            </w:pPr>
            <w:r>
              <w:t>Collectables such as stamps, coins, trading cards, dolls, toys and military memorabilia (but not jewellery or watches).</w:t>
            </w:r>
          </w:p>
        </w:tc>
      </w:tr>
      <w:tr>
        <w:trPr>
          <w:cantSplit/>
        </w:trPr>
        <w:tc>
          <w:tcPr>
            <w:tcW w:w="915" w:type="dxa"/>
          </w:tcPr>
          <w:p>
            <w:pPr>
              <w:pStyle w:val="Table"/>
              <w:spacing w:before="0"/>
            </w:pPr>
            <w:r>
              <w:t>24.</w:t>
            </w:r>
          </w:p>
        </w:tc>
        <w:tc>
          <w:tcPr>
            <w:tcW w:w="5880" w:type="dxa"/>
            <w:gridSpan w:val="2"/>
          </w:tcPr>
          <w:p>
            <w:pPr>
              <w:pStyle w:val="Table"/>
              <w:spacing w:before="0"/>
              <w:ind w:right="-156"/>
            </w:pPr>
            <w:r>
              <w:t>Goods purchased for babies, such as baby furniture, toys, prams, strollers and vehicle baby seats and capsules.</w:t>
            </w:r>
          </w:p>
        </w:tc>
      </w:tr>
      <w:tr>
        <w:trPr>
          <w:cantSplit/>
        </w:trPr>
        <w:tc>
          <w:tcPr>
            <w:tcW w:w="915" w:type="dxa"/>
          </w:tcPr>
          <w:p>
            <w:pPr>
              <w:pStyle w:val="Table"/>
              <w:spacing w:before="0"/>
            </w:pPr>
            <w:r>
              <w:t>25.</w:t>
            </w:r>
          </w:p>
        </w:tc>
        <w:tc>
          <w:tcPr>
            <w:tcW w:w="5880" w:type="dxa"/>
            <w:gridSpan w:val="2"/>
          </w:tcPr>
          <w:p>
            <w:pPr>
              <w:pStyle w:val="Table"/>
              <w:spacing w:before="0"/>
              <w:ind w:right="-156"/>
            </w:pPr>
            <w:r>
              <w:t>Goods that have been the subject of a rental agreement.</w:t>
            </w:r>
          </w:p>
        </w:tc>
      </w:tr>
      <w:tr>
        <w:trPr>
          <w:cantSplit/>
        </w:trPr>
        <w:tc>
          <w:tcPr>
            <w:tcW w:w="915" w:type="dxa"/>
          </w:tcPr>
          <w:p>
            <w:pPr>
              <w:pStyle w:val="Table"/>
              <w:spacing w:before="0"/>
            </w:pPr>
            <w:r>
              <w:t>26.</w:t>
            </w:r>
          </w:p>
        </w:tc>
        <w:tc>
          <w:tcPr>
            <w:tcW w:w="5880" w:type="dxa"/>
            <w:gridSpan w:val="2"/>
          </w:tcPr>
          <w:p>
            <w:pPr>
              <w:pStyle w:val="Table"/>
              <w:spacing w:before="0"/>
              <w:ind w:right="-156"/>
            </w:pPr>
            <w:r>
              <w:t>Pianos and pianolas.</w:t>
            </w:r>
          </w:p>
        </w:tc>
      </w:tr>
      <w:tr>
        <w:trPr>
          <w:cantSplit/>
        </w:trPr>
        <w:tc>
          <w:tcPr>
            <w:tcW w:w="915" w:type="dxa"/>
          </w:tcPr>
          <w:p>
            <w:pPr>
              <w:pStyle w:val="Table"/>
              <w:spacing w:before="0"/>
            </w:pPr>
            <w:r>
              <w:t>27.</w:t>
            </w:r>
          </w:p>
        </w:tc>
        <w:tc>
          <w:tcPr>
            <w:tcW w:w="5880" w:type="dxa"/>
            <w:gridSpan w:val="2"/>
          </w:tcPr>
          <w:p>
            <w:pPr>
              <w:pStyle w:val="Table"/>
              <w:spacing w:before="0"/>
              <w:ind w:right="-156"/>
            </w:pPr>
            <w:r>
              <w:t>Vacuum cleaners.</w:t>
            </w:r>
          </w:p>
        </w:tc>
      </w:tr>
      <w:tr>
        <w:trPr>
          <w:cantSplit/>
        </w:trPr>
        <w:tc>
          <w:tcPr>
            <w:tcW w:w="915" w:type="dxa"/>
          </w:tcPr>
          <w:p>
            <w:pPr>
              <w:pStyle w:val="Table"/>
              <w:spacing w:before="0"/>
            </w:pPr>
            <w:r>
              <w:t>28.</w:t>
            </w:r>
          </w:p>
        </w:tc>
        <w:tc>
          <w:tcPr>
            <w:tcW w:w="5880" w:type="dxa"/>
            <w:gridSpan w:val="2"/>
          </w:tcPr>
          <w:p>
            <w:pPr>
              <w:pStyle w:val="Table"/>
              <w:spacing w:before="0"/>
              <w:ind w:right="-156"/>
            </w:pPr>
            <w:r>
              <w:t>Wheelchairs and similar goods designed to carry physically disabled persons.</w:t>
            </w:r>
          </w:p>
        </w:tc>
      </w:tr>
    </w:tbl>
    <w:p>
      <w:pPr>
        <w:pStyle w:val="Subsection"/>
        <w:keepNext/>
      </w:pPr>
      <w:r>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pPr>
        <w:pStyle w:val="Indenta"/>
        <w:keepNext/>
      </w:pPr>
      <w:r>
        <w:tab/>
        <w:t>(a)</w:t>
      </w:r>
      <w:r>
        <w:tab/>
        <w:t>if the traded goods were purchased by the person from a retailer as new goods; and</w:t>
      </w:r>
    </w:p>
    <w:p>
      <w:pPr>
        <w:pStyle w:val="Indenta"/>
        <w:spacing w:before="70"/>
      </w:pPr>
      <w:r>
        <w:tab/>
        <w:t>(b)</w:t>
      </w:r>
      <w:r>
        <w:tab/>
        <w:t>where the trade</w:t>
      </w:r>
      <w:r>
        <w:noBreakHyphen/>
        <w:t>in value of the traded goods is $200 or more, if the person produces proof of that purchase at the time the new sale takes place; and</w:t>
      </w:r>
    </w:p>
    <w:p>
      <w:pPr>
        <w:pStyle w:val="Indenta"/>
        <w:spacing w:before="70"/>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spacing w:before="100"/>
        <w:ind w:left="890" w:hanging="890"/>
      </w:pPr>
      <w:r>
        <w:tab/>
        <w:t>[Regulation 5 amended: Gazette 28 Jul 2000 p. 4019; 3 Dec 2002 p. 5713; 30 Apr 2007 p. 1838; 16 May 2008 p. 1912; Act No. 8 of 2009 s. 29; Gazette 8 Jan 2015 p. 152; SL 2020/147 r. 5.]</w:t>
      </w:r>
    </w:p>
    <w:p>
      <w:pPr>
        <w:pStyle w:val="Heading5"/>
        <w:rPr>
          <w:snapToGrid w:val="0"/>
        </w:rPr>
      </w:pPr>
      <w:bookmarkStart w:id="25" w:name="_Toc168930149"/>
      <w:bookmarkStart w:id="26" w:name="_Toc138857753"/>
      <w:r>
        <w:rPr>
          <w:rStyle w:val="CharSectno"/>
        </w:rPr>
        <w:t>6</w:t>
      </w:r>
      <w:r>
        <w:rPr>
          <w:snapToGrid w:val="0"/>
        </w:rPr>
        <w:t>.</w:t>
      </w:r>
      <w:r>
        <w:rPr>
          <w:snapToGrid w:val="0"/>
        </w:rPr>
        <w:tab/>
        <w:t>Act s. 38(a) does not apply to sales to minors (Act s. 4(3))</w:t>
      </w:r>
      <w:bookmarkEnd w:id="25"/>
      <w:bookmarkEnd w:id="26"/>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27" w:name="_Toc168930150"/>
      <w:bookmarkStart w:id="28" w:name="_Toc138857754"/>
      <w:r>
        <w:rPr>
          <w:rStyle w:val="CharSectno"/>
        </w:rPr>
        <w:t>7</w:t>
      </w:r>
      <w:r>
        <w:rPr>
          <w:snapToGrid w:val="0"/>
        </w:rPr>
        <w:t>.</w:t>
      </w:r>
      <w:r>
        <w:rPr>
          <w:snapToGrid w:val="0"/>
        </w:rPr>
        <w:tab/>
        <w:t>Act s. 39 does not apply in some cases (Act s. 4(3))</w:t>
      </w:r>
      <w:bookmarkEnd w:id="27"/>
      <w:bookmarkEnd w:id="28"/>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spacing w:before="70"/>
        <w:rPr>
          <w:snapToGrid w:val="0"/>
        </w:rPr>
      </w:pPr>
      <w:r>
        <w:rPr>
          <w:snapToGrid w:val="0"/>
        </w:rPr>
        <w:tab/>
        <w:t>(a)</w:t>
      </w:r>
      <w:r>
        <w:rPr>
          <w:snapToGrid w:val="0"/>
        </w:rPr>
        <w:tab/>
        <w:t>from outside of Western Australia;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State agency.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Gazette 28 Jul 2000 p. 4020; SL 2020/248 r. 7.]</w:t>
      </w:r>
    </w:p>
    <w:p>
      <w:pPr>
        <w:pStyle w:val="Heading5"/>
        <w:rPr>
          <w:snapToGrid w:val="0"/>
        </w:rPr>
      </w:pPr>
      <w:bookmarkStart w:id="29" w:name="_Toc168930151"/>
      <w:bookmarkStart w:id="30" w:name="_Toc138857755"/>
      <w:r>
        <w:rPr>
          <w:rStyle w:val="CharSectno"/>
        </w:rPr>
        <w:t>8</w:t>
      </w:r>
      <w:r>
        <w:rPr>
          <w:snapToGrid w:val="0"/>
        </w:rPr>
        <w:t>.</w:t>
      </w:r>
      <w:r>
        <w:rPr>
          <w:snapToGrid w:val="0"/>
        </w:rPr>
        <w:tab/>
        <w:t>Amount prescribed (Act s. 59(2)(b))</w:t>
      </w:r>
      <w:bookmarkEnd w:id="29"/>
      <w:bookmarkEnd w:id="30"/>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31" w:name="_Toc168930152"/>
      <w:bookmarkStart w:id="32" w:name="_Toc138857756"/>
      <w:r>
        <w:rPr>
          <w:rStyle w:val="CharSectno"/>
        </w:rPr>
        <w:t>9</w:t>
      </w:r>
      <w:r>
        <w:rPr>
          <w:snapToGrid w:val="0"/>
        </w:rPr>
        <w:t>.</w:t>
      </w:r>
      <w:r>
        <w:rPr>
          <w:snapToGrid w:val="0"/>
        </w:rPr>
        <w:tab/>
        <w:t>Act s. 61 does not apply to certain goods (Act s. 4(3))</w:t>
      </w:r>
      <w:bookmarkEnd w:id="31"/>
      <w:bookmarkEnd w:id="32"/>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from outside of Western Australia; or</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pPr>
      <w:r>
        <w:tab/>
        <w:t>(c)</w:t>
      </w:r>
      <w:r>
        <w:tab/>
        <w:t>from a licensee; or</w:t>
      </w:r>
    </w:p>
    <w:p>
      <w:pPr>
        <w:pStyle w:val="Indenta"/>
      </w:pPr>
      <w:r>
        <w:tab/>
        <w:t>(d)</w:t>
      </w:r>
      <w:r>
        <w:tab/>
        <w:t>from a State agency.</w:t>
      </w:r>
    </w:p>
    <w:p>
      <w:pPr>
        <w:pStyle w:val="Footnotesection"/>
      </w:pPr>
      <w:r>
        <w:tab/>
        <w:t>[Regulation 9 amended: Gazette 28 Jul 2000 p. 4020; SL 2020/248 r. 8.]</w:t>
      </w:r>
    </w:p>
    <w:p>
      <w:pPr>
        <w:pStyle w:val="Heading2"/>
      </w:pPr>
      <w:bookmarkStart w:id="33" w:name="_Toc168660581"/>
      <w:bookmarkStart w:id="34" w:name="_Toc168660721"/>
      <w:bookmarkStart w:id="35" w:name="_Toc168930153"/>
      <w:bookmarkStart w:id="36" w:name="_Toc138691693"/>
      <w:bookmarkStart w:id="37" w:name="_Toc138691997"/>
      <w:bookmarkStart w:id="38" w:name="_Toc138857002"/>
      <w:bookmarkStart w:id="39" w:name="_Toc138857757"/>
      <w:r>
        <w:rPr>
          <w:rStyle w:val="CharPartNo"/>
        </w:rPr>
        <w:t>Part 3</w:t>
      </w:r>
      <w:r>
        <w:rPr>
          <w:rStyle w:val="CharDivNo"/>
        </w:rPr>
        <w:t> </w:t>
      </w:r>
      <w:r>
        <w:t>—</w:t>
      </w:r>
      <w:r>
        <w:rPr>
          <w:rStyle w:val="CharDivText"/>
        </w:rPr>
        <w:t> </w:t>
      </w:r>
      <w:r>
        <w:rPr>
          <w:rStyle w:val="CharPartText"/>
        </w:rPr>
        <w:t>Matters prescribed for licence applications</w:t>
      </w:r>
      <w:bookmarkEnd w:id="33"/>
      <w:bookmarkEnd w:id="34"/>
      <w:bookmarkEnd w:id="35"/>
      <w:bookmarkEnd w:id="36"/>
      <w:bookmarkEnd w:id="37"/>
      <w:bookmarkEnd w:id="38"/>
      <w:bookmarkEnd w:id="39"/>
    </w:p>
    <w:p>
      <w:pPr>
        <w:pStyle w:val="Heading5"/>
        <w:spacing w:before="180"/>
        <w:rPr>
          <w:snapToGrid w:val="0"/>
        </w:rPr>
      </w:pPr>
      <w:bookmarkStart w:id="40" w:name="_Toc168930154"/>
      <w:bookmarkStart w:id="41" w:name="_Toc138857758"/>
      <w:r>
        <w:rPr>
          <w:rStyle w:val="CharSectno"/>
        </w:rPr>
        <w:t>10</w:t>
      </w:r>
      <w:r>
        <w:rPr>
          <w:snapToGrid w:val="0"/>
        </w:rPr>
        <w:t>.</w:t>
      </w:r>
      <w:r>
        <w:rPr>
          <w:snapToGrid w:val="0"/>
        </w:rPr>
        <w:tab/>
        <w:t xml:space="preserve">Other means of proving applicant’s identity prescribed </w:t>
      </w:r>
      <w:r>
        <w:rPr>
          <w:snapToGrid w:val="0"/>
          <w:spacing w:val="-4"/>
        </w:rPr>
        <w:t>(Act s. 14(a)(iv))</w:t>
      </w:r>
      <w:bookmarkEnd w:id="40"/>
      <w:bookmarkEnd w:id="41"/>
    </w:p>
    <w:p>
      <w:pPr>
        <w:pStyle w:val="Subsection"/>
        <w:spacing w:before="120"/>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w:t>
      </w:r>
      <w:r>
        <w:t xml:space="preserve"> Australia;</w:t>
      </w:r>
    </w:p>
    <w:p>
      <w:pPr>
        <w:pStyle w:val="Indenta"/>
      </w:pPr>
      <w:r>
        <w:tab/>
        <w:t>(f)</w:t>
      </w:r>
      <w:r>
        <w:tab/>
        <w:t xml:space="preserve">a current photo card, as defined in the </w:t>
      </w:r>
      <w:r>
        <w:rPr>
          <w:i/>
        </w:rPr>
        <w:t>Western Australian Photo Card Regulations 2014</w:t>
      </w:r>
      <w:r>
        <w:t xml:space="preserve"> regulation 3, held by the applicant.</w:t>
      </w:r>
    </w:p>
    <w:p>
      <w:pPr>
        <w:pStyle w:val="Footnotesection"/>
      </w:pPr>
      <w:r>
        <w:tab/>
        <w:t>[Regulation 10 amended: Gazette 5 Aug 2014 p. 2833.]</w:t>
      </w:r>
    </w:p>
    <w:p>
      <w:pPr>
        <w:pStyle w:val="Heading5"/>
        <w:spacing w:before="180"/>
        <w:rPr>
          <w:snapToGrid w:val="0"/>
        </w:rPr>
      </w:pPr>
      <w:bookmarkStart w:id="42" w:name="_Toc168930155"/>
      <w:bookmarkStart w:id="43" w:name="_Toc138857759"/>
      <w:r>
        <w:rPr>
          <w:rStyle w:val="CharSectno"/>
        </w:rPr>
        <w:t>11</w:t>
      </w:r>
      <w:r>
        <w:rPr>
          <w:snapToGrid w:val="0"/>
        </w:rPr>
        <w:t>.</w:t>
      </w:r>
      <w:r>
        <w:rPr>
          <w:snapToGrid w:val="0"/>
        </w:rPr>
        <w:tab/>
        <w:t xml:space="preserve">Other evidence to accompany applications prescribed </w:t>
      </w:r>
      <w:r>
        <w:rPr>
          <w:snapToGrid w:val="0"/>
          <w:spacing w:val="-4"/>
        </w:rPr>
        <w:t>(Act s. 14(f))</w:t>
      </w:r>
      <w:bookmarkEnd w:id="42"/>
      <w:bookmarkEnd w:id="43"/>
    </w:p>
    <w:p>
      <w:pPr>
        <w:pStyle w:val="Subsection"/>
        <w:spacing w:before="120"/>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44" w:name="_Toc168930156"/>
      <w:bookmarkStart w:id="45" w:name="_Toc138857760"/>
      <w:r>
        <w:rPr>
          <w:rStyle w:val="CharSectno"/>
        </w:rPr>
        <w:t>12</w:t>
      </w:r>
      <w:r>
        <w:rPr>
          <w:snapToGrid w:val="0"/>
        </w:rPr>
        <w:t>.</w:t>
      </w:r>
      <w:r>
        <w:rPr>
          <w:snapToGrid w:val="0"/>
        </w:rPr>
        <w:tab/>
        <w:t xml:space="preserve">Evidence to accompany renewal applications prescribed </w:t>
      </w:r>
      <w:r>
        <w:rPr>
          <w:snapToGrid w:val="0"/>
          <w:spacing w:val="-4"/>
        </w:rPr>
        <w:t>(Act s. 16)</w:t>
      </w:r>
      <w:bookmarkEnd w:id="44"/>
      <w:bookmarkEnd w:id="45"/>
    </w:p>
    <w:p>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46" w:name="_Toc168660585"/>
      <w:bookmarkStart w:id="47" w:name="_Toc168660725"/>
      <w:bookmarkStart w:id="48" w:name="_Toc168930157"/>
      <w:bookmarkStart w:id="49" w:name="_Toc138691697"/>
      <w:bookmarkStart w:id="50" w:name="_Toc138692001"/>
      <w:bookmarkStart w:id="51" w:name="_Toc138857006"/>
      <w:bookmarkStart w:id="52" w:name="_Toc138857761"/>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46"/>
      <w:bookmarkEnd w:id="47"/>
      <w:bookmarkEnd w:id="48"/>
      <w:bookmarkEnd w:id="49"/>
      <w:bookmarkEnd w:id="50"/>
      <w:bookmarkEnd w:id="51"/>
      <w:bookmarkEnd w:id="52"/>
    </w:p>
    <w:p>
      <w:pPr>
        <w:pStyle w:val="Heading5"/>
        <w:rPr>
          <w:snapToGrid w:val="0"/>
        </w:rPr>
      </w:pPr>
      <w:bookmarkStart w:id="53" w:name="_Toc168930158"/>
      <w:bookmarkStart w:id="54" w:name="_Toc138857762"/>
      <w:r>
        <w:rPr>
          <w:rStyle w:val="CharSectno"/>
        </w:rPr>
        <w:t>13</w:t>
      </w:r>
      <w:r>
        <w:rPr>
          <w:snapToGrid w:val="0"/>
        </w:rPr>
        <w:t>.</w:t>
      </w:r>
      <w:r>
        <w:rPr>
          <w:snapToGrid w:val="0"/>
        </w:rPr>
        <w:tab/>
        <w:t xml:space="preserve">Means of verifying person’s identity prescribed </w:t>
      </w:r>
      <w:r>
        <w:rPr>
          <w:snapToGrid w:val="0"/>
          <w:spacing w:val="-4"/>
        </w:rPr>
        <w:t>(Act s. 39(b))</w:t>
      </w:r>
      <w:bookmarkEnd w:id="53"/>
      <w:bookmarkEnd w:id="54"/>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The person’s name is stated on a current motor driver’s licence held by the person that has been issued in Australia.</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w:t>
            </w:r>
            <w:r>
              <w:rPr>
                <w:iCs/>
                <w:vertAlign w:val="superscript"/>
              </w:rPr>
              <w:t> 1</w:t>
            </w:r>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rPr>
                <w:szCs w:val="22"/>
              </w:rPr>
              <w:t>2A.</w:t>
            </w:r>
          </w:p>
        </w:tc>
        <w:tc>
          <w:tcPr>
            <w:tcW w:w="3600" w:type="dxa"/>
          </w:tcPr>
          <w:p>
            <w:pPr>
              <w:pStyle w:val="Table"/>
            </w:pPr>
            <w:r>
              <w:rPr>
                <w:szCs w:val="22"/>
              </w:rPr>
              <w:t xml:space="preserve">The person’s name is stated on a current photo card as defined in the </w:t>
            </w:r>
            <w:r>
              <w:rPr>
                <w:i/>
                <w:szCs w:val="22"/>
              </w:rPr>
              <w:t>Western Australian Photo Card Regulations 2014</w:t>
            </w:r>
            <w:r>
              <w:rPr>
                <w:szCs w:val="22"/>
              </w:rPr>
              <w:t xml:space="preserve"> regulation 3.</w:t>
            </w:r>
          </w:p>
        </w:tc>
        <w:tc>
          <w:tcPr>
            <w:tcW w:w="960" w:type="dxa"/>
          </w:tcPr>
          <w:p>
            <w:pPr>
              <w:pStyle w:val="Table"/>
              <w:jc w:val="center"/>
            </w:pPr>
            <w:r>
              <w:rPr>
                <w:szCs w:val="22"/>
              </w:rPr>
              <w:br/>
            </w:r>
            <w:r>
              <w:rPr>
                <w:szCs w:val="22"/>
              </w:rPr>
              <w:br/>
            </w:r>
            <w:r>
              <w:rPr>
                <w:szCs w:val="22"/>
              </w:rPr>
              <w:br/>
              <w:t>75</w:t>
            </w:r>
          </w:p>
        </w:tc>
        <w:tc>
          <w:tcPr>
            <w:tcW w:w="960" w:type="dxa"/>
          </w:tcPr>
          <w:p>
            <w:pPr>
              <w:pStyle w:val="Table"/>
              <w:jc w:val="center"/>
            </w:pPr>
            <w:r>
              <w:rPr>
                <w:szCs w:val="22"/>
              </w:rPr>
              <w:br/>
            </w:r>
            <w:r>
              <w:rPr>
                <w:szCs w:val="22"/>
              </w:rPr>
              <w:br/>
            </w:r>
            <w:r>
              <w:rPr>
                <w:szCs w:val="22"/>
              </w:rPr>
              <w:br/>
            </w:r>
            <w:r>
              <w:rPr>
                <w:szCs w:val="22"/>
              </w:rPr>
              <w:noBreakHyphen/>
            </w:r>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The person’s name is stated on a current identity card or current licence held by the person that has been issued by a government agency outside Australia.</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w:t>
            </w:r>
            <w:r>
              <w:rPr>
                <w:szCs w:val="22"/>
              </w:rPr>
              <w:t xml:space="preserve">or 2A) </w:t>
            </w:r>
            <w:r>
              <w:t xml:space="preserve">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w:t>
            </w:r>
            <w:r>
              <w:rPr>
                <w:szCs w:val="22"/>
              </w:rPr>
              <w:t>State agency</w:t>
            </w:r>
            <w:r>
              <w:t xml:space="preserve">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ind w:left="890" w:hanging="890"/>
      </w:pPr>
      <w:r>
        <w:tab/>
        <w:t>[Regulation 13 amended: Gazette 28 Jul 2000 p. 4020</w:t>
      </w:r>
      <w:r>
        <w:noBreakHyphen/>
        <w:t>2; 30 Apr 2007 p. 1838</w:t>
      </w:r>
      <w:r>
        <w:noBreakHyphen/>
        <w:t>9; 16 May 2008 p. 1913; 5 Aug 2014 p. 2833; SL 2020/248 r. 9.]</w:t>
      </w:r>
    </w:p>
    <w:p>
      <w:pPr>
        <w:pStyle w:val="Heading5"/>
      </w:pPr>
      <w:bookmarkStart w:id="55" w:name="_Toc168930159"/>
      <w:bookmarkStart w:id="56" w:name="_Toc138857763"/>
      <w:r>
        <w:rPr>
          <w:rStyle w:val="CharSectno"/>
        </w:rPr>
        <w:t>13A</w:t>
      </w:r>
      <w:r>
        <w:t>.</w:t>
      </w:r>
      <w:r>
        <w:tab/>
        <w:t>Transaction cards, form and issue of</w:t>
      </w:r>
      <w:bookmarkEnd w:id="55"/>
      <w:bookmarkEnd w:id="56"/>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pPr>
      <w:r>
        <w:tab/>
        <w:t>(a)</w:t>
      </w:r>
      <w:r>
        <w:tab/>
        <w:t>if the person agrees, may take and retain a photograph of the person; and</w:t>
      </w:r>
    </w:p>
    <w:p>
      <w:pPr>
        <w:pStyle w:val="Indenta"/>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pPr>
      <w:r>
        <w:tab/>
        <w:t>(a)</w:t>
      </w:r>
      <w:r>
        <w:tab/>
        <w:t>bears the person’s photograph, full name, signature and date of birth; and</w:t>
      </w:r>
    </w:p>
    <w:p>
      <w:pPr>
        <w:pStyle w:val="Indenta"/>
      </w:pPr>
      <w:r>
        <w:tab/>
        <w:t>(aa)</w:t>
      </w:r>
      <w:r>
        <w:tab/>
        <w:t>bears the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Gazette 28 Jul 2000 p. 4023; amended: SL 2020/147 r. 6.]</w:t>
      </w:r>
    </w:p>
    <w:p>
      <w:pPr>
        <w:pStyle w:val="Heading5"/>
        <w:rPr>
          <w:snapToGrid w:val="0"/>
        </w:rPr>
      </w:pPr>
      <w:bookmarkStart w:id="57" w:name="_Toc168930160"/>
      <w:bookmarkStart w:id="58" w:name="_Toc138857764"/>
      <w:r>
        <w:rPr>
          <w:rStyle w:val="CharSectno"/>
        </w:rPr>
        <w:t>14</w:t>
      </w:r>
      <w:r>
        <w:rPr>
          <w:snapToGrid w:val="0"/>
        </w:rPr>
        <w:t>.</w:t>
      </w:r>
      <w:r>
        <w:rPr>
          <w:snapToGrid w:val="0"/>
        </w:rPr>
        <w:tab/>
        <w:t xml:space="preserve">Manner of keeping records prescribed </w:t>
      </w:r>
      <w:r>
        <w:rPr>
          <w:snapToGrid w:val="0"/>
          <w:spacing w:val="-4"/>
        </w:rPr>
        <w:t>(Act s. 45)</w:t>
      </w:r>
      <w:bookmarkEnd w:id="57"/>
      <w:bookmarkEnd w:id="58"/>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59" w:name="_Toc168930161"/>
      <w:bookmarkStart w:id="60" w:name="_Toc138857765"/>
      <w:r>
        <w:rPr>
          <w:rStyle w:val="CharSectno"/>
        </w:rPr>
        <w:t>15</w:t>
      </w:r>
      <w:r>
        <w:rPr>
          <w:snapToGrid w:val="0"/>
        </w:rPr>
        <w:t>.</w:t>
      </w:r>
      <w:r>
        <w:rPr>
          <w:snapToGrid w:val="0"/>
        </w:rPr>
        <w:tab/>
      </w:r>
      <w:r>
        <w:rPr>
          <w:snapToGrid w:val="0"/>
          <w:spacing w:val="-4"/>
        </w:rPr>
        <w:t>Information prescribed (Act s. 79)</w:t>
      </w:r>
      <w:bookmarkEnd w:id="59"/>
      <w:bookmarkEnd w:id="60"/>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from outside of Western Australia;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State agency.</w:t>
      </w:r>
    </w:p>
    <w:p>
      <w:pPr>
        <w:pStyle w:val="Subsection"/>
      </w:pPr>
      <w:r>
        <w:tab/>
        <w:t>(4)</w:t>
      </w:r>
      <w:r>
        <w:tab/>
        <w:t>For the purposes of section 79(c), a pawnbroker or second</w:t>
      </w:r>
      <w:r>
        <w:noBreakHyphen/>
        <w:t xml:space="preserve">hand dealer is to give the information referred to in subregulation (1) or (2), as the case requires, to the Commissioner — </w:t>
      </w:r>
    </w:p>
    <w:p>
      <w:pPr>
        <w:pStyle w:val="Indenta"/>
      </w:pPr>
      <w:r>
        <w:tab/>
        <w:t>(a)</w:t>
      </w:r>
      <w:r>
        <w:tab/>
        <w:t xml:space="preserve">by submitting the information through an electronic system — </w:t>
      </w:r>
    </w:p>
    <w:p>
      <w:pPr>
        <w:pStyle w:val="Indenti"/>
      </w:pPr>
      <w:r>
        <w:tab/>
        <w:t>(i)</w:t>
      </w:r>
      <w:r>
        <w:tab/>
        <w:t>approved by the Commissioner to receive information given under section 79; and</w:t>
      </w:r>
    </w:p>
    <w:p>
      <w:pPr>
        <w:pStyle w:val="Indenti"/>
      </w:pPr>
      <w:r>
        <w:tab/>
        <w:t>(ii)</w:t>
      </w:r>
      <w:r>
        <w:tab/>
        <w:t>notified to the pawnbroker or second</w:t>
      </w:r>
      <w:r>
        <w:noBreakHyphen/>
        <w:t>hand dealer by the Commissioner;</w:t>
      </w:r>
    </w:p>
    <w:p>
      <w:pPr>
        <w:pStyle w:val="Indenta"/>
      </w:pPr>
      <w:r>
        <w:tab/>
      </w:r>
      <w:r>
        <w:tab/>
        <w:t>or</w:t>
      </w:r>
    </w:p>
    <w:p>
      <w:pPr>
        <w:pStyle w:val="Indenta"/>
      </w:pPr>
      <w:r>
        <w:tab/>
        <w:t>(b)</w:t>
      </w:r>
      <w:r>
        <w:tab/>
        <w:t>if the system referred to in paragraph (a) is unavailable at the time the information is intended to be given — by emailing the information to an email address notified to the pawnbroker or second</w:t>
      </w:r>
      <w:r>
        <w:noBreakHyphen/>
        <w:t>hand dealer by the Commissioner; or</w:t>
      </w:r>
    </w:p>
    <w:p>
      <w:pPr>
        <w:pStyle w:val="Indenta"/>
      </w:pPr>
      <w:r>
        <w:tab/>
        <w:t>(c)</w:t>
      </w:r>
      <w:r>
        <w:tab/>
        <w:t>by giving the information by a means that the Commissioner has allowed in the case of the pawnbroker or second</w:t>
      </w:r>
      <w:r>
        <w:noBreakHyphen/>
        <w:t>hand dealer because of special circumstances.</w:t>
      </w:r>
    </w:p>
    <w:p>
      <w:pPr>
        <w:pStyle w:val="Subsection"/>
        <w:keepNext/>
      </w:pPr>
      <w:r>
        <w:tab/>
        <w:t>(5)</w:t>
      </w:r>
      <w:r>
        <w:tab/>
        <w:t>For the purposes of section 79(d), a pawnbroker or second</w:t>
      </w:r>
      <w:r>
        <w:noBreakHyphen/>
        <w:t xml:space="preserve">hand dealer is to give the information referred to in subregulation (1) or (2), as the case requires, to the Commissioner — </w:t>
      </w:r>
    </w:p>
    <w:p>
      <w:pPr>
        <w:pStyle w:val="Indenta"/>
      </w:pPr>
      <w:r>
        <w:tab/>
        <w:t>(a)</w:t>
      </w:r>
      <w:r>
        <w:tab/>
        <w:t>if the pawnbroker or second</w:t>
      </w:r>
      <w:r>
        <w:noBreakHyphen/>
        <w:t>hand dealer gives the information by the means described in subregulation (4)(a) — as soon as the information becomes available to the pawnbroker or second</w:t>
      </w:r>
      <w:r>
        <w:noBreakHyphen/>
        <w:t>hand dealer; or</w:t>
      </w:r>
    </w:p>
    <w:p>
      <w:pPr>
        <w:pStyle w:val="Indenta"/>
      </w:pPr>
      <w:r>
        <w:tab/>
        <w:t>(b)</w:t>
      </w:r>
      <w:r>
        <w:tab/>
        <w:t>if the pawnbroker or second</w:t>
      </w:r>
      <w:r>
        <w:noBreakHyphen/>
        <w:t>hand dealer gives the information by the means described in subregulation (4)(b) or (c) — as soon as practicable, but no later than 24 hours, after the information becomes available to the pawnbroker or second</w:t>
      </w:r>
      <w:r>
        <w:noBreakHyphen/>
        <w:t>hand dealer.</w:t>
      </w:r>
    </w:p>
    <w:p>
      <w:pPr>
        <w:pStyle w:val="Ednotesubsection"/>
        <w:tabs>
          <w:tab w:val="clear" w:pos="879"/>
          <w:tab w:val="left" w:pos="938"/>
        </w:tabs>
      </w:pPr>
      <w:r>
        <w:tab/>
        <w:t>[(5a)-(6)</w:t>
      </w:r>
      <w:r>
        <w:tab/>
      </w:r>
      <w:r>
        <w:tab/>
        <w:t>deleted]</w:t>
      </w:r>
    </w:p>
    <w:p>
      <w:pPr>
        <w:pStyle w:val="Footnotesection"/>
      </w:pPr>
      <w:r>
        <w:tab/>
        <w:t>[Regulation 15 amended: Gazette 28 Jul 2000 p. 4023</w:t>
      </w:r>
      <w:r>
        <w:noBreakHyphen/>
        <w:t>4; 8 Jan 2015 p. 152; SL 2020/147 r. 7; SL 2020/248 r. 10.]</w:t>
      </w:r>
    </w:p>
    <w:p>
      <w:pPr>
        <w:pStyle w:val="Ednotepart"/>
      </w:pPr>
      <w:r>
        <w:t>[Part 5 (r. 16-27) deleted: Gazette 30 Dec 2004 p. 6975.]</w:t>
      </w:r>
    </w:p>
    <w:p>
      <w:pPr>
        <w:pStyle w:val="Heading2"/>
      </w:pPr>
      <w:bookmarkStart w:id="61" w:name="_Toc168660590"/>
      <w:bookmarkStart w:id="62" w:name="_Toc168660730"/>
      <w:bookmarkStart w:id="63" w:name="_Toc168930162"/>
      <w:bookmarkStart w:id="64" w:name="_Toc138691702"/>
      <w:bookmarkStart w:id="65" w:name="_Toc138692006"/>
      <w:bookmarkStart w:id="66" w:name="_Toc138857011"/>
      <w:bookmarkStart w:id="67" w:name="_Toc138857766"/>
      <w:r>
        <w:rPr>
          <w:rStyle w:val="CharPartNo"/>
        </w:rPr>
        <w:t>Part 6</w:t>
      </w:r>
      <w:r>
        <w:rPr>
          <w:rStyle w:val="CharDivNo"/>
        </w:rPr>
        <w:t> </w:t>
      </w:r>
      <w:r>
        <w:t>—</w:t>
      </w:r>
      <w:r>
        <w:rPr>
          <w:rStyle w:val="CharDivText"/>
        </w:rPr>
        <w:t> </w:t>
      </w:r>
      <w:r>
        <w:rPr>
          <w:rStyle w:val="CharPartText"/>
        </w:rPr>
        <w:t>Fees</w:t>
      </w:r>
      <w:bookmarkEnd w:id="61"/>
      <w:bookmarkEnd w:id="62"/>
      <w:bookmarkEnd w:id="63"/>
      <w:bookmarkEnd w:id="64"/>
      <w:bookmarkEnd w:id="65"/>
      <w:bookmarkEnd w:id="66"/>
      <w:bookmarkEnd w:id="67"/>
    </w:p>
    <w:p>
      <w:pPr>
        <w:pStyle w:val="Heading5"/>
        <w:rPr>
          <w:snapToGrid w:val="0"/>
        </w:rPr>
      </w:pPr>
      <w:bookmarkStart w:id="68" w:name="_Toc168930163"/>
      <w:bookmarkStart w:id="69" w:name="_Toc138857767"/>
      <w:r>
        <w:rPr>
          <w:rStyle w:val="CharSectno"/>
        </w:rPr>
        <w:t>28</w:t>
      </w:r>
      <w:r>
        <w:rPr>
          <w:snapToGrid w:val="0"/>
        </w:rPr>
        <w:t>.</w:t>
      </w:r>
      <w:r>
        <w:rPr>
          <w:snapToGrid w:val="0"/>
        </w:rPr>
        <w:tab/>
        <w:t>Fees prescribed for applications for licences (Act s. 13(b))</w:t>
      </w:r>
      <w:bookmarkEnd w:id="68"/>
      <w:bookmarkEnd w:id="69"/>
    </w:p>
    <w:p>
      <w:pPr>
        <w:pStyle w:val="Subsection"/>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pPr>
      <w:r>
        <w:tab/>
        <w:t>(2)</w:t>
      </w:r>
      <w:r>
        <w:tab/>
        <w:t>The fee to accompany an application for the issue of a second</w:t>
      </w:r>
      <w:r>
        <w:noBreakHyphen/>
        <w:t>hand dealer’s licence only is set out in item 2 of the Table to this regulation.</w:t>
      </w:r>
    </w:p>
    <w:p>
      <w:pPr>
        <w:pStyle w:val="Ednotesubsection"/>
      </w:pPr>
      <w:r>
        <w:tab/>
        <w:t>[(3)</w:t>
      </w:r>
      <w:r>
        <w:tab/>
        <w:t>deleted]</w:t>
      </w:r>
    </w:p>
    <w:p>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 xml:space="preserve">hand dealer’s licence to be issued in respect of the same person, the single fee to accompany the applications is set out in </w:t>
      </w:r>
      <w:r>
        <w:t xml:space="preserve">item 3 </w:t>
      </w:r>
      <w:r>
        <w:rPr>
          <w:snapToGrid w:val="0"/>
          <w:spacing w:val="-4"/>
        </w:rPr>
        <w:t>of the Table to this regulation.</w:t>
      </w:r>
    </w:p>
    <w:p>
      <w:pPr>
        <w:pStyle w:val="Subsection"/>
      </w:pPr>
      <w:r>
        <w:tab/>
        <w:t>(5)</w:t>
      </w:r>
      <w:r>
        <w:tab/>
        <w:t>For the purposes of calculating a fee set out in item 1, 2 or 3 of the Table, the number of transactions in a year is to be determined by the number of transactions estimated by the applicant as reasonably likely to occur at the business premises to which the proposed licence would apply in a 12 month period.</w:t>
      </w:r>
    </w:p>
    <w:p>
      <w:pPr>
        <w:pStyle w:val="THeadingNAm"/>
      </w:pPr>
      <w:r>
        <w:t>Table — Fees for application for licences</w:t>
      </w:r>
    </w:p>
    <w:tbl>
      <w:tblPr>
        <w:tblW w:w="4727"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40"/>
        <w:gridCol w:w="1702"/>
        <w:gridCol w:w="1420"/>
        <w:gridCol w:w="1419"/>
        <w:gridCol w:w="1419"/>
      </w:tblGrid>
      <w:tr>
        <w:trPr>
          <w:cantSplit/>
          <w:tblHeader/>
        </w:trPr>
        <w:tc>
          <w:tcPr>
            <w:tcW w:w="739" w:type="dxa"/>
            <w:noWrap/>
          </w:tcPr>
          <w:p>
            <w:pPr>
              <w:pStyle w:val="TableNAm"/>
              <w:jc w:val="center"/>
              <w:rPr>
                <w:b/>
              </w:rPr>
            </w:pPr>
            <w:r>
              <w:rPr>
                <w:b/>
              </w:rPr>
              <w:t>Item</w:t>
            </w:r>
          </w:p>
        </w:tc>
        <w:tc>
          <w:tcPr>
            <w:tcW w:w="1700" w:type="dxa"/>
            <w:noWrap/>
          </w:tcPr>
          <w:p>
            <w:pPr>
              <w:pStyle w:val="TableNAm"/>
              <w:jc w:val="center"/>
              <w:rPr>
                <w:b/>
              </w:rPr>
            </w:pPr>
            <w:r>
              <w:rPr>
                <w:b/>
              </w:rPr>
              <w:t>Licence</w:t>
            </w:r>
          </w:p>
        </w:tc>
        <w:tc>
          <w:tcPr>
            <w:tcW w:w="1418" w:type="dxa"/>
            <w:noWrap/>
          </w:tcPr>
          <w:p>
            <w:pPr>
              <w:pStyle w:val="TableNAm"/>
              <w:jc w:val="center"/>
              <w:rPr>
                <w:b/>
              </w:rPr>
            </w:pPr>
            <w:r>
              <w:rPr>
                <w:b/>
              </w:rPr>
              <w:t>For period not exceeding 1 year</w:t>
            </w:r>
            <w:r>
              <w:rPr>
                <w:b/>
              </w:rPr>
              <w:br/>
            </w:r>
            <w:r>
              <w:rPr>
                <w:b/>
              </w:rPr>
              <w:br/>
            </w:r>
            <w:r>
              <w:rPr>
                <w:b/>
              </w:rPr>
              <w:br/>
              <w:t>$</w:t>
            </w:r>
          </w:p>
        </w:tc>
        <w:tc>
          <w:tcPr>
            <w:tcW w:w="1417" w:type="dxa"/>
            <w:noWrap/>
          </w:tcPr>
          <w:p>
            <w:pPr>
              <w:pStyle w:val="TableNAm"/>
              <w:jc w:val="center"/>
              <w:rPr>
                <w:b/>
              </w:rPr>
            </w:pPr>
            <w:r>
              <w:rPr>
                <w:b/>
              </w:rPr>
              <w:t>For period not exceeding 2 years but longer than 1 year</w:t>
            </w:r>
            <w:r>
              <w:rPr>
                <w:b/>
              </w:rPr>
              <w:br/>
              <w:t>$</w:t>
            </w:r>
          </w:p>
        </w:tc>
        <w:tc>
          <w:tcPr>
            <w:tcW w:w="1417" w:type="dxa"/>
            <w:noWrap/>
          </w:tcPr>
          <w:p>
            <w:pPr>
              <w:pStyle w:val="TableNAm"/>
              <w:jc w:val="center"/>
              <w:rPr>
                <w:b/>
              </w:rPr>
            </w:pPr>
            <w:r>
              <w:rPr>
                <w:b/>
              </w:rPr>
              <w:t>For period not exceeding 3 years but longer than 2 years</w:t>
            </w:r>
            <w:r>
              <w:rPr>
                <w:b/>
              </w:rPr>
              <w:br/>
              <w:t>$</w:t>
            </w:r>
          </w:p>
        </w:tc>
      </w:tr>
      <w:tr>
        <w:trPr>
          <w:cantSplit/>
        </w:trPr>
        <w:tc>
          <w:tcPr>
            <w:tcW w:w="739" w:type="dxa"/>
            <w:noWrap/>
          </w:tcPr>
          <w:p>
            <w:pPr>
              <w:pStyle w:val="TableNAm"/>
              <w:keepNext/>
              <w:rPr>
                <w:b/>
              </w:rPr>
            </w:pPr>
            <w:r>
              <w:rPr>
                <w:b/>
              </w:rPr>
              <w:t>1.</w:t>
            </w:r>
          </w:p>
        </w:tc>
        <w:tc>
          <w:tcPr>
            <w:tcW w:w="1700" w:type="dxa"/>
            <w:noWrap/>
          </w:tcPr>
          <w:p>
            <w:pPr>
              <w:pStyle w:val="TableNAm"/>
              <w:keepNext/>
              <w:rPr>
                <w:b/>
              </w:rPr>
            </w:pPr>
            <w:r>
              <w:rPr>
                <w:b/>
              </w:rPr>
              <w:t>Pawnbroker’s licence only</w:t>
            </w:r>
          </w:p>
        </w:tc>
        <w:tc>
          <w:tcPr>
            <w:tcW w:w="1418" w:type="dxa"/>
            <w:noWrap/>
          </w:tcPr>
          <w:p>
            <w:pPr>
              <w:pStyle w:val="TableNAm"/>
              <w:keepNext/>
            </w:pPr>
          </w:p>
        </w:tc>
        <w:tc>
          <w:tcPr>
            <w:tcW w:w="1417" w:type="dxa"/>
            <w:noWrap/>
          </w:tcPr>
          <w:p>
            <w:pPr>
              <w:pStyle w:val="TableNAm"/>
              <w:keepNext/>
            </w:pPr>
          </w:p>
        </w:tc>
        <w:tc>
          <w:tcPr>
            <w:tcW w:w="1417" w:type="dxa"/>
            <w:noWrap/>
          </w:tcPr>
          <w:p>
            <w:pPr>
              <w:pStyle w:val="TableNAm"/>
              <w:keepNext/>
            </w:pPr>
          </w:p>
        </w:tc>
      </w:tr>
      <w:tr>
        <w:trPr>
          <w:cantSplit/>
        </w:trPr>
        <w:tc>
          <w:tcPr>
            <w:tcW w:w="739" w:type="dxa"/>
            <w:noWrap/>
          </w:tcPr>
          <w:p>
            <w:pPr>
              <w:pStyle w:val="TableNAm"/>
              <w:jc w:val="center"/>
            </w:pPr>
            <w:r>
              <w:t>(a)</w:t>
            </w:r>
          </w:p>
        </w:tc>
        <w:tc>
          <w:tcPr>
            <w:tcW w:w="1700" w:type="dxa"/>
            <w:noWrap/>
          </w:tcPr>
          <w:p>
            <w:pPr>
              <w:pStyle w:val="TableNAm"/>
            </w:pPr>
            <w:r>
              <w:t>150 or more transactions in a year</w:t>
            </w:r>
          </w:p>
        </w:tc>
        <w:tc>
          <w:tcPr>
            <w:tcW w:w="1418" w:type="dxa"/>
            <w:noWrap/>
            <w:vAlign w:val="bottom"/>
          </w:tcPr>
          <w:p>
            <w:pPr>
              <w:pStyle w:val="TableNAm"/>
              <w:ind w:right="346"/>
              <w:jc w:val="right"/>
            </w:pPr>
            <w:r>
              <w:t>5 442</w:t>
            </w:r>
          </w:p>
        </w:tc>
        <w:tc>
          <w:tcPr>
            <w:tcW w:w="1417" w:type="dxa"/>
            <w:noWrap/>
            <w:vAlign w:val="bottom"/>
          </w:tcPr>
          <w:p>
            <w:pPr>
              <w:pStyle w:val="TableNAm"/>
              <w:ind w:right="346"/>
              <w:jc w:val="right"/>
            </w:pPr>
            <w:r>
              <w:t>7 560</w:t>
            </w:r>
          </w:p>
        </w:tc>
        <w:tc>
          <w:tcPr>
            <w:tcW w:w="1417" w:type="dxa"/>
            <w:noWrap/>
            <w:vAlign w:val="bottom"/>
          </w:tcPr>
          <w:p>
            <w:pPr>
              <w:pStyle w:val="TableNAm"/>
              <w:ind w:right="346"/>
              <w:jc w:val="right"/>
            </w:pPr>
            <w:r>
              <w:t>9 677</w:t>
            </w:r>
          </w:p>
        </w:tc>
      </w:tr>
      <w:tr>
        <w:trPr>
          <w:cantSplit/>
        </w:trPr>
        <w:tc>
          <w:tcPr>
            <w:tcW w:w="739" w:type="dxa"/>
            <w:noWrap/>
          </w:tcPr>
          <w:p>
            <w:pPr>
              <w:pStyle w:val="TableNAm"/>
              <w:jc w:val="center"/>
            </w:pPr>
            <w:r>
              <w:t>(b)</w:t>
            </w:r>
          </w:p>
        </w:tc>
        <w:tc>
          <w:tcPr>
            <w:tcW w:w="1700" w:type="dxa"/>
            <w:noWrap/>
          </w:tcPr>
          <w:p>
            <w:pPr>
              <w:pStyle w:val="TableNAm"/>
            </w:pPr>
            <w:r>
              <w:t>50</w:t>
            </w:r>
            <w:r>
              <w:noBreakHyphen/>
              <w:t>149 transactions in a year</w:t>
            </w:r>
          </w:p>
        </w:tc>
        <w:tc>
          <w:tcPr>
            <w:tcW w:w="1418" w:type="dxa"/>
            <w:noWrap/>
            <w:vAlign w:val="bottom"/>
          </w:tcPr>
          <w:p>
            <w:pPr>
              <w:pStyle w:val="TableNAm"/>
              <w:ind w:right="346"/>
              <w:jc w:val="right"/>
            </w:pPr>
            <w:r>
              <w:t>2 721</w:t>
            </w:r>
          </w:p>
        </w:tc>
        <w:tc>
          <w:tcPr>
            <w:tcW w:w="1417" w:type="dxa"/>
            <w:noWrap/>
            <w:vAlign w:val="bottom"/>
          </w:tcPr>
          <w:p>
            <w:pPr>
              <w:pStyle w:val="TableNAm"/>
              <w:ind w:right="346"/>
              <w:jc w:val="right"/>
            </w:pPr>
            <w:r>
              <w:t>3 780</w:t>
            </w:r>
          </w:p>
        </w:tc>
        <w:tc>
          <w:tcPr>
            <w:tcW w:w="1417" w:type="dxa"/>
            <w:noWrap/>
            <w:vAlign w:val="bottom"/>
          </w:tcPr>
          <w:p>
            <w:pPr>
              <w:pStyle w:val="TableNAm"/>
              <w:ind w:right="346"/>
              <w:jc w:val="right"/>
            </w:pPr>
            <w:r>
              <w:t>4 838</w:t>
            </w:r>
          </w:p>
        </w:tc>
      </w:tr>
      <w:tr>
        <w:trPr>
          <w:cantSplit/>
        </w:trPr>
        <w:tc>
          <w:tcPr>
            <w:tcW w:w="739" w:type="dxa"/>
            <w:noWrap/>
          </w:tcPr>
          <w:p>
            <w:pPr>
              <w:pStyle w:val="TableNAm"/>
              <w:jc w:val="center"/>
            </w:pPr>
            <w:r>
              <w:t>(c)</w:t>
            </w:r>
          </w:p>
        </w:tc>
        <w:tc>
          <w:tcPr>
            <w:tcW w:w="1700" w:type="dxa"/>
            <w:noWrap/>
          </w:tcPr>
          <w:p>
            <w:pPr>
              <w:pStyle w:val="TableNAm"/>
            </w:pPr>
            <w:r>
              <w:t>0</w:t>
            </w:r>
            <w:r>
              <w:noBreakHyphen/>
              <w:t>49 transactions in a year</w:t>
            </w:r>
          </w:p>
        </w:tc>
        <w:tc>
          <w:tcPr>
            <w:tcW w:w="1418" w:type="dxa"/>
            <w:noWrap/>
            <w:vAlign w:val="bottom"/>
          </w:tcPr>
          <w:p>
            <w:pPr>
              <w:pStyle w:val="TableNAm"/>
              <w:ind w:right="346"/>
              <w:jc w:val="right"/>
            </w:pPr>
            <w:r>
              <w:t>1 360</w:t>
            </w:r>
          </w:p>
        </w:tc>
        <w:tc>
          <w:tcPr>
            <w:tcW w:w="1417" w:type="dxa"/>
            <w:noWrap/>
            <w:vAlign w:val="bottom"/>
          </w:tcPr>
          <w:p>
            <w:pPr>
              <w:pStyle w:val="TableNAm"/>
              <w:ind w:right="346"/>
              <w:jc w:val="right"/>
            </w:pPr>
            <w:r>
              <w:t>1 890</w:t>
            </w:r>
          </w:p>
        </w:tc>
        <w:tc>
          <w:tcPr>
            <w:tcW w:w="1417" w:type="dxa"/>
            <w:noWrap/>
            <w:vAlign w:val="bottom"/>
          </w:tcPr>
          <w:p>
            <w:pPr>
              <w:pStyle w:val="TableNAm"/>
              <w:ind w:right="346"/>
              <w:jc w:val="right"/>
            </w:pPr>
            <w:r>
              <w:t>2 419</w:t>
            </w:r>
          </w:p>
        </w:tc>
      </w:tr>
      <w:tr>
        <w:trPr>
          <w:cantSplit/>
        </w:trPr>
        <w:tc>
          <w:tcPr>
            <w:tcW w:w="739" w:type="dxa"/>
            <w:noWrap/>
          </w:tcPr>
          <w:p>
            <w:pPr>
              <w:pStyle w:val="TableNAm"/>
              <w:rPr>
                <w:b/>
              </w:rPr>
            </w:pPr>
            <w:r>
              <w:rPr>
                <w:b/>
              </w:rPr>
              <w:t>2.</w:t>
            </w:r>
          </w:p>
        </w:tc>
        <w:tc>
          <w:tcPr>
            <w:tcW w:w="1700" w:type="dxa"/>
            <w:noWrap/>
          </w:tcPr>
          <w:p>
            <w:pPr>
              <w:pStyle w:val="TableNAm"/>
              <w:rPr>
                <w:b/>
              </w:rPr>
            </w:pPr>
            <w:r>
              <w:rPr>
                <w:b/>
              </w:rPr>
              <w:t>Second</w:t>
            </w:r>
            <w:r>
              <w:rPr>
                <w:b/>
              </w:rPr>
              <w:noBreakHyphen/>
              <w:t>hand dealer’s licence only</w:t>
            </w:r>
          </w:p>
        </w:tc>
        <w:tc>
          <w:tcPr>
            <w:tcW w:w="1418" w:type="dxa"/>
            <w:noWrap/>
          </w:tcPr>
          <w:p>
            <w:pPr>
              <w:pStyle w:val="TableNAm"/>
            </w:pPr>
          </w:p>
        </w:tc>
        <w:tc>
          <w:tcPr>
            <w:tcW w:w="1417" w:type="dxa"/>
            <w:noWrap/>
          </w:tcPr>
          <w:p>
            <w:pPr>
              <w:pStyle w:val="TableNAm"/>
            </w:pPr>
          </w:p>
        </w:tc>
        <w:tc>
          <w:tcPr>
            <w:tcW w:w="1417" w:type="dxa"/>
            <w:noWrap/>
          </w:tcPr>
          <w:p>
            <w:pPr>
              <w:pStyle w:val="TableNAm"/>
            </w:pPr>
          </w:p>
        </w:tc>
      </w:tr>
      <w:tr>
        <w:trPr>
          <w:cantSplit/>
        </w:trPr>
        <w:tc>
          <w:tcPr>
            <w:tcW w:w="739" w:type="dxa"/>
            <w:noWrap/>
          </w:tcPr>
          <w:p>
            <w:pPr>
              <w:pStyle w:val="TableNAm"/>
              <w:jc w:val="center"/>
            </w:pPr>
            <w:r>
              <w:t>(a)</w:t>
            </w:r>
          </w:p>
        </w:tc>
        <w:tc>
          <w:tcPr>
            <w:tcW w:w="1700" w:type="dxa"/>
            <w:noWrap/>
          </w:tcPr>
          <w:p>
            <w:pPr>
              <w:pStyle w:val="TableNAm"/>
            </w:pPr>
            <w:r>
              <w:t>150 or more transactions in a year</w:t>
            </w:r>
          </w:p>
        </w:tc>
        <w:tc>
          <w:tcPr>
            <w:tcW w:w="1418" w:type="dxa"/>
            <w:noWrap/>
            <w:vAlign w:val="bottom"/>
          </w:tcPr>
          <w:p>
            <w:pPr>
              <w:pStyle w:val="TableNAm"/>
              <w:ind w:right="346"/>
              <w:jc w:val="right"/>
            </w:pPr>
            <w:r>
              <w:t>5 442</w:t>
            </w:r>
          </w:p>
        </w:tc>
        <w:tc>
          <w:tcPr>
            <w:tcW w:w="1417" w:type="dxa"/>
            <w:noWrap/>
            <w:vAlign w:val="bottom"/>
          </w:tcPr>
          <w:p>
            <w:pPr>
              <w:pStyle w:val="TableNAm"/>
              <w:ind w:right="346"/>
              <w:jc w:val="right"/>
            </w:pPr>
            <w:r>
              <w:t>7 560</w:t>
            </w:r>
          </w:p>
        </w:tc>
        <w:tc>
          <w:tcPr>
            <w:tcW w:w="1417" w:type="dxa"/>
            <w:noWrap/>
            <w:vAlign w:val="bottom"/>
          </w:tcPr>
          <w:p>
            <w:pPr>
              <w:pStyle w:val="TableNAm"/>
              <w:ind w:right="346"/>
              <w:jc w:val="right"/>
            </w:pPr>
            <w:r>
              <w:t>9 677</w:t>
            </w:r>
          </w:p>
        </w:tc>
      </w:tr>
      <w:tr>
        <w:trPr>
          <w:cantSplit/>
        </w:trPr>
        <w:tc>
          <w:tcPr>
            <w:tcW w:w="739" w:type="dxa"/>
            <w:noWrap/>
          </w:tcPr>
          <w:p>
            <w:pPr>
              <w:pStyle w:val="TableNAm"/>
              <w:jc w:val="center"/>
            </w:pPr>
            <w:r>
              <w:t>(b)</w:t>
            </w:r>
          </w:p>
        </w:tc>
        <w:tc>
          <w:tcPr>
            <w:tcW w:w="1700" w:type="dxa"/>
            <w:noWrap/>
          </w:tcPr>
          <w:p>
            <w:pPr>
              <w:pStyle w:val="TableNAm"/>
            </w:pPr>
            <w:r>
              <w:t>50</w:t>
            </w:r>
            <w:r>
              <w:noBreakHyphen/>
              <w:t>149 transactions in a year</w:t>
            </w:r>
          </w:p>
        </w:tc>
        <w:tc>
          <w:tcPr>
            <w:tcW w:w="1418" w:type="dxa"/>
            <w:noWrap/>
            <w:vAlign w:val="bottom"/>
          </w:tcPr>
          <w:p>
            <w:pPr>
              <w:pStyle w:val="TableNAm"/>
              <w:ind w:right="346"/>
              <w:jc w:val="right"/>
            </w:pPr>
            <w:r>
              <w:t>2 721</w:t>
            </w:r>
          </w:p>
        </w:tc>
        <w:tc>
          <w:tcPr>
            <w:tcW w:w="1417" w:type="dxa"/>
            <w:noWrap/>
            <w:vAlign w:val="bottom"/>
          </w:tcPr>
          <w:p>
            <w:pPr>
              <w:pStyle w:val="TableNAm"/>
              <w:ind w:right="346"/>
              <w:jc w:val="right"/>
            </w:pPr>
            <w:r>
              <w:t>3 780</w:t>
            </w:r>
          </w:p>
        </w:tc>
        <w:tc>
          <w:tcPr>
            <w:tcW w:w="1417" w:type="dxa"/>
            <w:noWrap/>
            <w:vAlign w:val="bottom"/>
          </w:tcPr>
          <w:p>
            <w:pPr>
              <w:pStyle w:val="TableNAm"/>
              <w:ind w:right="346"/>
              <w:jc w:val="right"/>
            </w:pPr>
            <w:r>
              <w:t>4 838</w:t>
            </w:r>
          </w:p>
        </w:tc>
      </w:tr>
      <w:tr>
        <w:trPr>
          <w:cantSplit/>
        </w:trPr>
        <w:tc>
          <w:tcPr>
            <w:tcW w:w="739" w:type="dxa"/>
            <w:noWrap/>
          </w:tcPr>
          <w:p>
            <w:pPr>
              <w:pStyle w:val="TableNAm"/>
              <w:jc w:val="center"/>
            </w:pPr>
            <w:r>
              <w:t>(c)</w:t>
            </w:r>
          </w:p>
        </w:tc>
        <w:tc>
          <w:tcPr>
            <w:tcW w:w="1700" w:type="dxa"/>
            <w:noWrap/>
          </w:tcPr>
          <w:p>
            <w:pPr>
              <w:pStyle w:val="TableNAm"/>
            </w:pPr>
            <w:r>
              <w:t>0</w:t>
            </w:r>
            <w:r>
              <w:noBreakHyphen/>
              <w:t>49 transactions in a year</w:t>
            </w:r>
          </w:p>
        </w:tc>
        <w:tc>
          <w:tcPr>
            <w:tcW w:w="1418" w:type="dxa"/>
            <w:noWrap/>
            <w:vAlign w:val="bottom"/>
          </w:tcPr>
          <w:p>
            <w:pPr>
              <w:pStyle w:val="TableNAm"/>
              <w:ind w:right="346"/>
              <w:jc w:val="right"/>
            </w:pPr>
            <w:r>
              <w:t>1 360</w:t>
            </w:r>
          </w:p>
        </w:tc>
        <w:tc>
          <w:tcPr>
            <w:tcW w:w="1417" w:type="dxa"/>
            <w:noWrap/>
            <w:vAlign w:val="bottom"/>
          </w:tcPr>
          <w:p>
            <w:pPr>
              <w:pStyle w:val="TableNAm"/>
              <w:ind w:right="346"/>
              <w:jc w:val="right"/>
            </w:pPr>
            <w:r>
              <w:t>1 890</w:t>
            </w:r>
          </w:p>
        </w:tc>
        <w:tc>
          <w:tcPr>
            <w:tcW w:w="1417" w:type="dxa"/>
            <w:noWrap/>
            <w:vAlign w:val="bottom"/>
          </w:tcPr>
          <w:p>
            <w:pPr>
              <w:pStyle w:val="TableNAm"/>
              <w:ind w:right="346"/>
              <w:jc w:val="right"/>
            </w:pPr>
            <w:r>
              <w:t>2 419</w:t>
            </w:r>
          </w:p>
        </w:tc>
      </w:tr>
      <w:tr>
        <w:trPr>
          <w:cantSplit/>
        </w:trPr>
        <w:tc>
          <w:tcPr>
            <w:tcW w:w="739" w:type="dxa"/>
            <w:noWrap/>
          </w:tcPr>
          <w:p>
            <w:pPr>
              <w:pStyle w:val="TableNAm"/>
              <w:rPr>
                <w:b/>
              </w:rPr>
            </w:pPr>
            <w:r>
              <w:rPr>
                <w:b/>
              </w:rPr>
              <w:t>3.</w:t>
            </w:r>
          </w:p>
        </w:tc>
        <w:tc>
          <w:tcPr>
            <w:tcW w:w="1700" w:type="dxa"/>
            <w:noWrap/>
          </w:tcPr>
          <w:p>
            <w:pPr>
              <w:pStyle w:val="TableNAm"/>
              <w:rPr>
                <w:b/>
              </w:rPr>
            </w:pPr>
            <w:r>
              <w:rPr>
                <w:b/>
              </w:rPr>
              <w:t>Pawnbroker’s licence and second</w:t>
            </w:r>
            <w:r>
              <w:rPr>
                <w:b/>
              </w:rPr>
              <w:noBreakHyphen/>
              <w:t>hand dealer’s licence</w:t>
            </w:r>
          </w:p>
        </w:tc>
        <w:tc>
          <w:tcPr>
            <w:tcW w:w="1418" w:type="dxa"/>
            <w:noWrap/>
          </w:tcPr>
          <w:p>
            <w:pPr>
              <w:pStyle w:val="TableNAm"/>
            </w:pPr>
          </w:p>
        </w:tc>
        <w:tc>
          <w:tcPr>
            <w:tcW w:w="1417" w:type="dxa"/>
            <w:noWrap/>
          </w:tcPr>
          <w:p>
            <w:pPr>
              <w:pStyle w:val="TableNAm"/>
            </w:pPr>
          </w:p>
        </w:tc>
        <w:tc>
          <w:tcPr>
            <w:tcW w:w="1417" w:type="dxa"/>
            <w:noWrap/>
          </w:tcPr>
          <w:p>
            <w:pPr>
              <w:pStyle w:val="TableNAm"/>
            </w:pPr>
          </w:p>
        </w:tc>
      </w:tr>
      <w:tr>
        <w:trPr>
          <w:cantSplit/>
        </w:trPr>
        <w:tc>
          <w:tcPr>
            <w:tcW w:w="739" w:type="dxa"/>
            <w:noWrap/>
          </w:tcPr>
          <w:p>
            <w:pPr>
              <w:pStyle w:val="TableNAm"/>
              <w:jc w:val="center"/>
            </w:pPr>
            <w:r>
              <w:t>(a)</w:t>
            </w:r>
          </w:p>
        </w:tc>
        <w:tc>
          <w:tcPr>
            <w:tcW w:w="1700" w:type="dxa"/>
            <w:noWrap/>
          </w:tcPr>
          <w:p>
            <w:pPr>
              <w:pStyle w:val="TableNAm"/>
            </w:pPr>
            <w:r>
              <w:t>150 or more transactions in a year</w:t>
            </w:r>
          </w:p>
        </w:tc>
        <w:tc>
          <w:tcPr>
            <w:tcW w:w="1418" w:type="dxa"/>
            <w:noWrap/>
            <w:vAlign w:val="bottom"/>
          </w:tcPr>
          <w:p>
            <w:pPr>
              <w:pStyle w:val="TableNAm"/>
              <w:ind w:right="346"/>
              <w:jc w:val="right"/>
            </w:pPr>
            <w:r>
              <w:t>5 457</w:t>
            </w:r>
          </w:p>
        </w:tc>
        <w:tc>
          <w:tcPr>
            <w:tcW w:w="1417" w:type="dxa"/>
            <w:noWrap/>
            <w:vAlign w:val="bottom"/>
          </w:tcPr>
          <w:p>
            <w:pPr>
              <w:pStyle w:val="TableNAm"/>
              <w:ind w:right="346"/>
              <w:jc w:val="right"/>
            </w:pPr>
            <w:r>
              <w:t>7 585</w:t>
            </w:r>
          </w:p>
        </w:tc>
        <w:tc>
          <w:tcPr>
            <w:tcW w:w="1417" w:type="dxa"/>
            <w:noWrap/>
            <w:vAlign w:val="bottom"/>
          </w:tcPr>
          <w:p>
            <w:pPr>
              <w:pStyle w:val="TableNAm"/>
              <w:ind w:right="346"/>
              <w:jc w:val="right"/>
            </w:pPr>
            <w:r>
              <w:t>9 712</w:t>
            </w:r>
          </w:p>
        </w:tc>
      </w:tr>
      <w:tr>
        <w:trPr>
          <w:cantSplit/>
        </w:trPr>
        <w:tc>
          <w:tcPr>
            <w:tcW w:w="739" w:type="dxa"/>
            <w:noWrap/>
          </w:tcPr>
          <w:p>
            <w:pPr>
              <w:pStyle w:val="TableNAm"/>
              <w:jc w:val="center"/>
            </w:pPr>
            <w:r>
              <w:t>(b)</w:t>
            </w:r>
          </w:p>
        </w:tc>
        <w:tc>
          <w:tcPr>
            <w:tcW w:w="1700" w:type="dxa"/>
            <w:noWrap/>
          </w:tcPr>
          <w:p>
            <w:pPr>
              <w:pStyle w:val="TableNAm"/>
            </w:pPr>
            <w:r>
              <w:t>50</w:t>
            </w:r>
            <w:r>
              <w:noBreakHyphen/>
              <w:t>149 transactions in a year</w:t>
            </w:r>
          </w:p>
        </w:tc>
        <w:tc>
          <w:tcPr>
            <w:tcW w:w="1418" w:type="dxa"/>
            <w:noWrap/>
            <w:vAlign w:val="bottom"/>
          </w:tcPr>
          <w:p>
            <w:pPr>
              <w:pStyle w:val="TableNAm"/>
              <w:ind w:right="346"/>
              <w:jc w:val="right"/>
            </w:pPr>
            <w:r>
              <w:t>2 729</w:t>
            </w:r>
          </w:p>
        </w:tc>
        <w:tc>
          <w:tcPr>
            <w:tcW w:w="1417" w:type="dxa"/>
            <w:noWrap/>
            <w:vAlign w:val="bottom"/>
          </w:tcPr>
          <w:p>
            <w:pPr>
              <w:pStyle w:val="TableNAm"/>
              <w:ind w:right="346"/>
              <w:jc w:val="right"/>
            </w:pPr>
            <w:r>
              <w:t>3 793</w:t>
            </w:r>
          </w:p>
        </w:tc>
        <w:tc>
          <w:tcPr>
            <w:tcW w:w="1417" w:type="dxa"/>
            <w:noWrap/>
            <w:vAlign w:val="bottom"/>
          </w:tcPr>
          <w:p>
            <w:pPr>
              <w:pStyle w:val="TableNAm"/>
              <w:ind w:right="346"/>
              <w:jc w:val="right"/>
            </w:pPr>
            <w:r>
              <w:t>4 856</w:t>
            </w:r>
          </w:p>
        </w:tc>
      </w:tr>
      <w:tr>
        <w:trPr>
          <w:cantSplit/>
        </w:trPr>
        <w:tc>
          <w:tcPr>
            <w:tcW w:w="739" w:type="dxa"/>
            <w:noWrap/>
          </w:tcPr>
          <w:p>
            <w:pPr>
              <w:pStyle w:val="TableNAm"/>
              <w:jc w:val="center"/>
            </w:pPr>
            <w:r>
              <w:t>(c)</w:t>
            </w:r>
          </w:p>
        </w:tc>
        <w:tc>
          <w:tcPr>
            <w:tcW w:w="1700" w:type="dxa"/>
            <w:noWrap/>
          </w:tcPr>
          <w:p>
            <w:pPr>
              <w:pStyle w:val="TableNAm"/>
            </w:pPr>
            <w:r>
              <w:t>0</w:t>
            </w:r>
            <w:r>
              <w:noBreakHyphen/>
              <w:t>49 transactions in a year</w:t>
            </w:r>
          </w:p>
        </w:tc>
        <w:tc>
          <w:tcPr>
            <w:tcW w:w="1418" w:type="dxa"/>
            <w:noWrap/>
            <w:vAlign w:val="bottom"/>
          </w:tcPr>
          <w:p>
            <w:pPr>
              <w:pStyle w:val="TableNAm"/>
              <w:ind w:right="346"/>
              <w:jc w:val="right"/>
            </w:pPr>
            <w:r>
              <w:t>1 364</w:t>
            </w:r>
          </w:p>
        </w:tc>
        <w:tc>
          <w:tcPr>
            <w:tcW w:w="1417" w:type="dxa"/>
            <w:noWrap/>
            <w:vAlign w:val="bottom"/>
          </w:tcPr>
          <w:p>
            <w:pPr>
              <w:pStyle w:val="TableNAm"/>
              <w:ind w:right="346"/>
              <w:jc w:val="right"/>
            </w:pPr>
            <w:r>
              <w:t>1 896</w:t>
            </w:r>
          </w:p>
        </w:tc>
        <w:tc>
          <w:tcPr>
            <w:tcW w:w="1417" w:type="dxa"/>
            <w:noWrap/>
            <w:vAlign w:val="bottom"/>
          </w:tcPr>
          <w:p>
            <w:pPr>
              <w:pStyle w:val="TableNAm"/>
              <w:ind w:right="346"/>
              <w:jc w:val="right"/>
            </w:pPr>
            <w:r>
              <w:t>2 428</w:t>
            </w:r>
          </w:p>
        </w:tc>
      </w:tr>
    </w:tbl>
    <w:p>
      <w:pPr>
        <w:pStyle w:val="Footnotesection"/>
        <w:keepLines w:val="0"/>
        <w:ind w:left="890" w:hanging="890"/>
        <w:rPr>
          <w:spacing w:val="-4"/>
        </w:rPr>
      </w:pPr>
      <w:r>
        <w:rPr>
          <w:spacing w:val="-4"/>
        </w:rPr>
        <w:tab/>
        <w:t>[Regulation 28 amended: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 15 Jun 2012 p. 2537; 28 Jun 2013 p. 2782-4; 17 Jun 2014 p. 1993-4; 2 Jun 2015 p. 1949</w:t>
      </w:r>
      <w:r>
        <w:rPr>
          <w:spacing w:val="-4"/>
        </w:rPr>
        <w:noBreakHyphen/>
        <w:t>50; 14 Jun 2016 p. 1827</w:t>
      </w:r>
      <w:r>
        <w:rPr>
          <w:spacing w:val="-4"/>
        </w:rPr>
        <w:noBreakHyphen/>
        <w:t>9; 27 Jun 2017 p. 3442</w:t>
      </w:r>
      <w:r>
        <w:rPr>
          <w:spacing w:val="-4"/>
        </w:rPr>
        <w:noBreakHyphen/>
        <w:t>4; 26 Jun 2018 p. 2394</w:t>
      </w:r>
      <w:r>
        <w:rPr>
          <w:spacing w:val="-4"/>
        </w:rPr>
        <w:noBreakHyphen/>
        <w:t>5; 21 Jun 2019 p. 2143</w:t>
      </w:r>
      <w:r>
        <w:rPr>
          <w:spacing w:val="-4"/>
        </w:rPr>
        <w:noBreakHyphen/>
        <w:t>5; SL 2020/82 r. 6; SL 2020/147 r. 8; SL 2021/106 r. 6; SL 2022/65 r. 6; SL 2023/74 r. 6.]</w:t>
      </w:r>
    </w:p>
    <w:p>
      <w:pPr>
        <w:pStyle w:val="Heading5"/>
        <w:rPr>
          <w:snapToGrid w:val="0"/>
          <w:spacing w:val="-4"/>
        </w:rPr>
      </w:pPr>
      <w:bookmarkStart w:id="70" w:name="_Toc168930164"/>
      <w:bookmarkStart w:id="71" w:name="_Toc138857768"/>
      <w:r>
        <w:rPr>
          <w:rStyle w:val="CharSectno"/>
          <w:spacing w:val="-4"/>
        </w:rPr>
        <w:t>29</w:t>
      </w:r>
      <w:r>
        <w:rPr>
          <w:snapToGrid w:val="0"/>
          <w:spacing w:val="-4"/>
        </w:rPr>
        <w:t>.</w:t>
      </w:r>
      <w:r>
        <w:rPr>
          <w:snapToGrid w:val="0"/>
          <w:spacing w:val="-4"/>
        </w:rPr>
        <w:tab/>
      </w:r>
      <w:r>
        <w:rPr>
          <w:rFonts w:ascii="Times" w:hAnsi="Times"/>
          <w:snapToGrid w:val="0"/>
        </w:rPr>
        <w:t>Fees prescribed for applications for renewal of licences (Act s. 15(1)(b))</w:t>
      </w:r>
      <w:bookmarkEnd w:id="70"/>
      <w:bookmarkEnd w:id="71"/>
    </w:p>
    <w:p>
      <w:pPr>
        <w:pStyle w:val="Subsection"/>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pPr>
      <w:r>
        <w:tab/>
        <w:t>(2)</w:t>
      </w:r>
      <w:r>
        <w:tab/>
        <w:t>The fee to accompany an application for the renewal of a second</w:t>
      </w:r>
      <w:r>
        <w:noBreakHyphen/>
        <w:t>hand dealer’s licence only is set out in item 2 of the Table to this regulation.</w:t>
      </w:r>
    </w:p>
    <w:p>
      <w:pPr>
        <w:pStyle w:val="Ednotesubsection"/>
      </w:pPr>
      <w:r>
        <w:tab/>
        <w:t>[(3)</w:t>
      </w:r>
      <w:r>
        <w:tab/>
        <w:t>deleted]</w:t>
      </w:r>
    </w:p>
    <w:p>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 xml:space="preserve">hand dealer’s licence to be renewed in respect of the same person, the single fee to accompany the applications is set out in </w:t>
      </w:r>
      <w:r>
        <w:t xml:space="preserve">item 3 </w:t>
      </w:r>
      <w:r>
        <w:rPr>
          <w:snapToGrid w:val="0"/>
        </w:rPr>
        <w:t>of the Table to this regulation.</w:t>
      </w:r>
    </w:p>
    <w:p>
      <w:pPr>
        <w:pStyle w:val="Subsection"/>
        <w:keepNext/>
      </w:pPr>
      <w:r>
        <w:tab/>
        <w:t>(5)</w:t>
      </w:r>
      <w:r>
        <w:tab/>
        <w:t xml:space="preserve">For the purposes of calculating a fee set out in item 1, 2 or 3 of the Table, the number of transactions in a year — </w:t>
      </w:r>
    </w:p>
    <w:p>
      <w:pPr>
        <w:pStyle w:val="Indenta"/>
      </w:pPr>
      <w:r>
        <w:tab/>
        <w:t>(a)</w:t>
      </w:r>
      <w:r>
        <w:tab/>
        <w:t>is</w:t>
      </w:r>
      <w:r>
        <w:rPr>
          <w:snapToGrid w:val="0"/>
        </w:rPr>
        <w:t xml:space="preserve"> </w:t>
      </w:r>
      <w:r>
        <w:t>the number of transactions that occurred at the business premises to which the licence applies in the 12 month period ending on the day on which the application for renewal is made; but</w:t>
      </w:r>
    </w:p>
    <w:p>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 period.</w:t>
      </w:r>
    </w:p>
    <w:p>
      <w:pPr>
        <w:pStyle w:val="THeadingNAm"/>
      </w:pPr>
      <w:r>
        <w:t>Table — Fees for renewal of licences</w:t>
      </w:r>
    </w:p>
    <w:tbl>
      <w:tblPr>
        <w:tblW w:w="4727"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9"/>
        <w:gridCol w:w="1703"/>
        <w:gridCol w:w="1420"/>
        <w:gridCol w:w="1420"/>
        <w:gridCol w:w="1418"/>
      </w:tblGrid>
      <w:tr>
        <w:trPr>
          <w:cantSplit/>
          <w:tblHeader/>
        </w:trPr>
        <w:tc>
          <w:tcPr>
            <w:tcW w:w="738" w:type="dxa"/>
            <w:noWrap/>
          </w:tcPr>
          <w:p>
            <w:pPr>
              <w:pStyle w:val="TableNAm"/>
              <w:jc w:val="center"/>
              <w:rPr>
                <w:b/>
              </w:rPr>
            </w:pPr>
            <w:r>
              <w:rPr>
                <w:b/>
              </w:rPr>
              <w:t>Item</w:t>
            </w:r>
          </w:p>
        </w:tc>
        <w:tc>
          <w:tcPr>
            <w:tcW w:w="1701" w:type="dxa"/>
            <w:noWrap/>
          </w:tcPr>
          <w:p>
            <w:pPr>
              <w:pStyle w:val="TableNAm"/>
              <w:jc w:val="center"/>
              <w:rPr>
                <w:b/>
              </w:rPr>
            </w:pPr>
            <w:r>
              <w:rPr>
                <w:b/>
              </w:rPr>
              <w:t>Licence</w:t>
            </w:r>
          </w:p>
        </w:tc>
        <w:tc>
          <w:tcPr>
            <w:tcW w:w="1418" w:type="dxa"/>
            <w:noWrap/>
          </w:tcPr>
          <w:p>
            <w:pPr>
              <w:pStyle w:val="TableNAm"/>
              <w:jc w:val="center"/>
              <w:rPr>
                <w:b/>
              </w:rPr>
            </w:pPr>
            <w:r>
              <w:rPr>
                <w:b/>
              </w:rPr>
              <w:t>For period not exceeding 1 year</w:t>
            </w:r>
            <w:r>
              <w:rPr>
                <w:b/>
              </w:rPr>
              <w:br/>
            </w:r>
            <w:r>
              <w:rPr>
                <w:b/>
              </w:rPr>
              <w:br/>
            </w:r>
            <w:r>
              <w:rPr>
                <w:b/>
              </w:rPr>
              <w:br/>
              <w:t>$</w:t>
            </w:r>
          </w:p>
        </w:tc>
        <w:tc>
          <w:tcPr>
            <w:tcW w:w="1418" w:type="dxa"/>
            <w:noWrap/>
          </w:tcPr>
          <w:p>
            <w:pPr>
              <w:pStyle w:val="TableNAm"/>
              <w:jc w:val="center"/>
              <w:rPr>
                <w:b/>
              </w:rPr>
            </w:pPr>
            <w:r>
              <w:rPr>
                <w:b/>
              </w:rPr>
              <w:t>For period not exceeding 2 years but longer than 1 year</w:t>
            </w:r>
            <w:r>
              <w:rPr>
                <w:b/>
              </w:rPr>
              <w:br/>
              <w:t>$</w:t>
            </w:r>
          </w:p>
        </w:tc>
        <w:tc>
          <w:tcPr>
            <w:tcW w:w="1416" w:type="dxa"/>
            <w:noWrap/>
          </w:tcPr>
          <w:p>
            <w:pPr>
              <w:pStyle w:val="TableNAm"/>
              <w:jc w:val="center"/>
              <w:rPr>
                <w:b/>
              </w:rPr>
            </w:pPr>
            <w:r>
              <w:rPr>
                <w:b/>
              </w:rPr>
              <w:t>For period not exceeding 3 years but longer than 2 years</w:t>
            </w:r>
            <w:r>
              <w:rPr>
                <w:b/>
              </w:rPr>
              <w:br/>
              <w:t>$</w:t>
            </w:r>
          </w:p>
        </w:tc>
      </w:tr>
      <w:tr>
        <w:trPr>
          <w:cantSplit/>
        </w:trPr>
        <w:tc>
          <w:tcPr>
            <w:tcW w:w="738" w:type="dxa"/>
            <w:noWrap/>
          </w:tcPr>
          <w:p>
            <w:pPr>
              <w:pStyle w:val="TableNAm"/>
              <w:rPr>
                <w:b/>
              </w:rPr>
            </w:pPr>
            <w:r>
              <w:rPr>
                <w:b/>
              </w:rPr>
              <w:t>1.</w:t>
            </w:r>
          </w:p>
        </w:tc>
        <w:tc>
          <w:tcPr>
            <w:tcW w:w="1701" w:type="dxa"/>
            <w:noWrap/>
          </w:tcPr>
          <w:p>
            <w:pPr>
              <w:pStyle w:val="TableNAm"/>
              <w:rPr>
                <w:b/>
              </w:rPr>
            </w:pPr>
            <w:r>
              <w:rPr>
                <w:b/>
              </w:rPr>
              <w:t>Pawnbroker’s licence only</w:t>
            </w:r>
          </w:p>
        </w:tc>
        <w:tc>
          <w:tcPr>
            <w:tcW w:w="1418" w:type="dxa"/>
            <w:noWrap/>
          </w:tcPr>
          <w:p>
            <w:pPr>
              <w:pStyle w:val="TableNAm"/>
            </w:pPr>
          </w:p>
        </w:tc>
        <w:tc>
          <w:tcPr>
            <w:tcW w:w="1418" w:type="dxa"/>
            <w:noWrap/>
          </w:tcPr>
          <w:p>
            <w:pPr>
              <w:pStyle w:val="TableNAm"/>
            </w:pPr>
          </w:p>
        </w:tc>
        <w:tc>
          <w:tcPr>
            <w:tcW w:w="1416" w:type="dxa"/>
            <w:noWrap/>
          </w:tcPr>
          <w:p>
            <w:pPr>
              <w:pStyle w:val="TableNAm"/>
            </w:pPr>
          </w:p>
        </w:tc>
      </w:tr>
      <w:tr>
        <w:trPr>
          <w:cantSplit/>
        </w:trPr>
        <w:tc>
          <w:tcPr>
            <w:tcW w:w="738" w:type="dxa"/>
            <w:noWrap/>
          </w:tcPr>
          <w:p>
            <w:pPr>
              <w:pStyle w:val="TableNAm"/>
              <w:jc w:val="center"/>
            </w:pPr>
            <w:r>
              <w:t>(a)</w:t>
            </w:r>
          </w:p>
        </w:tc>
        <w:tc>
          <w:tcPr>
            <w:tcW w:w="1701" w:type="dxa"/>
            <w:noWrap/>
          </w:tcPr>
          <w:p>
            <w:pPr>
              <w:pStyle w:val="TableNAm"/>
            </w:pPr>
            <w:r>
              <w:t>150 or more transactions in a year</w:t>
            </w:r>
          </w:p>
        </w:tc>
        <w:tc>
          <w:tcPr>
            <w:tcW w:w="1418" w:type="dxa"/>
            <w:noWrap/>
            <w:vAlign w:val="bottom"/>
          </w:tcPr>
          <w:p>
            <w:pPr>
              <w:pStyle w:val="TableNAm"/>
              <w:ind w:right="346"/>
              <w:jc w:val="right"/>
            </w:pPr>
            <w:r>
              <w:t>5 347</w:t>
            </w:r>
          </w:p>
        </w:tc>
        <w:tc>
          <w:tcPr>
            <w:tcW w:w="1418" w:type="dxa"/>
            <w:noWrap/>
            <w:vAlign w:val="bottom"/>
          </w:tcPr>
          <w:p>
            <w:pPr>
              <w:pStyle w:val="TableNAm"/>
              <w:ind w:right="346"/>
              <w:jc w:val="right"/>
            </w:pPr>
            <w:r>
              <w:t>7 402</w:t>
            </w:r>
          </w:p>
        </w:tc>
        <w:tc>
          <w:tcPr>
            <w:tcW w:w="1416" w:type="dxa"/>
            <w:noWrap/>
            <w:vAlign w:val="bottom"/>
          </w:tcPr>
          <w:p>
            <w:pPr>
              <w:pStyle w:val="TableNAm"/>
              <w:ind w:right="346"/>
              <w:jc w:val="right"/>
            </w:pPr>
            <w:r>
              <w:t>9 457</w:t>
            </w:r>
          </w:p>
        </w:tc>
      </w:tr>
      <w:tr>
        <w:trPr>
          <w:cantSplit/>
        </w:trPr>
        <w:tc>
          <w:tcPr>
            <w:tcW w:w="738" w:type="dxa"/>
            <w:noWrap/>
          </w:tcPr>
          <w:p>
            <w:pPr>
              <w:pStyle w:val="TableNAm"/>
              <w:jc w:val="center"/>
            </w:pPr>
            <w:r>
              <w:t>(b)</w:t>
            </w:r>
          </w:p>
        </w:tc>
        <w:tc>
          <w:tcPr>
            <w:tcW w:w="1701" w:type="dxa"/>
            <w:noWrap/>
          </w:tcPr>
          <w:p>
            <w:pPr>
              <w:pStyle w:val="TableNAm"/>
            </w:pPr>
            <w:r>
              <w:t>50</w:t>
            </w:r>
            <w:r>
              <w:noBreakHyphen/>
              <w:t>149 transactions in a year</w:t>
            </w:r>
          </w:p>
        </w:tc>
        <w:tc>
          <w:tcPr>
            <w:tcW w:w="1418" w:type="dxa"/>
            <w:noWrap/>
            <w:vAlign w:val="bottom"/>
          </w:tcPr>
          <w:p>
            <w:pPr>
              <w:pStyle w:val="TableNAm"/>
              <w:ind w:right="346"/>
              <w:jc w:val="right"/>
            </w:pPr>
            <w:r>
              <w:t>2 673</w:t>
            </w:r>
          </w:p>
        </w:tc>
        <w:tc>
          <w:tcPr>
            <w:tcW w:w="1418" w:type="dxa"/>
            <w:noWrap/>
            <w:vAlign w:val="bottom"/>
          </w:tcPr>
          <w:p>
            <w:pPr>
              <w:pStyle w:val="TableNAm"/>
              <w:ind w:right="346"/>
              <w:jc w:val="right"/>
            </w:pPr>
            <w:r>
              <w:t>3 701</w:t>
            </w:r>
          </w:p>
        </w:tc>
        <w:tc>
          <w:tcPr>
            <w:tcW w:w="1416" w:type="dxa"/>
            <w:noWrap/>
            <w:vAlign w:val="bottom"/>
          </w:tcPr>
          <w:p>
            <w:pPr>
              <w:pStyle w:val="TableNAm"/>
              <w:ind w:right="346"/>
              <w:jc w:val="right"/>
            </w:pPr>
            <w:r>
              <w:t>4 728</w:t>
            </w:r>
          </w:p>
        </w:tc>
      </w:tr>
      <w:tr>
        <w:trPr>
          <w:cantSplit/>
        </w:trPr>
        <w:tc>
          <w:tcPr>
            <w:tcW w:w="738" w:type="dxa"/>
            <w:noWrap/>
          </w:tcPr>
          <w:p>
            <w:pPr>
              <w:pStyle w:val="TableNAm"/>
              <w:jc w:val="center"/>
            </w:pPr>
            <w:r>
              <w:t>(c)</w:t>
            </w:r>
          </w:p>
        </w:tc>
        <w:tc>
          <w:tcPr>
            <w:tcW w:w="1701" w:type="dxa"/>
            <w:noWrap/>
          </w:tcPr>
          <w:p>
            <w:pPr>
              <w:pStyle w:val="TableNAm"/>
            </w:pPr>
            <w:r>
              <w:t>0</w:t>
            </w:r>
            <w:r>
              <w:noBreakHyphen/>
              <w:t>49 transactions in a year</w:t>
            </w:r>
          </w:p>
        </w:tc>
        <w:tc>
          <w:tcPr>
            <w:tcW w:w="1418" w:type="dxa"/>
            <w:noWrap/>
            <w:vAlign w:val="bottom"/>
          </w:tcPr>
          <w:p>
            <w:pPr>
              <w:pStyle w:val="TableNAm"/>
              <w:ind w:right="346"/>
              <w:jc w:val="right"/>
            </w:pPr>
            <w:r>
              <w:t>1 336</w:t>
            </w:r>
          </w:p>
        </w:tc>
        <w:tc>
          <w:tcPr>
            <w:tcW w:w="1418" w:type="dxa"/>
            <w:noWrap/>
            <w:vAlign w:val="bottom"/>
          </w:tcPr>
          <w:p>
            <w:pPr>
              <w:pStyle w:val="TableNAm"/>
              <w:ind w:right="346"/>
              <w:jc w:val="right"/>
            </w:pPr>
            <w:r>
              <w:t>1 850</w:t>
            </w:r>
          </w:p>
        </w:tc>
        <w:tc>
          <w:tcPr>
            <w:tcW w:w="1416" w:type="dxa"/>
            <w:noWrap/>
            <w:vAlign w:val="bottom"/>
          </w:tcPr>
          <w:p>
            <w:pPr>
              <w:pStyle w:val="TableNAm"/>
              <w:ind w:right="346"/>
              <w:jc w:val="right"/>
            </w:pPr>
            <w:r>
              <w:t>2 364</w:t>
            </w:r>
          </w:p>
        </w:tc>
      </w:tr>
      <w:tr>
        <w:trPr>
          <w:cantSplit/>
        </w:trPr>
        <w:tc>
          <w:tcPr>
            <w:tcW w:w="738" w:type="dxa"/>
            <w:noWrap/>
          </w:tcPr>
          <w:p>
            <w:pPr>
              <w:pStyle w:val="TableNAm"/>
              <w:keepNext/>
              <w:rPr>
                <w:b/>
              </w:rPr>
            </w:pPr>
            <w:r>
              <w:rPr>
                <w:b/>
              </w:rPr>
              <w:t>2.</w:t>
            </w:r>
          </w:p>
        </w:tc>
        <w:tc>
          <w:tcPr>
            <w:tcW w:w="1701" w:type="dxa"/>
            <w:noWrap/>
          </w:tcPr>
          <w:p>
            <w:pPr>
              <w:pStyle w:val="TableNAm"/>
              <w:rPr>
                <w:b/>
              </w:rPr>
            </w:pPr>
            <w:r>
              <w:rPr>
                <w:b/>
              </w:rPr>
              <w:t>Second</w:t>
            </w:r>
            <w:r>
              <w:rPr>
                <w:b/>
              </w:rPr>
              <w:noBreakHyphen/>
              <w:t>hand dealer’s licence only</w:t>
            </w:r>
          </w:p>
        </w:tc>
        <w:tc>
          <w:tcPr>
            <w:tcW w:w="1418" w:type="dxa"/>
            <w:noWrap/>
          </w:tcPr>
          <w:p>
            <w:pPr>
              <w:pStyle w:val="TableNAm"/>
            </w:pPr>
          </w:p>
        </w:tc>
        <w:tc>
          <w:tcPr>
            <w:tcW w:w="1418" w:type="dxa"/>
            <w:noWrap/>
          </w:tcPr>
          <w:p>
            <w:pPr>
              <w:pStyle w:val="TableNAm"/>
            </w:pPr>
          </w:p>
        </w:tc>
        <w:tc>
          <w:tcPr>
            <w:tcW w:w="1416" w:type="dxa"/>
            <w:noWrap/>
          </w:tcPr>
          <w:p>
            <w:pPr>
              <w:pStyle w:val="TableNAm"/>
            </w:pPr>
          </w:p>
        </w:tc>
      </w:tr>
      <w:tr>
        <w:trPr>
          <w:cantSplit/>
        </w:trPr>
        <w:tc>
          <w:tcPr>
            <w:tcW w:w="738" w:type="dxa"/>
            <w:noWrap/>
          </w:tcPr>
          <w:p>
            <w:pPr>
              <w:pStyle w:val="TableNAm"/>
              <w:jc w:val="center"/>
            </w:pPr>
            <w:r>
              <w:t>(a)</w:t>
            </w:r>
          </w:p>
        </w:tc>
        <w:tc>
          <w:tcPr>
            <w:tcW w:w="1701" w:type="dxa"/>
            <w:noWrap/>
          </w:tcPr>
          <w:p>
            <w:pPr>
              <w:pStyle w:val="TableNAm"/>
            </w:pPr>
            <w:r>
              <w:t>150 or more transactions in a year</w:t>
            </w:r>
          </w:p>
        </w:tc>
        <w:tc>
          <w:tcPr>
            <w:tcW w:w="1418" w:type="dxa"/>
            <w:noWrap/>
            <w:vAlign w:val="bottom"/>
          </w:tcPr>
          <w:p>
            <w:pPr>
              <w:pStyle w:val="TableNAm"/>
              <w:ind w:right="346"/>
              <w:jc w:val="right"/>
            </w:pPr>
            <w:r>
              <w:t>5 347</w:t>
            </w:r>
          </w:p>
        </w:tc>
        <w:tc>
          <w:tcPr>
            <w:tcW w:w="1418" w:type="dxa"/>
            <w:noWrap/>
            <w:vAlign w:val="bottom"/>
          </w:tcPr>
          <w:p>
            <w:pPr>
              <w:pStyle w:val="TableNAm"/>
              <w:ind w:right="346"/>
              <w:jc w:val="right"/>
            </w:pPr>
            <w:r>
              <w:t>7 402</w:t>
            </w:r>
          </w:p>
        </w:tc>
        <w:tc>
          <w:tcPr>
            <w:tcW w:w="1416" w:type="dxa"/>
            <w:noWrap/>
            <w:vAlign w:val="bottom"/>
          </w:tcPr>
          <w:p>
            <w:pPr>
              <w:pStyle w:val="TableNAm"/>
              <w:ind w:right="346"/>
              <w:jc w:val="right"/>
            </w:pPr>
            <w:r>
              <w:t>9 457</w:t>
            </w:r>
          </w:p>
        </w:tc>
      </w:tr>
      <w:tr>
        <w:trPr>
          <w:cantSplit/>
        </w:trPr>
        <w:tc>
          <w:tcPr>
            <w:tcW w:w="738" w:type="dxa"/>
            <w:noWrap/>
          </w:tcPr>
          <w:p>
            <w:pPr>
              <w:pStyle w:val="TableNAm"/>
              <w:jc w:val="center"/>
            </w:pPr>
            <w:r>
              <w:t>(b)</w:t>
            </w:r>
          </w:p>
        </w:tc>
        <w:tc>
          <w:tcPr>
            <w:tcW w:w="1701" w:type="dxa"/>
            <w:noWrap/>
          </w:tcPr>
          <w:p>
            <w:pPr>
              <w:pStyle w:val="TableNAm"/>
            </w:pPr>
            <w:r>
              <w:t>50</w:t>
            </w:r>
            <w:r>
              <w:noBreakHyphen/>
              <w:t>149 transactions in a year</w:t>
            </w:r>
          </w:p>
        </w:tc>
        <w:tc>
          <w:tcPr>
            <w:tcW w:w="1418" w:type="dxa"/>
            <w:noWrap/>
            <w:vAlign w:val="bottom"/>
          </w:tcPr>
          <w:p>
            <w:pPr>
              <w:pStyle w:val="TableNAm"/>
              <w:ind w:right="346"/>
              <w:jc w:val="right"/>
            </w:pPr>
            <w:r>
              <w:t>2 673</w:t>
            </w:r>
          </w:p>
        </w:tc>
        <w:tc>
          <w:tcPr>
            <w:tcW w:w="1418" w:type="dxa"/>
            <w:noWrap/>
            <w:vAlign w:val="bottom"/>
          </w:tcPr>
          <w:p>
            <w:pPr>
              <w:pStyle w:val="TableNAm"/>
              <w:ind w:right="346"/>
              <w:jc w:val="right"/>
            </w:pPr>
            <w:r>
              <w:t>3 701</w:t>
            </w:r>
          </w:p>
        </w:tc>
        <w:tc>
          <w:tcPr>
            <w:tcW w:w="1416" w:type="dxa"/>
            <w:noWrap/>
            <w:vAlign w:val="bottom"/>
          </w:tcPr>
          <w:p>
            <w:pPr>
              <w:pStyle w:val="TableNAm"/>
              <w:ind w:right="346"/>
              <w:jc w:val="right"/>
            </w:pPr>
            <w:r>
              <w:t>4 728</w:t>
            </w:r>
          </w:p>
        </w:tc>
      </w:tr>
      <w:tr>
        <w:trPr>
          <w:cantSplit/>
        </w:trPr>
        <w:tc>
          <w:tcPr>
            <w:tcW w:w="738" w:type="dxa"/>
            <w:noWrap/>
          </w:tcPr>
          <w:p>
            <w:pPr>
              <w:pStyle w:val="TableNAm"/>
              <w:jc w:val="center"/>
            </w:pPr>
            <w:r>
              <w:t>(c)</w:t>
            </w:r>
          </w:p>
        </w:tc>
        <w:tc>
          <w:tcPr>
            <w:tcW w:w="1701" w:type="dxa"/>
            <w:noWrap/>
          </w:tcPr>
          <w:p>
            <w:pPr>
              <w:pStyle w:val="TableNAm"/>
            </w:pPr>
            <w:r>
              <w:t>0</w:t>
            </w:r>
            <w:r>
              <w:noBreakHyphen/>
              <w:t>49 transactions in a year</w:t>
            </w:r>
          </w:p>
        </w:tc>
        <w:tc>
          <w:tcPr>
            <w:tcW w:w="1418" w:type="dxa"/>
            <w:noWrap/>
            <w:vAlign w:val="bottom"/>
          </w:tcPr>
          <w:p>
            <w:pPr>
              <w:pStyle w:val="TableNAm"/>
              <w:ind w:right="346"/>
              <w:jc w:val="right"/>
            </w:pPr>
            <w:r>
              <w:t>1 336</w:t>
            </w:r>
          </w:p>
        </w:tc>
        <w:tc>
          <w:tcPr>
            <w:tcW w:w="1418" w:type="dxa"/>
            <w:noWrap/>
            <w:vAlign w:val="bottom"/>
          </w:tcPr>
          <w:p>
            <w:pPr>
              <w:pStyle w:val="TableNAm"/>
              <w:ind w:right="346"/>
              <w:jc w:val="right"/>
            </w:pPr>
            <w:r>
              <w:t>1 850</w:t>
            </w:r>
          </w:p>
        </w:tc>
        <w:tc>
          <w:tcPr>
            <w:tcW w:w="1416" w:type="dxa"/>
            <w:noWrap/>
            <w:vAlign w:val="bottom"/>
          </w:tcPr>
          <w:p>
            <w:pPr>
              <w:pStyle w:val="TableNAm"/>
              <w:ind w:right="346"/>
              <w:jc w:val="right"/>
            </w:pPr>
            <w:r>
              <w:t>2 364</w:t>
            </w:r>
          </w:p>
        </w:tc>
      </w:tr>
      <w:tr>
        <w:trPr>
          <w:cantSplit/>
        </w:trPr>
        <w:tc>
          <w:tcPr>
            <w:tcW w:w="738" w:type="dxa"/>
            <w:noWrap/>
          </w:tcPr>
          <w:p>
            <w:pPr>
              <w:pStyle w:val="TableNAm"/>
              <w:rPr>
                <w:b/>
              </w:rPr>
            </w:pPr>
            <w:r>
              <w:rPr>
                <w:b/>
              </w:rPr>
              <w:t>3.</w:t>
            </w:r>
          </w:p>
        </w:tc>
        <w:tc>
          <w:tcPr>
            <w:tcW w:w="1701" w:type="dxa"/>
            <w:noWrap/>
          </w:tcPr>
          <w:p>
            <w:pPr>
              <w:pStyle w:val="TableNAm"/>
              <w:rPr>
                <w:b/>
              </w:rPr>
            </w:pPr>
            <w:r>
              <w:rPr>
                <w:b/>
              </w:rPr>
              <w:t>Pawnbroker’s licence and second</w:t>
            </w:r>
            <w:r>
              <w:rPr>
                <w:b/>
              </w:rPr>
              <w:noBreakHyphen/>
              <w:t>hand dealer’s licence</w:t>
            </w:r>
          </w:p>
        </w:tc>
        <w:tc>
          <w:tcPr>
            <w:tcW w:w="1418" w:type="dxa"/>
            <w:noWrap/>
          </w:tcPr>
          <w:p>
            <w:pPr>
              <w:pStyle w:val="TableNAm"/>
            </w:pPr>
          </w:p>
        </w:tc>
        <w:tc>
          <w:tcPr>
            <w:tcW w:w="1418" w:type="dxa"/>
            <w:noWrap/>
          </w:tcPr>
          <w:p>
            <w:pPr>
              <w:pStyle w:val="TableNAm"/>
            </w:pPr>
          </w:p>
        </w:tc>
        <w:tc>
          <w:tcPr>
            <w:tcW w:w="1416" w:type="dxa"/>
            <w:noWrap/>
          </w:tcPr>
          <w:p>
            <w:pPr>
              <w:pStyle w:val="TableNAm"/>
            </w:pPr>
          </w:p>
        </w:tc>
      </w:tr>
      <w:tr>
        <w:trPr>
          <w:cantSplit/>
        </w:trPr>
        <w:tc>
          <w:tcPr>
            <w:tcW w:w="738" w:type="dxa"/>
            <w:noWrap/>
          </w:tcPr>
          <w:p>
            <w:pPr>
              <w:pStyle w:val="TableNAm"/>
              <w:jc w:val="center"/>
            </w:pPr>
            <w:r>
              <w:t>(a)</w:t>
            </w:r>
          </w:p>
        </w:tc>
        <w:tc>
          <w:tcPr>
            <w:tcW w:w="1701" w:type="dxa"/>
            <w:noWrap/>
          </w:tcPr>
          <w:p>
            <w:pPr>
              <w:pStyle w:val="TableNAm"/>
            </w:pPr>
            <w:r>
              <w:t>150 or more transactions in a year</w:t>
            </w:r>
          </w:p>
        </w:tc>
        <w:tc>
          <w:tcPr>
            <w:tcW w:w="1418" w:type="dxa"/>
            <w:noWrap/>
            <w:vAlign w:val="bottom"/>
          </w:tcPr>
          <w:p>
            <w:pPr>
              <w:pStyle w:val="TableNAm"/>
              <w:ind w:right="346"/>
              <w:jc w:val="right"/>
            </w:pPr>
            <w:r>
              <w:t>5 362</w:t>
            </w:r>
          </w:p>
        </w:tc>
        <w:tc>
          <w:tcPr>
            <w:tcW w:w="1418" w:type="dxa"/>
            <w:noWrap/>
            <w:vAlign w:val="bottom"/>
          </w:tcPr>
          <w:p>
            <w:pPr>
              <w:pStyle w:val="TableNAm"/>
              <w:ind w:right="346"/>
              <w:jc w:val="right"/>
            </w:pPr>
            <w:r>
              <w:t>7 427</w:t>
            </w:r>
          </w:p>
        </w:tc>
        <w:tc>
          <w:tcPr>
            <w:tcW w:w="1416" w:type="dxa"/>
            <w:noWrap/>
            <w:vAlign w:val="bottom"/>
          </w:tcPr>
          <w:p>
            <w:pPr>
              <w:pStyle w:val="TableNAm"/>
              <w:ind w:right="346"/>
              <w:jc w:val="right"/>
            </w:pPr>
            <w:r>
              <w:t>9 492</w:t>
            </w:r>
          </w:p>
        </w:tc>
      </w:tr>
      <w:tr>
        <w:trPr>
          <w:cantSplit/>
        </w:trPr>
        <w:tc>
          <w:tcPr>
            <w:tcW w:w="738" w:type="dxa"/>
            <w:noWrap/>
          </w:tcPr>
          <w:p>
            <w:pPr>
              <w:pStyle w:val="TableNAm"/>
              <w:jc w:val="center"/>
            </w:pPr>
            <w:r>
              <w:t>(b)</w:t>
            </w:r>
          </w:p>
        </w:tc>
        <w:tc>
          <w:tcPr>
            <w:tcW w:w="1701" w:type="dxa"/>
            <w:noWrap/>
          </w:tcPr>
          <w:p>
            <w:pPr>
              <w:pStyle w:val="TableNAm"/>
            </w:pPr>
            <w:r>
              <w:t>50</w:t>
            </w:r>
            <w:r>
              <w:noBreakHyphen/>
              <w:t>149 transactions in a year</w:t>
            </w:r>
          </w:p>
        </w:tc>
        <w:tc>
          <w:tcPr>
            <w:tcW w:w="1418" w:type="dxa"/>
            <w:noWrap/>
            <w:vAlign w:val="bottom"/>
          </w:tcPr>
          <w:p>
            <w:pPr>
              <w:pStyle w:val="TableNAm"/>
              <w:ind w:right="346"/>
              <w:jc w:val="right"/>
            </w:pPr>
            <w:r>
              <w:t>2 681</w:t>
            </w:r>
          </w:p>
        </w:tc>
        <w:tc>
          <w:tcPr>
            <w:tcW w:w="1418" w:type="dxa"/>
            <w:noWrap/>
            <w:vAlign w:val="bottom"/>
          </w:tcPr>
          <w:p>
            <w:pPr>
              <w:pStyle w:val="TableNAm"/>
              <w:ind w:right="346"/>
              <w:jc w:val="right"/>
            </w:pPr>
            <w:r>
              <w:t>3 713</w:t>
            </w:r>
          </w:p>
        </w:tc>
        <w:tc>
          <w:tcPr>
            <w:tcW w:w="1416" w:type="dxa"/>
            <w:noWrap/>
            <w:vAlign w:val="bottom"/>
          </w:tcPr>
          <w:p>
            <w:pPr>
              <w:pStyle w:val="TableNAm"/>
              <w:ind w:right="346"/>
              <w:jc w:val="right"/>
            </w:pPr>
            <w:r>
              <w:t>4 746</w:t>
            </w:r>
          </w:p>
        </w:tc>
      </w:tr>
      <w:tr>
        <w:trPr>
          <w:cantSplit/>
        </w:trPr>
        <w:tc>
          <w:tcPr>
            <w:tcW w:w="738" w:type="dxa"/>
            <w:noWrap/>
          </w:tcPr>
          <w:p>
            <w:pPr>
              <w:pStyle w:val="TableNAm"/>
              <w:jc w:val="center"/>
            </w:pPr>
            <w:r>
              <w:t>(c)</w:t>
            </w:r>
          </w:p>
        </w:tc>
        <w:tc>
          <w:tcPr>
            <w:tcW w:w="1701" w:type="dxa"/>
            <w:noWrap/>
          </w:tcPr>
          <w:p>
            <w:pPr>
              <w:pStyle w:val="TableNAm"/>
            </w:pPr>
            <w:r>
              <w:t>0</w:t>
            </w:r>
            <w:r>
              <w:noBreakHyphen/>
              <w:t>49 transactions in a year</w:t>
            </w:r>
          </w:p>
        </w:tc>
        <w:tc>
          <w:tcPr>
            <w:tcW w:w="1418" w:type="dxa"/>
            <w:noWrap/>
            <w:vAlign w:val="bottom"/>
          </w:tcPr>
          <w:p>
            <w:pPr>
              <w:pStyle w:val="TableNAm"/>
              <w:ind w:right="346"/>
              <w:jc w:val="right"/>
            </w:pPr>
            <w:r>
              <w:t>1 340</w:t>
            </w:r>
          </w:p>
        </w:tc>
        <w:tc>
          <w:tcPr>
            <w:tcW w:w="1418" w:type="dxa"/>
            <w:noWrap/>
            <w:vAlign w:val="bottom"/>
          </w:tcPr>
          <w:p>
            <w:pPr>
              <w:pStyle w:val="TableNAm"/>
              <w:ind w:right="346"/>
              <w:jc w:val="right"/>
            </w:pPr>
            <w:r>
              <w:t>1 856</w:t>
            </w:r>
          </w:p>
        </w:tc>
        <w:tc>
          <w:tcPr>
            <w:tcW w:w="1416" w:type="dxa"/>
            <w:noWrap/>
            <w:vAlign w:val="bottom"/>
          </w:tcPr>
          <w:p>
            <w:pPr>
              <w:pStyle w:val="TableNAm"/>
              <w:ind w:right="346"/>
              <w:jc w:val="right"/>
            </w:pPr>
            <w:r>
              <w:t>2 373</w:t>
            </w:r>
          </w:p>
        </w:tc>
      </w:tr>
    </w:tbl>
    <w:p>
      <w:pPr>
        <w:pStyle w:val="Footnotesection"/>
        <w:keepLines w:val="0"/>
        <w:spacing w:before="100"/>
        <w:ind w:left="890" w:hanging="890"/>
      </w:pPr>
      <w:r>
        <w:tab/>
        <w:t>[Regulation 29 amended: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 15 Jun 2012 p. 2537-8; 28 Jun 2013 p. 2784</w:t>
      </w:r>
      <w:r>
        <w:rPr>
          <w:spacing w:val="-4"/>
        </w:rPr>
        <w:noBreakHyphen/>
        <w:t>6; 17 Jun 2014 p. 1994</w:t>
      </w:r>
      <w:r>
        <w:rPr>
          <w:spacing w:val="-4"/>
        </w:rPr>
        <w:noBreakHyphen/>
        <w:t>6; 2 Jun 2015 p. 1951</w:t>
      </w:r>
      <w:r>
        <w:rPr>
          <w:spacing w:val="-4"/>
        </w:rPr>
        <w:noBreakHyphen/>
        <w:t>2; 14 Jun 2016 p. 1829</w:t>
      </w:r>
      <w:r>
        <w:rPr>
          <w:spacing w:val="-4"/>
        </w:rPr>
        <w:noBreakHyphen/>
        <w:t>31; 27 Jun 2017 p. 3444</w:t>
      </w:r>
      <w:r>
        <w:rPr>
          <w:spacing w:val="-4"/>
        </w:rPr>
        <w:noBreakHyphen/>
        <w:t>6; 26 Jun 2018 p. 2396</w:t>
      </w:r>
      <w:r>
        <w:rPr>
          <w:spacing w:val="-4"/>
        </w:rPr>
        <w:noBreakHyphen/>
        <w:t>7; 21 Jun 2019 p. 2145</w:t>
      </w:r>
      <w:r>
        <w:rPr>
          <w:spacing w:val="-4"/>
        </w:rPr>
        <w:noBreakHyphen/>
        <w:t>7; SL 2020/82 r. 7; SL 2020/147 r. 9; SL 2021/106 r. 7; SL 2022/65 r. 7; SL 2023/74 r. 7</w:t>
      </w:r>
      <w:r>
        <w:t>.]</w:t>
      </w:r>
    </w:p>
    <w:p>
      <w:pPr>
        <w:pStyle w:val="Heading5"/>
        <w:rPr>
          <w:snapToGrid w:val="0"/>
        </w:rPr>
      </w:pPr>
      <w:bookmarkStart w:id="72" w:name="_Toc168930165"/>
      <w:bookmarkStart w:id="73" w:name="_Toc138857769"/>
      <w:r>
        <w:rPr>
          <w:rStyle w:val="CharSectno"/>
        </w:rPr>
        <w:t>30</w:t>
      </w:r>
      <w:r>
        <w:rPr>
          <w:snapToGrid w:val="0"/>
        </w:rPr>
        <w:t>.</w:t>
      </w:r>
      <w:r>
        <w:rPr>
          <w:snapToGrid w:val="0"/>
        </w:rPr>
        <w:tab/>
        <w:t>Refund of fees, when payable</w:t>
      </w:r>
      <w:bookmarkEnd w:id="72"/>
      <w:bookmarkEnd w:id="73"/>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keepNext/>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Gazette 12 Jun 1998 p. 3200.]</w:t>
      </w:r>
    </w:p>
    <w:p>
      <w:pPr>
        <w:pStyle w:val="Heading5"/>
        <w:rPr>
          <w:snapToGrid w:val="0"/>
          <w:spacing w:val="-4"/>
        </w:rPr>
      </w:pPr>
      <w:bookmarkStart w:id="74" w:name="_Toc168930166"/>
      <w:bookmarkStart w:id="75" w:name="_Toc138857770"/>
      <w:r>
        <w:rPr>
          <w:rStyle w:val="CharSectno"/>
          <w:spacing w:val="-4"/>
        </w:rPr>
        <w:t>31</w:t>
      </w:r>
      <w:r>
        <w:rPr>
          <w:snapToGrid w:val="0"/>
          <w:spacing w:val="-4"/>
        </w:rPr>
        <w:t>.</w:t>
      </w:r>
      <w:r>
        <w:rPr>
          <w:snapToGrid w:val="0"/>
          <w:spacing w:val="-4"/>
        </w:rPr>
        <w:tab/>
        <w:t>Fee prescribed for inspecting register (Act s. 28(2))</w:t>
      </w:r>
      <w:bookmarkEnd w:id="74"/>
      <w:bookmarkEnd w:id="75"/>
    </w:p>
    <w:p>
      <w:pPr>
        <w:pStyle w:val="Subsection"/>
        <w:rPr>
          <w:snapToGrid w:val="0"/>
        </w:rPr>
      </w:pPr>
      <w:r>
        <w:rPr>
          <w:snapToGrid w:val="0"/>
        </w:rPr>
        <w:tab/>
      </w:r>
      <w:r>
        <w:rPr>
          <w:snapToGrid w:val="0"/>
        </w:rPr>
        <w:tab/>
        <w:t>The fee for each inspection of the register kept under section 28(1) is $12.</w:t>
      </w:r>
    </w:p>
    <w:p>
      <w:pPr>
        <w:pStyle w:val="Footnotesection"/>
      </w:pPr>
      <w:r>
        <w:tab/>
        <w:t>[Regulation 31 amended: Gazette 10 Jun 1997 p. 2669; 12 June 1998 p. 3200; 30 Jun 1999 p. 2864; 28 Jun 2002 p. 3102; 1 Jul 2005 p. 3006; 26 May 2009 p. 1810.]</w:t>
      </w:r>
    </w:p>
    <w:p>
      <w:pPr>
        <w:pStyle w:val="Heading2"/>
      </w:pPr>
      <w:bookmarkStart w:id="76" w:name="_Toc168660595"/>
      <w:bookmarkStart w:id="77" w:name="_Toc168660735"/>
      <w:bookmarkStart w:id="78" w:name="_Toc168930167"/>
      <w:bookmarkStart w:id="79" w:name="_Toc138691707"/>
      <w:bookmarkStart w:id="80" w:name="_Toc138692011"/>
      <w:bookmarkStart w:id="81" w:name="_Toc138857016"/>
      <w:bookmarkStart w:id="82" w:name="_Toc138857771"/>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76"/>
      <w:bookmarkEnd w:id="77"/>
      <w:bookmarkEnd w:id="78"/>
      <w:bookmarkEnd w:id="79"/>
      <w:bookmarkEnd w:id="80"/>
      <w:bookmarkEnd w:id="81"/>
      <w:bookmarkEnd w:id="82"/>
    </w:p>
    <w:p>
      <w:pPr>
        <w:pStyle w:val="Footnoteheading"/>
      </w:pPr>
      <w:r>
        <w:tab/>
        <w:t>[Heading inserted: Gazette 28 Jul 2000 p. 4025.]</w:t>
      </w:r>
    </w:p>
    <w:p>
      <w:pPr>
        <w:pStyle w:val="Heading5"/>
      </w:pPr>
      <w:bookmarkStart w:id="83" w:name="_Toc168930168"/>
      <w:bookmarkStart w:id="84" w:name="_Toc138857772"/>
      <w:r>
        <w:rPr>
          <w:rStyle w:val="CharSectno"/>
        </w:rPr>
        <w:t>32</w:t>
      </w:r>
      <w:r>
        <w:t>.</w:t>
      </w:r>
      <w:r>
        <w:tab/>
        <w:t>Offences and modified penalties prescribed (Act s. 90)</w:t>
      </w:r>
      <w:bookmarkEnd w:id="83"/>
      <w:bookmarkEnd w:id="84"/>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Gazette 28 Jul 2000 p. 4025</w:t>
      </w:r>
      <w:r>
        <w:noBreakHyphen/>
        <w:t>6; amended: Gazette 23 February 2001 p. 1170.]</w:t>
      </w:r>
    </w:p>
    <w:p>
      <w:pPr>
        <w:pStyle w:val="Heading2"/>
      </w:pPr>
      <w:bookmarkStart w:id="85" w:name="_Toc168660597"/>
      <w:bookmarkStart w:id="86" w:name="_Toc168660737"/>
      <w:bookmarkStart w:id="87" w:name="_Toc168930169"/>
      <w:bookmarkStart w:id="88" w:name="_Toc138691709"/>
      <w:bookmarkStart w:id="89" w:name="_Toc138692013"/>
      <w:bookmarkStart w:id="90" w:name="_Toc138857018"/>
      <w:bookmarkStart w:id="91" w:name="_Toc138857773"/>
      <w:r>
        <w:rPr>
          <w:rStyle w:val="CharPartNo"/>
        </w:rPr>
        <w:t>Part 8</w:t>
      </w:r>
      <w:r>
        <w:rPr>
          <w:b w:val="0"/>
        </w:rPr>
        <w:t> </w:t>
      </w:r>
      <w:r>
        <w:t>—</w:t>
      </w:r>
      <w:r>
        <w:rPr>
          <w:b w:val="0"/>
        </w:rPr>
        <w:t> </w:t>
      </w:r>
      <w:r>
        <w:rPr>
          <w:rStyle w:val="CharPartText"/>
        </w:rPr>
        <w:t>Transitional provisions</w:t>
      </w:r>
      <w:bookmarkEnd w:id="85"/>
      <w:bookmarkEnd w:id="86"/>
      <w:bookmarkEnd w:id="87"/>
      <w:bookmarkEnd w:id="88"/>
      <w:bookmarkEnd w:id="89"/>
      <w:bookmarkEnd w:id="90"/>
      <w:bookmarkEnd w:id="91"/>
    </w:p>
    <w:p>
      <w:pPr>
        <w:pStyle w:val="Footnoteheading"/>
      </w:pPr>
      <w:r>
        <w:tab/>
        <w:t>[Heading inserted: SL 2020/147 r. 10.]</w:t>
      </w:r>
    </w:p>
    <w:p>
      <w:pPr>
        <w:pStyle w:val="Heading5"/>
      </w:pPr>
      <w:bookmarkStart w:id="92" w:name="_Toc168930170"/>
      <w:bookmarkStart w:id="93" w:name="_Toc138857774"/>
      <w:r>
        <w:rPr>
          <w:rStyle w:val="CharSectno"/>
        </w:rPr>
        <w:t>33</w:t>
      </w:r>
      <w:r>
        <w:t>.</w:t>
      </w:r>
      <w:r>
        <w:tab/>
        <w:t xml:space="preserve">Transitional provisions relating to </w:t>
      </w:r>
      <w:r>
        <w:rPr>
          <w:i/>
        </w:rPr>
        <w:t>Pawnbrokers and Second</w:t>
      </w:r>
      <w:r>
        <w:rPr>
          <w:i/>
        </w:rPr>
        <w:noBreakHyphen/>
        <w:t>hand Dealers Amendment Regulations 2020</w:t>
      </w:r>
      <w:bookmarkEnd w:id="92"/>
      <w:bookmarkEnd w:id="93"/>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Pawnbrokers and Second</w:t>
      </w:r>
      <w:r>
        <w:rPr>
          <w:i/>
        </w:rPr>
        <w:noBreakHyphen/>
        <w:t>hand Dealers Amendment Regulations 2020</w:t>
      </w:r>
      <w:r>
        <w:t xml:space="preserve"> regulation 7 comes into operation;</w:t>
      </w:r>
    </w:p>
    <w:p>
      <w:pPr>
        <w:pStyle w:val="Defstart"/>
      </w:pPr>
      <w:r>
        <w:tab/>
      </w:r>
      <w:r>
        <w:rPr>
          <w:rStyle w:val="CharDefText"/>
        </w:rPr>
        <w:t>current licence period</w:t>
      </w:r>
      <w:r>
        <w:t>, in relation to a person, means the person’s licence period in effect immediately before commencement day;</w:t>
      </w:r>
    </w:p>
    <w:p>
      <w:pPr>
        <w:pStyle w:val="Defstart"/>
      </w:pPr>
      <w:r>
        <w:tab/>
      </w:r>
      <w:r>
        <w:rPr>
          <w:rStyle w:val="CharDefText"/>
        </w:rPr>
        <w:t>relevant day</w:t>
      </w:r>
      <w:r>
        <w:t xml:space="preserve"> means the earlier of the following — </w:t>
      </w:r>
    </w:p>
    <w:p>
      <w:pPr>
        <w:pStyle w:val="Defpara"/>
      </w:pPr>
      <w:r>
        <w:tab/>
        <w:t>(a)</w:t>
      </w:r>
      <w:r>
        <w:tab/>
        <w:t>the day after the end of the current licence period;</w:t>
      </w:r>
    </w:p>
    <w:p>
      <w:pPr>
        <w:pStyle w:val="Defpara"/>
      </w:pPr>
      <w:r>
        <w:tab/>
        <w:t>(b)</w:t>
      </w:r>
      <w:r>
        <w:tab/>
        <w:t>1 February 2021.</w:t>
      </w:r>
    </w:p>
    <w:p>
      <w:pPr>
        <w:pStyle w:val="Subsection"/>
      </w:pPr>
      <w:r>
        <w:tab/>
        <w:t>(2)</w:t>
      </w:r>
      <w:r>
        <w:tab/>
        <w:t>Subregulation (3) applies in relation to a contract if —</w:t>
      </w:r>
    </w:p>
    <w:p>
      <w:pPr>
        <w:pStyle w:val="Indenta"/>
      </w:pPr>
      <w:r>
        <w:tab/>
        <w:t>(a)</w:t>
      </w:r>
      <w:r>
        <w:tab/>
        <w:t>the contract is entered into before commencement day; but</w:t>
      </w:r>
    </w:p>
    <w:p>
      <w:pPr>
        <w:pStyle w:val="Indenta"/>
      </w:pPr>
      <w:r>
        <w:tab/>
        <w:t>(b)</w:t>
      </w:r>
      <w:r>
        <w:tab/>
        <w:t>the information required to be given to the Commissioner under regulation 15(1) or (2) in relation to the goods that are the subject of the contract is not given before commencement day.</w:t>
      </w:r>
    </w:p>
    <w:p>
      <w:pPr>
        <w:pStyle w:val="Subsection"/>
      </w:pPr>
      <w:r>
        <w:tab/>
        <w:t>(3)</w:t>
      </w:r>
      <w:r>
        <w:tab/>
        <w:t xml:space="preserve">The information may be given to the Commissioner as if the </w:t>
      </w:r>
      <w:r>
        <w:rPr>
          <w:i/>
        </w:rPr>
        <w:t>Pawnbrokers and Second</w:t>
      </w:r>
      <w:r>
        <w:rPr>
          <w:i/>
        </w:rPr>
        <w:noBreakHyphen/>
        <w:t>hand Dealers Amendment Regulations 2020</w:t>
      </w:r>
      <w:r>
        <w:t xml:space="preserve"> regulation 7 had not come into operation.</w:t>
      </w:r>
    </w:p>
    <w:p>
      <w:pPr>
        <w:pStyle w:val="Subsection"/>
      </w:pPr>
      <w:r>
        <w:tab/>
        <w:t>(4)</w:t>
      </w:r>
      <w:r>
        <w:tab/>
        <w:t xml:space="preserve">Subregulation (5) applies if, immediately before commencement day — </w:t>
      </w:r>
    </w:p>
    <w:p>
      <w:pPr>
        <w:pStyle w:val="Indenta"/>
      </w:pPr>
      <w:r>
        <w:tab/>
        <w:t>(a)</w:t>
      </w:r>
      <w:r>
        <w:tab/>
        <w:t>a person holds a second</w:t>
      </w:r>
      <w:r>
        <w:noBreakHyphen/>
        <w:t>hand dealer’s licence only; and</w:t>
      </w:r>
    </w:p>
    <w:p>
      <w:pPr>
        <w:pStyle w:val="Indenta"/>
      </w:pPr>
      <w:r>
        <w:tab/>
        <w:t>(b)</w:t>
      </w:r>
      <w:r>
        <w:tab/>
        <w:t>an election to give the Commissioner information for the purposes of section 79 by way of transmission by facsimile machine is in effect in relation to the person.</w:t>
      </w:r>
    </w:p>
    <w:p>
      <w:pPr>
        <w:pStyle w:val="Subsection"/>
      </w:pPr>
      <w:r>
        <w:tab/>
        <w:t>(5)</w:t>
      </w:r>
      <w:r>
        <w:tab/>
        <w:t xml:space="preserve">The person may continue to give the Commissioner information for the purposes of section 79 by way of transmission by facsimile machine as if the </w:t>
      </w:r>
      <w:r>
        <w:rPr>
          <w:i/>
        </w:rPr>
        <w:t>Pawnbrokers and Second</w:t>
      </w:r>
      <w:r>
        <w:rPr>
          <w:i/>
        </w:rPr>
        <w:noBreakHyphen/>
        <w:t>hand Dealers Amendment Regulations 2020</w:t>
      </w:r>
      <w:r>
        <w:t xml:space="preserve"> regulation 7 had not come into operation.</w:t>
      </w:r>
    </w:p>
    <w:p>
      <w:pPr>
        <w:pStyle w:val="Subsection"/>
      </w:pPr>
      <w:r>
        <w:tab/>
        <w:t>(6)</w:t>
      </w:r>
      <w:r>
        <w:tab/>
        <w:t xml:space="preserve">Subregulation (5) ceases to apply in relation to the person — </w:t>
      </w:r>
    </w:p>
    <w:p>
      <w:pPr>
        <w:pStyle w:val="Indenta"/>
      </w:pPr>
      <w:r>
        <w:tab/>
        <w:t>(a)</w:t>
      </w:r>
      <w:r>
        <w:tab/>
        <w:t>unless paragraph (b) applies, on the relevant day; or</w:t>
      </w:r>
    </w:p>
    <w:p>
      <w:pPr>
        <w:pStyle w:val="Indenta"/>
      </w:pPr>
      <w:r>
        <w:tab/>
        <w:t>(b)</w:t>
      </w:r>
      <w:r>
        <w:tab/>
        <w:t>if an action is taken under section 27(3) in relation to the licence or the person before the relevant day — when the action is taken.</w:t>
      </w:r>
    </w:p>
    <w:p>
      <w:pPr>
        <w:pStyle w:val="Footnotesection"/>
      </w:pPr>
      <w:r>
        <w:tab/>
        <w:t>[Regulation 33 inserted: SL 2020/147 r. 10.]</w:t>
      </w:r>
    </w:p>
    <w:p>
      <w:pPr>
        <w:pStyle w:val="yEdnoteschedule"/>
      </w:pPr>
      <w:r>
        <w:t>[Schedule 1 deleted: Gazette 30 Dec 2004 p. 6975.]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94" w:name="_Toc168660599"/>
      <w:bookmarkStart w:id="95" w:name="_Toc168660739"/>
      <w:bookmarkStart w:id="96" w:name="_Toc168930171"/>
      <w:bookmarkStart w:id="97" w:name="_Toc138691711"/>
      <w:bookmarkStart w:id="98" w:name="_Toc138692015"/>
      <w:bookmarkStart w:id="99" w:name="_Toc138857020"/>
      <w:bookmarkStart w:id="100" w:name="_Toc138857775"/>
      <w:r>
        <w:t>Notes</w:t>
      </w:r>
      <w:bookmarkEnd w:id="94"/>
      <w:bookmarkEnd w:id="95"/>
      <w:bookmarkEnd w:id="96"/>
      <w:bookmarkEnd w:id="97"/>
      <w:bookmarkEnd w:id="98"/>
      <w:bookmarkEnd w:id="99"/>
      <w:bookmarkEnd w:id="100"/>
    </w:p>
    <w:p>
      <w:pPr>
        <w:pStyle w:val="nStatement"/>
      </w:pPr>
      <w:r>
        <w:t xml:space="preserve">This is a compilation of the </w:t>
      </w:r>
      <w:r>
        <w:rPr>
          <w:i/>
          <w:noProof/>
        </w:rPr>
        <w:t>Pawnbrokers and Second-hand Dealers Regulations 1996</w:t>
      </w:r>
      <w:r>
        <w:t xml:space="preserve"> and includes amendments made by other written laws. For provisions that have come into operation, and for information about any reprints, see the compilation table.</w:t>
      </w:r>
      <w:ins w:id="101" w:author="Master Repository Process" w:date="2025-06-06T13:44:00Z">
        <w:r>
          <w:t xml:space="preserve"> For provisions that have not yet come into operation see the uncommenced provisions table.</w:t>
        </w:r>
      </w:ins>
    </w:p>
    <w:p>
      <w:pPr>
        <w:pStyle w:val="nHeading3"/>
      </w:pPr>
      <w:bookmarkStart w:id="102" w:name="_Toc168930172"/>
      <w:bookmarkStart w:id="103" w:name="_Toc138857776"/>
      <w:r>
        <w:t>Compilation table</w:t>
      </w:r>
      <w:bookmarkEnd w:id="102"/>
      <w:bookmarkEnd w:id="103"/>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Pawnbrokers and Second</w:t>
            </w:r>
            <w:r>
              <w:rPr>
                <w:i/>
              </w:rPr>
              <w:noBreakHyphen/>
              <w:t>hand Dealers Regulations 1996</w:t>
            </w:r>
          </w:p>
        </w:tc>
        <w:tc>
          <w:tcPr>
            <w:tcW w:w="1276" w:type="dxa"/>
            <w:tcBorders>
              <w:top w:val="single" w:sz="8" w:space="0" w:color="auto"/>
            </w:tcBorders>
          </w:tcPr>
          <w:p>
            <w:pPr>
              <w:pStyle w:val="nTable"/>
              <w:spacing w:after="40"/>
            </w:pPr>
            <w:r>
              <w:t>29 Mar 1996 p. 1557</w:t>
            </w:r>
            <w:r>
              <w:noBreakHyphen/>
              <w:t>76</w:t>
            </w:r>
          </w:p>
        </w:tc>
        <w:tc>
          <w:tcPr>
            <w:tcW w:w="2693" w:type="dxa"/>
            <w:tcBorders>
              <w:top w:val="single" w:sz="8" w:space="0" w:color="auto"/>
            </w:tcBorders>
          </w:tcPr>
          <w:p>
            <w:pPr>
              <w:pStyle w:val="nTable"/>
              <w:spacing w:after="40"/>
            </w:pPr>
            <w:r>
              <w:t>1 Apr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Pawnbrokers and Second</w:t>
            </w:r>
            <w:r>
              <w:rPr>
                <w:i/>
              </w:rPr>
              <w:noBreakHyphen/>
              <w:t>hand Dealers Amendment Regulations 1996</w:t>
            </w:r>
          </w:p>
        </w:tc>
        <w:tc>
          <w:tcPr>
            <w:tcW w:w="1276" w:type="dxa"/>
          </w:tcPr>
          <w:p>
            <w:pPr>
              <w:pStyle w:val="nTable"/>
              <w:spacing w:after="40"/>
            </w:pPr>
            <w:r>
              <w:t>24 Jan 1997 p. 565</w:t>
            </w:r>
          </w:p>
        </w:tc>
        <w:tc>
          <w:tcPr>
            <w:tcW w:w="2693" w:type="dxa"/>
          </w:tcPr>
          <w:p>
            <w:pPr>
              <w:pStyle w:val="nTable"/>
              <w:spacing w:after="40"/>
            </w:pPr>
            <w:r>
              <w:t>24 Jan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Pawnbrokers and Second</w:t>
            </w:r>
            <w:r>
              <w:rPr>
                <w:i/>
              </w:rPr>
              <w:noBreakHyphen/>
              <w:t>hand Dealers Amendment Regulations 1997</w:t>
            </w:r>
          </w:p>
        </w:tc>
        <w:tc>
          <w:tcPr>
            <w:tcW w:w="1276" w:type="dxa"/>
          </w:tcPr>
          <w:p>
            <w:pPr>
              <w:pStyle w:val="nTable"/>
              <w:spacing w:after="40"/>
            </w:pPr>
            <w:r>
              <w:t>10 Jun 1997 p. 2668</w:t>
            </w:r>
            <w:r>
              <w:noBreakHyphen/>
              <w:t>9</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1998</w:t>
            </w:r>
          </w:p>
        </w:tc>
        <w:tc>
          <w:tcPr>
            <w:tcW w:w="1276" w:type="dxa"/>
          </w:tcPr>
          <w:p>
            <w:pPr>
              <w:pStyle w:val="nTable"/>
              <w:spacing w:after="40"/>
            </w:pPr>
            <w:r>
              <w:t>12 Jun 1998 p. 3200</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1999</w:t>
            </w:r>
          </w:p>
        </w:tc>
        <w:tc>
          <w:tcPr>
            <w:tcW w:w="1276" w:type="dxa"/>
          </w:tcPr>
          <w:p>
            <w:pPr>
              <w:pStyle w:val="nTable"/>
              <w:spacing w:after="40"/>
            </w:pPr>
            <w:r>
              <w:t>30 Jun 1999 p. 2863-4</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2000</w:t>
            </w:r>
          </w:p>
        </w:tc>
        <w:tc>
          <w:tcPr>
            <w:tcW w:w="1276" w:type="dxa"/>
          </w:tcPr>
          <w:p>
            <w:pPr>
              <w:pStyle w:val="nTable"/>
              <w:spacing w:after="40"/>
            </w:pPr>
            <w:r>
              <w:t>30 Jun 2000 p. 3423-4</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2000</w:t>
            </w:r>
          </w:p>
        </w:tc>
        <w:tc>
          <w:tcPr>
            <w:tcW w:w="1276" w:type="dxa"/>
          </w:tcPr>
          <w:p>
            <w:pPr>
              <w:pStyle w:val="nTable"/>
              <w:spacing w:after="40"/>
            </w:pPr>
            <w:r>
              <w:t>28 Jul 2000 p. 4018-26</w:t>
            </w:r>
          </w:p>
        </w:tc>
        <w:tc>
          <w:tcPr>
            <w:tcW w:w="2693" w:type="dxa"/>
          </w:tcPr>
          <w:p>
            <w:pPr>
              <w:pStyle w:val="nTable"/>
              <w:spacing w:after="40"/>
            </w:pPr>
            <w:r>
              <w:t>28 Jul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2001</w:t>
            </w:r>
          </w:p>
        </w:tc>
        <w:tc>
          <w:tcPr>
            <w:tcW w:w="1276" w:type="dxa"/>
          </w:tcPr>
          <w:p>
            <w:pPr>
              <w:pStyle w:val="nTable"/>
              <w:spacing w:after="40"/>
            </w:pPr>
            <w:r>
              <w:t>23 Feb 2001 p. 1170</w:t>
            </w:r>
          </w:p>
        </w:tc>
        <w:tc>
          <w:tcPr>
            <w:tcW w:w="2693" w:type="dxa"/>
          </w:tcPr>
          <w:p>
            <w:pPr>
              <w:pStyle w:val="nTable"/>
              <w:spacing w:after="40"/>
            </w:pPr>
            <w:r>
              <w:t>23 Feb 2001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Pawnbrokers and Second</w:t>
            </w:r>
            <w:r>
              <w:rPr>
                <w:b/>
                <w:bCs/>
                <w:i/>
              </w:rPr>
              <w:noBreakHyphen/>
              <w:t>hand Dealers Regulations 1996</w:t>
            </w:r>
            <w:r>
              <w:rPr>
                <w:b/>
                <w:bCs/>
              </w:rPr>
              <w:t xml:space="preserve"> as at 2 Mar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2002</w:t>
            </w:r>
          </w:p>
        </w:tc>
        <w:tc>
          <w:tcPr>
            <w:tcW w:w="1276" w:type="dxa"/>
          </w:tcPr>
          <w:p>
            <w:pPr>
              <w:pStyle w:val="nTable"/>
              <w:spacing w:after="40"/>
            </w:pPr>
            <w:r>
              <w:t>28 Jun 2002 p. 3101-2</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(No. 2) 2002</w:t>
            </w:r>
          </w:p>
        </w:tc>
        <w:tc>
          <w:tcPr>
            <w:tcW w:w="1276" w:type="dxa"/>
          </w:tcPr>
          <w:p>
            <w:pPr>
              <w:pStyle w:val="nTable"/>
              <w:spacing w:after="40"/>
            </w:pPr>
            <w:r>
              <w:t>3 Dec 2002 p. 5713</w:t>
            </w:r>
          </w:p>
        </w:tc>
        <w:tc>
          <w:tcPr>
            <w:tcW w:w="2693" w:type="dxa"/>
          </w:tcPr>
          <w:p>
            <w:pPr>
              <w:pStyle w:val="nTable"/>
              <w:spacing w:after="40"/>
            </w:pPr>
            <w:r>
              <w:t>3 Dec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2003</w:t>
            </w:r>
          </w:p>
        </w:tc>
        <w:tc>
          <w:tcPr>
            <w:tcW w:w="1276" w:type="dxa"/>
          </w:tcPr>
          <w:p>
            <w:pPr>
              <w:pStyle w:val="nTable"/>
              <w:spacing w:after="40"/>
            </w:pPr>
            <w:r>
              <w:t>20 Jun 2003 p. 2245-6</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(No. 2) 2004</w:t>
            </w:r>
          </w:p>
        </w:tc>
        <w:tc>
          <w:tcPr>
            <w:tcW w:w="1276" w:type="dxa"/>
          </w:tcPr>
          <w:p>
            <w:pPr>
              <w:pStyle w:val="nTable"/>
              <w:spacing w:after="40"/>
            </w:pPr>
            <w:r>
              <w:t>29 Jun 2004 p. 2544-5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2004</w:t>
            </w:r>
          </w:p>
        </w:tc>
        <w:tc>
          <w:tcPr>
            <w:tcW w:w="1276" w:type="dxa"/>
          </w:tcPr>
          <w:p>
            <w:pPr>
              <w:pStyle w:val="nTable"/>
              <w:spacing w:after="40"/>
            </w:pPr>
            <w:r>
              <w:t>30 Dec 2004 p. 6975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2005</w:t>
            </w:r>
          </w:p>
        </w:tc>
        <w:tc>
          <w:tcPr>
            <w:tcW w:w="1276" w:type="dxa"/>
          </w:tcPr>
          <w:p>
            <w:pPr>
              <w:pStyle w:val="nTable"/>
              <w:spacing w:after="40"/>
            </w:pPr>
            <w:r>
              <w:t>1 Jul 2005 p. 3005-6</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Pawnbrokers and Second</w:t>
            </w:r>
            <w:r>
              <w:rPr>
                <w:b/>
                <w:bCs/>
                <w:i/>
              </w:rPr>
              <w:noBreakHyphen/>
              <w:t>hand Dealers Regulations 1996</w:t>
            </w:r>
            <w:r>
              <w:rPr>
                <w:b/>
                <w:bCs/>
              </w:rPr>
              <w:t xml:space="preserve"> as at 13 Jan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2006</w:t>
            </w:r>
          </w:p>
        </w:tc>
        <w:tc>
          <w:tcPr>
            <w:tcW w:w="1276" w:type="dxa"/>
          </w:tcPr>
          <w:p>
            <w:pPr>
              <w:pStyle w:val="nTable"/>
              <w:spacing w:after="40"/>
            </w:pPr>
            <w:r>
              <w:t>27 Jun 2006 p. 2301-2</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2007</w:t>
            </w:r>
          </w:p>
        </w:tc>
        <w:tc>
          <w:tcPr>
            <w:tcW w:w="1276" w:type="dxa"/>
          </w:tcPr>
          <w:p>
            <w:pPr>
              <w:pStyle w:val="nTable"/>
              <w:spacing w:after="40"/>
            </w:pPr>
            <w:r>
              <w:t>30 Apr 2007 p. 1835</w:t>
            </w:r>
            <w:r>
              <w:noBreakHyphen/>
              <w:t>9</w:t>
            </w:r>
          </w:p>
        </w:tc>
        <w:tc>
          <w:tcPr>
            <w:tcW w:w="2693" w:type="dxa"/>
          </w:tcPr>
          <w:p>
            <w:pPr>
              <w:pStyle w:val="nTable"/>
              <w:spacing w:after="40"/>
            </w:pPr>
            <w:r>
              <w:t xml:space="preserve">1 May 2007 (see r. 2 and </w:t>
            </w:r>
            <w:r>
              <w:rPr>
                <w:i/>
                <w:iCs/>
              </w:rPr>
              <w:t>Gazette</w:t>
            </w:r>
            <w:r>
              <w:t xml:space="preserve"> 30 Apr 2007 p. 1833)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2007</w:t>
            </w:r>
          </w:p>
        </w:tc>
        <w:tc>
          <w:tcPr>
            <w:tcW w:w="1276" w:type="dxa"/>
          </w:tcPr>
          <w:p>
            <w:pPr>
              <w:pStyle w:val="nTable"/>
              <w:spacing w:after="40"/>
            </w:pPr>
            <w:r>
              <w:t>29 Jun 2007 p. 3202-4</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Pawnbrokers and Second-hand Dealers Amendment Regulations 2008</w:t>
            </w:r>
          </w:p>
        </w:tc>
        <w:tc>
          <w:tcPr>
            <w:tcW w:w="1276" w:type="dxa"/>
          </w:tcPr>
          <w:p>
            <w:pPr>
              <w:pStyle w:val="nTable"/>
              <w:spacing w:after="40"/>
            </w:pPr>
            <w:r>
              <w:t>16 May 2008 p. 1912-13</w:t>
            </w:r>
          </w:p>
        </w:tc>
        <w:tc>
          <w:tcPr>
            <w:tcW w:w="2693" w:type="dxa"/>
          </w:tcPr>
          <w:p>
            <w:pPr>
              <w:pStyle w:val="nTable"/>
              <w:spacing w:after="40"/>
            </w:pPr>
            <w:r>
              <w:t>r. 1 and 2: 16 May 2008 (see r. 2(a));</w:t>
            </w:r>
            <w:r>
              <w:br/>
              <w:t>Regulations other than r. 1 and 2: 17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2008</w:t>
            </w:r>
          </w:p>
        </w:tc>
        <w:tc>
          <w:tcPr>
            <w:tcW w:w="1276" w:type="dxa"/>
          </w:tcPr>
          <w:p>
            <w:pPr>
              <w:pStyle w:val="nTable"/>
              <w:spacing w:after="40"/>
            </w:pPr>
            <w:r>
              <w:t>24 Jun 2008 p. 2907</w:t>
            </w:r>
            <w:r>
              <w:noBreakHyphen/>
              <w:t>9</w:t>
            </w:r>
          </w:p>
        </w:tc>
        <w:tc>
          <w:tcPr>
            <w:tcW w:w="2693" w:type="dxa"/>
          </w:tcPr>
          <w:p>
            <w:pPr>
              <w:pStyle w:val="nTable"/>
              <w:spacing w:after="40"/>
            </w:pPr>
            <w:r>
              <w:t>r. 1 and 2: 24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Pawnbrokers and Second</w:t>
            </w:r>
            <w:r>
              <w:rPr>
                <w:b/>
                <w:bCs/>
                <w:i/>
              </w:rPr>
              <w:noBreakHyphen/>
              <w:t>hand Dealers Regulations 1996</w:t>
            </w:r>
            <w:r>
              <w:rPr>
                <w:b/>
                <w:bCs/>
              </w:rPr>
              <w:t xml:space="preserve"> as at 10 Oct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Statutes (Repeals and Miscellaneous Amendments) Act 2009</w:t>
            </w:r>
            <w:r>
              <w:rPr>
                <w:iCs/>
              </w:rPr>
              <w:t xml:space="preserve"> s. 29 assented to 21</w:t>
            </w:r>
            <w:r>
              <w:t xml:space="preserve"> May 2009</w:t>
            </w:r>
          </w:p>
        </w:tc>
        <w:tc>
          <w:tcPr>
            <w:tcW w:w="2693"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2009</w:t>
            </w:r>
          </w:p>
        </w:tc>
        <w:tc>
          <w:tcPr>
            <w:tcW w:w="1276" w:type="dxa"/>
          </w:tcPr>
          <w:p>
            <w:pPr>
              <w:pStyle w:val="nTable"/>
              <w:spacing w:after="40"/>
            </w:pPr>
            <w:r>
              <w:t>26 May 2009 p. 1808-10</w:t>
            </w:r>
          </w:p>
        </w:tc>
        <w:tc>
          <w:tcPr>
            <w:tcW w:w="2693" w:type="dxa"/>
          </w:tcPr>
          <w:p>
            <w:pPr>
              <w:pStyle w:val="nTable"/>
              <w:spacing w:after="40"/>
            </w:pPr>
            <w:r>
              <w:t>r. 1 and 2: 26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2010</w:t>
            </w:r>
          </w:p>
        </w:tc>
        <w:tc>
          <w:tcPr>
            <w:tcW w:w="1276" w:type="dxa"/>
          </w:tcPr>
          <w:p>
            <w:pPr>
              <w:pStyle w:val="nTable"/>
              <w:spacing w:after="40"/>
            </w:pPr>
            <w:r>
              <w:t>18 Jun 2010 p. 2693-4</w:t>
            </w:r>
          </w:p>
        </w:tc>
        <w:tc>
          <w:tcPr>
            <w:tcW w:w="2693" w:type="dxa"/>
          </w:tcPr>
          <w:p>
            <w:pPr>
              <w:pStyle w:val="nTable"/>
              <w:spacing w:after="40"/>
            </w:pPr>
            <w:r>
              <w:t>r. 1 and 2: 18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2011</w:t>
            </w:r>
          </w:p>
        </w:tc>
        <w:tc>
          <w:tcPr>
            <w:tcW w:w="1276" w:type="dxa"/>
          </w:tcPr>
          <w:p>
            <w:pPr>
              <w:pStyle w:val="nTable"/>
              <w:spacing w:after="40"/>
            </w:pPr>
            <w:r>
              <w:t>10 Jun 2011 p. 2108-10</w:t>
            </w:r>
          </w:p>
        </w:tc>
        <w:tc>
          <w:tcPr>
            <w:tcW w:w="2693" w:type="dxa"/>
          </w:tcPr>
          <w:p>
            <w:pPr>
              <w:pStyle w:val="nTable"/>
              <w:spacing w:after="40"/>
            </w:pPr>
            <w:r>
              <w:t>r. 1 and 2: 10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Second-hand Dealers Amendment Regulations 2012</w:t>
            </w:r>
          </w:p>
        </w:tc>
        <w:tc>
          <w:tcPr>
            <w:tcW w:w="1276" w:type="dxa"/>
            <w:shd w:val="clear" w:color="auto" w:fill="auto"/>
          </w:tcPr>
          <w:p>
            <w:pPr>
              <w:pStyle w:val="nTable"/>
              <w:spacing w:after="40"/>
            </w:pPr>
            <w:r>
              <w:t>15 Jun 2012 p. 2536-8</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bCs/>
              </w:rPr>
              <w:t xml:space="preserve">Reprint 4: The </w:t>
            </w:r>
            <w:r>
              <w:rPr>
                <w:b/>
                <w:bCs/>
                <w:i/>
              </w:rPr>
              <w:t>Pawnbrokers and Second</w:t>
            </w:r>
            <w:r>
              <w:rPr>
                <w:b/>
                <w:bCs/>
                <w:i/>
              </w:rPr>
              <w:noBreakHyphen/>
              <w:t>hand Dealers Regulations 1996</w:t>
            </w:r>
            <w:r>
              <w:rPr>
                <w:b/>
                <w:bCs/>
              </w:rPr>
              <w:t xml:space="preserve"> as at 19 Oct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Second-hand Dealers Amendment Regulations 2013</w:t>
            </w:r>
          </w:p>
        </w:tc>
        <w:tc>
          <w:tcPr>
            <w:tcW w:w="1276" w:type="dxa"/>
            <w:shd w:val="clear" w:color="auto" w:fill="auto"/>
          </w:tcPr>
          <w:p>
            <w:pPr>
              <w:pStyle w:val="nTable"/>
              <w:spacing w:after="40"/>
            </w:pPr>
            <w:r>
              <w:t>28 Jun 2013 p. 2782-6</w:t>
            </w:r>
          </w:p>
        </w:tc>
        <w:tc>
          <w:tcPr>
            <w:tcW w:w="2693" w:type="dxa"/>
            <w:shd w:val="clear" w:color="auto" w:fill="auto"/>
          </w:tcPr>
          <w:p>
            <w:pPr>
              <w:pStyle w:val="nTable"/>
              <w:spacing w:after="40"/>
              <w:rPr>
                <w:i/>
              </w:rPr>
            </w:pPr>
            <w:r>
              <w:t>r. 1 and 2: 28 Jun 2013 (see r. 2(a));</w:t>
            </w:r>
            <w:r>
              <w:br/>
              <w:t>Regulations other than r. 1 and 2: 29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2014</w:t>
            </w:r>
          </w:p>
        </w:tc>
        <w:tc>
          <w:tcPr>
            <w:tcW w:w="1276" w:type="dxa"/>
            <w:shd w:val="clear" w:color="auto" w:fill="auto"/>
          </w:tcPr>
          <w:p>
            <w:pPr>
              <w:pStyle w:val="nTable"/>
              <w:spacing w:after="40"/>
            </w:pPr>
            <w:r>
              <w:rPr>
                <w:spacing w:val="-4"/>
              </w:rPr>
              <w:t>17 Jun 2014 p. 1992</w:t>
            </w:r>
            <w:r>
              <w:rPr>
                <w:spacing w:val="-4"/>
              </w:rPr>
              <w:noBreakHyphen/>
              <w:t>6</w:t>
            </w:r>
          </w:p>
        </w:tc>
        <w:tc>
          <w:tcPr>
            <w:tcW w:w="2693" w:type="dxa"/>
            <w:shd w:val="clear" w:color="auto" w:fill="auto"/>
          </w:tcPr>
          <w:p>
            <w:pPr>
              <w:pStyle w:val="nTable"/>
              <w:spacing w:after="40"/>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2) 2014</w:t>
            </w:r>
          </w:p>
        </w:tc>
        <w:tc>
          <w:tcPr>
            <w:tcW w:w="1276" w:type="dxa"/>
            <w:shd w:val="clear" w:color="auto" w:fill="auto"/>
          </w:tcPr>
          <w:p>
            <w:pPr>
              <w:pStyle w:val="nTable"/>
              <w:spacing w:after="40"/>
              <w:rPr>
                <w:spacing w:val="-4"/>
              </w:rPr>
            </w:pPr>
            <w:r>
              <w:rPr>
                <w:spacing w:val="-4"/>
              </w:rPr>
              <w:t>5 Aug 2014 p. 2832</w:t>
            </w:r>
            <w:r>
              <w:rPr>
                <w:spacing w:val="-4"/>
              </w:rPr>
              <w:noBreakHyphen/>
              <w:t>3</w:t>
            </w:r>
          </w:p>
        </w:tc>
        <w:tc>
          <w:tcPr>
            <w:tcW w:w="2693" w:type="dxa"/>
            <w:shd w:val="clear" w:color="auto" w:fill="auto"/>
          </w:tcPr>
          <w:p>
            <w:pPr>
              <w:pStyle w:val="nTable"/>
              <w:spacing w:after="40"/>
              <w:rPr>
                <w:bCs/>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3) 2014</w:t>
            </w:r>
          </w:p>
        </w:tc>
        <w:tc>
          <w:tcPr>
            <w:tcW w:w="1276" w:type="dxa"/>
            <w:shd w:val="clear" w:color="auto" w:fill="auto"/>
          </w:tcPr>
          <w:p>
            <w:pPr>
              <w:pStyle w:val="nTable"/>
              <w:spacing w:after="40"/>
              <w:rPr>
                <w:spacing w:val="-4"/>
              </w:rPr>
            </w:pPr>
            <w:r>
              <w:t>8 Jan 2015 p. 151</w:t>
            </w:r>
            <w:r>
              <w:noBreakHyphen/>
              <w:t>2</w:t>
            </w:r>
          </w:p>
        </w:tc>
        <w:tc>
          <w:tcPr>
            <w:tcW w:w="2693" w:type="dxa"/>
            <w:shd w:val="clear" w:color="auto" w:fill="auto"/>
          </w:tcPr>
          <w:p>
            <w:pPr>
              <w:pStyle w:val="nTable"/>
              <w:spacing w:after="40"/>
              <w:rPr>
                <w:bCs/>
                <w:snapToGrid w:val="0"/>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2015</w:t>
            </w:r>
          </w:p>
        </w:tc>
        <w:tc>
          <w:tcPr>
            <w:tcW w:w="1276" w:type="dxa"/>
            <w:shd w:val="clear" w:color="auto" w:fill="auto"/>
          </w:tcPr>
          <w:p>
            <w:pPr>
              <w:pStyle w:val="nTable"/>
              <w:spacing w:after="40"/>
            </w:pPr>
            <w:r>
              <w:t>2 Jun 2015 p. 1948</w:t>
            </w:r>
            <w:r>
              <w:noBreakHyphen/>
              <w:t>52</w:t>
            </w:r>
          </w:p>
        </w:tc>
        <w:tc>
          <w:tcPr>
            <w:tcW w:w="2693" w:type="dxa"/>
            <w:shd w:val="clear" w:color="auto" w:fill="auto"/>
          </w:tcPr>
          <w:p>
            <w:pPr>
              <w:pStyle w:val="nTable"/>
              <w:spacing w:after="40"/>
              <w:rPr>
                <w:bCs/>
                <w:snapToGrid w:val="0"/>
                <w:spacing w:val="-2"/>
              </w:rPr>
            </w:pPr>
            <w:r>
              <w:rPr>
                <w:bCs/>
                <w:snapToGrid w:val="0"/>
                <w:spacing w:val="-2"/>
              </w:rPr>
              <w:t>r. 1 and 2: 2 Jun 2015 (see r. 2(a));</w:t>
            </w:r>
            <w:r>
              <w:rPr>
                <w:bCs/>
                <w:snapToGrid w:val="0"/>
                <w:spacing w:val="-2"/>
              </w:rPr>
              <w:br/>
              <w:t xml:space="preserve">Regulations other than r. 1 and 2: </w:t>
            </w:r>
            <w:r>
              <w:t>1 Jul 2015 (see r. 2(b)</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2016</w:t>
            </w:r>
            <w:r>
              <w:t xml:space="preserve"> Pt. 3</w:t>
            </w:r>
          </w:p>
        </w:tc>
        <w:tc>
          <w:tcPr>
            <w:tcW w:w="1276" w:type="dxa"/>
            <w:shd w:val="clear" w:color="auto" w:fill="auto"/>
          </w:tcPr>
          <w:p>
            <w:pPr>
              <w:pStyle w:val="nTable"/>
              <w:spacing w:after="40"/>
            </w:pPr>
            <w:r>
              <w:t>14 Jun 2016 p. 1826-33</w:t>
            </w:r>
          </w:p>
        </w:tc>
        <w:tc>
          <w:tcPr>
            <w:tcW w:w="2693" w:type="dxa"/>
            <w:shd w:val="clear" w:color="auto" w:fill="auto"/>
          </w:tcPr>
          <w:p>
            <w:pPr>
              <w:pStyle w:val="nTable"/>
              <w:spacing w:after="40"/>
              <w:rPr>
                <w:bCs/>
                <w:snapToGrid w:val="0"/>
                <w:spacing w:val="-2"/>
              </w:rPr>
            </w:pPr>
            <w:r>
              <w:t>1 Jul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rPr>
              <w:t xml:space="preserve">Reprint 5: The </w:t>
            </w:r>
            <w:r>
              <w:rPr>
                <w:b/>
                <w:i/>
                <w:noProof/>
              </w:rPr>
              <w:t>Pawnbrokers and Second-hand Dealers Regulations 1996</w:t>
            </w:r>
            <w:r>
              <w:rPr>
                <w:b/>
              </w:rPr>
              <w:t xml:space="preserve"> as at </w:t>
            </w:r>
            <w:r>
              <w:rPr>
                <w:b/>
              </w:rPr>
              <w:br/>
              <w:t>18 Nov 2016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2017</w:t>
            </w:r>
            <w:r>
              <w:t xml:space="preserve"> Pt. 3</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rPr>
                <w:bCs/>
                <w:snapToGrid w:val="0"/>
                <w:spacing w:val="-2"/>
              </w:rPr>
            </w:pPr>
            <w:r>
              <w:rPr>
                <w:bCs/>
                <w:snapToGrid w:val="0"/>
                <w:spacing w:val="-2"/>
              </w:rPr>
              <w:t>1 Jul 2017 (see r. 2(b))</w:t>
            </w:r>
          </w:p>
        </w:tc>
      </w:tr>
      <w:tr>
        <w:trPr>
          <w:cantSplit/>
        </w:trPr>
        <w:tc>
          <w:tcPr>
            <w:tcW w:w="3119" w:type="dxa"/>
            <w:tcBorders>
              <w:top w:val="nil"/>
              <w:bottom w:val="nil"/>
            </w:tcBorders>
            <w:shd w:val="clear" w:color="auto" w:fill="auto"/>
          </w:tcPr>
          <w:p>
            <w:pPr>
              <w:pStyle w:val="nTable"/>
              <w:spacing w:after="40"/>
              <w:ind w:right="113"/>
            </w:pPr>
            <w:r>
              <w:rPr>
                <w:i/>
              </w:rPr>
              <w:t>Police Regulations Amendment (Fees and Charges) Regulations 2018</w:t>
            </w:r>
            <w:r>
              <w:t xml:space="preserve"> Pt. 3</w:t>
            </w:r>
          </w:p>
        </w:tc>
        <w:tc>
          <w:tcPr>
            <w:tcW w:w="1276" w:type="dxa"/>
            <w:tcBorders>
              <w:top w:val="nil"/>
              <w:bottom w:val="nil"/>
            </w:tcBorders>
            <w:shd w:val="clear" w:color="auto" w:fill="auto"/>
          </w:tcPr>
          <w:p>
            <w:pPr>
              <w:pStyle w:val="nTable"/>
              <w:spacing w:after="40"/>
            </w:pPr>
            <w:r>
              <w:t>26 Jun 2018 p. 2392</w:t>
            </w:r>
            <w:r>
              <w:noBreakHyphen/>
              <w:t>400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2018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2019</w:t>
            </w:r>
            <w:r>
              <w:t xml:space="preserve"> Pt. 3</w:t>
            </w:r>
          </w:p>
        </w:tc>
        <w:tc>
          <w:tcPr>
            <w:tcW w:w="1276" w:type="dxa"/>
            <w:tcBorders>
              <w:top w:val="nil"/>
              <w:bottom w:val="nil"/>
            </w:tcBorders>
            <w:shd w:val="clear" w:color="auto" w:fill="auto"/>
          </w:tcPr>
          <w:p>
            <w:pPr>
              <w:pStyle w:val="nTable"/>
              <w:spacing w:after="40"/>
            </w:pPr>
            <w:r>
              <w:t>21 Jun 2019 p. 2141</w:t>
            </w:r>
            <w:r>
              <w:noBreakHyphen/>
              <w:t>50</w:t>
            </w:r>
          </w:p>
        </w:tc>
        <w:tc>
          <w:tcPr>
            <w:tcW w:w="2693" w:type="dxa"/>
            <w:tcBorders>
              <w:top w:val="nil"/>
              <w:bottom w:val="nil"/>
            </w:tcBorders>
            <w:shd w:val="clear" w:color="auto" w:fill="auto"/>
          </w:tcPr>
          <w:p>
            <w:pPr>
              <w:pStyle w:val="nTable"/>
              <w:spacing w:after="40"/>
              <w:rPr>
                <w:bCs/>
                <w:snapToGrid w:val="0"/>
                <w:spacing w:val="-2"/>
              </w:rPr>
            </w:pPr>
            <w:r>
              <w:t>1 Jul 2019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2020</w:t>
            </w:r>
            <w:r>
              <w:t xml:space="preserve"> Pt. 3</w:t>
            </w:r>
          </w:p>
        </w:tc>
        <w:tc>
          <w:tcPr>
            <w:tcW w:w="1276" w:type="dxa"/>
            <w:tcBorders>
              <w:top w:val="nil"/>
              <w:bottom w:val="nil"/>
            </w:tcBorders>
            <w:shd w:val="clear" w:color="auto" w:fill="auto"/>
          </w:tcPr>
          <w:p>
            <w:pPr>
              <w:pStyle w:val="nTable"/>
              <w:spacing w:after="40"/>
            </w:pPr>
            <w:r>
              <w:t xml:space="preserve">SL 2020/82 19 Jun 2020 </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ind w:right="113"/>
              <w:rPr>
                <w:i/>
              </w:rPr>
            </w:pPr>
            <w:r>
              <w:rPr>
                <w:i/>
                <w:noProof/>
              </w:rPr>
              <w:t>Pawnbrokers and Second-hand Dealers Amendment Regulations 2020</w:t>
            </w:r>
          </w:p>
        </w:tc>
        <w:tc>
          <w:tcPr>
            <w:tcW w:w="1276" w:type="dxa"/>
            <w:tcBorders>
              <w:top w:val="nil"/>
              <w:bottom w:val="nil"/>
            </w:tcBorders>
            <w:shd w:val="clear" w:color="auto" w:fill="auto"/>
          </w:tcPr>
          <w:p>
            <w:pPr>
              <w:pStyle w:val="nTable"/>
              <w:spacing w:after="40"/>
            </w:pPr>
            <w:r>
              <w:t>SL 2020/147 1 Sep 2020</w:t>
            </w:r>
          </w:p>
        </w:tc>
        <w:tc>
          <w:tcPr>
            <w:tcW w:w="2693" w:type="dxa"/>
            <w:tcBorders>
              <w:top w:val="nil"/>
              <w:bottom w:val="nil"/>
            </w:tcBorders>
            <w:shd w:val="clear" w:color="auto" w:fill="auto"/>
          </w:tcPr>
          <w:p>
            <w:pPr>
              <w:pStyle w:val="nTable"/>
              <w:spacing w:after="40"/>
            </w:pPr>
            <w:r>
              <w:t>r. 1 and 2: 1 Sep 2020 (see r. 2(a));</w:t>
            </w:r>
            <w:r>
              <w:br/>
              <w:t>r. 3 and 4: 2 Sep 2020 (see r. 2(c));</w:t>
            </w:r>
            <w:r>
              <w:br/>
              <w:t>r. 5-10: 1 Dec 2020 (see r. 2(b))</w:t>
            </w:r>
          </w:p>
        </w:tc>
      </w:tr>
      <w:tr>
        <w:trPr>
          <w:cantSplit/>
        </w:trPr>
        <w:tc>
          <w:tcPr>
            <w:tcW w:w="3119" w:type="dxa"/>
            <w:tcBorders>
              <w:top w:val="nil"/>
              <w:bottom w:val="nil"/>
            </w:tcBorders>
            <w:shd w:val="clear" w:color="auto" w:fill="auto"/>
          </w:tcPr>
          <w:p>
            <w:pPr>
              <w:pStyle w:val="nTable"/>
              <w:spacing w:after="40"/>
              <w:ind w:right="113"/>
              <w:rPr>
                <w:i/>
                <w:noProof/>
              </w:rPr>
            </w:pPr>
            <w:r>
              <w:rPr>
                <w:i/>
              </w:rPr>
              <w:t>Police Regulations Amendment (Procurement) Regulations 2020</w:t>
            </w:r>
            <w:r>
              <w:t xml:space="preserve"> Pt. 3</w:t>
            </w:r>
          </w:p>
        </w:tc>
        <w:tc>
          <w:tcPr>
            <w:tcW w:w="1276" w:type="dxa"/>
            <w:tcBorders>
              <w:top w:val="nil"/>
              <w:bottom w:val="nil"/>
            </w:tcBorders>
            <w:shd w:val="clear" w:color="auto" w:fill="auto"/>
          </w:tcPr>
          <w:p>
            <w:pPr>
              <w:pStyle w:val="nTable"/>
              <w:spacing w:after="40"/>
            </w:pPr>
            <w:r>
              <w:t>SL 2020/248 18 Dec 2020</w:t>
            </w:r>
          </w:p>
        </w:tc>
        <w:tc>
          <w:tcPr>
            <w:tcW w:w="2693" w:type="dxa"/>
            <w:tcBorders>
              <w:top w:val="nil"/>
              <w:bottom w:val="nil"/>
            </w:tcBorders>
            <w:shd w:val="clear" w:color="auto" w:fill="auto"/>
          </w:tcPr>
          <w:p>
            <w:pPr>
              <w:pStyle w:val="nTable"/>
              <w:spacing w:after="40"/>
            </w:pPr>
            <w:r>
              <w:t>1 Jun 2021 (see r. 2(b) and SL 2020/244 cl.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2021</w:t>
            </w:r>
            <w:r>
              <w:t xml:space="preserve"> Pt. 3</w:t>
            </w:r>
          </w:p>
        </w:tc>
        <w:tc>
          <w:tcPr>
            <w:tcW w:w="1276" w:type="dxa"/>
            <w:tcBorders>
              <w:top w:val="nil"/>
              <w:bottom w:val="nil"/>
            </w:tcBorders>
            <w:shd w:val="clear" w:color="auto" w:fill="auto"/>
          </w:tcPr>
          <w:p>
            <w:pPr>
              <w:pStyle w:val="nTable"/>
              <w:spacing w:after="40"/>
            </w:pPr>
            <w:r>
              <w:t>SL 2021/106 29 Jun 2021</w:t>
            </w:r>
          </w:p>
        </w:tc>
        <w:tc>
          <w:tcPr>
            <w:tcW w:w="2693"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2022</w:t>
            </w:r>
            <w:r>
              <w:t xml:space="preserve"> Pt. 3</w:t>
            </w:r>
          </w:p>
        </w:tc>
        <w:tc>
          <w:tcPr>
            <w:tcW w:w="1276" w:type="dxa"/>
            <w:tcBorders>
              <w:top w:val="nil"/>
              <w:bottom w:val="nil"/>
            </w:tcBorders>
            <w:shd w:val="clear" w:color="auto" w:fill="auto"/>
          </w:tcPr>
          <w:p>
            <w:pPr>
              <w:pStyle w:val="nTable"/>
              <w:spacing w:after="40"/>
            </w:pPr>
            <w:r>
              <w:t>SL 2022/65 3 Jun 2022</w:t>
            </w:r>
          </w:p>
        </w:tc>
        <w:tc>
          <w:tcPr>
            <w:tcW w:w="2693" w:type="dxa"/>
            <w:tcBorders>
              <w:top w:val="nil"/>
              <w:bottom w:val="nil"/>
            </w:tcBorders>
            <w:shd w:val="clear" w:color="auto" w:fill="auto"/>
          </w:tcPr>
          <w:p>
            <w:pPr>
              <w:pStyle w:val="nTable"/>
              <w:spacing w:after="40"/>
            </w:pPr>
            <w:r>
              <w:t>1 Jul 2022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 xml:space="preserve">Police Regulations Amendment (Fees and Charges) Regulations 2023 </w:t>
            </w:r>
            <w:r>
              <w:t>Pt. 3</w:t>
            </w:r>
          </w:p>
        </w:tc>
        <w:tc>
          <w:tcPr>
            <w:tcW w:w="1276" w:type="dxa"/>
            <w:tcBorders>
              <w:bottom w:val="single" w:sz="4" w:space="0" w:color="auto"/>
            </w:tcBorders>
            <w:shd w:val="clear" w:color="auto" w:fill="auto"/>
          </w:tcPr>
          <w:p>
            <w:pPr>
              <w:pStyle w:val="nTable"/>
              <w:spacing w:after="40"/>
            </w:pPr>
            <w:r>
              <w:t>SL 2023/74 16 Jun 2023</w:t>
            </w:r>
          </w:p>
        </w:tc>
        <w:tc>
          <w:tcPr>
            <w:tcW w:w="2693" w:type="dxa"/>
            <w:tcBorders>
              <w:bottom w:val="single" w:sz="4" w:space="0" w:color="auto"/>
            </w:tcBorders>
            <w:shd w:val="clear" w:color="auto" w:fill="auto"/>
          </w:tcPr>
          <w:p>
            <w:pPr>
              <w:pStyle w:val="nTable"/>
              <w:spacing w:after="40"/>
            </w:pPr>
            <w:r>
              <w:t>1 Jul 2023 (see r. 2(b))</w:t>
            </w:r>
          </w:p>
        </w:tc>
      </w:tr>
    </w:tbl>
    <w:p>
      <w:pPr>
        <w:pStyle w:val="nHeading3"/>
        <w:rPr>
          <w:ins w:id="104" w:author="Master Repository Process" w:date="2025-06-06T13:44:00Z"/>
        </w:rPr>
      </w:pPr>
      <w:bookmarkStart w:id="105" w:name="_Toc168930173"/>
      <w:ins w:id="106" w:author="Master Repository Process" w:date="2025-06-06T13:44:00Z">
        <w:r>
          <w:t>Uncommenced provisions table</w:t>
        </w:r>
        <w:bookmarkEnd w:id="105"/>
      </w:ins>
    </w:p>
    <w:p>
      <w:pPr>
        <w:pStyle w:val="nStatement"/>
        <w:keepNext/>
        <w:spacing w:after="240"/>
        <w:rPr>
          <w:ins w:id="107" w:author="Master Repository Process" w:date="2025-06-06T13:44:00Z"/>
        </w:rPr>
      </w:pPr>
      <w:ins w:id="108" w:author="Master Repository Process" w:date="2025-06-06T13:44: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09" w:author="Master Repository Process" w:date="2025-06-06T13:44:00Z"/>
        </w:trPr>
        <w:tc>
          <w:tcPr>
            <w:tcW w:w="3118" w:type="dxa"/>
          </w:tcPr>
          <w:p>
            <w:pPr>
              <w:pStyle w:val="nTable"/>
              <w:spacing w:after="40"/>
              <w:rPr>
                <w:ins w:id="110" w:author="Master Repository Process" w:date="2025-06-06T13:44:00Z"/>
                <w:b/>
              </w:rPr>
            </w:pPr>
            <w:ins w:id="111" w:author="Master Repository Process" w:date="2025-06-06T13:44:00Z">
              <w:r>
                <w:rPr>
                  <w:b/>
                </w:rPr>
                <w:t>Citation</w:t>
              </w:r>
            </w:ins>
          </w:p>
        </w:tc>
        <w:tc>
          <w:tcPr>
            <w:tcW w:w="1276" w:type="dxa"/>
          </w:tcPr>
          <w:p>
            <w:pPr>
              <w:pStyle w:val="nTable"/>
              <w:spacing w:after="40"/>
              <w:rPr>
                <w:ins w:id="112" w:author="Master Repository Process" w:date="2025-06-06T13:44:00Z"/>
                <w:b/>
              </w:rPr>
            </w:pPr>
            <w:ins w:id="113" w:author="Master Repository Process" w:date="2025-06-06T13:44:00Z">
              <w:r>
                <w:rPr>
                  <w:b/>
                </w:rPr>
                <w:t>Published</w:t>
              </w:r>
            </w:ins>
          </w:p>
        </w:tc>
        <w:tc>
          <w:tcPr>
            <w:tcW w:w="2693" w:type="dxa"/>
          </w:tcPr>
          <w:p>
            <w:pPr>
              <w:pStyle w:val="nTable"/>
              <w:spacing w:after="40"/>
              <w:rPr>
                <w:ins w:id="114" w:author="Master Repository Process" w:date="2025-06-06T13:44:00Z"/>
                <w:b/>
              </w:rPr>
            </w:pPr>
            <w:ins w:id="115" w:author="Master Repository Process" w:date="2025-06-06T13:44:00Z">
              <w:r>
                <w:rPr>
                  <w:b/>
                </w:rPr>
                <w:t>Commencement</w:t>
              </w:r>
            </w:ins>
          </w:p>
        </w:tc>
      </w:tr>
      <w:tr>
        <w:trPr>
          <w:ins w:id="116" w:author="Master Repository Process" w:date="2025-06-06T13:44:00Z"/>
        </w:trPr>
        <w:tc>
          <w:tcPr>
            <w:tcW w:w="3118" w:type="dxa"/>
          </w:tcPr>
          <w:p>
            <w:pPr>
              <w:pStyle w:val="nTable"/>
              <w:spacing w:after="40"/>
              <w:rPr>
                <w:ins w:id="117" w:author="Master Repository Process" w:date="2025-06-06T13:44:00Z"/>
              </w:rPr>
            </w:pPr>
            <w:ins w:id="118" w:author="Master Repository Process" w:date="2025-06-06T13:44:00Z">
              <w:r>
                <w:rPr>
                  <w:i/>
                </w:rPr>
                <w:t>Police Regulations Amendment (Fees and Charges) Regulations 2024</w:t>
              </w:r>
              <w:r>
                <w:rPr>
                  <w:iCs/>
                </w:rPr>
                <w:t xml:space="preserve"> Pt. 3</w:t>
              </w:r>
            </w:ins>
          </w:p>
        </w:tc>
        <w:tc>
          <w:tcPr>
            <w:tcW w:w="1276" w:type="dxa"/>
          </w:tcPr>
          <w:p>
            <w:pPr>
              <w:pStyle w:val="nTable"/>
              <w:spacing w:after="40"/>
              <w:rPr>
                <w:ins w:id="119" w:author="Master Repository Process" w:date="2025-06-06T13:44:00Z"/>
              </w:rPr>
            </w:pPr>
            <w:ins w:id="120" w:author="Master Repository Process" w:date="2025-06-06T13:44:00Z">
              <w:r>
                <w:t>SL 2024/94 12 Jun 2024</w:t>
              </w:r>
            </w:ins>
          </w:p>
        </w:tc>
        <w:tc>
          <w:tcPr>
            <w:tcW w:w="2693" w:type="dxa"/>
          </w:tcPr>
          <w:p>
            <w:pPr>
              <w:pStyle w:val="nTable"/>
              <w:spacing w:after="40"/>
              <w:rPr>
                <w:ins w:id="121" w:author="Master Repository Process" w:date="2025-06-06T13:44:00Z"/>
              </w:rPr>
            </w:pPr>
            <w:ins w:id="122" w:author="Master Repository Process" w:date="2025-06-06T13:44:00Z">
              <w:r>
                <w:t>1 Jul 2024 (see r. 2(b))</w:t>
              </w:r>
            </w:ins>
          </w:p>
        </w:tc>
      </w:tr>
    </w:tbl>
    <w:p>
      <w:pPr>
        <w:pStyle w:val="nHeading3"/>
      </w:pPr>
      <w:bookmarkStart w:id="123" w:name="_Toc168930174"/>
      <w:bookmarkStart w:id="124" w:name="_Toc138857777"/>
      <w:r>
        <w:t>Other notes</w:t>
      </w:r>
      <w:bookmarkEnd w:id="123"/>
      <w:bookmarkEnd w:id="124"/>
    </w:p>
    <w:p>
      <w:pPr>
        <w:pStyle w:val="nNote"/>
        <w:keepLines/>
      </w:pPr>
      <w:r>
        <w:rPr>
          <w:vertAlign w:val="superscript"/>
        </w:rPr>
        <w:t>1</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
      <w:pPr>
        <w:sectPr>
          <w:headerReference w:type="even" r:id="rId21"/>
          <w:headerReference w:type="default" r:id="rId22"/>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26" w:author="Master Repository Process" w:date="2025-06-06T13:44:00Z">
                              <w:r>
                                <w:rPr>
                                  <w:sz w:val="16"/>
                                </w:rPr>
                                <w:delText>2023</w:delText>
                              </w:r>
                            </w:del>
                            <w:ins w:id="127" w:author="Master Repository Process" w:date="2025-06-06T13:44: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28" w:author="Master Repository Process" w:date="2025-06-06T13:44:00Z">
                              <w:r>
                                <w:rPr>
                                  <w:sz w:val="16"/>
                                </w:rPr>
                                <w:delText>2023</w:delText>
                              </w:r>
                            </w:del>
                            <w:ins w:id="129" w:author="Master Repository Process" w:date="2025-06-06T13:44: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30" w:author="Master Repository Process" w:date="2025-06-06T13:44:00Z">
                        <w:r>
                          <w:rPr>
                            <w:sz w:val="16"/>
                          </w:rPr>
                          <w:delText>2023</w:delText>
                        </w:r>
                      </w:del>
                      <w:ins w:id="131" w:author="Master Repository Process" w:date="2025-06-06T13:44: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32" w:author="Master Repository Process" w:date="2025-06-06T13:44:00Z">
                        <w:r>
                          <w:rPr>
                            <w:sz w:val="16"/>
                          </w:rPr>
                          <w:delText>2023</w:delText>
                        </w:r>
                      </w:del>
                      <w:ins w:id="133" w:author="Master Repository Process" w:date="2025-06-06T13:44: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5" w:name="Compilation"/>
    <w:bookmarkEnd w:id="12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4" w:name="Coversheet"/>
    <w:bookmarkEnd w:id="1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81471B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7134758"/>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 w:name="WAFER_20150108164209" w:val="RemoveTocBookmarks,RunningHeaders"/>
    <w:docVar w:name="WAFER_20150108164209_GUID" w:val="096de38e-cf83-4da2-aa7d-e0df0c46caae"/>
    <w:docVar w:name="WAFER_20150416103117" w:val="ResetPageSize,UpdateArrangement,UpdateNTable"/>
    <w:docVar w:name="WAFER_20150416103117_GUID" w:val="7aa9b519-3c95-4059-a116-fca7cb28c531"/>
    <w:docVar w:name="WAFER_20151109113309" w:val="UpdateStyles,UsedStyles"/>
    <w:docVar w:name="WAFER_20151109113309_GUID" w:val="17943eea-eb6e-45da-b37d-8c31c09604e7"/>
    <w:docVar w:name="WAFER_20160929155543" w:val="RemoveTocBookmarks,RemoveUnusedBookmarks,RemoveLanguageTags,UsedStyles,ResetPageSize,RemoveCustomizations"/>
    <w:docVar w:name="WAFER_20160929155543_GUID" w:val="fdb51380-60a8-4bfd-b222-eb69a69274f4"/>
    <w:docVar w:name="WAFER_20161110154226" w:val="RemoveTocBookmarks,RemoveUnusedBookmarks,RemoveLanguageTags,UsedStyles,RemoveTrackChanges"/>
    <w:docVar w:name="WAFER_20161110154226_GUID" w:val="8b3dd25d-01ea-41ca-a7c3-55dbf3145141"/>
    <w:docVar w:name="WAFER_20161110154242" w:val="RemoveTocBookmarks,RemoveLanguageTags,RemoveTrackChanges,RunningHeaders"/>
    <w:docVar w:name="WAFER_20161110154242_GUID" w:val="4fb51299-7e4f-4e1d-851b-de1044039ae3"/>
    <w:docVar w:name="WAFER_20161110154302" w:val="RemoveTocBookmarks,RemoveLanguageTags,RemoveTrackChanges,RunningHeaders"/>
    <w:docVar w:name="WAFER_20161110154302_GUID" w:val="f92518d0-2f69-49a6-96bb-addb2feb8083"/>
    <w:docVar w:name="WAFER_20170131115214" w:val="RemoveTocBookmarks,RemoveUnusedBookmarks,RemoveLanguageTags,UsedStyles,ResetPageSize"/>
    <w:docVar w:name="WAFER_20170131115214_GUID" w:val="78aae5b6-5c47-4ca1-9beb-aabc4b5308b2"/>
    <w:docVar w:name="WAFER_20200618144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4835_GUID" w:val="6de0b2ed-41ad-4d38-97a5-f6d65147734a"/>
    <w:docVar w:name="WAFER_202006230941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4149_GUID" w:val="6b91151c-34ef-4e4b-b713-efc10a4b9c1a"/>
    <w:docVar w:name="WAFER_20200831132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32701_GUID" w:val="83d1e684-6f45-4847-a38b-19a24c94af0e"/>
    <w:docVar w:name="WAFER_20201123142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3142630_GUID" w:val="3a9abe7d-0333-446f-a6a1-7b8ac8419877"/>
    <w:docVar w:name="WAFER_20201215150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50803_GUID" w:val="135d1241-47e1-49bf-9034-38c50a996f02"/>
    <w:docVar w:name="WAFER_20210528095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514_GUID" w:val="9b9d2ecf-7acf-459f-8fb0-376be43a6578"/>
    <w:docVar w:name="WAFER_202106281100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0029_GUID" w:val="480b8995-346c-4ec8-897c-b880bec101b0"/>
    <w:docVar w:name="WAFER_202206010908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46_GUID" w:val="6c7260a1-045d-4b7d-b10c-dc84f2b82268"/>
    <w:docVar w:name="WAFER_202206241114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09_GUID" w:val="149cf639-fe54-4e6c-99af-5e71768d5ed0"/>
    <w:docVar w:name="WAFER_20230613155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5834_GUID" w:val="9ca3dd7a-87ac-4ccd-a1e0-dda6640e9e41"/>
    <w:docVar w:name="WAFER_202306261705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0549_GUID" w:val="71bcf17b-44fb-4370-a375-7d220e3ab70a"/>
    <w:docVar w:name="WAFER_20240607134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34758_GUID" w:val="6fe19499-b52c-4517-b5fb-2946300db0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64B46E8-D1A4-436F-B7C0-E1CD1D21E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051519">
      <w:bodyDiv w:val="1"/>
      <w:marLeft w:val="0"/>
      <w:marRight w:val="0"/>
      <w:marTop w:val="0"/>
      <w:marBottom w:val="0"/>
      <w:divBdr>
        <w:top w:val="none" w:sz="0" w:space="0" w:color="auto"/>
        <w:left w:val="none" w:sz="0" w:space="0" w:color="auto"/>
        <w:bottom w:val="none" w:sz="0" w:space="0" w:color="auto"/>
        <w:right w:val="none" w:sz="0" w:space="0" w:color="auto"/>
      </w:divBdr>
    </w:div>
    <w:div w:id="820316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6644</Words>
  <Characters>30964</Characters>
  <Application>Microsoft Office Word</Application>
  <DocSecurity>0</DocSecurity>
  <Lines>1548</Lines>
  <Paragraphs>835</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36773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05-p0-01 - 05-q0-00</dc:title>
  <dc:subject/>
  <dc:creator/>
  <cp:keywords/>
  <dc:description/>
  <cp:lastModifiedBy>Master Repository Process</cp:lastModifiedBy>
  <cp:revision>2</cp:revision>
  <cp:lastPrinted>2016-11-14T04:52:00Z</cp:lastPrinted>
  <dcterms:created xsi:type="dcterms:W3CDTF">2025-06-06T05:44:00Z</dcterms:created>
  <dcterms:modified xsi:type="dcterms:W3CDTF">2025-06-06T05:44:00Z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DocumentType">
    <vt:lpwstr>Reg</vt:lpwstr>
  </property>
  <property fmtid="{D5CDD505-2E9C-101B-9397-08002B2CF9AE}" pid="4" name="OwlsUID">
    <vt:i4>4678</vt:i4>
  </property>
  <property fmtid="{D5CDD505-2E9C-101B-9397-08002B2CF9AE}" pid="5" name="ReprintedAsAt">
    <vt:filetime>2016-11-17T16:00:00Z</vt:filetime>
  </property>
  <property fmtid="{D5CDD505-2E9C-101B-9397-08002B2CF9AE}" pid="6" name="ReprintNo">
    <vt:lpwstr>5</vt:lpwstr>
  </property>
  <property fmtid="{D5CDD505-2E9C-101B-9397-08002B2CF9AE}" pid="7" name="Official">
    <vt:lpwstr/>
  </property>
  <property fmtid="{D5CDD505-2E9C-101B-9397-08002B2CF9AE}" pid="8" name="CommencementDate">
    <vt:lpwstr>20240612</vt:lpwstr>
  </property>
  <property fmtid="{D5CDD505-2E9C-101B-9397-08002B2CF9AE}" pid="9" name="CommencementAsAt">
    <vt:filetime>2024-06-11T16:00:00Z</vt:filetime>
  </property>
  <property fmtid="{D5CDD505-2E9C-101B-9397-08002B2CF9AE}" pid="10" name="CommencementYear">
    <vt:lpwstr>2024</vt:lpwstr>
  </property>
  <property fmtid="{D5CDD505-2E9C-101B-9397-08002B2CF9AE}" pid="11" name="FromSuffix">
    <vt:lpwstr>05-p0-01</vt:lpwstr>
  </property>
  <property fmtid="{D5CDD505-2E9C-101B-9397-08002B2CF9AE}" pid="12" name="FromAsAtDate">
    <vt:lpwstr>01 Jul 2023</vt:lpwstr>
  </property>
  <property fmtid="{D5CDD505-2E9C-101B-9397-08002B2CF9AE}" pid="13" name="ToSuffix">
    <vt:lpwstr>05-q0-00</vt:lpwstr>
  </property>
  <property fmtid="{D5CDD505-2E9C-101B-9397-08002B2CF9AE}" pid="14" name="ToAsAtDate">
    <vt:lpwstr>12 Jun 2024</vt:lpwstr>
  </property>
</Properties>
</file>