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168930280"/>
      <w:bookmarkStart w:id="2" w:name="_Toc200367560"/>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168930281"/>
      <w:bookmarkStart w:id="5" w:name="_Toc20036756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168930282"/>
      <w:bookmarkStart w:id="7" w:name="_Toc200367562"/>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8" w:name="_Toc168930283"/>
      <w:bookmarkStart w:id="9" w:name="_Toc200367563"/>
      <w:r>
        <w:rPr>
          <w:rStyle w:val="CharSectno"/>
        </w:rPr>
        <w:t>4</w:t>
      </w:r>
      <w:r>
        <w:t>.</w:t>
      </w:r>
      <w:r>
        <w:tab/>
        <w:t>Fees</w:t>
      </w:r>
      <w:bookmarkEnd w:id="8"/>
      <w:bookmarkEnd w:id="9"/>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0" w:name="_Toc168930284"/>
      <w:bookmarkStart w:id="11" w:name="_Toc200367564"/>
      <w:r>
        <w:rPr>
          <w:rStyle w:val="CharSectno"/>
        </w:rPr>
        <w:t>5</w:t>
      </w:r>
      <w:r>
        <w:t>.</w:t>
      </w:r>
      <w:r>
        <w:tab/>
        <w:t>Exempt events</w:t>
      </w:r>
      <w:bookmarkEnd w:id="10"/>
      <w:bookmarkEnd w:id="11"/>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2" w:name="_Toc168930285"/>
      <w:bookmarkStart w:id="13" w:name="_Toc200367565"/>
      <w:r>
        <w:rPr>
          <w:rStyle w:val="CharSectno"/>
        </w:rPr>
        <w:t>6</w:t>
      </w:r>
      <w:r>
        <w:t>.</w:t>
      </w:r>
      <w:r>
        <w:tab/>
        <w:t>Charges for police services at major event</w:t>
      </w:r>
      <w:bookmarkEnd w:id="12"/>
      <w:bookmarkEnd w:id="13"/>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4" w:name="_Toc168930286"/>
      <w:bookmarkStart w:id="15" w:name="_Toc200367566"/>
      <w:r>
        <w:rPr>
          <w:rStyle w:val="CharSectno"/>
        </w:rPr>
        <w:t>7</w:t>
      </w:r>
      <w:r>
        <w:t>.</w:t>
      </w:r>
      <w:r>
        <w:tab/>
        <w:t>Charges for police services if major event cancelled</w:t>
      </w:r>
      <w:bookmarkEnd w:id="14"/>
      <w:bookmarkEnd w:id="15"/>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6" w:name="_Toc168930287"/>
      <w:bookmarkStart w:id="17" w:name="_Toc200367567"/>
      <w:r>
        <w:rPr>
          <w:rStyle w:val="CharSectno"/>
        </w:rPr>
        <w:t>8</w:t>
      </w:r>
      <w:r>
        <w:t>.</w:t>
      </w:r>
      <w:r>
        <w:tab/>
        <w:t>Amounts inclusive of GST</w:t>
      </w:r>
      <w:bookmarkEnd w:id="16"/>
      <w:bookmarkEnd w:id="17"/>
    </w:p>
    <w:p>
      <w:pPr>
        <w:pStyle w:val="Subsection"/>
        <w:keepNext/>
      </w:pPr>
      <w:r>
        <w:tab/>
      </w:r>
      <w:r>
        <w:tab/>
        <w:t>The amounts specified in Schedule 2 are inclusive of GST.</w:t>
      </w:r>
    </w:p>
    <w:p>
      <w:pPr>
        <w:pStyle w:val="Heading5"/>
      </w:pPr>
      <w:bookmarkStart w:id="18" w:name="_Toc168930288"/>
      <w:bookmarkStart w:id="19" w:name="_Toc200367568"/>
      <w:r>
        <w:rPr>
          <w:rStyle w:val="CharSectno"/>
        </w:rPr>
        <w:t>9</w:t>
      </w:r>
      <w:r>
        <w:t>.</w:t>
      </w:r>
      <w:r>
        <w:tab/>
      </w:r>
      <w:r>
        <w:rPr>
          <w:i/>
        </w:rPr>
        <w:t xml:space="preserve">Police (Fees) Regulations 1981 </w:t>
      </w:r>
      <w:r>
        <w:t>repealed</w:t>
      </w:r>
      <w:bookmarkEnd w:id="18"/>
      <w:bookmarkEnd w:id="19"/>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 w:name="_Toc168660803"/>
      <w:bookmarkStart w:id="21" w:name="_Toc168660943"/>
      <w:bookmarkStart w:id="22" w:name="_Toc168930289"/>
      <w:bookmarkStart w:id="23" w:name="_Toc200367569"/>
      <w:r>
        <w:rPr>
          <w:rStyle w:val="CharSchNo"/>
        </w:rPr>
        <w:t>Schedule 1</w:t>
      </w:r>
      <w:r>
        <w:t> — </w:t>
      </w:r>
      <w:r>
        <w:rPr>
          <w:rStyle w:val="CharSchText"/>
        </w:rPr>
        <w:t>Fees</w:t>
      </w:r>
      <w:bookmarkEnd w:id="20"/>
      <w:bookmarkEnd w:id="21"/>
      <w:bookmarkEnd w:id="22"/>
      <w:bookmarkEnd w:id="23"/>
    </w:p>
    <w:p>
      <w:pPr>
        <w:pStyle w:val="yShoulderClause"/>
      </w:pPr>
      <w:r>
        <w:t>[r. 4(1)]</w:t>
      </w:r>
    </w:p>
    <w:p>
      <w:pPr>
        <w:pStyle w:val="yFootnoteheading"/>
        <w:spacing w:after="60"/>
      </w:pPr>
      <w:r>
        <w:tab/>
        <w:t>[Heading inserted: SL 2023/74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rPr>
            </w:pPr>
            <w:r>
              <w:rPr>
                <w:b/>
              </w:rPr>
              <w:t>Purpose</w:t>
            </w:r>
          </w:p>
        </w:tc>
        <w:tc>
          <w:tcPr>
            <w:tcW w:w="1097" w:type="dxa"/>
            <w:noWrap/>
          </w:tcPr>
          <w:p>
            <w:pPr>
              <w:pStyle w:val="yTableNAm"/>
            </w:pPr>
            <w:r>
              <w:rPr>
                <w:b/>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ind w:right="61"/>
              <w:jc w:val="right"/>
            </w:pPr>
            <w:r>
              <w:t>$31.60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TRG</w:t>
            </w:r>
          </w:p>
        </w:tc>
        <w:tc>
          <w:tcPr>
            <w:tcW w:w="1097" w:type="dxa"/>
            <w:tcBorders>
              <w:bottom w:val="single" w:sz="4" w:space="0" w:color="auto"/>
            </w:tcBorders>
            <w:noWrap/>
            <w:vAlign w:val="bottom"/>
          </w:tcPr>
          <w:p>
            <w:pPr>
              <w:pStyle w:val="yTableNAm"/>
              <w:ind w:right="61"/>
              <w:jc w:val="right"/>
            </w:pPr>
            <w:r>
              <w:t>$158.00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ind w:right="61"/>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issued to a volunteer organisation</w:t>
            </w:r>
          </w:p>
        </w:tc>
        <w:tc>
          <w:tcPr>
            <w:tcW w:w="1097" w:type="dxa"/>
            <w:tcBorders>
              <w:top w:val="nil"/>
              <w:bottom w:val="nil"/>
            </w:tcBorders>
            <w:noWrap/>
          </w:tcPr>
          <w:p>
            <w:pPr>
              <w:pStyle w:val="yTableNAm"/>
              <w:ind w:right="61"/>
              <w:jc w:val="right"/>
            </w:pPr>
            <w:r>
              <w:t>$17.00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issued to a public sector body</w:t>
            </w:r>
          </w:p>
        </w:tc>
        <w:tc>
          <w:tcPr>
            <w:tcW w:w="1097" w:type="dxa"/>
            <w:tcBorders>
              <w:top w:val="nil"/>
            </w:tcBorders>
            <w:noWrap/>
          </w:tcPr>
          <w:p>
            <w:pPr>
              <w:pStyle w:val="yTableNAm"/>
              <w:ind w:right="61"/>
              <w:jc w:val="right"/>
            </w:pPr>
            <w:r>
              <w:t>$34.50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ind w:right="61"/>
              <w:jc w:val="right"/>
            </w:pPr>
            <w:r>
              <w:t>$58.70</w:t>
            </w:r>
          </w:p>
        </w:tc>
      </w:tr>
      <w:tr>
        <w:trPr>
          <w:cantSplit/>
        </w:trPr>
        <w:tc>
          <w:tcPr>
            <w:tcW w:w="851" w:type="dxa"/>
            <w:tcBorders>
              <w:bottom w:val="nil"/>
            </w:tcBorders>
            <w:noWrap/>
          </w:tcPr>
          <w:p>
            <w:pPr>
              <w:pStyle w:val="yTableNAm"/>
              <w:keepNext/>
            </w:pPr>
            <w:r>
              <w:t>6.</w:t>
            </w:r>
          </w:p>
        </w:tc>
        <w:tc>
          <w:tcPr>
            <w:tcW w:w="3969" w:type="dxa"/>
            <w:tcBorders>
              <w:bottom w:val="nil"/>
            </w:tcBorders>
            <w:noWrap/>
          </w:tcPr>
          <w:p>
            <w:pPr>
              <w:pStyle w:val="yTableNAm"/>
              <w:keepNext/>
            </w:pPr>
            <w:r>
              <w:t xml:space="preserve">Provision of incident information as defined in the </w:t>
            </w:r>
            <w:r>
              <w:rPr>
                <w:i/>
              </w:rPr>
              <w:t xml:space="preserve">Road Traffic (Administration) Act 2008 </w:t>
            </w:r>
            <w:r>
              <w:t>section 12(1) —</w:t>
            </w:r>
          </w:p>
        </w:tc>
        <w:tc>
          <w:tcPr>
            <w:tcW w:w="1097" w:type="dxa"/>
            <w:tcBorders>
              <w:bottom w:val="nil"/>
            </w:tcBorders>
            <w:noWrap/>
          </w:tcPr>
          <w:p>
            <w:pPr>
              <w:pStyle w:val="yTableNAm"/>
              <w:keepNex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to those involved or their representatives (outlining certain accident details)</w:t>
            </w:r>
          </w:p>
        </w:tc>
        <w:tc>
          <w:tcPr>
            <w:tcW w:w="1097" w:type="dxa"/>
            <w:tcBorders>
              <w:top w:val="nil"/>
              <w:bottom w:val="nil"/>
            </w:tcBorders>
            <w:noWrap/>
            <w:vAlign w:val="bottom"/>
          </w:tcPr>
          <w:p>
            <w:pPr>
              <w:pStyle w:val="yTableNAm"/>
              <w:ind w:right="61"/>
              <w:jc w:val="right"/>
            </w:pPr>
            <w:r>
              <w:t>$49.20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tabs>
                <w:tab w:val="clear" w:pos="567"/>
              </w:tabs>
              <w:ind w:left="487" w:hanging="487"/>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ind w:right="61"/>
              <w:jc w:val="right"/>
            </w:pPr>
            <w:r>
              <w:t>$49.20</w:t>
            </w:r>
          </w:p>
        </w:tc>
      </w:tr>
      <w:tr>
        <w:trPr>
          <w:cantSplit/>
        </w:trPr>
        <w:tc>
          <w:tcPr>
            <w:tcW w:w="851" w:type="dxa"/>
            <w:tcBorders>
              <w:top w:val="single" w:sz="4" w:space="0" w:color="auto"/>
              <w:bottom w:val="single" w:sz="4" w:space="0" w:color="auto"/>
            </w:tcBorders>
            <w:noWrap/>
          </w:tcPr>
          <w:p>
            <w:pPr>
              <w:pStyle w:val="yTableNAm"/>
            </w:pPr>
            <w:r>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ind w:right="61"/>
              <w:jc w:val="right"/>
            </w:pPr>
            <w:r>
              <w:t>$49.10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ind w:right="61"/>
              <w:jc w:val="right"/>
            </w:pPr>
            <w:r>
              <w:t>$98.00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additional copy of documents already disclosed (per hour or part of an hour)</w:t>
            </w:r>
          </w:p>
        </w:tc>
        <w:tc>
          <w:tcPr>
            <w:tcW w:w="1097" w:type="dxa"/>
            <w:tcBorders>
              <w:top w:val="nil"/>
            </w:tcBorders>
            <w:noWrap/>
            <w:vAlign w:val="bottom"/>
          </w:tcPr>
          <w:p>
            <w:pPr>
              <w:pStyle w:val="yTableNAm"/>
              <w:ind w:right="61"/>
              <w:jc w:val="right"/>
            </w:pPr>
            <w:r>
              <w:t>$98.00</w:t>
            </w:r>
          </w:p>
        </w:tc>
      </w:tr>
    </w:tbl>
    <w:p>
      <w:pPr>
        <w:pStyle w:val="yFootnotesection"/>
      </w:pPr>
      <w:r>
        <w:tab/>
        <w:t>[Schedule 1 inserted: SL 2023/74 r. 9.]</w:t>
      </w:r>
    </w:p>
    <w:p>
      <w:pPr>
        <w:pStyle w:val="yScheduleHeading"/>
      </w:pPr>
      <w:bookmarkStart w:id="24" w:name="_Toc168660804"/>
      <w:bookmarkStart w:id="25" w:name="_Toc168660944"/>
      <w:bookmarkStart w:id="26" w:name="_Toc168930290"/>
      <w:bookmarkStart w:id="27" w:name="_Toc200367570"/>
      <w:r>
        <w:rPr>
          <w:rStyle w:val="CharSchNo"/>
        </w:rPr>
        <w:t>Schedule 2</w:t>
      </w:r>
      <w:r>
        <w:t> — </w:t>
      </w:r>
      <w:r>
        <w:rPr>
          <w:rStyle w:val="CharSchText"/>
        </w:rPr>
        <w:t>Charges for major events</w:t>
      </w:r>
      <w:bookmarkEnd w:id="24"/>
      <w:bookmarkEnd w:id="25"/>
      <w:bookmarkEnd w:id="26"/>
      <w:bookmarkEnd w:id="27"/>
    </w:p>
    <w:p>
      <w:pPr>
        <w:pStyle w:val="yShoulderClause"/>
      </w:pPr>
      <w:r>
        <w:t>[r. 6 and 8]</w:t>
      </w:r>
    </w:p>
    <w:p>
      <w:pPr>
        <w:pStyle w:val="yFootnoteheading"/>
        <w:spacing w:after="60"/>
      </w:pPr>
      <w:r>
        <w:tab/>
        <w:t>[Heading inserted: SL 2023/74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rPr>
            </w:pPr>
            <w:r>
              <w:rPr>
                <w:b/>
              </w:rPr>
              <w:t>Charge</w:t>
            </w:r>
          </w:p>
        </w:tc>
        <w:tc>
          <w:tcPr>
            <w:tcW w:w="1239" w:type="dxa"/>
            <w:noWrap/>
          </w:tcPr>
          <w:p>
            <w:pPr>
              <w:pStyle w:val="yTableNAm"/>
              <w:rPr>
                <w:b/>
              </w:rPr>
            </w:pPr>
            <w:r>
              <w:rPr>
                <w:b/>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ind w:right="61"/>
              <w:jc w:val="right"/>
            </w:pPr>
            <w:r>
              <w:t>$65.00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ind w:right="61"/>
              <w:jc w:val="right"/>
            </w:pPr>
            <w:r>
              <w:t>$115.00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ind w:right="61"/>
              <w:jc w:val="right"/>
            </w:pPr>
            <w:r>
              <w:t>$22.00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ind w:right="61"/>
              <w:jc w:val="right"/>
            </w:pPr>
            <w:r>
              <w:t>$3 351.00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ind w:right="61"/>
              <w:jc w:val="right"/>
            </w:pPr>
            <w:r>
              <w:t>$2 376.00</w:t>
            </w:r>
          </w:p>
        </w:tc>
      </w:tr>
    </w:tbl>
    <w:p>
      <w:pPr>
        <w:pStyle w:val="yFootnotesection"/>
      </w:pPr>
      <w:r>
        <w:tab/>
        <w:t>[Schedule 2 inserted: SL 2023/74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9" w:name="_Toc168660805"/>
      <w:bookmarkStart w:id="30" w:name="_Toc168660945"/>
      <w:bookmarkStart w:id="31" w:name="_Toc168930291"/>
      <w:bookmarkStart w:id="32" w:name="_Toc200367571"/>
      <w:r>
        <w:t>Notes</w:t>
      </w:r>
      <w:bookmarkEnd w:id="29"/>
      <w:bookmarkEnd w:id="30"/>
      <w:bookmarkEnd w:id="31"/>
      <w:bookmarkEnd w:id="32"/>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ins w:id="33" w:author="Master Repository Process" w:date="2025-06-20T15:05:00Z">
        <w:r>
          <w:t xml:space="preserve"> For provisions that have not yet come into operation see the uncommenced provisions table.</w:t>
        </w:r>
      </w:ins>
    </w:p>
    <w:p>
      <w:pPr>
        <w:pStyle w:val="nHeading3"/>
      </w:pPr>
      <w:bookmarkStart w:id="34" w:name="_Toc168930292"/>
      <w:bookmarkStart w:id="35" w:name="_Toc200367572"/>
      <w:r>
        <w:t>Compilation table</w:t>
      </w:r>
      <w:bookmarkEnd w:id="34"/>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w:t>
            </w:r>
            <w:del w:id="36" w:author="Master Repository Process" w:date="2025-06-20T15:05:00Z">
              <w:r>
                <w:rPr>
                  <w:i/>
                  <w:noProof/>
                </w:rPr>
                <w:delText xml:space="preserve"> </w:delText>
              </w:r>
            </w:del>
            <w:ins w:id="37" w:author="Master Repository Process" w:date="2025-06-20T15:05:00Z">
              <w:r>
                <w:rPr>
                  <w:i/>
                  <w:noProof/>
                </w:rPr>
                <w:t> </w:t>
              </w:r>
            </w:ins>
            <w:r>
              <w:rPr>
                <w:i/>
                <w:noProof/>
              </w:rPr>
              <w:t>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 xml:space="preserve">Police Regulations Amendment (Fees and Charges) Regulations 2023 </w:t>
            </w:r>
            <w:r>
              <w:t>Pt. 4</w:t>
            </w:r>
          </w:p>
        </w:tc>
        <w:tc>
          <w:tcPr>
            <w:tcW w:w="1276" w:type="dxa"/>
            <w:tcBorders>
              <w:top w:val="nil"/>
              <w:bottom w:val="single" w:sz="4" w:space="0" w:color="auto"/>
            </w:tcBorders>
          </w:tcPr>
          <w:p>
            <w:pPr>
              <w:pStyle w:val="nTable"/>
              <w:spacing w:after="40"/>
            </w:pPr>
            <w:r>
              <w:t>SL 2023/74 16 Jun 2023</w:t>
            </w:r>
          </w:p>
        </w:tc>
        <w:tc>
          <w:tcPr>
            <w:tcW w:w="2693" w:type="dxa"/>
            <w:tcBorders>
              <w:top w:val="nil"/>
              <w:bottom w:val="single" w:sz="4" w:space="0" w:color="auto"/>
            </w:tcBorders>
          </w:tcPr>
          <w:p>
            <w:pPr>
              <w:pStyle w:val="nTable"/>
              <w:spacing w:after="40"/>
            </w:pPr>
            <w:r>
              <w:t>1 Jul 2023 (see r. 2(b))</w:t>
            </w:r>
          </w:p>
        </w:tc>
      </w:tr>
    </w:tbl>
    <w:p>
      <w:pPr>
        <w:pStyle w:val="nHeading3"/>
        <w:rPr>
          <w:ins w:id="38" w:author="Master Repository Process" w:date="2025-06-20T15:05:00Z"/>
        </w:rPr>
      </w:pPr>
      <w:bookmarkStart w:id="39" w:name="_Toc168930293"/>
      <w:ins w:id="40" w:author="Master Repository Process" w:date="2025-06-20T15:05:00Z">
        <w:r>
          <w:t>Uncommenced provisions table</w:t>
        </w:r>
        <w:bookmarkEnd w:id="39"/>
      </w:ins>
    </w:p>
    <w:p>
      <w:pPr>
        <w:pStyle w:val="nStatement"/>
        <w:keepNext/>
        <w:spacing w:after="240"/>
        <w:rPr>
          <w:ins w:id="41" w:author="Master Repository Process" w:date="2025-06-20T15:05:00Z"/>
        </w:rPr>
      </w:pPr>
      <w:ins w:id="42" w:author="Master Repository Process" w:date="2025-06-20T15:0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 w:author="Master Repository Process" w:date="2025-06-20T15:05:00Z"/>
        </w:trPr>
        <w:tc>
          <w:tcPr>
            <w:tcW w:w="3118" w:type="dxa"/>
          </w:tcPr>
          <w:p>
            <w:pPr>
              <w:pStyle w:val="nTable"/>
              <w:spacing w:after="40"/>
              <w:rPr>
                <w:ins w:id="44" w:author="Master Repository Process" w:date="2025-06-20T15:05:00Z"/>
                <w:b/>
              </w:rPr>
            </w:pPr>
            <w:ins w:id="45" w:author="Master Repository Process" w:date="2025-06-20T15:05:00Z">
              <w:r>
                <w:rPr>
                  <w:b/>
                </w:rPr>
                <w:t>Citation</w:t>
              </w:r>
            </w:ins>
          </w:p>
        </w:tc>
        <w:tc>
          <w:tcPr>
            <w:tcW w:w="1276" w:type="dxa"/>
          </w:tcPr>
          <w:p>
            <w:pPr>
              <w:pStyle w:val="nTable"/>
              <w:spacing w:after="40"/>
              <w:rPr>
                <w:ins w:id="46" w:author="Master Repository Process" w:date="2025-06-20T15:05:00Z"/>
                <w:b/>
              </w:rPr>
            </w:pPr>
            <w:ins w:id="47" w:author="Master Repository Process" w:date="2025-06-20T15:05:00Z">
              <w:r>
                <w:rPr>
                  <w:b/>
                </w:rPr>
                <w:t>Published</w:t>
              </w:r>
            </w:ins>
          </w:p>
        </w:tc>
        <w:tc>
          <w:tcPr>
            <w:tcW w:w="2693" w:type="dxa"/>
          </w:tcPr>
          <w:p>
            <w:pPr>
              <w:pStyle w:val="nTable"/>
              <w:spacing w:after="40"/>
              <w:rPr>
                <w:ins w:id="48" w:author="Master Repository Process" w:date="2025-06-20T15:05:00Z"/>
                <w:b/>
              </w:rPr>
            </w:pPr>
            <w:ins w:id="49" w:author="Master Repository Process" w:date="2025-06-20T15:05:00Z">
              <w:r>
                <w:rPr>
                  <w:b/>
                </w:rPr>
                <w:t>Commencement</w:t>
              </w:r>
            </w:ins>
          </w:p>
        </w:tc>
      </w:tr>
      <w:tr>
        <w:trPr>
          <w:cantSplit/>
          <w:ins w:id="50" w:author="Master Repository Process" w:date="2025-06-20T15:05:00Z"/>
        </w:trPr>
        <w:tc>
          <w:tcPr>
            <w:tcW w:w="3118" w:type="dxa"/>
          </w:tcPr>
          <w:p>
            <w:pPr>
              <w:pStyle w:val="nTable"/>
              <w:spacing w:after="40"/>
              <w:rPr>
                <w:ins w:id="51" w:author="Master Repository Process" w:date="2025-06-20T15:05:00Z"/>
              </w:rPr>
            </w:pPr>
            <w:ins w:id="52" w:author="Master Repository Process" w:date="2025-06-20T15:05:00Z">
              <w:r>
                <w:rPr>
                  <w:i/>
                </w:rPr>
                <w:t>Police Regulations Amendment (Fees and Charges) Regulations 2024</w:t>
              </w:r>
              <w:r>
                <w:rPr>
                  <w:iCs/>
                </w:rPr>
                <w:t xml:space="preserve"> Pt. 4</w:t>
              </w:r>
            </w:ins>
          </w:p>
        </w:tc>
        <w:tc>
          <w:tcPr>
            <w:tcW w:w="1276" w:type="dxa"/>
          </w:tcPr>
          <w:p>
            <w:pPr>
              <w:pStyle w:val="nTable"/>
              <w:spacing w:after="40"/>
              <w:rPr>
                <w:ins w:id="53" w:author="Master Repository Process" w:date="2025-06-20T15:05:00Z"/>
              </w:rPr>
            </w:pPr>
            <w:ins w:id="54" w:author="Master Repository Process" w:date="2025-06-20T15:05:00Z">
              <w:r>
                <w:t>SL 2024/94 12 Jun 2024</w:t>
              </w:r>
            </w:ins>
          </w:p>
        </w:tc>
        <w:tc>
          <w:tcPr>
            <w:tcW w:w="2693" w:type="dxa"/>
          </w:tcPr>
          <w:p>
            <w:pPr>
              <w:pStyle w:val="nTable"/>
              <w:spacing w:after="40"/>
              <w:rPr>
                <w:ins w:id="55" w:author="Master Repository Process" w:date="2025-06-20T15:05:00Z"/>
              </w:rPr>
            </w:pPr>
            <w:ins w:id="56" w:author="Master Repository Process" w:date="2025-06-20T15:05:00Z">
              <w:r>
                <w:t>1 Jul 2024 (see r. 2(b))</w:t>
              </w:r>
            </w:ins>
          </w:p>
        </w:tc>
      </w:tr>
    </w:tbl>
    <w:p>
      <w:pPr>
        <w:rPr>
          <w:ins w:id="57" w:author="Master Repository Process" w:date="2025-06-20T15:05: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6-20T15:05:00Z">
                              <w:r>
                                <w:rPr>
                                  <w:sz w:val="16"/>
                                </w:rPr>
                                <w:delText>2023</w:delText>
                              </w:r>
                            </w:del>
                            <w:ins w:id="60" w:author="Master Repository Process" w:date="2025-06-20T15: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1" w:author="Master Repository Process" w:date="2025-06-20T15:05:00Z">
                              <w:r>
                                <w:rPr>
                                  <w:sz w:val="16"/>
                                </w:rPr>
                                <w:delText>2023</w:delText>
                              </w:r>
                            </w:del>
                            <w:ins w:id="62" w:author="Master Repository Process" w:date="2025-06-20T15: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 w:author="Master Repository Process" w:date="2025-06-20T15:05:00Z">
                        <w:r>
                          <w:rPr>
                            <w:sz w:val="16"/>
                          </w:rPr>
                          <w:delText>2023</w:delText>
                        </w:r>
                      </w:del>
                      <w:ins w:id="64" w:author="Master Repository Process" w:date="2025-06-20T15:0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 w:author="Master Repository Process" w:date="2025-06-20T15:05:00Z">
                        <w:r>
                          <w:rPr>
                            <w:sz w:val="16"/>
                          </w:rPr>
                          <w:delText>2023</w:delText>
                        </w:r>
                      </w:del>
                      <w:ins w:id="66" w:author="Master Repository Process" w:date="2025-06-20T15:0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48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6497</Characters>
  <Application>Microsoft Office Word</Application>
  <DocSecurity>0</DocSecurity>
  <Lines>270</Lines>
  <Paragraphs>177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00-l0-01 - 00-m0-00</dc:title>
  <dc:subject/>
  <dc:creator/>
  <cp:keywords/>
  <dc:description/>
  <cp:lastModifiedBy>Master Repository Process</cp:lastModifiedBy>
  <cp:revision>2</cp:revision>
  <cp:lastPrinted>2019-06-25T00:38:00Z</cp:lastPrinted>
  <dcterms:created xsi:type="dcterms:W3CDTF">2025-06-20T07:04:00Z</dcterms:created>
  <dcterms:modified xsi:type="dcterms:W3CDTF">2025-06-20T07:05:00Z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20240612</vt:lpwstr>
  </property>
  <property fmtid="{D5CDD505-2E9C-101B-9397-08002B2CF9AE}" pid="5" name="CommencementAsAt">
    <vt:filetime>2024-06-11T16:00:00Z</vt:filetime>
  </property>
  <property fmtid="{D5CDD505-2E9C-101B-9397-08002B2CF9AE}" pid="6" name="CommencementYear">
    <vt:lpwstr>2024</vt:lpwstr>
  </property>
  <property fmtid="{D5CDD505-2E9C-101B-9397-08002B2CF9AE}" pid="7" name="FromSuffix">
    <vt:lpwstr>00-l0-01</vt:lpwstr>
  </property>
  <property fmtid="{D5CDD505-2E9C-101B-9397-08002B2CF9AE}" pid="8" name="FromAsAtDate">
    <vt:lpwstr>01 Jul 2023</vt:lpwstr>
  </property>
  <property fmtid="{D5CDD505-2E9C-101B-9397-08002B2CF9AE}" pid="9" name="ToSuffix">
    <vt:lpwstr>00-m0-00</vt:lpwstr>
  </property>
  <property fmtid="{D5CDD505-2E9C-101B-9397-08002B2CF9AE}" pid="10" name="ToAsAtDate">
    <vt:lpwstr>12 Jun 2024</vt:lpwstr>
  </property>
</Properties>
</file>