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07-t0-01</w:t>
      </w:r>
      <w:r>
        <w:fldChar w:fldCharType="end"/>
      </w:r>
      <w:r>
        <w:t>] and [</w:t>
      </w:r>
      <w:r>
        <w:fldChar w:fldCharType="begin"/>
      </w:r>
      <w:r>
        <w:instrText xml:space="preserve"> DocProperty ToAsAtDate</w:instrText>
      </w:r>
      <w:r>
        <w:fldChar w:fldCharType="separate"/>
      </w:r>
      <w:r>
        <w:t>12 Jun 2024</w:t>
      </w:r>
      <w:r>
        <w:fldChar w:fldCharType="end"/>
      </w:r>
      <w:r>
        <w:t xml:space="preserve">, </w:t>
      </w:r>
      <w:r>
        <w:fldChar w:fldCharType="begin"/>
      </w:r>
      <w:r>
        <w:instrText xml:space="preserve"> DocProperty ToSuffix</w:instrText>
      </w:r>
      <w:r>
        <w:fldChar w:fldCharType="separate"/>
      </w:r>
      <w:r>
        <w:t>07-u0-00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120" w:after="600"/>
        <w:rPr>
          <w:snapToGrid w:val="0"/>
        </w:rPr>
      </w:pPr>
      <w:r>
        <w:rPr>
          <w:snapToGrid w:val="0"/>
        </w:rPr>
        <w:lastRenderedPageBreak/>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1" w:name="_Toc168661054"/>
      <w:bookmarkStart w:id="2" w:name="_Toc168661202"/>
      <w:bookmarkStart w:id="3" w:name="_Toc168930404"/>
      <w:bookmarkStart w:id="4" w:name="_Toc20037163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spacing w:before="300"/>
        <w:rPr>
          <w:snapToGrid w:val="0"/>
        </w:rPr>
      </w:pPr>
      <w:bookmarkStart w:id="5" w:name="_Toc168930405"/>
      <w:bookmarkStart w:id="6" w:name="_Toc200371635"/>
      <w:r>
        <w:rPr>
          <w:rStyle w:val="CharSectno"/>
        </w:rPr>
        <w:t>1</w:t>
      </w:r>
      <w:r>
        <w:rPr>
          <w:snapToGrid w:val="0"/>
        </w:rPr>
        <w:t>.</w:t>
      </w:r>
      <w:r>
        <w:rPr>
          <w:snapToGrid w:val="0"/>
        </w:rPr>
        <w:tab/>
        <w:t>Citation</w:t>
      </w:r>
      <w:bookmarkEnd w:id="5"/>
      <w:bookmarkEnd w:id="6"/>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w:t>
      </w:r>
    </w:p>
    <w:p>
      <w:pPr>
        <w:pStyle w:val="Heading5"/>
        <w:rPr>
          <w:snapToGrid w:val="0"/>
        </w:rPr>
      </w:pPr>
      <w:bookmarkStart w:id="7" w:name="_Toc168930406"/>
      <w:bookmarkStart w:id="8" w:name="_Toc200371636"/>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p>
    <w:p>
      <w:pPr>
        <w:pStyle w:val="Heading5"/>
        <w:rPr>
          <w:snapToGrid w:val="0"/>
        </w:rPr>
      </w:pPr>
      <w:bookmarkStart w:id="9" w:name="_Toc168930407"/>
      <w:bookmarkStart w:id="10" w:name="_Toc200371637"/>
      <w:r>
        <w:rPr>
          <w:rStyle w:val="CharSectno"/>
        </w:rPr>
        <w:t>3</w:t>
      </w:r>
      <w:r>
        <w:rPr>
          <w:snapToGrid w:val="0"/>
        </w:rPr>
        <w:t>.</w:t>
      </w:r>
      <w:r>
        <w:rPr>
          <w:snapToGrid w:val="0"/>
        </w:rPr>
        <w:tab/>
        <w:t>Terms used</w:t>
      </w:r>
      <w:bookmarkEnd w:id="9"/>
      <w:bookmarkEnd w:id="10"/>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lastRenderedPageBreak/>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in relation to a security agent, crowd control agent or inquiry agent, means — </w:t>
      </w:r>
    </w:p>
    <w:p>
      <w:pPr>
        <w:pStyle w:val="Defpara"/>
      </w:pPr>
      <w:r>
        <w:tab/>
        <w:t>(a)</w:t>
      </w:r>
      <w:r>
        <w:tab/>
        <w:t>if the agent’s licence is held on behalf of a partnership or body corporate, the business of the partnership or body corporate; or</w:t>
      </w:r>
    </w:p>
    <w:p>
      <w:pPr>
        <w:pStyle w:val="Defpara"/>
      </w:pPr>
      <w:r>
        <w:tab/>
        <w:t>(b)</w:t>
      </w:r>
      <w:r>
        <w:tab/>
        <w:t>otherwise, the business of the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responsible police division</w:t>
      </w:r>
      <w:r>
        <w:t xml:space="preserve"> means the division of the Police Force of Western Australia that is for the time being responsible for the implementation and enforcement of the Act;</w:t>
      </w:r>
    </w:p>
    <w:p>
      <w:pPr>
        <w:pStyle w:val="Defstart"/>
      </w:pPr>
      <w:r>
        <w:rPr>
          <w:b/>
        </w:rPr>
        <w:tab/>
      </w:r>
      <w:r>
        <w:rPr>
          <w:rStyle w:val="CharDefText"/>
        </w:rPr>
        <w:t>section</w:t>
      </w:r>
      <w:r>
        <w:t xml:space="preserve"> means a section of the Act;</w:t>
      </w:r>
    </w:p>
    <w:p>
      <w:pPr>
        <w:pStyle w:val="Defstart"/>
      </w:pPr>
      <w:r>
        <w:lastRenderedPageBreak/>
        <w:tab/>
      </w:r>
      <w:r>
        <w:rPr>
          <w:rStyle w:val="CharDefText"/>
        </w:rPr>
        <w:t>Superintendent</w:t>
      </w:r>
      <w:r>
        <w:t xml:space="preserve"> means the police officer of the rank of Superintendent or acting at the rank of Superintendent who is in charge of the responsible police division;</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Superintendent and that is conducted by training providers who are approved in accordance with regulation 14A.</w:t>
      </w:r>
    </w:p>
    <w:p>
      <w:pPr>
        <w:pStyle w:val="Footnotesection"/>
        <w:keepLines w:val="0"/>
      </w:pPr>
      <w:r>
        <w:tab/>
        <w:t>[Regulation 3 amended: Gazette 1 Sep 2005 p. 4073</w:t>
      </w:r>
      <w:r>
        <w:noBreakHyphen/>
        <w:t>4; 3 Oct 2006 p. 4343</w:t>
      </w:r>
      <w:r>
        <w:noBreakHyphen/>
        <w:t>4; 4 Dec 2009 p. 4889</w:t>
      </w:r>
      <w:r>
        <w:noBreakHyphen/>
        <w:t>90; 1 Jul 2011 p. 2749; 29 Jul 2016 p. 3243-4 and 3257; SL 2022/211 r. 4.]</w:t>
      </w:r>
    </w:p>
    <w:p>
      <w:pPr>
        <w:pStyle w:val="Heading5"/>
      </w:pPr>
      <w:bookmarkStart w:id="11" w:name="_Toc168930408"/>
      <w:bookmarkStart w:id="12" w:name="_Toc200371638"/>
      <w:r>
        <w:rPr>
          <w:rStyle w:val="CharSectno"/>
        </w:rPr>
        <w:t>4A</w:t>
      </w:r>
      <w:r>
        <w:t>.</w:t>
      </w:r>
      <w:r>
        <w:tab/>
        <w:t>Method of giving things to Commissioner, Superintendent or licensing officer</w:t>
      </w:r>
      <w:bookmarkEnd w:id="11"/>
      <w:bookmarkEnd w:id="12"/>
    </w:p>
    <w:p>
      <w:pPr>
        <w:pStyle w:val="Subsection"/>
        <w:keepNext/>
      </w:pPr>
      <w:r>
        <w:tab/>
      </w:r>
      <w:r>
        <w:tab/>
        <w:t xml:space="preserve">Where the Act or these regulations authorises or requires a document to be given or delivered to the Commissioner, the Superintendent or a licensing officer, or the Commissioner, the Superintendent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keepNext/>
      </w:pPr>
      <w:r>
        <w:tab/>
        <w:t>(b)</w:t>
      </w:r>
      <w:r>
        <w:tab/>
        <w:t xml:space="preserve">by post, in accordance with the </w:t>
      </w:r>
      <w:r>
        <w:rPr>
          <w:i/>
        </w:rPr>
        <w:t>Interpretation Act </w:t>
      </w:r>
      <w:r>
        <w:rPr>
          <w:i/>
          <w:iCs/>
        </w:rPr>
        <w:t>1984</w:t>
      </w:r>
      <w:r>
        <w:t xml:space="preserve"> section 75(1),</w:t>
      </w:r>
    </w:p>
    <w:p>
      <w:pPr>
        <w:pStyle w:val="Subsection"/>
        <w:keepNext/>
      </w:pPr>
      <w:r>
        <w:tab/>
      </w:r>
      <w:r>
        <w:tab/>
        <w:t>to the offices of the responsible police division at 303 Sevenoaks Street, Cannington WA 6107 or to Locked Bag 9, East Perth WA 6892.</w:t>
      </w:r>
    </w:p>
    <w:p>
      <w:pPr>
        <w:pStyle w:val="Footnotesection"/>
        <w:keepLines w:val="0"/>
      </w:pPr>
      <w:r>
        <w:tab/>
        <w:t>[Regulation 4A inserted: Gazette 4 Dec 2009 p. 4891; amended: Gazette 29 Jul 2016 p. 3244.]</w:t>
      </w:r>
    </w:p>
    <w:p>
      <w:pPr>
        <w:pStyle w:val="Heading2"/>
      </w:pPr>
      <w:bookmarkStart w:id="13" w:name="_Toc168661059"/>
      <w:bookmarkStart w:id="14" w:name="_Toc168661207"/>
      <w:bookmarkStart w:id="15" w:name="_Toc168930409"/>
      <w:bookmarkStart w:id="16" w:name="_Toc200371639"/>
      <w:r>
        <w:rPr>
          <w:rStyle w:val="CharPartNo"/>
        </w:rPr>
        <w:t>Part 2</w:t>
      </w:r>
      <w:r>
        <w:rPr>
          <w:rStyle w:val="CharDivNo"/>
        </w:rPr>
        <w:t> </w:t>
      </w:r>
      <w:r>
        <w:t>—</w:t>
      </w:r>
      <w:r>
        <w:rPr>
          <w:rStyle w:val="CharDivText"/>
        </w:rPr>
        <w:t> </w:t>
      </w:r>
      <w:r>
        <w:rPr>
          <w:rStyle w:val="CharPartText"/>
        </w:rPr>
        <w:t>Exemptions</w:t>
      </w:r>
      <w:bookmarkEnd w:id="13"/>
      <w:bookmarkEnd w:id="14"/>
      <w:bookmarkEnd w:id="15"/>
      <w:bookmarkEnd w:id="16"/>
      <w:r>
        <w:rPr>
          <w:rStyle w:val="CharPartText"/>
        </w:rPr>
        <w:t xml:space="preserve"> </w:t>
      </w:r>
    </w:p>
    <w:p>
      <w:pPr>
        <w:pStyle w:val="Heading5"/>
        <w:rPr>
          <w:snapToGrid w:val="0"/>
        </w:rPr>
      </w:pPr>
      <w:bookmarkStart w:id="17" w:name="_Toc168930410"/>
      <w:bookmarkStart w:id="18" w:name="_Toc200371640"/>
      <w:r>
        <w:rPr>
          <w:rStyle w:val="CharSectno"/>
        </w:rPr>
        <w:t>4</w:t>
      </w:r>
      <w:r>
        <w:rPr>
          <w:snapToGrid w:val="0"/>
        </w:rPr>
        <w:t>.</w:t>
      </w:r>
      <w:r>
        <w:rPr>
          <w:snapToGrid w:val="0"/>
        </w:rPr>
        <w:tab/>
        <w:t>Act s. 37 (crowd controller’s licence), exemptions from</w:t>
      </w:r>
      <w:bookmarkEnd w:id="17"/>
      <w:bookmarkEnd w:id="1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1</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1</w:t>
      </w:r>
      <w:r>
        <w:rPr>
          <w:snapToGrid w:val="0"/>
        </w:rPr>
        <w:t xml:space="preserve">. </w:t>
      </w:r>
    </w:p>
    <w:p>
      <w:pPr>
        <w:pStyle w:val="Ednotesection"/>
      </w:pPr>
      <w:r>
        <w:t>[</w:t>
      </w:r>
      <w:r>
        <w:rPr>
          <w:b/>
        </w:rPr>
        <w:t>5.</w:t>
      </w:r>
      <w:r>
        <w:tab/>
        <w:t>Deleted: Gazette 29 Apr 2011 p. 1532.]</w:t>
      </w:r>
    </w:p>
    <w:p>
      <w:pPr>
        <w:pStyle w:val="Heading5"/>
      </w:pPr>
      <w:bookmarkStart w:id="19" w:name="_Toc168930411"/>
      <w:bookmarkStart w:id="20" w:name="_Toc200371641"/>
      <w:r>
        <w:rPr>
          <w:rStyle w:val="CharSectno"/>
        </w:rPr>
        <w:t>5A</w:t>
      </w:r>
      <w:r>
        <w:t>.</w:t>
      </w:r>
      <w:r>
        <w:tab/>
        <w:t xml:space="preserve">Some persons to whom </w:t>
      </w:r>
      <w:r>
        <w:rPr>
          <w:i/>
        </w:rPr>
        <w:t xml:space="preserve">Court Security and Custodial Services Act 1999 </w:t>
      </w:r>
      <w:r>
        <w:t>applies, exemption for</w:t>
      </w:r>
      <w:bookmarkEnd w:id="19"/>
      <w:bookmarkEnd w:id="20"/>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Gazette 28 Jul 2000 p. 4028; amended: Gazette 12 Jun 2001 p. 2959</w:t>
      </w:r>
      <w:r>
        <w:noBreakHyphen/>
        <w:t>60.]</w:t>
      </w:r>
    </w:p>
    <w:p>
      <w:pPr>
        <w:pStyle w:val="Heading5"/>
      </w:pPr>
      <w:bookmarkStart w:id="21" w:name="_Toc168930412"/>
      <w:bookmarkStart w:id="22" w:name="_Toc200371642"/>
      <w:r>
        <w:rPr>
          <w:rStyle w:val="CharSectno"/>
        </w:rPr>
        <w:t>5B</w:t>
      </w:r>
      <w:r>
        <w:t>.</w:t>
      </w:r>
      <w:r>
        <w:tab/>
        <w:t xml:space="preserve">Some persons to whom </w:t>
      </w:r>
      <w:r>
        <w:rPr>
          <w:i/>
        </w:rPr>
        <w:t>Prisons Act 1981</w:t>
      </w:r>
      <w:r>
        <w:t xml:space="preserve"> Part IIIA applies, exemption for</w:t>
      </w:r>
      <w:bookmarkEnd w:id="21"/>
      <w:bookmarkEnd w:id="22"/>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Gazette 12 Jun 2001 p. 2960.]</w:t>
      </w:r>
    </w:p>
    <w:p>
      <w:pPr>
        <w:pStyle w:val="Heading2"/>
      </w:pPr>
      <w:bookmarkStart w:id="23" w:name="_Toc168661063"/>
      <w:bookmarkStart w:id="24" w:name="_Toc168661211"/>
      <w:bookmarkStart w:id="25" w:name="_Toc168930413"/>
      <w:bookmarkStart w:id="26" w:name="_Toc200371643"/>
      <w:r>
        <w:rPr>
          <w:rStyle w:val="CharPartNo"/>
        </w:rPr>
        <w:t>Part 3</w:t>
      </w:r>
      <w:r>
        <w:rPr>
          <w:rStyle w:val="CharDivNo"/>
        </w:rPr>
        <w:t> </w:t>
      </w:r>
      <w:r>
        <w:t>—</w:t>
      </w:r>
      <w:r>
        <w:rPr>
          <w:rStyle w:val="CharDivText"/>
        </w:rPr>
        <w:t> </w:t>
      </w:r>
      <w:r>
        <w:rPr>
          <w:rStyle w:val="CharPartText"/>
        </w:rPr>
        <w:t>Security activities</w:t>
      </w:r>
      <w:bookmarkEnd w:id="23"/>
      <w:bookmarkEnd w:id="24"/>
      <w:bookmarkEnd w:id="25"/>
      <w:bookmarkEnd w:id="26"/>
      <w:r>
        <w:rPr>
          <w:rStyle w:val="CharPartText"/>
        </w:rPr>
        <w:t xml:space="preserve"> </w:t>
      </w:r>
    </w:p>
    <w:p>
      <w:pPr>
        <w:pStyle w:val="Heading5"/>
      </w:pPr>
      <w:bookmarkStart w:id="27" w:name="_Toc168930414"/>
      <w:bookmarkStart w:id="28" w:name="_Toc200371644"/>
      <w:r>
        <w:rPr>
          <w:rStyle w:val="CharSectno"/>
        </w:rPr>
        <w:t>6</w:t>
      </w:r>
      <w:r>
        <w:t>.</w:t>
      </w:r>
      <w:r>
        <w:tab/>
        <w:t>Locks prescribed (Act s. 14(1)(d))</w:t>
      </w:r>
      <w:bookmarkEnd w:id="27"/>
      <w:bookmarkEnd w:id="28"/>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Gazette 13 Apr 2006 p. 1555.]</w:t>
      </w:r>
    </w:p>
    <w:p>
      <w:pPr>
        <w:pStyle w:val="Heading5"/>
      </w:pPr>
      <w:bookmarkStart w:id="29" w:name="_Toc168930415"/>
      <w:bookmarkStart w:id="30" w:name="_Toc200371645"/>
      <w:r>
        <w:rPr>
          <w:rStyle w:val="CharSectno"/>
        </w:rPr>
        <w:t>7</w:t>
      </w:r>
      <w:r>
        <w:t>.</w:t>
      </w:r>
      <w:r>
        <w:tab/>
        <w:t>Security doors prescribed (Act s. 14(1)(e))</w:t>
      </w:r>
      <w:bookmarkEnd w:id="29"/>
      <w:bookmarkEnd w:id="30"/>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Gazette 13 Apr 2006 p. 1555</w:t>
      </w:r>
      <w:r>
        <w:noBreakHyphen/>
        <w:t>6.]</w:t>
      </w:r>
    </w:p>
    <w:p>
      <w:pPr>
        <w:pStyle w:val="Heading5"/>
        <w:rPr>
          <w:snapToGrid w:val="0"/>
        </w:rPr>
      </w:pPr>
      <w:bookmarkStart w:id="31" w:name="_Toc168930416"/>
      <w:bookmarkStart w:id="32" w:name="_Toc200371646"/>
      <w:r>
        <w:rPr>
          <w:rStyle w:val="CharSectno"/>
        </w:rPr>
        <w:t>8</w:t>
      </w:r>
      <w:r>
        <w:rPr>
          <w:snapToGrid w:val="0"/>
        </w:rPr>
        <w:t>.</w:t>
      </w:r>
      <w:r>
        <w:rPr>
          <w:snapToGrid w:val="0"/>
        </w:rPr>
        <w:tab/>
        <w:t>Equipment and devices prescribed (Act s. 14(1)(g))</w:t>
      </w:r>
      <w:bookmarkEnd w:id="31"/>
      <w:bookmarkEnd w:id="32"/>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Gazette 13 Apr 2006 p. 1556.]</w:t>
      </w:r>
    </w:p>
    <w:p>
      <w:pPr>
        <w:pStyle w:val="Heading5"/>
      </w:pPr>
      <w:bookmarkStart w:id="33" w:name="_Toc168930417"/>
      <w:bookmarkStart w:id="34" w:name="_Toc200371647"/>
      <w:r>
        <w:rPr>
          <w:rStyle w:val="CharSectno"/>
        </w:rPr>
        <w:t>9</w:t>
      </w:r>
      <w:r>
        <w:t>.</w:t>
      </w:r>
      <w:r>
        <w:tab/>
        <w:t>Activities prescribed (Act s. 24(1)(b))</w:t>
      </w:r>
      <w:bookmarkEnd w:id="33"/>
      <w:bookmarkEnd w:id="34"/>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Gazette 1 Sep 2005 p. 4074.]</w:t>
      </w:r>
    </w:p>
    <w:p>
      <w:pPr>
        <w:pStyle w:val="Heading5"/>
        <w:rPr>
          <w:snapToGrid w:val="0"/>
        </w:rPr>
      </w:pPr>
      <w:bookmarkStart w:id="35" w:name="_Toc168930418"/>
      <w:bookmarkStart w:id="36" w:name="_Toc200371648"/>
      <w:r>
        <w:rPr>
          <w:rStyle w:val="CharSectno"/>
        </w:rPr>
        <w:t>10</w:t>
      </w:r>
      <w:r>
        <w:rPr>
          <w:snapToGrid w:val="0"/>
        </w:rPr>
        <w:t>.</w:t>
      </w:r>
      <w:r>
        <w:rPr>
          <w:snapToGrid w:val="0"/>
        </w:rPr>
        <w:tab/>
        <w:t>Application for endorsement (Act s. 24)</w:t>
      </w:r>
      <w:bookmarkEnd w:id="35"/>
      <w:bookmarkEnd w:id="36"/>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Gazette 1 Sep 2005 p. 4074; 3 Oct 2006 p. 4344.]</w:t>
      </w:r>
    </w:p>
    <w:p>
      <w:pPr>
        <w:pStyle w:val="Heading5"/>
      </w:pPr>
      <w:bookmarkStart w:id="37" w:name="_Toc168930419"/>
      <w:bookmarkStart w:id="38" w:name="_Toc200371649"/>
      <w:r>
        <w:rPr>
          <w:rStyle w:val="CharSectno"/>
        </w:rPr>
        <w:t>11</w:t>
      </w:r>
      <w:r>
        <w:t>.</w:t>
      </w:r>
      <w:r>
        <w:tab/>
        <w:t>Medical examinations prescribed (Act s. 24)</w:t>
      </w:r>
      <w:bookmarkEnd w:id="37"/>
      <w:bookmarkEnd w:id="38"/>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Gazette 4 Dec 2009 p. 4891</w:t>
      </w:r>
      <w:r>
        <w:noBreakHyphen/>
        <w:t>2.]</w:t>
      </w:r>
    </w:p>
    <w:p>
      <w:pPr>
        <w:pStyle w:val="Heading5"/>
      </w:pPr>
      <w:bookmarkStart w:id="39" w:name="_Toc168930420"/>
      <w:bookmarkStart w:id="40" w:name="_Toc200371650"/>
      <w:r>
        <w:rPr>
          <w:rStyle w:val="CharSectno"/>
        </w:rPr>
        <w:t>12</w:t>
      </w:r>
      <w:r>
        <w:t>.</w:t>
      </w:r>
      <w:r>
        <w:tab/>
        <w:t>Application for permit (Act s. 25)</w:t>
      </w:r>
      <w:bookmarkEnd w:id="39"/>
      <w:bookmarkEnd w:id="40"/>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Gazette 4 Dec 2009 p. 4893.]</w:t>
      </w:r>
    </w:p>
    <w:p>
      <w:pPr>
        <w:pStyle w:val="Heading5"/>
        <w:rPr>
          <w:snapToGrid w:val="0"/>
        </w:rPr>
      </w:pPr>
      <w:bookmarkStart w:id="41" w:name="_Toc168930421"/>
      <w:bookmarkStart w:id="42" w:name="_Toc200371651"/>
      <w:r>
        <w:rPr>
          <w:rStyle w:val="CharSectno"/>
        </w:rPr>
        <w:t>13</w:t>
      </w:r>
      <w:r>
        <w:rPr>
          <w:snapToGrid w:val="0"/>
        </w:rPr>
        <w:t>.</w:t>
      </w:r>
      <w:r>
        <w:rPr>
          <w:snapToGrid w:val="0"/>
        </w:rPr>
        <w:tab/>
        <w:t>Application for endorsement (Act s. 26)</w:t>
      </w:r>
      <w:bookmarkEnd w:id="41"/>
      <w:bookmarkEnd w:id="42"/>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43" w:name="_Toc168661072"/>
      <w:bookmarkStart w:id="44" w:name="_Toc168661220"/>
      <w:bookmarkStart w:id="45" w:name="_Toc168930422"/>
      <w:bookmarkStart w:id="46" w:name="_Toc200371652"/>
      <w:r>
        <w:rPr>
          <w:rStyle w:val="CharPartNo"/>
        </w:rPr>
        <w:t>Part 3A</w:t>
      </w:r>
      <w:r>
        <w:t xml:space="preserve"> — </w:t>
      </w:r>
      <w:r>
        <w:rPr>
          <w:rStyle w:val="CharPartText"/>
        </w:rPr>
        <w:t>Inquiry activities</w:t>
      </w:r>
      <w:bookmarkEnd w:id="43"/>
      <w:bookmarkEnd w:id="44"/>
      <w:bookmarkEnd w:id="45"/>
      <w:bookmarkEnd w:id="46"/>
    </w:p>
    <w:p>
      <w:pPr>
        <w:pStyle w:val="Footnoteheading"/>
      </w:pPr>
      <w:r>
        <w:tab/>
        <w:t>[Heading inserted: Gazette 10 Mar 2000 p. 1124.]</w:t>
      </w:r>
    </w:p>
    <w:p>
      <w:pPr>
        <w:pStyle w:val="Heading5"/>
      </w:pPr>
      <w:bookmarkStart w:id="47" w:name="_Toc168930423"/>
      <w:bookmarkStart w:id="48" w:name="_Toc200371653"/>
      <w:r>
        <w:rPr>
          <w:rStyle w:val="CharSectno"/>
        </w:rPr>
        <w:t>13A</w:t>
      </w:r>
      <w:r>
        <w:t>.</w:t>
      </w:r>
      <w:r>
        <w:tab/>
        <w:t>Investigations not within Act s. 28(1)(a)</w:t>
      </w:r>
      <w:bookmarkEnd w:id="47"/>
      <w:bookmarkEnd w:id="48"/>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rPr>
        <w:t>Declared Places (Mentally Impaired Accused) Act 2015</w:t>
      </w:r>
      <w:r>
        <w:t xml:space="preserve"> 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(aba), (ab), (a), (b), (c), (da) or (d), while acting in the ordinary course of that person’s inquiry or investigation.</w:t>
      </w:r>
    </w:p>
    <w:p>
      <w:pPr>
        <w:pStyle w:val="Footnotesection"/>
      </w:pPr>
      <w:r>
        <w:tab/>
        <w:t xml:space="preserve">[Regulation 13A inserted: Gazette 10 Mar 2000 p. 1124; amended: Gazette 1 Sep 2005 p. 4075; </w:t>
      </w:r>
      <w:r>
        <w:rPr>
          <w:szCs w:val="24"/>
        </w:rPr>
        <w:t>11 Feb 2011 p. 505; 16 Jun 2015 p. 2079</w:t>
      </w:r>
      <w:r>
        <w:t>.]</w:t>
      </w:r>
    </w:p>
    <w:p>
      <w:pPr>
        <w:pStyle w:val="Heading2"/>
      </w:pPr>
      <w:bookmarkStart w:id="49" w:name="_Toc168661074"/>
      <w:bookmarkStart w:id="50" w:name="_Toc168661222"/>
      <w:bookmarkStart w:id="51" w:name="_Toc168930424"/>
      <w:bookmarkStart w:id="52" w:name="_Toc200371654"/>
      <w:r>
        <w:rPr>
          <w:rStyle w:val="CharPartNo"/>
        </w:rPr>
        <w:t>Part 4</w:t>
      </w:r>
      <w:r>
        <w:t> — </w:t>
      </w:r>
      <w:r>
        <w:rPr>
          <w:rStyle w:val="CharPartText"/>
        </w:rPr>
        <w:t>Licensing procedures</w:t>
      </w:r>
      <w:bookmarkEnd w:id="49"/>
      <w:bookmarkEnd w:id="50"/>
      <w:bookmarkEnd w:id="51"/>
      <w:bookmarkEnd w:id="52"/>
      <w:r>
        <w:rPr>
          <w:rStyle w:val="CharPartText"/>
        </w:rPr>
        <w:t xml:space="preserve"> </w:t>
      </w:r>
    </w:p>
    <w:p>
      <w:pPr>
        <w:pStyle w:val="Heading3"/>
      </w:pPr>
      <w:bookmarkStart w:id="53" w:name="_Toc168661075"/>
      <w:bookmarkStart w:id="54" w:name="_Toc168661223"/>
      <w:bookmarkStart w:id="55" w:name="_Toc168930425"/>
      <w:bookmarkStart w:id="56" w:name="_Toc200371655"/>
      <w:r>
        <w:rPr>
          <w:rStyle w:val="CharDivNo"/>
        </w:rPr>
        <w:t>Division 1</w:t>
      </w:r>
      <w:r>
        <w:t> — </w:t>
      </w:r>
      <w:r>
        <w:rPr>
          <w:rStyle w:val="CharDivText"/>
        </w:rPr>
        <w:t>Licences other than temporary licences</w:t>
      </w:r>
      <w:bookmarkEnd w:id="53"/>
      <w:bookmarkEnd w:id="54"/>
      <w:bookmarkEnd w:id="55"/>
      <w:bookmarkEnd w:id="56"/>
    </w:p>
    <w:p>
      <w:pPr>
        <w:pStyle w:val="Footnoteheading"/>
      </w:pPr>
      <w:r>
        <w:tab/>
        <w:t>[Heading inserted: Gazette 4 Dec 2009 p. 4893.]</w:t>
      </w:r>
    </w:p>
    <w:p>
      <w:pPr>
        <w:pStyle w:val="Heading5"/>
        <w:spacing w:before="180"/>
        <w:rPr>
          <w:snapToGrid w:val="0"/>
        </w:rPr>
      </w:pPr>
      <w:bookmarkStart w:id="57" w:name="_Toc168930426"/>
      <w:bookmarkStart w:id="58" w:name="_Toc200371656"/>
      <w:r>
        <w:rPr>
          <w:rStyle w:val="CharSectno"/>
        </w:rPr>
        <w:t>14</w:t>
      </w:r>
      <w:r>
        <w:rPr>
          <w:snapToGrid w:val="0"/>
        </w:rPr>
        <w:t>.</w:t>
      </w:r>
      <w:r>
        <w:rPr>
          <w:snapToGrid w:val="0"/>
        </w:rPr>
        <w:tab/>
        <w:t>Application for the issue of a licence (Act s. 46(1))</w:t>
      </w:r>
      <w:bookmarkEnd w:id="57"/>
      <w:bookmarkEnd w:id="58"/>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t>
      </w:r>
      <w:r>
        <w:t>(</w:t>
      </w:r>
      <w:r>
        <w:rPr>
          <w:rStyle w:val="CharDefText"/>
        </w:rPr>
        <w:t>GPO</w:t>
      </w:r>
      <w:r>
        <w:t xml:space="preserve">), </w:t>
      </w:r>
      <w:r>
        <w:rPr>
          <w:snapToGrid w:val="0"/>
        </w:rPr>
        <w:t xml:space="preserve">with a licensing officer; or </w:t>
      </w:r>
    </w:p>
    <w:p>
      <w:pPr>
        <w:pStyle w:val="Indenta"/>
      </w:pPr>
      <w:r>
        <w:tab/>
        <w:t>(ab)</w:t>
      </w:r>
      <w:r>
        <w:tab/>
        <w:t>if the applicant resides beyond 50 km of the GPO but is undertaking a course of training prescribed in respect of the licence at a location within 50 km of the GPO, with a licensing officer; or</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Gazette 4 Dec 2009 p. 4893; 29 Jul 2016 p. 3244-5.]</w:t>
      </w:r>
    </w:p>
    <w:p>
      <w:pPr>
        <w:pStyle w:val="Heading5"/>
      </w:pPr>
      <w:bookmarkStart w:id="59" w:name="_Toc168930427"/>
      <w:bookmarkStart w:id="60" w:name="_Toc200371657"/>
      <w:r>
        <w:rPr>
          <w:rStyle w:val="CharSectno"/>
        </w:rPr>
        <w:t>14A</w:t>
      </w:r>
      <w:r>
        <w:t>.</w:t>
      </w:r>
      <w:r>
        <w:tab/>
        <w:t>Training course in firearms discharge, approval of providers of</w:t>
      </w:r>
      <w:bookmarkEnd w:id="59"/>
      <w:bookmarkEnd w:id="60"/>
    </w:p>
    <w:p>
      <w:pPr>
        <w:pStyle w:val="Subsection"/>
      </w:pPr>
      <w:r>
        <w:tab/>
        <w:t>(1)</w:t>
      </w:r>
      <w:r>
        <w:tab/>
        <w:t>The Superintendent may approve of a person as a provider of a training course in firearms discharge if the Superintendent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Superintendent thinks fit.</w:t>
      </w:r>
    </w:p>
    <w:p>
      <w:pPr>
        <w:pStyle w:val="Subsection"/>
      </w:pPr>
      <w:r>
        <w:tab/>
        <w:t>(2A)</w:t>
      </w:r>
      <w:r>
        <w:tab/>
        <w:t>The Superintendent may, by giving written notice to the approved training provider, cancel an approval given under subregulation (1), but the cancellation is not effective unless the Superintendent —</w:t>
      </w:r>
    </w:p>
    <w:p>
      <w:pPr>
        <w:pStyle w:val="Indenta"/>
      </w:pPr>
      <w:r>
        <w:tab/>
        <w:t>(a)</w:t>
      </w:r>
      <w:r>
        <w:tab/>
        <w:t>has given to the training provider written notice of the intention to cancel the approval stating the grounds on which the cancellation is intended and allowing the training provider 21 days within which to respond to the notice; and</w:t>
      </w:r>
    </w:p>
    <w:p>
      <w:pPr>
        <w:pStyle w:val="Indenta"/>
      </w:pPr>
      <w:r>
        <w:tab/>
        <w:t>(b)</w:t>
      </w:r>
      <w:r>
        <w:tab/>
        <w:t>has had due regard to any response to the notice made within that time.</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Gazette 3 Oct 2006 p. 4344</w:t>
      </w:r>
      <w:r>
        <w:noBreakHyphen/>
        <w:t>5; amended by 29 Jul 2016 p. 3245 and 3257.]</w:t>
      </w:r>
    </w:p>
    <w:p>
      <w:pPr>
        <w:pStyle w:val="Heading5"/>
      </w:pPr>
      <w:bookmarkStart w:id="61" w:name="_Toc168930428"/>
      <w:bookmarkStart w:id="62" w:name="_Toc200371658"/>
      <w:r>
        <w:rPr>
          <w:rStyle w:val="CharSectno"/>
        </w:rPr>
        <w:t>15</w:t>
      </w:r>
      <w:r>
        <w:t>.</w:t>
      </w:r>
      <w:r>
        <w:tab/>
        <w:t>Medical examination prescribed for security officers authorised to possess firearm (Act s. 47(1)(d) and 52(1)(h))</w:t>
      </w:r>
      <w:bookmarkEnd w:id="61"/>
      <w:bookmarkEnd w:id="62"/>
    </w:p>
    <w:p>
      <w:pPr>
        <w:pStyle w:val="Subsection"/>
        <w:keepNext/>
      </w:pPr>
      <w:r>
        <w:tab/>
        <w:t>(1)</w:t>
      </w:r>
      <w:r>
        <w:tab/>
        <w:t xml:space="preserve">Subregulation (2) sets out the medical examination prescribed for the purposes of — </w:t>
      </w:r>
    </w:p>
    <w:p>
      <w:pPr>
        <w:pStyle w:val="Indenta"/>
        <w:keepNext/>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Gazette 4 Dec 2009 p. 4894.]</w:t>
      </w:r>
    </w:p>
    <w:p>
      <w:pPr>
        <w:pStyle w:val="Heading5"/>
        <w:keepLines w:val="0"/>
        <w:rPr>
          <w:snapToGrid w:val="0"/>
        </w:rPr>
      </w:pPr>
      <w:bookmarkStart w:id="63" w:name="_Toc168930429"/>
      <w:bookmarkStart w:id="64" w:name="_Toc200371659"/>
      <w:r>
        <w:rPr>
          <w:rStyle w:val="CharSectno"/>
        </w:rPr>
        <w:t>16</w:t>
      </w:r>
      <w:r>
        <w:rPr>
          <w:snapToGrid w:val="0"/>
        </w:rPr>
        <w:t>.</w:t>
      </w:r>
      <w:r>
        <w:rPr>
          <w:snapToGrid w:val="0"/>
        </w:rPr>
        <w:tab/>
        <w:t>Training courses prescribed (Act s. 47(1)(f)(i), 52(1)(g)(i) and 53(2))</w:t>
      </w:r>
      <w:bookmarkEnd w:id="63"/>
      <w:bookmarkEnd w:id="64"/>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Indenta"/>
      </w:pPr>
      <w:r>
        <w:tab/>
        <w:t>(g)</w:t>
      </w:r>
      <w:r>
        <w:tab/>
        <w:t>a Class 2 security consultant’s licence, an approved training course in technical security;</w:t>
      </w:r>
    </w:p>
    <w:p>
      <w:pPr>
        <w:pStyle w:val="Indenta"/>
      </w:pPr>
      <w:r>
        <w:tab/>
        <w:t>(h)</w:t>
      </w:r>
      <w:r>
        <w:tab/>
        <w:t>a Class 2 security installer’s licence, an approved training course in technical security.</w:t>
      </w:r>
    </w:p>
    <w:p>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w:t>
      </w:r>
      <w:r>
        <w:t>Superintendent</w:t>
      </w:r>
      <w:r>
        <w:rPr>
          <w:snapToGrid w:val="0"/>
        </w:rPr>
        <w:t xml:space="preserve"> thinks fit. </w:t>
      </w:r>
    </w:p>
    <w:p>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Gazette 1 Sep 2005 p. 4076</w:t>
      </w:r>
      <w:r>
        <w:noBreakHyphen/>
        <w:t>7; 4 Dec 2009 p. 4894</w:t>
      </w:r>
      <w:r>
        <w:noBreakHyphen/>
        <w:t>5; 29 Jul 2016 p. 3245-6 and 3257.]</w:t>
      </w:r>
    </w:p>
    <w:p>
      <w:pPr>
        <w:pStyle w:val="Heading5"/>
      </w:pPr>
      <w:bookmarkStart w:id="65" w:name="_Toc168930430"/>
      <w:bookmarkStart w:id="66" w:name="_Toc200371660"/>
      <w:r>
        <w:rPr>
          <w:rStyle w:val="CharSectno"/>
        </w:rPr>
        <w:t>16A</w:t>
      </w:r>
      <w:r>
        <w:t>.</w:t>
      </w:r>
      <w:r>
        <w:tab/>
        <w:t>Records required when baton training undertaken</w:t>
      </w:r>
      <w:bookmarkEnd w:id="65"/>
      <w:bookmarkEnd w:id="66"/>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Gazette 3 Oct 2006 p. 4345.]</w:t>
      </w:r>
    </w:p>
    <w:p>
      <w:pPr>
        <w:pStyle w:val="Heading5"/>
        <w:rPr>
          <w:snapToGrid w:val="0"/>
        </w:rPr>
      </w:pPr>
      <w:bookmarkStart w:id="67" w:name="_Toc168930431"/>
      <w:bookmarkStart w:id="68" w:name="_Toc200371661"/>
      <w:r>
        <w:rPr>
          <w:rStyle w:val="CharSectno"/>
        </w:rPr>
        <w:t>17</w:t>
      </w:r>
      <w:r>
        <w:rPr>
          <w:snapToGrid w:val="0"/>
        </w:rPr>
        <w:t>.</w:t>
      </w:r>
      <w:r>
        <w:rPr>
          <w:snapToGrid w:val="0"/>
        </w:rPr>
        <w:tab/>
        <w:t>Examinations prescribed (Act s. 47(1)(f)(ii) and 52(1)(g)(ii))</w:t>
      </w:r>
      <w:bookmarkEnd w:id="67"/>
      <w:bookmarkEnd w:id="68"/>
      <w:r>
        <w:rPr>
          <w:snapToGrid w:val="0"/>
        </w:rPr>
        <w:t xml:space="preserve"> </w:t>
      </w:r>
    </w:p>
    <w:p>
      <w:pPr>
        <w:pStyle w:val="Subsection"/>
      </w:pPr>
      <w:r>
        <w:tab/>
        <w:t>(1)</w:t>
      </w:r>
      <w:r>
        <w:tab/>
        <w:t>For the purposes of sections 47(1)(f)(ii) and 52(1)(g)(ii), a written examination on AS 2804 — Installation of Security Screen Doors is prescribed in respect of a Class 3 security consultant’s licence and a Class 3 security installer’s licence.</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pPr>
      <w:r>
        <w:tab/>
        <w:t>(2A)</w:t>
      </w:r>
      <w:r>
        <w:tab/>
        <w:t xml:space="preserve">For the purposes of sections 47(1)(f)(ii) and 52(1)(g)(ii) — </w:t>
      </w:r>
    </w:p>
    <w:p>
      <w:pPr>
        <w:pStyle w:val="Indenta"/>
      </w:pPr>
      <w:r>
        <w:tab/>
        <w:t>(a)</w:t>
      </w:r>
      <w:r>
        <w:tab/>
        <w:t>a written examination on watching, guarding and protecting property is prescribed for a security officer’s licence; and</w:t>
      </w:r>
    </w:p>
    <w:p>
      <w:pPr>
        <w:pStyle w:val="Indenta"/>
      </w:pPr>
      <w:r>
        <w:tab/>
        <w:t>(b)</w:t>
      </w:r>
      <w:r>
        <w:tab/>
        <w:t>a written examination on crowd control activities is prescribed for a crowd controller’s licence.</w:t>
      </w:r>
    </w:p>
    <w:p>
      <w:pPr>
        <w:pStyle w:val="Subsection"/>
      </w:pPr>
      <w:r>
        <w:tab/>
        <w:t>(3)</w:t>
      </w:r>
      <w:r>
        <w:tab/>
        <w:t xml:space="preserve">In this regulation — </w:t>
      </w:r>
    </w:p>
    <w:p>
      <w:pPr>
        <w:pStyle w:val="Defstart"/>
      </w:pPr>
      <w:r>
        <w:tab/>
      </w:r>
      <w:r>
        <w:rPr>
          <w:rStyle w:val="CharDefText"/>
        </w:rPr>
        <w:t>written examination</w:t>
      </w:r>
      <w:r>
        <w:t xml:space="preserve"> means a written examination — </w:t>
      </w:r>
    </w:p>
    <w:p>
      <w:pPr>
        <w:pStyle w:val="Defpara"/>
      </w:pPr>
      <w:r>
        <w:tab/>
        <w:t>(a)</w:t>
      </w:r>
      <w:r>
        <w:tab/>
        <w:t>set by the Superintendent or by a course provider approved under regulation 16(3) to test the applicant’s knowledge of the relevant subject matter; and</w:t>
      </w:r>
    </w:p>
    <w:p>
      <w:pPr>
        <w:pStyle w:val="Defpara"/>
      </w:pPr>
      <w:r>
        <w:tab/>
        <w:t>(b)</w:t>
      </w:r>
      <w:r>
        <w:tab/>
        <w:t>administered by the person to whom the application for the issue of the relevant licence is made under regulation 14 or, in the case of a written examination set by a course provider approved under regulation 16(3), by that course provider.</w:t>
      </w:r>
    </w:p>
    <w:p>
      <w:pPr>
        <w:pStyle w:val="Footnotesection"/>
        <w:ind w:left="890" w:hanging="890"/>
      </w:pPr>
      <w:r>
        <w:tab/>
        <w:t>[Regulation 17 amended: Gazette 4 Dec 2009 p. 4895</w:t>
      </w:r>
      <w:r>
        <w:noBreakHyphen/>
        <w:t>6; 29 Jul 2016 p. 3246-7.]</w:t>
      </w:r>
    </w:p>
    <w:p>
      <w:pPr>
        <w:pStyle w:val="Heading5"/>
        <w:spacing w:before="240"/>
      </w:pPr>
      <w:bookmarkStart w:id="69" w:name="_Toc168930432"/>
      <w:bookmarkStart w:id="70" w:name="_Toc200371662"/>
      <w:r>
        <w:rPr>
          <w:rStyle w:val="CharSectno"/>
        </w:rPr>
        <w:t>18</w:t>
      </w:r>
      <w:r>
        <w:t>.</w:t>
      </w:r>
      <w:r>
        <w:tab/>
        <w:t>Evidence of age and identity prescribed (Act s. 47(1)(a))</w:t>
      </w:r>
      <w:bookmarkEnd w:id="69"/>
      <w:bookmarkEnd w:id="70"/>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pStyle w:val="TableNAm"/>
            </w:pPr>
          </w:p>
        </w:tc>
        <w:tc>
          <w:tcPr>
            <w:tcW w:w="4678" w:type="dxa"/>
            <w:tcBorders>
              <w:top w:val="nil"/>
              <w:left w:val="nil"/>
              <w:bottom w:val="single" w:sz="4" w:space="0" w:color="auto"/>
              <w:right w:val="nil"/>
            </w:tcBorders>
          </w:tcPr>
          <w:p>
            <w:pPr>
              <w:pStyle w:val="TableNAm"/>
            </w:pP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A diplomatic document bearing the name, date of birth and a photograph of the applicant that has been issued by a government agency to provide evidence of the person’s legal entitlement to enter Australia.</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A current identity card or licence bearing the name and date of birth of the applicant that has been issued by a government agency outside Australia.</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Gazette 4 Dec 2009 p. 4896</w:t>
      </w:r>
      <w:r>
        <w:noBreakHyphen/>
        <w:t>8; amended: Gazette 5 Aug 2014 p. 2834.]</w:t>
      </w:r>
    </w:p>
    <w:p>
      <w:pPr>
        <w:pStyle w:val="Heading5"/>
        <w:spacing w:before="170"/>
      </w:pPr>
      <w:bookmarkStart w:id="71" w:name="_Toc168930433"/>
      <w:bookmarkStart w:id="72" w:name="_Toc200371663"/>
      <w:r>
        <w:rPr>
          <w:rStyle w:val="CharSectno"/>
        </w:rPr>
        <w:t>19</w:t>
      </w:r>
      <w:r>
        <w:t>.</w:t>
      </w:r>
      <w:r>
        <w:tab/>
        <w:t>Manner of lodging application for renewal prescribed (Act s. 49(1))</w:t>
      </w:r>
      <w:bookmarkEnd w:id="71"/>
      <w:bookmarkEnd w:id="72"/>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Gazette 1 Sep 2005 p. 4077.]</w:t>
      </w:r>
    </w:p>
    <w:p>
      <w:pPr>
        <w:pStyle w:val="Heading5"/>
        <w:spacing w:before="170"/>
        <w:rPr>
          <w:snapToGrid w:val="0"/>
        </w:rPr>
      </w:pPr>
      <w:bookmarkStart w:id="73" w:name="_Toc168930434"/>
      <w:bookmarkStart w:id="74" w:name="_Toc200371664"/>
      <w:r>
        <w:rPr>
          <w:rStyle w:val="CharSectno"/>
        </w:rPr>
        <w:t>20</w:t>
      </w:r>
      <w:r>
        <w:rPr>
          <w:snapToGrid w:val="0"/>
        </w:rPr>
        <w:t>.</w:t>
      </w:r>
      <w:r>
        <w:rPr>
          <w:snapToGrid w:val="0"/>
        </w:rPr>
        <w:tab/>
        <w:t>Material to support application for renewal of licence (Act s. 50(1))</w:t>
      </w:r>
      <w:bookmarkEnd w:id="73"/>
      <w:bookmarkEnd w:id="74"/>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75" w:name="_Toc168930435"/>
      <w:bookmarkStart w:id="76" w:name="_Toc200371665"/>
      <w:r>
        <w:rPr>
          <w:rStyle w:val="CharSectno"/>
        </w:rPr>
        <w:t>21</w:t>
      </w:r>
      <w:r>
        <w:t>.</w:t>
      </w:r>
      <w:r>
        <w:tab/>
        <w:t>Conditions and restrictions prescribed (Act s. 63)</w:t>
      </w:r>
      <w:bookmarkEnd w:id="75"/>
      <w:bookmarkEnd w:id="76"/>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Gazette 3 Oct 2006 p. 4346; amended: Gazette 4 Dec 2009 p. 4898.]</w:t>
      </w:r>
    </w:p>
    <w:p>
      <w:pPr>
        <w:pStyle w:val="Heading3"/>
      </w:pPr>
      <w:bookmarkStart w:id="77" w:name="_Toc168661086"/>
      <w:bookmarkStart w:id="78" w:name="_Toc168661234"/>
      <w:bookmarkStart w:id="79" w:name="_Toc168930436"/>
      <w:bookmarkStart w:id="80" w:name="_Toc200371666"/>
      <w:r>
        <w:rPr>
          <w:rStyle w:val="CharDivNo"/>
        </w:rPr>
        <w:t>Division 2</w:t>
      </w:r>
      <w:r>
        <w:t> — </w:t>
      </w:r>
      <w:r>
        <w:rPr>
          <w:rStyle w:val="CharDivText"/>
        </w:rPr>
        <w:t>Temporary licences</w:t>
      </w:r>
      <w:bookmarkEnd w:id="77"/>
      <w:bookmarkEnd w:id="78"/>
      <w:bookmarkEnd w:id="79"/>
      <w:bookmarkEnd w:id="80"/>
    </w:p>
    <w:p>
      <w:pPr>
        <w:pStyle w:val="Footnoteheading"/>
      </w:pPr>
      <w:r>
        <w:tab/>
        <w:t>[Heading inserted: Gazette 4 Dec 2009 p. 4898.]</w:t>
      </w:r>
    </w:p>
    <w:p>
      <w:pPr>
        <w:pStyle w:val="Heading5"/>
        <w:spacing w:before="240"/>
      </w:pPr>
      <w:bookmarkStart w:id="81" w:name="_Toc168930437"/>
      <w:bookmarkStart w:id="82" w:name="_Toc200371667"/>
      <w:r>
        <w:rPr>
          <w:rStyle w:val="CharSectno"/>
        </w:rPr>
        <w:t>22</w:t>
      </w:r>
      <w:r>
        <w:t>.</w:t>
      </w:r>
      <w:r>
        <w:tab/>
        <w:t>Manner of lodging application for temporary licence prescribed (Act s. 46(1))</w:t>
      </w:r>
      <w:bookmarkEnd w:id="81"/>
      <w:bookmarkEnd w:id="82"/>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Gazette 4 Dec 2009 p. 4898.]</w:t>
      </w:r>
    </w:p>
    <w:p>
      <w:pPr>
        <w:pStyle w:val="Heading5"/>
        <w:spacing w:before="240"/>
      </w:pPr>
      <w:bookmarkStart w:id="83" w:name="_Toc168930438"/>
      <w:bookmarkStart w:id="84" w:name="_Toc200371668"/>
      <w:r>
        <w:rPr>
          <w:rStyle w:val="CharSectno"/>
        </w:rPr>
        <w:t>23</w:t>
      </w:r>
      <w:r>
        <w:t>.</w:t>
      </w:r>
      <w:r>
        <w:tab/>
        <w:t>Evidence prescribed (Act s. 47(2a))</w:t>
      </w:r>
      <w:bookmarkEnd w:id="83"/>
      <w:bookmarkEnd w:id="84"/>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Gazette 4 Dec 2009 p. 4899.]</w:t>
      </w:r>
    </w:p>
    <w:p>
      <w:pPr>
        <w:pStyle w:val="Heading2"/>
      </w:pPr>
      <w:bookmarkStart w:id="85" w:name="_Toc168661089"/>
      <w:bookmarkStart w:id="86" w:name="_Toc168661237"/>
      <w:bookmarkStart w:id="87" w:name="_Toc168930439"/>
      <w:bookmarkStart w:id="88" w:name="_Toc200371669"/>
      <w:r>
        <w:rPr>
          <w:rStyle w:val="CharPartNo"/>
        </w:rPr>
        <w:t>Part 5A</w:t>
      </w:r>
      <w:r>
        <w:rPr>
          <w:rStyle w:val="CharDivNo"/>
        </w:rPr>
        <w:t> </w:t>
      </w:r>
      <w:r>
        <w:t>—</w:t>
      </w:r>
      <w:r>
        <w:rPr>
          <w:rStyle w:val="CharDivText"/>
        </w:rPr>
        <w:t> </w:t>
      </w:r>
      <w:r>
        <w:rPr>
          <w:rStyle w:val="CharPartText"/>
        </w:rPr>
        <w:t>Disqualifying offences and disqualifying periods</w:t>
      </w:r>
      <w:bookmarkEnd w:id="85"/>
      <w:bookmarkEnd w:id="86"/>
      <w:bookmarkEnd w:id="87"/>
      <w:bookmarkEnd w:id="88"/>
    </w:p>
    <w:p>
      <w:pPr>
        <w:pStyle w:val="Footnoteheading"/>
      </w:pPr>
      <w:r>
        <w:tab/>
        <w:t>[Heading inserted: Gazette 4 Dec 2009 p. 4900.]</w:t>
      </w:r>
    </w:p>
    <w:p>
      <w:pPr>
        <w:pStyle w:val="Heading5"/>
      </w:pPr>
      <w:bookmarkStart w:id="89" w:name="_Toc168930440"/>
      <w:bookmarkStart w:id="90" w:name="_Toc200371670"/>
      <w:r>
        <w:rPr>
          <w:rStyle w:val="CharSectno"/>
        </w:rPr>
        <w:t>24</w:t>
      </w:r>
      <w:r>
        <w:t>.</w:t>
      </w:r>
      <w:r>
        <w:tab/>
        <w:t>Disqualifying offences prescribed (Act s. 3)</w:t>
      </w:r>
      <w:bookmarkEnd w:id="89"/>
      <w:bookmarkEnd w:id="90"/>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the Commonwealth, another State or a Territory or of another country which, regardless of where it was committed, would have constituted an offence described in Schedule 2.</w:t>
      </w:r>
    </w:p>
    <w:p>
      <w:pPr>
        <w:pStyle w:val="Footnotesection"/>
        <w:keepLines w:val="0"/>
      </w:pPr>
      <w:r>
        <w:tab/>
        <w:t>[Regulation 24 inserted: Gazette 4 Dec 2009 p. 4900; amended: Gazette 29 Jul 2016 p. 3247.]</w:t>
      </w:r>
    </w:p>
    <w:p>
      <w:pPr>
        <w:pStyle w:val="Heading5"/>
      </w:pPr>
      <w:bookmarkStart w:id="91" w:name="_Toc168930441"/>
      <w:bookmarkStart w:id="92" w:name="_Toc200371671"/>
      <w:r>
        <w:rPr>
          <w:rStyle w:val="CharSectno"/>
        </w:rPr>
        <w:t>25</w:t>
      </w:r>
      <w:r>
        <w:t>.</w:t>
      </w:r>
      <w:r>
        <w:tab/>
        <w:t>Disqualifying periods prescribed (Act s. 4A)</w:t>
      </w:r>
      <w:bookmarkEnd w:id="91"/>
      <w:bookmarkEnd w:id="92"/>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Gazette 4 Dec 2009 p. 4900</w:t>
      </w:r>
      <w:r>
        <w:noBreakHyphen/>
        <w:t>1; amended: Gazette 22 Jun 2010 p. 2784.]</w:t>
      </w:r>
    </w:p>
    <w:p>
      <w:pPr>
        <w:pStyle w:val="Heading2"/>
      </w:pPr>
      <w:bookmarkStart w:id="93" w:name="_Toc168661092"/>
      <w:bookmarkStart w:id="94" w:name="_Toc168661240"/>
      <w:bookmarkStart w:id="95" w:name="_Toc168930442"/>
      <w:bookmarkStart w:id="96" w:name="_Toc200371672"/>
      <w:r>
        <w:rPr>
          <w:rStyle w:val="CharPartNo"/>
        </w:rPr>
        <w:t>Part 5</w:t>
      </w:r>
      <w:r>
        <w:rPr>
          <w:rStyle w:val="CharDivNo"/>
        </w:rPr>
        <w:t> </w:t>
      </w:r>
      <w:r>
        <w:t>—</w:t>
      </w:r>
      <w:r>
        <w:rPr>
          <w:rStyle w:val="CharDivText"/>
        </w:rPr>
        <w:t> </w:t>
      </w:r>
      <w:r>
        <w:rPr>
          <w:rStyle w:val="CharPartText"/>
        </w:rPr>
        <w:t>Classes of licence</w:t>
      </w:r>
      <w:bookmarkEnd w:id="93"/>
      <w:bookmarkEnd w:id="94"/>
      <w:bookmarkEnd w:id="95"/>
      <w:bookmarkEnd w:id="96"/>
    </w:p>
    <w:p>
      <w:pPr>
        <w:pStyle w:val="Footnoteheading"/>
      </w:pPr>
      <w:r>
        <w:tab/>
        <w:t>[Heading inserted: Gazette 4 Dec 2009 p. 4901.]</w:t>
      </w:r>
    </w:p>
    <w:p>
      <w:pPr>
        <w:pStyle w:val="Heading5"/>
      </w:pPr>
      <w:bookmarkStart w:id="97" w:name="_Toc168930443"/>
      <w:bookmarkStart w:id="98" w:name="_Toc200371673"/>
      <w:r>
        <w:rPr>
          <w:rStyle w:val="CharSectno"/>
        </w:rPr>
        <w:t>26</w:t>
      </w:r>
      <w:r>
        <w:t>.</w:t>
      </w:r>
      <w:r>
        <w:tab/>
        <w:t>Security consultant’s licence, classes of</w:t>
      </w:r>
      <w:bookmarkEnd w:id="97"/>
      <w:bookmarkEnd w:id="98"/>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Gazette 4 Dec 2009 p. 4901</w:t>
      </w:r>
      <w:r>
        <w:noBreakHyphen/>
        <w:t>2.]</w:t>
      </w:r>
    </w:p>
    <w:p>
      <w:pPr>
        <w:pStyle w:val="Heading5"/>
      </w:pPr>
      <w:bookmarkStart w:id="99" w:name="_Toc168930444"/>
      <w:bookmarkStart w:id="100" w:name="_Toc200371674"/>
      <w:r>
        <w:rPr>
          <w:rStyle w:val="CharSectno"/>
        </w:rPr>
        <w:t>27</w:t>
      </w:r>
      <w:r>
        <w:t>.</w:t>
      </w:r>
      <w:r>
        <w:tab/>
        <w:t>Security installer’s licence, classes of</w:t>
      </w:r>
      <w:bookmarkEnd w:id="99"/>
      <w:bookmarkEnd w:id="100"/>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Gazette 4 Dec 2009 p. 4902</w:t>
      </w:r>
      <w:r>
        <w:noBreakHyphen/>
        <w:t>3.]</w:t>
      </w:r>
    </w:p>
    <w:p>
      <w:pPr>
        <w:pStyle w:val="Ednotesection"/>
      </w:pPr>
      <w:r>
        <w:t>[</w:t>
      </w:r>
      <w:r>
        <w:rPr>
          <w:b/>
          <w:bCs/>
        </w:rPr>
        <w:t>28</w:t>
      </w:r>
      <w:r>
        <w:rPr>
          <w:b/>
          <w:bCs/>
        </w:rPr>
        <w:noBreakHyphen/>
        <w:t>34.</w:t>
      </w:r>
      <w:r>
        <w:rPr>
          <w:b/>
          <w:bCs/>
        </w:rPr>
        <w:tab/>
      </w:r>
      <w:r>
        <w:t>Deleted: Gazette 30 Dec 2004 p. 6977.]</w:t>
      </w:r>
    </w:p>
    <w:p>
      <w:pPr>
        <w:pStyle w:val="Heading2"/>
      </w:pPr>
      <w:bookmarkStart w:id="101" w:name="_Toc168661095"/>
      <w:bookmarkStart w:id="102" w:name="_Toc168661243"/>
      <w:bookmarkStart w:id="103" w:name="_Toc168930445"/>
      <w:bookmarkStart w:id="104" w:name="_Toc200371675"/>
      <w:r>
        <w:rPr>
          <w:rStyle w:val="CharPartNo"/>
        </w:rPr>
        <w:t>Part 6</w:t>
      </w:r>
      <w:r>
        <w:rPr>
          <w:rStyle w:val="CharDivNo"/>
        </w:rPr>
        <w:t> </w:t>
      </w:r>
      <w:r>
        <w:t>—</w:t>
      </w:r>
      <w:r>
        <w:rPr>
          <w:rStyle w:val="CharDivText"/>
        </w:rPr>
        <w:t> </w:t>
      </w:r>
      <w:r>
        <w:rPr>
          <w:rStyle w:val="CharPartText"/>
        </w:rPr>
        <w:t>Records</w:t>
      </w:r>
      <w:bookmarkEnd w:id="101"/>
      <w:bookmarkEnd w:id="102"/>
      <w:bookmarkEnd w:id="103"/>
      <w:bookmarkEnd w:id="104"/>
    </w:p>
    <w:p>
      <w:pPr>
        <w:pStyle w:val="Heading5"/>
        <w:rPr>
          <w:snapToGrid w:val="0"/>
        </w:rPr>
      </w:pPr>
      <w:bookmarkStart w:id="105" w:name="_Toc168930446"/>
      <w:bookmarkStart w:id="106" w:name="_Toc200371676"/>
      <w:r>
        <w:rPr>
          <w:rStyle w:val="CharSectno"/>
        </w:rPr>
        <w:t>35</w:t>
      </w:r>
      <w:r>
        <w:rPr>
          <w:snapToGrid w:val="0"/>
        </w:rPr>
        <w:t>.</w:t>
      </w:r>
      <w:r>
        <w:rPr>
          <w:snapToGrid w:val="0"/>
        </w:rPr>
        <w:tab/>
        <w:t>Records to be kept by security agent prescribed (Act s. 78(1)(a))</w:t>
      </w:r>
      <w:bookmarkEnd w:id="105"/>
      <w:bookmarkEnd w:id="106"/>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Gazette 4 Dec 2009 p. 4903.]</w:t>
      </w:r>
    </w:p>
    <w:p>
      <w:pPr>
        <w:pStyle w:val="Heading5"/>
        <w:rPr>
          <w:snapToGrid w:val="0"/>
        </w:rPr>
      </w:pPr>
      <w:bookmarkStart w:id="107" w:name="_Toc168930447"/>
      <w:bookmarkStart w:id="108" w:name="_Toc200371677"/>
      <w:r>
        <w:rPr>
          <w:rStyle w:val="CharSectno"/>
        </w:rPr>
        <w:t>36</w:t>
      </w:r>
      <w:r>
        <w:rPr>
          <w:snapToGrid w:val="0"/>
        </w:rPr>
        <w:t>.</w:t>
      </w:r>
      <w:r>
        <w:rPr>
          <w:snapToGrid w:val="0"/>
        </w:rPr>
        <w:tab/>
        <w:t>Firearms register, content of</w:t>
      </w:r>
      <w:bookmarkEnd w:id="107"/>
      <w:bookmarkEnd w:id="108"/>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Gazette 1 Sep 2005 p. 4077</w:t>
      </w:r>
      <w:r>
        <w:noBreakHyphen/>
        <w:t>8.]</w:t>
      </w:r>
    </w:p>
    <w:p>
      <w:pPr>
        <w:pStyle w:val="Heading5"/>
        <w:rPr>
          <w:snapToGrid w:val="0"/>
        </w:rPr>
      </w:pPr>
      <w:bookmarkStart w:id="109" w:name="_Toc168930448"/>
      <w:bookmarkStart w:id="110" w:name="_Toc200371678"/>
      <w:r>
        <w:rPr>
          <w:rStyle w:val="CharSectno"/>
        </w:rPr>
        <w:t>37</w:t>
      </w:r>
      <w:r>
        <w:rPr>
          <w:snapToGrid w:val="0"/>
        </w:rPr>
        <w:t>.</w:t>
      </w:r>
      <w:r>
        <w:rPr>
          <w:snapToGrid w:val="0"/>
        </w:rPr>
        <w:tab/>
        <w:t>Alarm surveillance register, content of</w:t>
      </w:r>
      <w:bookmarkEnd w:id="109"/>
      <w:bookmarkEnd w:id="110"/>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keepNext/>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Gazette 1 Sep 2005 p. 4078</w:t>
      </w:r>
      <w:r>
        <w:noBreakHyphen/>
        <w:t>80.]</w:t>
      </w:r>
    </w:p>
    <w:p>
      <w:pPr>
        <w:pStyle w:val="Heading5"/>
      </w:pPr>
      <w:bookmarkStart w:id="111" w:name="_Toc168930449"/>
      <w:bookmarkStart w:id="112" w:name="_Toc200371679"/>
      <w:r>
        <w:rPr>
          <w:rStyle w:val="CharSectno"/>
        </w:rPr>
        <w:t>38A</w:t>
      </w:r>
      <w:r>
        <w:t>.</w:t>
      </w:r>
      <w:r>
        <w:tab/>
        <w:t xml:space="preserve">Guard dog register, </w:t>
      </w:r>
      <w:r>
        <w:rPr>
          <w:snapToGrid w:val="0"/>
        </w:rPr>
        <w:t>content of</w:t>
      </w:r>
      <w:bookmarkEnd w:id="111"/>
      <w:bookmarkEnd w:id="112"/>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Gazette 4 Dec 2009 p. 4903</w:t>
      </w:r>
      <w:r>
        <w:noBreakHyphen/>
        <w:t>4.]</w:t>
      </w:r>
    </w:p>
    <w:p>
      <w:pPr>
        <w:pStyle w:val="Heading5"/>
        <w:keepNext w:val="0"/>
        <w:keepLines w:val="0"/>
        <w:pageBreakBefore/>
        <w:spacing w:before="0"/>
        <w:rPr>
          <w:snapToGrid w:val="0"/>
        </w:rPr>
      </w:pPr>
      <w:bookmarkStart w:id="113" w:name="_Toc168930450"/>
      <w:bookmarkStart w:id="114" w:name="_Toc200371680"/>
      <w:r>
        <w:rPr>
          <w:rStyle w:val="CharSectno"/>
        </w:rPr>
        <w:t>38</w:t>
      </w:r>
      <w:r>
        <w:rPr>
          <w:snapToGrid w:val="0"/>
        </w:rPr>
        <w:t>.</w:t>
      </w:r>
      <w:r>
        <w:rPr>
          <w:snapToGrid w:val="0"/>
        </w:rPr>
        <w:tab/>
        <w:t>General records of security agent</w:t>
      </w:r>
      <w:bookmarkEnd w:id="113"/>
      <w:bookmarkEnd w:id="114"/>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Gazette 1 Sep 2005 p. 4080; 3 Oct 2006 p. 4346; 4 Dec 2009 p. 4904</w:t>
      </w:r>
      <w:r>
        <w:noBreakHyphen/>
        <w:t>5.]</w:t>
      </w:r>
    </w:p>
    <w:p>
      <w:pPr>
        <w:pStyle w:val="Heading5"/>
        <w:rPr>
          <w:snapToGrid w:val="0"/>
        </w:rPr>
      </w:pPr>
      <w:bookmarkStart w:id="115" w:name="_Toc168930451"/>
      <w:bookmarkStart w:id="116" w:name="_Toc200371681"/>
      <w:r>
        <w:rPr>
          <w:rStyle w:val="CharSectno"/>
        </w:rPr>
        <w:t>39</w:t>
      </w:r>
      <w:r>
        <w:rPr>
          <w:snapToGrid w:val="0"/>
        </w:rPr>
        <w:t>.</w:t>
      </w:r>
      <w:r>
        <w:rPr>
          <w:snapToGrid w:val="0"/>
        </w:rPr>
        <w:tab/>
        <w:t>Records to be kept by crowd control agent prescribed (Act s. 78(1)(a))</w:t>
      </w:r>
      <w:bookmarkEnd w:id="115"/>
      <w:bookmarkEnd w:id="116"/>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Gazette 1 Sep 2005 p. 4080.]</w:t>
      </w:r>
    </w:p>
    <w:p>
      <w:pPr>
        <w:pStyle w:val="Heading5"/>
        <w:rPr>
          <w:snapToGrid w:val="0"/>
        </w:rPr>
      </w:pPr>
      <w:bookmarkStart w:id="117" w:name="_Toc168930452"/>
      <w:bookmarkStart w:id="118" w:name="_Toc200371682"/>
      <w:r>
        <w:rPr>
          <w:rStyle w:val="CharSectno"/>
        </w:rPr>
        <w:t>40</w:t>
      </w:r>
      <w:r>
        <w:rPr>
          <w:snapToGrid w:val="0"/>
        </w:rPr>
        <w:t>.</w:t>
      </w:r>
      <w:r>
        <w:rPr>
          <w:snapToGrid w:val="0"/>
        </w:rPr>
        <w:tab/>
        <w:t>Incident register, content of</w:t>
      </w:r>
      <w:bookmarkEnd w:id="117"/>
      <w:bookmarkEnd w:id="118"/>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for this subregulation: a fine of $2 000.</w:t>
      </w:r>
    </w:p>
    <w:p>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Gazette 1 Sep 2005 p. 4081</w:t>
      </w:r>
      <w:r>
        <w:noBreakHyphen/>
        <w:t>2; 29 Jul 2016 p. 3248.]</w:t>
      </w:r>
    </w:p>
    <w:p>
      <w:pPr>
        <w:pStyle w:val="Heading5"/>
        <w:spacing w:before="180"/>
        <w:rPr>
          <w:snapToGrid w:val="0"/>
        </w:rPr>
      </w:pPr>
      <w:bookmarkStart w:id="119" w:name="_Toc168930453"/>
      <w:bookmarkStart w:id="120" w:name="_Toc200371683"/>
      <w:r>
        <w:rPr>
          <w:rStyle w:val="CharSectno"/>
        </w:rPr>
        <w:t>41</w:t>
      </w:r>
      <w:r>
        <w:rPr>
          <w:snapToGrid w:val="0"/>
        </w:rPr>
        <w:t>.</w:t>
      </w:r>
      <w:r>
        <w:rPr>
          <w:snapToGrid w:val="0"/>
        </w:rPr>
        <w:tab/>
        <w:t>General records of crowd control agent</w:t>
      </w:r>
      <w:bookmarkEnd w:id="119"/>
      <w:bookmarkEnd w:id="120"/>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Gazette 1 Sep 2005 p. 4082; 4 Dec 2009 p. 4905</w:t>
      </w:r>
      <w:r>
        <w:noBreakHyphen/>
        <w:t>6.]</w:t>
      </w:r>
    </w:p>
    <w:p>
      <w:pPr>
        <w:pStyle w:val="Heading5"/>
        <w:spacing w:before="180"/>
        <w:rPr>
          <w:snapToGrid w:val="0"/>
        </w:rPr>
      </w:pPr>
      <w:bookmarkStart w:id="121" w:name="_Toc168930454"/>
      <w:bookmarkStart w:id="122" w:name="_Toc200371684"/>
      <w:r>
        <w:rPr>
          <w:rStyle w:val="CharSectno"/>
        </w:rPr>
        <w:t>42</w:t>
      </w:r>
      <w:r>
        <w:rPr>
          <w:snapToGrid w:val="0"/>
        </w:rPr>
        <w:t>.</w:t>
      </w:r>
      <w:r>
        <w:rPr>
          <w:snapToGrid w:val="0"/>
        </w:rPr>
        <w:tab/>
        <w:t>Records to be kept by inquiry agent prescribed (Act s. 78(1)(a))</w:t>
      </w:r>
      <w:bookmarkEnd w:id="121"/>
      <w:bookmarkEnd w:id="122"/>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Gazette 1 Sep 2005 p. 4083.]</w:t>
      </w:r>
    </w:p>
    <w:p>
      <w:pPr>
        <w:pStyle w:val="Heading5"/>
        <w:rPr>
          <w:snapToGrid w:val="0"/>
        </w:rPr>
      </w:pPr>
      <w:bookmarkStart w:id="123" w:name="_Toc168930455"/>
      <w:bookmarkStart w:id="124" w:name="_Toc200371685"/>
      <w:r>
        <w:rPr>
          <w:rStyle w:val="CharSectno"/>
        </w:rPr>
        <w:t>43</w:t>
      </w:r>
      <w:r>
        <w:rPr>
          <w:snapToGrid w:val="0"/>
        </w:rPr>
        <w:t>.</w:t>
      </w:r>
      <w:r>
        <w:rPr>
          <w:snapToGrid w:val="0"/>
        </w:rPr>
        <w:tab/>
        <w:t>Records to be kept by person for whom licensed crowd controller provides services prescribed (Act s. 84(a))</w:t>
      </w:r>
      <w:bookmarkEnd w:id="123"/>
      <w:bookmarkEnd w:id="124"/>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Gazette 1 Sep 2005 p. 4083.]</w:t>
      </w:r>
    </w:p>
    <w:p>
      <w:pPr>
        <w:pStyle w:val="Heading5"/>
      </w:pPr>
      <w:bookmarkStart w:id="125" w:name="_Toc168930456"/>
      <w:bookmarkStart w:id="126" w:name="_Toc200371686"/>
      <w:r>
        <w:rPr>
          <w:rStyle w:val="CharSectno"/>
        </w:rPr>
        <w:t>44A</w:t>
      </w:r>
      <w:r>
        <w:t>.</w:t>
      </w:r>
      <w:r>
        <w:tab/>
        <w:t>Notification of address where records held (Act s. 78(2))</w:t>
      </w:r>
      <w:bookmarkEnd w:id="125"/>
      <w:bookmarkEnd w:id="126"/>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Gazette 4 Dec 2009 p. 4906.]</w:t>
      </w:r>
    </w:p>
    <w:p>
      <w:pPr>
        <w:pStyle w:val="Heading2"/>
      </w:pPr>
      <w:bookmarkStart w:id="127" w:name="_Toc168661107"/>
      <w:bookmarkStart w:id="128" w:name="_Toc168661255"/>
      <w:bookmarkStart w:id="129" w:name="_Toc168930457"/>
      <w:bookmarkStart w:id="130" w:name="_Toc200371687"/>
      <w:r>
        <w:rPr>
          <w:rStyle w:val="CharPartNo"/>
        </w:rPr>
        <w:t>Part 7</w:t>
      </w:r>
      <w:r>
        <w:rPr>
          <w:rStyle w:val="CharDivNo"/>
        </w:rPr>
        <w:t> </w:t>
      </w:r>
      <w:r>
        <w:t>—</w:t>
      </w:r>
      <w:r>
        <w:rPr>
          <w:rStyle w:val="CharDivText"/>
        </w:rPr>
        <w:t> </w:t>
      </w:r>
      <w:r>
        <w:rPr>
          <w:rStyle w:val="CharPartText"/>
        </w:rPr>
        <w:t>Drug testing</w:t>
      </w:r>
      <w:bookmarkEnd w:id="127"/>
      <w:bookmarkEnd w:id="128"/>
      <w:bookmarkEnd w:id="129"/>
      <w:bookmarkEnd w:id="130"/>
      <w:r>
        <w:rPr>
          <w:rStyle w:val="CharPartText"/>
        </w:rPr>
        <w:t xml:space="preserve"> </w:t>
      </w:r>
    </w:p>
    <w:p>
      <w:pPr>
        <w:pStyle w:val="Heading5"/>
        <w:spacing w:before="240"/>
        <w:rPr>
          <w:snapToGrid w:val="0"/>
        </w:rPr>
      </w:pPr>
      <w:bookmarkStart w:id="131" w:name="_Toc168930458"/>
      <w:bookmarkStart w:id="132" w:name="_Toc200371688"/>
      <w:r>
        <w:rPr>
          <w:rStyle w:val="CharSectno"/>
        </w:rPr>
        <w:t>44</w:t>
      </w:r>
      <w:r>
        <w:rPr>
          <w:snapToGrid w:val="0"/>
        </w:rPr>
        <w:t>.</w:t>
      </w:r>
      <w:r>
        <w:rPr>
          <w:snapToGrid w:val="0"/>
        </w:rPr>
        <w:tab/>
        <w:t>Terms used</w:t>
      </w:r>
      <w:bookmarkEnd w:id="131"/>
      <w:bookmarkEnd w:id="13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the </w:t>
      </w:r>
      <w:r>
        <w:rPr>
          <w:i/>
        </w:rPr>
        <w:t xml:space="preserve">Health (Miscellaneous Provisions) Act 1911 </w:t>
      </w:r>
      <w:r>
        <w:t>section 203;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Gazette 28 Apr 2006 p. 1657; 4 Dec 2009 p. 4906; 10 Jan 2017 p. 224.]</w:t>
      </w:r>
    </w:p>
    <w:p>
      <w:pPr>
        <w:pStyle w:val="Heading5"/>
        <w:keepLines w:val="0"/>
        <w:pageBreakBefore/>
        <w:spacing w:before="0"/>
        <w:rPr>
          <w:snapToGrid w:val="0"/>
        </w:rPr>
      </w:pPr>
      <w:bookmarkStart w:id="133" w:name="_Toc168930459"/>
      <w:bookmarkStart w:id="134" w:name="_Toc200371689"/>
      <w:r>
        <w:rPr>
          <w:rStyle w:val="CharSectno"/>
        </w:rPr>
        <w:t>45</w:t>
      </w:r>
      <w:r>
        <w:rPr>
          <w:snapToGrid w:val="0"/>
        </w:rPr>
        <w:t>.</w:t>
      </w:r>
      <w:r>
        <w:rPr>
          <w:snapToGrid w:val="0"/>
        </w:rPr>
        <w:tab/>
        <w:t>Drugs prescribed (Act s. 80)</w:t>
      </w:r>
      <w:bookmarkEnd w:id="133"/>
      <w:bookmarkEnd w:id="134"/>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135" w:name="_Toc168930460"/>
      <w:bookmarkStart w:id="136" w:name="_Toc200371690"/>
      <w:r>
        <w:rPr>
          <w:rStyle w:val="CharSectno"/>
        </w:rPr>
        <w:t>46</w:t>
      </w:r>
      <w:r>
        <w:rPr>
          <w:snapToGrid w:val="0"/>
        </w:rPr>
        <w:t>.</w:t>
      </w:r>
      <w:r>
        <w:rPr>
          <w:snapToGrid w:val="0"/>
        </w:rPr>
        <w:tab/>
        <w:t>Approval of technologists, sample collectors and analysts</w:t>
      </w:r>
      <w:bookmarkEnd w:id="135"/>
      <w:bookmarkEnd w:id="136"/>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rPr>
        <w:t>Health (Miscellaneous Provisions) Act 1911</w:t>
      </w:r>
      <w:r>
        <w:t xml:space="preserve">) </w:t>
      </w:r>
      <w:r>
        <w:rPr>
          <w:snapToGrid w:val="0"/>
        </w:rPr>
        <w:t>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Gazette 4 Dec 2009 p. 4907; 10 Jan 2017 p. 224.]</w:t>
      </w:r>
    </w:p>
    <w:p>
      <w:pPr>
        <w:pStyle w:val="Heading5"/>
        <w:rPr>
          <w:snapToGrid w:val="0"/>
        </w:rPr>
      </w:pPr>
      <w:bookmarkStart w:id="137" w:name="_Toc168930461"/>
      <w:bookmarkStart w:id="138" w:name="_Toc200371691"/>
      <w:r>
        <w:rPr>
          <w:rStyle w:val="CharSectno"/>
        </w:rPr>
        <w:t>47</w:t>
      </w:r>
      <w:r>
        <w:rPr>
          <w:snapToGrid w:val="0"/>
        </w:rPr>
        <w:t>.</w:t>
      </w:r>
      <w:r>
        <w:rPr>
          <w:snapToGrid w:val="0"/>
        </w:rPr>
        <w:tab/>
        <w:t>Blood and urine sampling equipment prescribed</w:t>
      </w:r>
      <w:bookmarkEnd w:id="137"/>
      <w:bookmarkEnd w:id="138"/>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Gazette 28 Apr 2006 p. 1657.]</w:t>
      </w:r>
    </w:p>
    <w:p>
      <w:pPr>
        <w:pStyle w:val="Heading5"/>
        <w:keepLines w:val="0"/>
        <w:spacing w:before="240"/>
        <w:rPr>
          <w:snapToGrid w:val="0"/>
        </w:rPr>
      </w:pPr>
      <w:bookmarkStart w:id="139" w:name="_Toc168930462"/>
      <w:bookmarkStart w:id="140" w:name="_Toc200371692"/>
      <w:r>
        <w:rPr>
          <w:rStyle w:val="CharSectno"/>
        </w:rPr>
        <w:t>48</w:t>
      </w:r>
      <w:r>
        <w:rPr>
          <w:snapToGrid w:val="0"/>
        </w:rPr>
        <w:t>.</w:t>
      </w:r>
      <w:r>
        <w:rPr>
          <w:snapToGrid w:val="0"/>
        </w:rPr>
        <w:tab/>
        <w:t>Preparation and use of sampling equipment</w:t>
      </w:r>
      <w:bookmarkEnd w:id="139"/>
      <w:bookmarkEnd w:id="140"/>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Gazette 28 Apr 2006 p. 1657.]</w:t>
      </w:r>
    </w:p>
    <w:p>
      <w:pPr>
        <w:pStyle w:val="Heading5"/>
        <w:spacing w:before="240"/>
      </w:pPr>
      <w:bookmarkStart w:id="141" w:name="_Toc168930463"/>
      <w:bookmarkStart w:id="142" w:name="_Toc200371693"/>
      <w:r>
        <w:rPr>
          <w:rStyle w:val="CharSectno"/>
        </w:rPr>
        <w:t>48A</w:t>
      </w:r>
      <w:r>
        <w:t>.</w:t>
      </w:r>
      <w:r>
        <w:tab/>
        <w:t>Licensee to produce identity card when giving blood or urine sample under direction given under Act s. 80</w:t>
      </w:r>
      <w:bookmarkEnd w:id="141"/>
      <w:bookmarkEnd w:id="142"/>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Gazette 1 Sep 2005 p. 4083</w:t>
      </w:r>
      <w:r>
        <w:noBreakHyphen/>
        <w:t>4; amended: Gazette 4 Dec 2009 p. 4907.]</w:t>
      </w:r>
    </w:p>
    <w:p>
      <w:pPr>
        <w:pStyle w:val="Heading5"/>
        <w:keepNext w:val="0"/>
        <w:keepLines w:val="0"/>
        <w:pageBreakBefore/>
        <w:spacing w:before="0"/>
        <w:rPr>
          <w:snapToGrid w:val="0"/>
        </w:rPr>
      </w:pPr>
      <w:bookmarkStart w:id="143" w:name="_Toc168930464"/>
      <w:bookmarkStart w:id="144" w:name="_Toc200371694"/>
      <w:r>
        <w:rPr>
          <w:rStyle w:val="CharSectno"/>
        </w:rPr>
        <w:t>49</w:t>
      </w:r>
      <w:r>
        <w:rPr>
          <w:snapToGrid w:val="0"/>
        </w:rPr>
        <w:t>.</w:t>
      </w:r>
      <w:r>
        <w:rPr>
          <w:snapToGrid w:val="0"/>
        </w:rPr>
        <w:tab/>
        <w:t>Blood samples, method for collecting</w:t>
      </w:r>
      <w:bookmarkEnd w:id="143"/>
      <w:bookmarkEnd w:id="144"/>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145" w:name="_Toc168930465"/>
      <w:bookmarkStart w:id="146" w:name="_Toc200371695"/>
      <w:r>
        <w:rPr>
          <w:rStyle w:val="CharSectno"/>
        </w:rPr>
        <w:t>50</w:t>
      </w:r>
      <w:r>
        <w:rPr>
          <w:snapToGrid w:val="0"/>
        </w:rPr>
        <w:t>.</w:t>
      </w:r>
      <w:r>
        <w:rPr>
          <w:snapToGrid w:val="0"/>
        </w:rPr>
        <w:tab/>
        <w:t>Urine samples, method for collecting</w:t>
      </w:r>
      <w:bookmarkEnd w:id="145"/>
      <w:bookmarkEnd w:id="146"/>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Gazette 28 Apr 2006 p. 1657</w:t>
      </w:r>
      <w:r>
        <w:noBreakHyphen/>
        <w:t>8.]</w:t>
      </w:r>
    </w:p>
    <w:p>
      <w:pPr>
        <w:pStyle w:val="Heading5"/>
        <w:rPr>
          <w:snapToGrid w:val="0"/>
        </w:rPr>
      </w:pPr>
      <w:bookmarkStart w:id="147" w:name="_Toc168930466"/>
      <w:bookmarkStart w:id="148" w:name="_Toc200371696"/>
      <w:r>
        <w:rPr>
          <w:rStyle w:val="CharSectno"/>
        </w:rPr>
        <w:t>51</w:t>
      </w:r>
      <w:r>
        <w:rPr>
          <w:snapToGrid w:val="0"/>
        </w:rPr>
        <w:t>.</w:t>
      </w:r>
      <w:r>
        <w:rPr>
          <w:snapToGrid w:val="0"/>
        </w:rPr>
        <w:tab/>
        <w:t>Analysis of samples</w:t>
      </w:r>
      <w:bookmarkEnd w:id="147"/>
      <w:bookmarkEnd w:id="148"/>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Gazette 4 Dec 2009 p. 4907</w:t>
      </w:r>
      <w:r>
        <w:noBreakHyphen/>
        <w:t>8.]</w:t>
      </w:r>
    </w:p>
    <w:p>
      <w:pPr>
        <w:pStyle w:val="Heading5"/>
        <w:rPr>
          <w:snapToGrid w:val="0"/>
        </w:rPr>
      </w:pPr>
      <w:bookmarkStart w:id="149" w:name="_Toc168930467"/>
      <w:bookmarkStart w:id="150" w:name="_Toc200371697"/>
      <w:r>
        <w:rPr>
          <w:rStyle w:val="CharSectno"/>
        </w:rPr>
        <w:t>52</w:t>
      </w:r>
      <w:r>
        <w:rPr>
          <w:snapToGrid w:val="0"/>
        </w:rPr>
        <w:t>.</w:t>
      </w:r>
      <w:r>
        <w:rPr>
          <w:snapToGrid w:val="0"/>
        </w:rPr>
        <w:tab/>
        <w:t>Non</w:t>
      </w:r>
      <w:r>
        <w:rPr>
          <w:snapToGrid w:val="0"/>
        </w:rPr>
        <w:noBreakHyphen/>
        <w:t>complying sample defined (Act s. 81(1)(b))</w:t>
      </w:r>
      <w:bookmarkEnd w:id="149"/>
      <w:bookmarkEnd w:id="150"/>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151" w:name="_Toc168930468"/>
      <w:bookmarkStart w:id="152" w:name="_Toc200371698"/>
      <w:r>
        <w:rPr>
          <w:rStyle w:val="CharSectno"/>
        </w:rPr>
        <w:t>53</w:t>
      </w:r>
      <w:r>
        <w:rPr>
          <w:snapToGrid w:val="0"/>
        </w:rPr>
        <w:t>.</w:t>
      </w:r>
      <w:r>
        <w:rPr>
          <w:snapToGrid w:val="0"/>
        </w:rPr>
        <w:tab/>
        <w:t>Certificates which are evidence</w:t>
      </w:r>
      <w:bookmarkEnd w:id="151"/>
      <w:bookmarkEnd w:id="152"/>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Gazette 28 Apr 2006 p. 1658; 4 Dec 2009 p. 4908.]</w:t>
      </w:r>
    </w:p>
    <w:p>
      <w:pPr>
        <w:pStyle w:val="Heading2"/>
      </w:pPr>
      <w:bookmarkStart w:id="153" w:name="_Toc168661119"/>
      <w:bookmarkStart w:id="154" w:name="_Toc168661267"/>
      <w:bookmarkStart w:id="155" w:name="_Toc168930469"/>
      <w:bookmarkStart w:id="156" w:name="_Toc200371699"/>
      <w:r>
        <w:rPr>
          <w:rStyle w:val="CharPartNo"/>
        </w:rPr>
        <w:t>Part 8</w:t>
      </w:r>
      <w:r>
        <w:rPr>
          <w:rStyle w:val="CharDivNo"/>
        </w:rPr>
        <w:t> </w:t>
      </w:r>
      <w:r>
        <w:t>—</w:t>
      </w:r>
      <w:r>
        <w:rPr>
          <w:rStyle w:val="CharDivText"/>
        </w:rPr>
        <w:t> </w:t>
      </w:r>
      <w:r>
        <w:rPr>
          <w:rStyle w:val="CharPartText"/>
        </w:rPr>
        <w:t>Miscellaneous</w:t>
      </w:r>
      <w:bookmarkEnd w:id="153"/>
      <w:bookmarkEnd w:id="154"/>
      <w:bookmarkEnd w:id="155"/>
      <w:bookmarkEnd w:id="156"/>
      <w:r>
        <w:rPr>
          <w:rStyle w:val="CharPartText"/>
        </w:rPr>
        <w:t xml:space="preserve"> </w:t>
      </w:r>
    </w:p>
    <w:p>
      <w:pPr>
        <w:pStyle w:val="Heading5"/>
        <w:rPr>
          <w:snapToGrid w:val="0"/>
        </w:rPr>
      </w:pPr>
      <w:bookmarkStart w:id="157" w:name="_Toc168930470"/>
      <w:bookmarkStart w:id="158" w:name="_Toc200371700"/>
      <w:r>
        <w:rPr>
          <w:rStyle w:val="CharSectno"/>
        </w:rPr>
        <w:t>54</w:t>
      </w:r>
      <w:r>
        <w:rPr>
          <w:snapToGrid w:val="0"/>
        </w:rPr>
        <w:t>.</w:t>
      </w:r>
      <w:r>
        <w:rPr>
          <w:snapToGrid w:val="0"/>
        </w:rPr>
        <w:tab/>
        <w:t>Fees prescribed</w:t>
      </w:r>
      <w:bookmarkEnd w:id="157"/>
      <w:bookmarkEnd w:id="158"/>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159" w:name="_Toc168930471"/>
      <w:bookmarkStart w:id="160" w:name="_Toc200371701"/>
      <w:r>
        <w:rPr>
          <w:rStyle w:val="CharSectno"/>
        </w:rPr>
        <w:t>54A</w:t>
      </w:r>
      <w:r>
        <w:t>.</w:t>
      </w:r>
      <w:r>
        <w:tab/>
        <w:t>Codes of conduct, preparation, approval and effect of</w:t>
      </w:r>
      <w:bookmarkEnd w:id="159"/>
      <w:bookmarkEnd w:id="160"/>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Gazette 1 Sep 2005 p. 4084</w:t>
      </w:r>
      <w:r>
        <w:noBreakHyphen/>
        <w:t>5; amended: Gazette 4 Dec 2009 p. 4908</w:t>
      </w:r>
      <w:r>
        <w:noBreakHyphen/>
        <w:t>9.]</w:t>
      </w:r>
    </w:p>
    <w:p>
      <w:pPr>
        <w:pStyle w:val="Heading5"/>
      </w:pPr>
      <w:bookmarkStart w:id="161" w:name="_Toc168930472"/>
      <w:bookmarkStart w:id="162" w:name="_Toc200371702"/>
      <w:r>
        <w:rPr>
          <w:rStyle w:val="CharSectno"/>
        </w:rPr>
        <w:t>55</w:t>
      </w:r>
      <w:r>
        <w:t>.</w:t>
      </w:r>
      <w:r>
        <w:tab/>
        <w:t>Surrender of licence (Act s. 76(c))</w:t>
      </w:r>
      <w:bookmarkEnd w:id="161"/>
      <w:bookmarkEnd w:id="162"/>
    </w:p>
    <w:p>
      <w:pPr>
        <w:pStyle w:val="Subsection"/>
      </w:pPr>
      <w:r>
        <w:tab/>
      </w:r>
      <w:r>
        <w:tab/>
        <w:t>For the purposes of section 76(c), a licensee may surrender a licence by written notice given to a licensing officer.</w:t>
      </w:r>
    </w:p>
    <w:p>
      <w:pPr>
        <w:pStyle w:val="Footnotesection"/>
        <w:keepLines w:val="0"/>
      </w:pPr>
      <w:r>
        <w:tab/>
        <w:t>[Regulation 55 inserted: Gazette 4 Dec 2009 p. 4909.]</w:t>
      </w:r>
    </w:p>
    <w:p>
      <w:pPr>
        <w:pStyle w:val="Heading5"/>
      </w:pPr>
      <w:bookmarkStart w:id="163" w:name="_Toc168930473"/>
      <w:bookmarkStart w:id="164" w:name="_Toc200371703"/>
      <w:r>
        <w:rPr>
          <w:rStyle w:val="CharSectno"/>
        </w:rPr>
        <w:t>56</w:t>
      </w:r>
      <w:r>
        <w:t>.</w:t>
      </w:r>
      <w:r>
        <w:tab/>
        <w:t>Return of licence (Act s. 76)</w:t>
      </w:r>
      <w:bookmarkEnd w:id="163"/>
      <w:bookmarkEnd w:id="164"/>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Gazette 4 Dec 2009 p. 4909.]</w:t>
      </w:r>
    </w:p>
    <w:p>
      <w:pPr>
        <w:pStyle w:val="Heading5"/>
      </w:pPr>
      <w:bookmarkStart w:id="165" w:name="_Toc168930474"/>
      <w:bookmarkStart w:id="166" w:name="_Toc200371704"/>
      <w:r>
        <w:rPr>
          <w:rStyle w:val="CharSectno"/>
        </w:rPr>
        <w:t>57</w:t>
      </w:r>
      <w:r>
        <w:t>.</w:t>
      </w:r>
      <w:r>
        <w:tab/>
        <w:t>Notification of change of address (Act s. 77)</w:t>
      </w:r>
      <w:bookmarkEnd w:id="165"/>
      <w:bookmarkEnd w:id="166"/>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Gazette 4 Dec 2009 p. 4909.]</w:t>
      </w:r>
    </w:p>
    <w:p>
      <w:pPr>
        <w:pStyle w:val="Heading5"/>
      </w:pPr>
      <w:bookmarkStart w:id="167" w:name="_Toc168930475"/>
      <w:bookmarkStart w:id="168" w:name="_Toc200371705"/>
      <w:r>
        <w:rPr>
          <w:rStyle w:val="CharSectno"/>
        </w:rPr>
        <w:t>58</w:t>
      </w:r>
      <w:r>
        <w:t>.</w:t>
      </w:r>
      <w:r>
        <w:tab/>
        <w:t>Prescribed offences and modified penalties</w:t>
      </w:r>
      <w:bookmarkEnd w:id="167"/>
      <w:bookmarkEnd w:id="168"/>
    </w:p>
    <w:p>
      <w:pPr>
        <w:pStyle w:val="Subsection"/>
      </w:pPr>
      <w:r>
        <w:tab/>
        <w:t>(1)</w:t>
      </w:r>
      <w:r>
        <w:tab/>
        <w:t>The offences specified in Schedule 5 are prescribed as offences for which an infringement notice may be given under section 88A.</w:t>
      </w:r>
    </w:p>
    <w:p>
      <w:pPr>
        <w:pStyle w:val="Subsection"/>
      </w:pPr>
      <w:r>
        <w:tab/>
        <w:t>(2)</w:t>
      </w:r>
      <w:r>
        <w:tab/>
        <w:t>The modified penalty specified opposite an offence in Schedule 5 is the modified penalty for that offence for the purposes of section 88A(3) and (5).</w:t>
      </w:r>
    </w:p>
    <w:p>
      <w:pPr>
        <w:pStyle w:val="Footnotesection"/>
      </w:pPr>
      <w:r>
        <w:tab/>
        <w:t>[Regulation 58 inserted: Gazette 29 Jul 2016 p. 3248.]</w:t>
      </w:r>
    </w:p>
    <w:p>
      <w:pPr>
        <w:pStyle w:val="Heading5"/>
      </w:pPr>
      <w:bookmarkStart w:id="169" w:name="_Toc168930476"/>
      <w:bookmarkStart w:id="170" w:name="_Toc200371706"/>
      <w:r>
        <w:rPr>
          <w:rStyle w:val="CharSectno"/>
        </w:rPr>
        <w:t>59</w:t>
      </w:r>
      <w:r>
        <w:t>.</w:t>
      </w:r>
      <w:r>
        <w:tab/>
        <w:t>Forms</w:t>
      </w:r>
      <w:bookmarkEnd w:id="169"/>
      <w:bookmarkEnd w:id="170"/>
    </w:p>
    <w:p>
      <w:pPr>
        <w:pStyle w:val="Subsection"/>
        <w:keepNext/>
      </w:pPr>
      <w:r>
        <w:tab/>
      </w:r>
      <w:r>
        <w:tab/>
        <w:t>The forms set out in Schedule 6 are prescribed in relation to the matters specified in those forms.</w:t>
      </w:r>
    </w:p>
    <w:p>
      <w:pPr>
        <w:pStyle w:val="Footnotesection"/>
      </w:pPr>
      <w:r>
        <w:tab/>
        <w:t>[Regulation 59 inserted: Gazette 29 Jul 2016 p. 3248.]</w:t>
      </w:r>
    </w:p>
    <w:p>
      <w:pPr>
        <w:pStyle w:val="Ednotepart"/>
        <w:spacing w:before="300"/>
      </w:pPr>
      <w:r>
        <w:t>[Part 9 deleted: Gazette 4 Dec 2009 p. 4909.]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71" w:name="_Toc168661127"/>
      <w:bookmarkStart w:id="172" w:name="_Toc168661275"/>
      <w:bookmarkStart w:id="173" w:name="_Toc168930477"/>
      <w:bookmarkStart w:id="174" w:name="_Toc200371707"/>
      <w:r>
        <w:rPr>
          <w:rStyle w:val="CharSchNo"/>
        </w:rPr>
        <w:t>Schedule 1</w:t>
      </w:r>
      <w:r>
        <w:t> — </w:t>
      </w:r>
      <w:r>
        <w:rPr>
          <w:rStyle w:val="CharSchText"/>
        </w:rPr>
        <w:t>Conditions and restrictions attached to licences</w:t>
      </w:r>
      <w:bookmarkEnd w:id="171"/>
      <w:bookmarkEnd w:id="172"/>
      <w:bookmarkEnd w:id="173"/>
      <w:bookmarkEnd w:id="174"/>
    </w:p>
    <w:p>
      <w:pPr>
        <w:pStyle w:val="yShoulderClause"/>
        <w:rPr>
          <w:snapToGrid w:val="0"/>
        </w:rPr>
      </w:pPr>
      <w:r>
        <w:t>[r. 21]</w:t>
      </w:r>
    </w:p>
    <w:p>
      <w:pPr>
        <w:pStyle w:val="yFootnoteheading"/>
      </w:pPr>
      <w:r>
        <w:tab/>
        <w:t>[Heading amended: SL 2022/211 r. 5.]</w:t>
      </w:r>
    </w:p>
    <w:p>
      <w:pPr>
        <w:pStyle w:val="yHeading3"/>
        <w:rPr>
          <w:snapToGrid w:val="0"/>
        </w:rPr>
      </w:pPr>
      <w:bookmarkStart w:id="175" w:name="_Toc168661128"/>
      <w:bookmarkStart w:id="176" w:name="_Toc168661276"/>
      <w:bookmarkStart w:id="177" w:name="_Toc168930478"/>
      <w:bookmarkStart w:id="178" w:name="_Toc200371708"/>
      <w:r>
        <w:rPr>
          <w:rStyle w:val="CharSDivNo"/>
        </w:rPr>
        <w:t>Division 1</w:t>
      </w:r>
      <w:r>
        <w:rPr>
          <w:snapToGrid w:val="0"/>
        </w:rPr>
        <w:t> — </w:t>
      </w:r>
      <w:r>
        <w:rPr>
          <w:rStyle w:val="CharSDivText"/>
        </w:rPr>
        <w:t>Security agent’s licence</w:t>
      </w:r>
      <w:bookmarkEnd w:id="175"/>
      <w:bookmarkEnd w:id="176"/>
      <w:bookmarkEnd w:id="177"/>
      <w:bookmarkEnd w:id="178"/>
    </w:p>
    <w:p>
      <w:pPr>
        <w:pStyle w:val="yHeading5"/>
      </w:pPr>
      <w:bookmarkStart w:id="179" w:name="_Toc168930479"/>
      <w:bookmarkStart w:id="180" w:name="_Toc200371709"/>
      <w:r>
        <w:rPr>
          <w:rStyle w:val="CharSClsNo"/>
        </w:rPr>
        <w:t>1A</w:t>
      </w:r>
      <w:r>
        <w:t>.</w:t>
      </w:r>
      <w:r>
        <w:tab/>
        <w:t>Term used: business activity</w:t>
      </w:r>
      <w:bookmarkEnd w:id="179"/>
      <w:bookmarkEnd w:id="180"/>
    </w:p>
    <w:p>
      <w:pPr>
        <w:pStyle w:val="ySubsection"/>
      </w:pPr>
      <w:r>
        <w:tab/>
      </w:r>
      <w:r>
        <w:tab/>
        <w:t xml:space="preserve">In this Division — </w:t>
      </w:r>
    </w:p>
    <w:p>
      <w:pPr>
        <w:pStyle w:val="yDefstart"/>
      </w:pPr>
      <w:r>
        <w:tab/>
      </w:r>
      <w:r>
        <w:rPr>
          <w:rStyle w:val="CharDefText"/>
        </w:rPr>
        <w:t>business activity</w:t>
      </w:r>
      <w:r>
        <w:t xml:space="preserve"> means an activity authorised by a security officer’s licence that the security officer performs for a security agent’s business.</w:t>
      </w:r>
    </w:p>
    <w:p>
      <w:pPr>
        <w:pStyle w:val="yFootnotesection"/>
      </w:pPr>
      <w:r>
        <w:tab/>
        <w:t>[Clause 1A inserted: SL 2022/211 r. 6.]</w:t>
      </w:r>
    </w:p>
    <w:p>
      <w:pPr>
        <w:pStyle w:val="yHeading5"/>
        <w:rPr>
          <w:snapToGrid w:val="0"/>
        </w:rPr>
      </w:pPr>
      <w:bookmarkStart w:id="181" w:name="_Toc168930480"/>
      <w:bookmarkStart w:id="182" w:name="_Toc200371710"/>
      <w:r>
        <w:rPr>
          <w:rStyle w:val="CharSClsNo"/>
        </w:rPr>
        <w:t>1</w:t>
      </w:r>
      <w:r>
        <w:rPr>
          <w:snapToGrid w:val="0"/>
        </w:rPr>
        <w:t>.</w:t>
      </w:r>
      <w:r>
        <w:rPr>
          <w:snapToGrid w:val="0"/>
        </w:rPr>
        <w:tab/>
        <w:t>Changes of partners, officers or personnel to be notified</w:t>
      </w:r>
      <w:bookmarkEnd w:id="181"/>
      <w:bookmarkEnd w:id="182"/>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Gazette 4 Dec 2009 p. 4910.]</w:t>
      </w:r>
    </w:p>
    <w:p>
      <w:pPr>
        <w:pStyle w:val="yHeading5"/>
      </w:pPr>
      <w:bookmarkStart w:id="183" w:name="_Toc168930481"/>
      <w:bookmarkStart w:id="184" w:name="_Toc200371711"/>
      <w:r>
        <w:rPr>
          <w:rStyle w:val="CharSClsNo"/>
        </w:rPr>
        <w:t>2</w:t>
      </w:r>
      <w:r>
        <w:t>.</w:t>
      </w:r>
      <w:r>
        <w:tab/>
        <w:t>Uniforms to be worn by security officers</w:t>
      </w:r>
      <w:bookmarkEnd w:id="183"/>
      <w:bookmarkEnd w:id="184"/>
    </w:p>
    <w:p>
      <w:pPr>
        <w:pStyle w:val="ySubsection"/>
      </w:pPr>
      <w:r>
        <w:tab/>
        <w:t>(1)</w:t>
      </w:r>
      <w:r>
        <w:tab/>
        <w:t>A security agent must ensure that a security officer wears a uniform of a type approved by the Commissioner at all times while the officer is performing a business activity for the agent’s business.</w:t>
      </w:r>
    </w:p>
    <w:p>
      <w:pPr>
        <w:pStyle w:val="ySubsection"/>
      </w:pPr>
      <w:r>
        <w:tab/>
        <w:t>(2)</w:t>
      </w:r>
      <w:r>
        <w:tab/>
        <w:t xml:space="preserve">Subclause (1) does not apply in relation to — </w:t>
      </w:r>
    </w:p>
    <w:p>
      <w:pPr>
        <w:pStyle w:val="yIndenta"/>
      </w:pPr>
      <w:r>
        <w:tab/>
        <w:t>(a)</w:t>
      </w:r>
      <w:r>
        <w:tab/>
        <w:t>a security officer who is engaged in loss prevention activities in a retail store; or</w:t>
      </w:r>
    </w:p>
    <w:p>
      <w:pPr>
        <w:pStyle w:val="yIndenta"/>
      </w:pPr>
      <w:r>
        <w:tab/>
        <w:t>(b)</w:t>
      </w:r>
      <w:r>
        <w:tab/>
        <w:t>a security officer who is engaged in escort duties if a licensing officer is satisfied that the circumstances require the security officer to wear clothes other than a uniform of a type approved by the Commissioner.</w:t>
      </w:r>
    </w:p>
    <w:p>
      <w:pPr>
        <w:pStyle w:val="ySubsection"/>
      </w:pPr>
      <w:r>
        <w:tab/>
        <w:t>(3)</w:t>
      </w:r>
      <w:r>
        <w:tab/>
        <w:t>A security agent must ensure that a security officer referred to in subclause (2)(a) or (b) does not wear clothes that are confusingly similar to a uniform in use by a police force.</w:t>
      </w:r>
    </w:p>
    <w:p>
      <w:pPr>
        <w:pStyle w:val="yFootnotesection"/>
      </w:pPr>
      <w:r>
        <w:tab/>
        <w:t>[Clause 2 inserted: SL 2022/211 r. 7.]</w:t>
      </w:r>
    </w:p>
    <w:p>
      <w:pPr>
        <w:pStyle w:val="yHeading5"/>
      </w:pPr>
      <w:bookmarkStart w:id="185" w:name="_Toc168930482"/>
      <w:bookmarkStart w:id="186" w:name="_Toc200371712"/>
      <w:r>
        <w:rPr>
          <w:rStyle w:val="CharSClsNo"/>
        </w:rPr>
        <w:t>3</w:t>
      </w:r>
      <w:r>
        <w:t>.</w:t>
      </w:r>
      <w:r>
        <w:tab/>
        <w:t>Markings on vehicles used by security officers</w:t>
      </w:r>
      <w:bookmarkEnd w:id="185"/>
      <w:bookmarkEnd w:id="186"/>
    </w:p>
    <w:p>
      <w:pPr>
        <w:pStyle w:val="ySubsection"/>
      </w:pPr>
      <w:r>
        <w:tab/>
      </w:r>
      <w:r>
        <w:tab/>
        <w:t>A security agent must ensure that a marking on a vehicle used by a security officer while performing a business activity for the agent’s business is not confusingly similar to a vehicle marking in use by a police force.</w:t>
      </w:r>
    </w:p>
    <w:p>
      <w:pPr>
        <w:pStyle w:val="yFootnotesection"/>
      </w:pPr>
      <w:r>
        <w:tab/>
        <w:t>[Clause 3 inserted: Gazette 1 Sep 2005 p. 4086; amended: SL 2022/211 r. 8.]</w:t>
      </w:r>
    </w:p>
    <w:p>
      <w:pPr>
        <w:pStyle w:val="yHeading5"/>
      </w:pPr>
      <w:bookmarkStart w:id="187" w:name="_Toc168930483"/>
      <w:bookmarkStart w:id="188" w:name="_Toc200371713"/>
      <w:r>
        <w:rPr>
          <w:rStyle w:val="CharSClsNo"/>
        </w:rPr>
        <w:t>4A</w:t>
      </w:r>
      <w:r>
        <w:t>.</w:t>
      </w:r>
      <w:r>
        <w:rPr>
          <w:b w:val="0"/>
        </w:rPr>
        <w:tab/>
      </w:r>
      <w:r>
        <w:t>Guard dogs not to be used without training</w:t>
      </w:r>
      <w:bookmarkEnd w:id="187"/>
      <w:bookmarkEnd w:id="188"/>
    </w:p>
    <w:p>
      <w:pPr>
        <w:pStyle w:val="ySubsection"/>
      </w:pPr>
      <w:r>
        <w:tab/>
        <w:t>(1)</w:t>
      </w:r>
      <w:r>
        <w:tab/>
        <w:t>A security agent must ensure that a security officer does not use a guard dog in connection with the performance of a business activity for the agent’s business unless the officer has successfully completed an approved training course in the handling of guard dogs.</w:t>
      </w:r>
    </w:p>
    <w:p>
      <w:pPr>
        <w:pStyle w:val="yEdnotesubsection"/>
      </w:pPr>
      <w:r>
        <w:tab/>
        <w:t>[(2)</w:t>
      </w:r>
      <w:r>
        <w:tab/>
        <w:t>deleted]</w:t>
      </w:r>
    </w:p>
    <w:p>
      <w:pPr>
        <w:pStyle w:val="yFootnotesection"/>
      </w:pPr>
      <w:r>
        <w:tab/>
        <w:t>[Clause 4A inserted: Gazette 4 Dec 2009 p. 4910; amended: Gazette 29 Jul 2016 p. 3249; SL 2022/211 r. 9.]</w:t>
      </w:r>
    </w:p>
    <w:p>
      <w:pPr>
        <w:pStyle w:val="yHeading5"/>
        <w:rPr>
          <w:snapToGrid w:val="0"/>
        </w:rPr>
      </w:pPr>
      <w:bookmarkStart w:id="189" w:name="_Toc168930484"/>
      <w:bookmarkStart w:id="190" w:name="_Toc200371714"/>
      <w:r>
        <w:rPr>
          <w:rStyle w:val="CharSClsNo"/>
        </w:rPr>
        <w:t>4</w:t>
      </w:r>
      <w:r>
        <w:rPr>
          <w:snapToGrid w:val="0"/>
        </w:rPr>
        <w:t>.</w:t>
      </w:r>
      <w:r>
        <w:rPr>
          <w:snapToGrid w:val="0"/>
        </w:rPr>
        <w:tab/>
        <w:t>Arming security officers</w:t>
      </w:r>
      <w:bookmarkEnd w:id="189"/>
      <w:bookmarkEnd w:id="190"/>
      <w:r>
        <w:rPr>
          <w:snapToGrid w:val="0"/>
        </w:rPr>
        <w:t xml:space="preserve"> </w:t>
      </w:r>
    </w:p>
    <w:p>
      <w:pPr>
        <w:pStyle w:val="ySubsection"/>
        <w:rPr>
          <w:snapToGrid w:val="0"/>
        </w:rPr>
      </w:pPr>
      <w:r>
        <w:rPr>
          <w:snapToGrid w:val="0"/>
        </w:rPr>
        <w:tab/>
        <w:t>(1)</w:t>
      </w:r>
      <w:r>
        <w:rPr>
          <w:snapToGrid w:val="0"/>
        </w:rPr>
        <w:tab/>
      </w:r>
      <w:r>
        <w:t xml:space="preserve">A security agent must ensure that a security officer is not in possession of a firearm while the officer is performing a business activity for the agent’s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w:t>
      </w:r>
      <w:r>
        <w:t xml:space="preserve">organisation which holds a licence, </w:t>
      </w:r>
      <w:r>
        <w:rPr>
          <w:snapToGrid w:val="0"/>
        </w:rPr>
        <w:t xml:space="preserve">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 xml:space="preserve">is a firearm to which the licence referred to in paragraph (b) </w:t>
      </w:r>
      <w:r>
        <w:t>applies;</w:t>
      </w:r>
    </w:p>
    <w:p>
      <w:pPr>
        <w:pStyle w:val="yIndenta"/>
      </w:pPr>
      <w:r>
        <w:tab/>
      </w:r>
      <w:r>
        <w:tab/>
        <w:t>and</w:t>
      </w:r>
    </w:p>
    <w:p>
      <w:pPr>
        <w:pStyle w:val="yIndenta"/>
      </w:pPr>
      <w:r>
        <w:tab/>
        <w:t>(d)</w:t>
      </w:r>
      <w:r>
        <w:tab/>
        <w:t>the security officer satisfies the condition in clause 11(1).</w:t>
      </w:r>
    </w:p>
    <w:p>
      <w:pPr>
        <w:pStyle w:val="ySubsection"/>
        <w:rPr>
          <w:snapToGrid w:val="0"/>
        </w:rPr>
      </w:pPr>
      <w:r>
        <w:rPr>
          <w:snapToGrid w:val="0"/>
        </w:rPr>
        <w:tab/>
        <w:t>(2)</w:t>
      </w:r>
      <w:r>
        <w:rPr>
          <w:snapToGrid w:val="0"/>
        </w:rPr>
        <w:tab/>
      </w:r>
      <w:r>
        <w:t xml:space="preserve">A security agent must ensure that a security officer is not in possession of a baton while the officer is performing a business activity for the agent’s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 xml:space="preserve">the baton is of a type approved by the Commissioner under </w:t>
      </w:r>
      <w:r>
        <w:t>section 26(2)(b); and</w:t>
      </w:r>
    </w:p>
    <w:p>
      <w:pPr>
        <w:pStyle w:val="yIndenta"/>
      </w:pPr>
      <w:r>
        <w:tab/>
        <w:t>(c)</w:t>
      </w:r>
      <w:r>
        <w:tab/>
        <w:t>the security officer satisfies the condition in clause 11(2).</w:t>
      </w:r>
    </w:p>
    <w:p>
      <w:pPr>
        <w:pStyle w:val="ySubsection"/>
      </w:pPr>
      <w:r>
        <w:tab/>
        <w:t>(3)</w:t>
      </w:r>
      <w:r>
        <w:tab/>
        <w:t>A security agent must ensure that a security officer is not in possession of any other weapon while the officer is performing a business activity for the agent’s business.</w:t>
      </w:r>
    </w:p>
    <w:p>
      <w:pPr>
        <w:pStyle w:val="yFootnotesection"/>
      </w:pPr>
      <w:r>
        <w:tab/>
        <w:t>[Clause 4 amended: Gazette 1 Sep 2005 p. 4086; 4 Dec 2009 p. 4911; SL 2022/211 r. 10.]</w:t>
      </w:r>
    </w:p>
    <w:p>
      <w:pPr>
        <w:pStyle w:val="yHeading5"/>
        <w:rPr>
          <w:snapToGrid w:val="0"/>
        </w:rPr>
      </w:pPr>
      <w:bookmarkStart w:id="191" w:name="_Toc168930485"/>
      <w:bookmarkStart w:id="192" w:name="_Toc200371715"/>
      <w:r>
        <w:rPr>
          <w:rStyle w:val="CharSClsNo"/>
        </w:rPr>
        <w:t>5</w:t>
      </w:r>
      <w:r>
        <w:rPr>
          <w:snapToGrid w:val="0"/>
        </w:rPr>
        <w:t>.</w:t>
      </w:r>
      <w:r>
        <w:rPr>
          <w:snapToGrid w:val="0"/>
        </w:rPr>
        <w:tab/>
        <w:t>Firearm security</w:t>
      </w:r>
      <w:bookmarkEnd w:id="191"/>
      <w:bookmarkEnd w:id="192"/>
    </w:p>
    <w:p>
      <w:pPr>
        <w:pStyle w:val="ySubsection"/>
        <w:rPr>
          <w:snapToGrid w:val="0"/>
        </w:rPr>
      </w:pPr>
      <w:r>
        <w:rPr>
          <w:snapToGrid w:val="0"/>
        </w:rPr>
        <w:tab/>
        <w:t>(1)</w:t>
      </w:r>
      <w:r>
        <w:rPr>
          <w:snapToGrid w:val="0"/>
        </w:rPr>
        <w:tab/>
      </w:r>
      <w:r>
        <w:t>A security agent must ensure that a firearm for use in connection with the agent’s business is</w:t>
      </w:r>
      <w:r>
        <w:rPr>
          <w:snapToGrid w:val="0"/>
        </w:rPr>
        <w:t xml:space="preserv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Subclause (1) does not prevent a firearm for use in connection with the agent’s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keepNext/>
      </w:pPr>
      <w:r>
        <w:tab/>
        <w:t>(b)</w:t>
      </w:r>
      <w:r>
        <w:tab/>
        <w:t xml:space="preserve">the firearm and any ammunition is stored in accordance with the requirements of the </w:t>
      </w:r>
      <w:r>
        <w:rPr>
          <w:i/>
        </w:rPr>
        <w:t>Firearms Act 1973</w:t>
      </w:r>
      <w:r>
        <w:t>.</w:t>
      </w:r>
    </w:p>
    <w:p>
      <w:pPr>
        <w:pStyle w:val="yFootnotesection"/>
      </w:pPr>
      <w:r>
        <w:tab/>
        <w:t>[Clause 5 amended: Gazette 1 Sep 2005 p. 4086; SL 2022/211 r. 11.]</w:t>
      </w:r>
    </w:p>
    <w:p>
      <w:pPr>
        <w:pStyle w:val="yEdnotesection"/>
      </w:pPr>
      <w:r>
        <w:t>[</w:t>
      </w:r>
      <w:r>
        <w:rPr>
          <w:b/>
        </w:rPr>
        <w:t>6.</w:t>
      </w:r>
      <w:r>
        <w:tab/>
        <w:t>Deleted: SL 2022/211 r. 12.]</w:t>
      </w:r>
    </w:p>
    <w:p>
      <w:pPr>
        <w:pStyle w:val="yHeading3"/>
        <w:rPr>
          <w:snapToGrid w:val="0"/>
        </w:rPr>
      </w:pPr>
      <w:bookmarkStart w:id="193" w:name="_Toc168661136"/>
      <w:bookmarkStart w:id="194" w:name="_Toc168661284"/>
      <w:bookmarkStart w:id="195" w:name="_Toc168930486"/>
      <w:bookmarkStart w:id="196" w:name="_Toc200371716"/>
      <w:r>
        <w:rPr>
          <w:rStyle w:val="CharSDivNo"/>
        </w:rPr>
        <w:t>Division 2</w:t>
      </w:r>
      <w:r>
        <w:rPr>
          <w:snapToGrid w:val="0"/>
        </w:rPr>
        <w:t> — </w:t>
      </w:r>
      <w:r>
        <w:rPr>
          <w:rStyle w:val="CharSDivText"/>
        </w:rPr>
        <w:t>Security officer’s licence</w:t>
      </w:r>
      <w:bookmarkEnd w:id="193"/>
      <w:bookmarkEnd w:id="194"/>
      <w:bookmarkEnd w:id="195"/>
      <w:bookmarkEnd w:id="196"/>
      <w:r>
        <w:rPr>
          <w:snapToGrid w:val="0"/>
        </w:rPr>
        <w:t xml:space="preserve"> </w:t>
      </w:r>
    </w:p>
    <w:p>
      <w:pPr>
        <w:pStyle w:val="yHeading5"/>
        <w:rPr>
          <w:snapToGrid w:val="0"/>
        </w:rPr>
      </w:pPr>
      <w:bookmarkStart w:id="197" w:name="_Toc168930487"/>
      <w:bookmarkStart w:id="198" w:name="_Toc200371717"/>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197"/>
      <w:bookmarkEnd w:id="198"/>
    </w:p>
    <w:p>
      <w:pPr>
        <w:pStyle w:val="ySubsection"/>
      </w:pPr>
      <w:r>
        <w:tab/>
        <w:t>(1)</w:t>
      </w:r>
      <w:r>
        <w:tab/>
        <w:t>A security officer must, at all times while performing a licensed activity, wear a uniform of a type approved by the Commissioner.</w:t>
      </w:r>
    </w:p>
    <w:p>
      <w:pPr>
        <w:pStyle w:val="ySubsection"/>
        <w:rPr>
          <w:snapToGrid w:val="0"/>
        </w:rPr>
      </w:pPr>
      <w:r>
        <w:rPr>
          <w:snapToGrid w:val="0"/>
        </w:rPr>
        <w:tab/>
        <w:t>(2)</w:t>
      </w:r>
      <w:r>
        <w:rPr>
          <w:snapToGrid w:val="0"/>
        </w:rPr>
        <w:tab/>
      </w:r>
      <w:r>
        <w:t xml:space="preserve">Subclause (1) </w:t>
      </w:r>
      <w:r>
        <w:rPr>
          <w:snapToGrid w:val="0"/>
        </w:rPr>
        <w:t>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Subclause (1) does not apply — </w:t>
      </w:r>
    </w:p>
    <w:p>
      <w:pPr>
        <w:pStyle w:val="yIndenta"/>
      </w:pPr>
      <w:r>
        <w:tab/>
        <w:t>(a)</w:t>
      </w:r>
      <w:r>
        <w:tab/>
        <w:t>to a security officer who is engaged in loss prevention activities in a retail store; or</w:t>
      </w:r>
    </w:p>
    <w:p>
      <w:pPr>
        <w:pStyle w:val="yIndenta"/>
      </w:pPr>
      <w:r>
        <w:tab/>
        <w:t>(b)</w:t>
      </w:r>
      <w:r>
        <w:tab/>
      </w:r>
      <w:r>
        <w:rPr>
          <w:szCs w:val="22"/>
        </w:rPr>
        <w:t>to a security officer who is engaged in escort duties if a licensing officer is satisfied that the circumstances</w:t>
      </w:r>
      <w:r>
        <w:t xml:space="preserve"> require the security officer to wear clothes other than a uniform of a type approved by the Commissioner.</w:t>
      </w:r>
    </w:p>
    <w:p>
      <w:pPr>
        <w:pStyle w:val="ySubsection"/>
        <w:keepNext/>
      </w:pPr>
      <w:r>
        <w:tab/>
        <w:t>(4)</w:t>
      </w:r>
      <w:r>
        <w:tab/>
        <w:t>A security officer referred to in subclause (3)(a) or (b) must not wear clothes that are confusingly similar to a uniform in use by a police force.</w:t>
      </w:r>
    </w:p>
    <w:p>
      <w:pPr>
        <w:pStyle w:val="yFootnotesection"/>
      </w:pPr>
      <w:r>
        <w:tab/>
        <w:t>[Clause 7 amended: Gazette 1 Sep 2005 p. 4087</w:t>
      </w:r>
      <w:r>
        <w:noBreakHyphen/>
        <w:t>8; SL 2022/211 r. 13.]</w:t>
      </w:r>
    </w:p>
    <w:p>
      <w:pPr>
        <w:pStyle w:val="yHeading5"/>
      </w:pPr>
      <w:bookmarkStart w:id="199" w:name="_Toc168930488"/>
      <w:bookmarkStart w:id="200" w:name="_Toc200371718"/>
      <w:r>
        <w:rPr>
          <w:rStyle w:val="CharSClsNo"/>
        </w:rPr>
        <w:t>8</w:t>
      </w:r>
      <w:r>
        <w:t>.</w:t>
      </w:r>
      <w:r>
        <w:tab/>
        <w:t>M</w:t>
      </w:r>
      <w:r>
        <w:rPr>
          <w:snapToGrid w:val="0"/>
        </w:rPr>
        <w:t>arkings on vehicles used by security officers</w:t>
      </w:r>
      <w:bookmarkEnd w:id="199"/>
      <w:bookmarkEnd w:id="200"/>
    </w:p>
    <w:p>
      <w:pPr>
        <w:pStyle w:val="ySubsection"/>
      </w:pPr>
      <w:r>
        <w:tab/>
      </w:r>
      <w:r>
        <w:tab/>
        <w:t>A security officer must not use a vehicle while performing a licensed activity if a marking on the vehicle is confusingly similar to a vehicle marking in use by a police force.</w:t>
      </w:r>
    </w:p>
    <w:p>
      <w:pPr>
        <w:pStyle w:val="yFootnotesection"/>
      </w:pPr>
      <w:r>
        <w:tab/>
        <w:t>[Clause 8 inserted: Gazette 1 Sep 2005 p. 4088; amended: SL 2022/211 r. 14.]</w:t>
      </w:r>
    </w:p>
    <w:p>
      <w:pPr>
        <w:pStyle w:val="yHeading5"/>
        <w:rPr>
          <w:snapToGrid w:val="0"/>
        </w:rPr>
      </w:pPr>
      <w:bookmarkStart w:id="201" w:name="_Toc168930489"/>
      <w:bookmarkStart w:id="202" w:name="_Toc200371719"/>
      <w:r>
        <w:rPr>
          <w:rStyle w:val="CharSClsNo"/>
        </w:rPr>
        <w:t>9</w:t>
      </w:r>
      <w:r>
        <w:rPr>
          <w:snapToGrid w:val="0"/>
        </w:rPr>
        <w:t>.</w:t>
      </w:r>
      <w:r>
        <w:rPr>
          <w:snapToGrid w:val="0"/>
        </w:rPr>
        <w:tab/>
      </w:r>
      <w:r>
        <w:rPr>
          <w:rStyle w:val="CharSClsNo"/>
        </w:rPr>
        <w:t>Carrying</w:t>
      </w:r>
      <w:r>
        <w:rPr>
          <w:snapToGrid w:val="0"/>
        </w:rPr>
        <w:t xml:space="preserve"> of weapons</w:t>
      </w:r>
      <w:bookmarkEnd w:id="201"/>
      <w:bookmarkEnd w:id="202"/>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Gazette 1 Sep 2005 p. 4088; 4 Dec 2009 p. 4911.]</w:t>
      </w:r>
    </w:p>
    <w:p>
      <w:pPr>
        <w:pStyle w:val="yHeading5"/>
        <w:rPr>
          <w:snapToGrid w:val="0"/>
        </w:rPr>
      </w:pPr>
      <w:bookmarkStart w:id="203" w:name="_Toc168930490"/>
      <w:bookmarkStart w:id="204" w:name="_Toc200371720"/>
      <w:r>
        <w:rPr>
          <w:rStyle w:val="CharSClsNo"/>
        </w:rPr>
        <w:t>10</w:t>
      </w:r>
      <w:r>
        <w:t>.</w:t>
      </w:r>
      <w:r>
        <w:rPr>
          <w:rStyle w:val="CharSClsNo"/>
        </w:rPr>
        <w:tab/>
        <w:t>Firearm</w:t>
      </w:r>
      <w:r>
        <w:rPr>
          <w:snapToGrid w:val="0"/>
        </w:rPr>
        <w:t xml:space="preserve"> security</w:t>
      </w:r>
      <w:bookmarkEnd w:id="203"/>
      <w:bookmarkEnd w:id="204"/>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Gazette 1 Sep 2005 p. 4088.]</w:t>
      </w:r>
    </w:p>
    <w:p>
      <w:pPr>
        <w:pStyle w:val="yHeading5"/>
      </w:pPr>
      <w:bookmarkStart w:id="205" w:name="_Toc168930491"/>
      <w:bookmarkStart w:id="206" w:name="_Toc200371721"/>
      <w:r>
        <w:rPr>
          <w:rStyle w:val="CharSClsNo"/>
        </w:rPr>
        <w:t>11A</w:t>
      </w:r>
      <w:r>
        <w:t>.</w:t>
      </w:r>
      <w:r>
        <w:rPr>
          <w:b w:val="0"/>
        </w:rPr>
        <w:tab/>
      </w:r>
      <w:r>
        <w:t>Guard dogs not to be used without training</w:t>
      </w:r>
      <w:bookmarkEnd w:id="205"/>
      <w:bookmarkEnd w:id="206"/>
    </w:p>
    <w:p>
      <w:pPr>
        <w:pStyle w:val="ySubsection"/>
      </w:pPr>
      <w:r>
        <w:tab/>
        <w:t>(1)</w:t>
      </w:r>
      <w:r>
        <w:tab/>
        <w:t>A security officer must not use a guard dog in connection with the performance of a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t xml:space="preserve"> (</w:t>
      </w:r>
      <w:r>
        <w:rPr>
          <w:rStyle w:val="CharDefText"/>
        </w:rPr>
        <w:t>commencement day</w:t>
      </w:r>
      <w:r>
        <w:t>) until the day that is 12 months after commencement day</w:t>
      </w:r>
      <w:r>
        <w:rPr>
          <w:iCs/>
        </w:rPr>
        <w:t>.</w:t>
      </w:r>
    </w:p>
    <w:p>
      <w:pPr>
        <w:pStyle w:val="yFootnotesection"/>
      </w:pPr>
      <w:r>
        <w:tab/>
        <w:t>[Clause 11A inserted: Gazette 4 Dec 2009 p. 4911; amended: SL 2022/211 r. 15.]</w:t>
      </w:r>
    </w:p>
    <w:p>
      <w:pPr>
        <w:pStyle w:val="yHeading5"/>
      </w:pPr>
      <w:bookmarkStart w:id="207" w:name="_Toc168930492"/>
      <w:bookmarkStart w:id="208" w:name="_Toc200371722"/>
      <w:r>
        <w:rPr>
          <w:rStyle w:val="CharSClsNo"/>
        </w:rPr>
        <w:t>11B</w:t>
      </w:r>
      <w:r>
        <w:t>.</w:t>
      </w:r>
      <w:r>
        <w:rPr>
          <w:b w:val="0"/>
        </w:rPr>
        <w:tab/>
      </w:r>
      <w:r>
        <w:t>First aid certificate</w:t>
      </w:r>
      <w:bookmarkEnd w:id="207"/>
      <w:bookmarkEnd w:id="208"/>
    </w:p>
    <w:p>
      <w:pPr>
        <w:pStyle w:val="ySubsection"/>
      </w:pPr>
      <w:r>
        <w:tab/>
        <w:t>(1)</w:t>
      </w:r>
      <w:r>
        <w:tab/>
        <w:t xml:space="preserve">A security officer must not perform any licensed activity unless the officer holds a current first aid certificate. </w:t>
      </w:r>
    </w:p>
    <w:p>
      <w:pPr>
        <w:pStyle w:val="yEdnotesubsection"/>
      </w:pPr>
      <w:r>
        <w:tab/>
        <w:t>[(2)</w:t>
      </w:r>
      <w:r>
        <w:tab/>
        <w:t>deleted]</w:t>
      </w:r>
    </w:p>
    <w:p>
      <w:pPr>
        <w:pStyle w:val="yFootnotesection"/>
      </w:pPr>
      <w:r>
        <w:tab/>
        <w:t>[Clause 11B inserted: Gazette 4 Dec 2009 p. 4912; amended: Gazette 29 Jul 2016 p. 3249.]</w:t>
      </w:r>
    </w:p>
    <w:p>
      <w:pPr>
        <w:pStyle w:val="yHeading3"/>
      </w:pPr>
      <w:bookmarkStart w:id="209" w:name="_Toc168661143"/>
      <w:bookmarkStart w:id="210" w:name="_Toc168661291"/>
      <w:bookmarkStart w:id="211" w:name="_Toc168930493"/>
      <w:bookmarkStart w:id="212" w:name="_Toc200371723"/>
      <w:r>
        <w:rPr>
          <w:rStyle w:val="CharSDivNo"/>
        </w:rPr>
        <w:t>Division 2A</w:t>
      </w:r>
      <w:r>
        <w:rPr>
          <w:b w:val="0"/>
        </w:rPr>
        <w:t> — </w:t>
      </w:r>
      <w:r>
        <w:rPr>
          <w:rStyle w:val="CharSDivText"/>
        </w:rPr>
        <w:t>Security officer’s licence endorsement</w:t>
      </w:r>
      <w:bookmarkEnd w:id="209"/>
      <w:bookmarkEnd w:id="210"/>
      <w:bookmarkEnd w:id="211"/>
      <w:bookmarkEnd w:id="212"/>
    </w:p>
    <w:p>
      <w:pPr>
        <w:pStyle w:val="yFootnoteheading"/>
      </w:pPr>
      <w:r>
        <w:tab/>
        <w:t>[Heading inserted: Gazette 3 Oct 2006 p. 4347.]</w:t>
      </w:r>
    </w:p>
    <w:p>
      <w:pPr>
        <w:pStyle w:val="yHeading5"/>
      </w:pPr>
      <w:bookmarkStart w:id="213" w:name="_Toc168930494"/>
      <w:bookmarkStart w:id="214" w:name="_Toc200371724"/>
      <w:r>
        <w:rPr>
          <w:rStyle w:val="CharSClsNo"/>
        </w:rPr>
        <w:t>11</w:t>
      </w:r>
      <w:r>
        <w:t>.</w:t>
      </w:r>
      <w:r>
        <w:tab/>
        <w:t>Periodic weapons training</w:t>
      </w:r>
      <w:bookmarkEnd w:id="213"/>
      <w:bookmarkEnd w:id="214"/>
    </w:p>
    <w:p>
      <w:pPr>
        <w:pStyle w:val="ySubsection"/>
      </w:pPr>
      <w:r>
        <w:tab/>
        <w:t>(1)</w:t>
      </w:r>
      <w:r>
        <w:tab/>
        <w:t>A security officer whose licence is endorsed under section 24 must successfully complete a training course in firearms discharge within the period of 12 months beginning on the day on which the officer last successfully completed a training course in firearms discharge.</w:t>
      </w:r>
    </w:p>
    <w:p>
      <w:pPr>
        <w:pStyle w:val="ySubsection"/>
      </w:pPr>
      <w:r>
        <w:tab/>
        <w:t>(2)</w:t>
      </w:r>
      <w:r>
        <w:tab/>
        <w:t>A security officer whose licence is endorsed under section 26 must successfully complete an approved training course in baton use within the period of 12 months beginning on the day on which the officer last successfully completed an approved training course in baton use.</w:t>
      </w:r>
    </w:p>
    <w:p>
      <w:pPr>
        <w:pStyle w:val="yFootnotesection"/>
      </w:pPr>
      <w:r>
        <w:tab/>
        <w:t>[Clause 11 inserted: SL 2022/211 r. 16.]</w:t>
      </w:r>
    </w:p>
    <w:p>
      <w:pPr>
        <w:pStyle w:val="yHeading3"/>
      </w:pPr>
      <w:bookmarkStart w:id="215" w:name="_Toc168661145"/>
      <w:bookmarkStart w:id="216" w:name="_Toc168661293"/>
      <w:bookmarkStart w:id="217" w:name="_Toc168930495"/>
      <w:bookmarkStart w:id="218" w:name="_Toc200371725"/>
      <w:r>
        <w:rPr>
          <w:rStyle w:val="CharSDivNo"/>
        </w:rPr>
        <w:t>Division 2B</w:t>
      </w:r>
      <w:r>
        <w:rPr>
          <w:b w:val="0"/>
        </w:rPr>
        <w:t> — </w:t>
      </w:r>
      <w:r>
        <w:rPr>
          <w:rStyle w:val="CharSDivText"/>
        </w:rPr>
        <w:t>Security bodyguard’s licence</w:t>
      </w:r>
      <w:bookmarkEnd w:id="215"/>
      <w:bookmarkEnd w:id="216"/>
      <w:bookmarkEnd w:id="217"/>
      <w:bookmarkEnd w:id="218"/>
    </w:p>
    <w:p>
      <w:pPr>
        <w:pStyle w:val="yFootnoteheading"/>
        <w:keepNext/>
      </w:pPr>
      <w:r>
        <w:tab/>
        <w:t>[Heading inserted: Gazette 4 Dec 2009 p. 4912.]</w:t>
      </w:r>
    </w:p>
    <w:p>
      <w:pPr>
        <w:pStyle w:val="yHeading5"/>
      </w:pPr>
      <w:bookmarkStart w:id="219" w:name="_Toc168930496"/>
      <w:bookmarkStart w:id="220" w:name="_Toc200371726"/>
      <w:r>
        <w:rPr>
          <w:rStyle w:val="CharSClsNo"/>
        </w:rPr>
        <w:t>12A</w:t>
      </w:r>
      <w:r>
        <w:t>.</w:t>
      </w:r>
      <w:r>
        <w:rPr>
          <w:b w:val="0"/>
        </w:rPr>
        <w:tab/>
      </w:r>
      <w:r>
        <w:t>No weapons to be carried by security bodyguard</w:t>
      </w:r>
      <w:bookmarkEnd w:id="219"/>
      <w:bookmarkEnd w:id="220"/>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Gazette 4 Dec 2009 p. 4912.]</w:t>
      </w:r>
    </w:p>
    <w:p>
      <w:pPr>
        <w:pStyle w:val="yHeading5"/>
      </w:pPr>
      <w:bookmarkStart w:id="221" w:name="_Toc168930497"/>
      <w:bookmarkStart w:id="222" w:name="_Toc200371727"/>
      <w:r>
        <w:rPr>
          <w:rStyle w:val="CharSClsNo"/>
        </w:rPr>
        <w:t>12B</w:t>
      </w:r>
      <w:r>
        <w:t>.</w:t>
      </w:r>
      <w:r>
        <w:rPr>
          <w:b w:val="0"/>
        </w:rPr>
        <w:tab/>
      </w:r>
      <w:r>
        <w:t>First aid certificate</w:t>
      </w:r>
      <w:bookmarkEnd w:id="221"/>
      <w:bookmarkEnd w:id="222"/>
    </w:p>
    <w:p>
      <w:pPr>
        <w:pStyle w:val="ySubsection"/>
      </w:pPr>
      <w:r>
        <w:tab/>
      </w:r>
      <w:r>
        <w:tab/>
        <w:t xml:space="preserve">A security bodyguard must not perform a licensed activity unless the bodyguard holds a current first aid certificate. </w:t>
      </w:r>
    </w:p>
    <w:p>
      <w:pPr>
        <w:pStyle w:val="yFootnotesection"/>
      </w:pPr>
      <w:r>
        <w:tab/>
        <w:t>[Clause 12B inserted: Gazette 4 Dec 2009 p. 4912.]</w:t>
      </w:r>
    </w:p>
    <w:p>
      <w:pPr>
        <w:pStyle w:val="yHeading3"/>
        <w:rPr>
          <w:snapToGrid w:val="0"/>
        </w:rPr>
      </w:pPr>
      <w:bookmarkStart w:id="223" w:name="_Toc168661148"/>
      <w:bookmarkStart w:id="224" w:name="_Toc168661296"/>
      <w:bookmarkStart w:id="225" w:name="_Toc168930498"/>
      <w:bookmarkStart w:id="226" w:name="_Toc200371728"/>
      <w:r>
        <w:rPr>
          <w:rStyle w:val="CharSDivNo"/>
        </w:rPr>
        <w:t>Division 3</w:t>
      </w:r>
      <w:r>
        <w:rPr>
          <w:snapToGrid w:val="0"/>
        </w:rPr>
        <w:t> — </w:t>
      </w:r>
      <w:r>
        <w:rPr>
          <w:rStyle w:val="CharSDivText"/>
        </w:rPr>
        <w:t>Inquiry agent’s licence</w:t>
      </w:r>
      <w:bookmarkEnd w:id="223"/>
      <w:bookmarkEnd w:id="224"/>
      <w:bookmarkEnd w:id="225"/>
      <w:bookmarkEnd w:id="226"/>
      <w:r>
        <w:rPr>
          <w:snapToGrid w:val="0"/>
        </w:rPr>
        <w:t xml:space="preserve"> </w:t>
      </w:r>
    </w:p>
    <w:p>
      <w:pPr>
        <w:pStyle w:val="yHeading5"/>
        <w:rPr>
          <w:rStyle w:val="CharSClsNo"/>
        </w:rPr>
      </w:pPr>
      <w:bookmarkStart w:id="227" w:name="_Toc168930499"/>
      <w:bookmarkStart w:id="228" w:name="_Toc200371729"/>
      <w:r>
        <w:rPr>
          <w:rStyle w:val="CharSClsNo"/>
        </w:rPr>
        <w:t>12</w:t>
      </w:r>
      <w:r>
        <w:t>.</w:t>
      </w:r>
      <w:r>
        <w:rPr>
          <w:rStyle w:val="CharSClsNo"/>
        </w:rPr>
        <w:tab/>
        <w:t>C</w:t>
      </w:r>
      <w:r>
        <w:rPr>
          <w:snapToGrid w:val="0"/>
        </w:rPr>
        <w:t>hange of partners, officers or personnel to be notified</w:t>
      </w:r>
      <w:bookmarkEnd w:id="227"/>
      <w:bookmarkEnd w:id="228"/>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Gazette 4 Dec 2009 p. 4913.]</w:t>
      </w:r>
    </w:p>
    <w:p>
      <w:pPr>
        <w:pStyle w:val="yHeading3"/>
        <w:rPr>
          <w:snapToGrid w:val="0"/>
        </w:rPr>
      </w:pPr>
      <w:bookmarkStart w:id="229" w:name="_Toc168661150"/>
      <w:bookmarkStart w:id="230" w:name="_Toc168661298"/>
      <w:bookmarkStart w:id="231" w:name="_Toc168930500"/>
      <w:bookmarkStart w:id="232" w:name="_Toc200371730"/>
      <w:r>
        <w:rPr>
          <w:rStyle w:val="CharSDivNo"/>
        </w:rPr>
        <w:t>Division 4</w:t>
      </w:r>
      <w:r>
        <w:rPr>
          <w:snapToGrid w:val="0"/>
        </w:rPr>
        <w:t> — </w:t>
      </w:r>
      <w:r>
        <w:rPr>
          <w:rStyle w:val="CharSDivText"/>
        </w:rPr>
        <w:t>Crowd control agent’s licence</w:t>
      </w:r>
      <w:bookmarkEnd w:id="229"/>
      <w:bookmarkEnd w:id="230"/>
      <w:bookmarkEnd w:id="231"/>
      <w:bookmarkEnd w:id="232"/>
    </w:p>
    <w:p>
      <w:pPr>
        <w:pStyle w:val="yHeading5"/>
        <w:rPr>
          <w:rStyle w:val="CharSClsNo"/>
        </w:rPr>
      </w:pPr>
      <w:bookmarkStart w:id="233" w:name="_Toc168930501"/>
      <w:bookmarkStart w:id="234" w:name="_Toc200371731"/>
      <w:r>
        <w:rPr>
          <w:rStyle w:val="CharSClsNo"/>
        </w:rPr>
        <w:t>13</w:t>
      </w:r>
      <w:r>
        <w:t>.</w:t>
      </w:r>
      <w:r>
        <w:rPr>
          <w:rStyle w:val="CharSClsNo"/>
        </w:rPr>
        <w:tab/>
        <w:t>C</w:t>
      </w:r>
      <w:r>
        <w:rPr>
          <w:snapToGrid w:val="0"/>
        </w:rPr>
        <w:t>hange of partners, officers or personnel to be notified</w:t>
      </w:r>
      <w:bookmarkEnd w:id="233"/>
      <w:bookmarkEnd w:id="234"/>
      <w:r>
        <w:rPr>
          <w:rStyle w:val="CharSClsNo"/>
        </w:rPr>
        <w:t xml:space="preserve"> </w:t>
      </w:r>
    </w:p>
    <w:p>
      <w:pPr>
        <w:pStyle w:val="ySubsection"/>
        <w:keepNext/>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Gazette 4 Dec 2009 p. 4913.]</w:t>
      </w:r>
    </w:p>
    <w:p>
      <w:pPr>
        <w:pStyle w:val="yHeading5"/>
        <w:rPr>
          <w:rStyle w:val="CharSClsNo"/>
        </w:rPr>
      </w:pPr>
      <w:bookmarkStart w:id="235" w:name="_Toc168930502"/>
      <w:bookmarkStart w:id="236" w:name="_Toc200371732"/>
      <w:r>
        <w:rPr>
          <w:rStyle w:val="CharSClsNo"/>
        </w:rPr>
        <w:t>14</w:t>
      </w:r>
      <w:r>
        <w:t>.</w:t>
      </w:r>
      <w:r>
        <w:rPr>
          <w:rStyle w:val="CharSClsNo"/>
        </w:rPr>
        <w:tab/>
        <w:t>I</w:t>
      </w:r>
      <w:r>
        <w:rPr>
          <w:snapToGrid w:val="0"/>
        </w:rPr>
        <w:t>dentification cards</w:t>
      </w:r>
      <w:r>
        <w:rPr>
          <w:rStyle w:val="CharSClsNo"/>
        </w:rPr>
        <w:t xml:space="preserve"> to be worn</w:t>
      </w:r>
      <w:bookmarkEnd w:id="235"/>
      <w:bookmarkEnd w:id="236"/>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Gazette 1 Sep 2005 p. 4089.]</w:t>
      </w:r>
    </w:p>
    <w:p>
      <w:pPr>
        <w:pStyle w:val="yHeading5"/>
        <w:rPr>
          <w:snapToGrid w:val="0"/>
        </w:rPr>
      </w:pPr>
      <w:bookmarkStart w:id="237" w:name="_Toc168930503"/>
      <w:bookmarkStart w:id="238" w:name="_Toc200371733"/>
      <w:r>
        <w:rPr>
          <w:rStyle w:val="CharSClsNo"/>
        </w:rPr>
        <w:t>15</w:t>
      </w:r>
      <w:r>
        <w:t>.</w:t>
      </w:r>
      <w:r>
        <w:rPr>
          <w:rStyle w:val="CharSClsNo"/>
        </w:rPr>
        <w:tab/>
        <w:t>Information</w:t>
      </w:r>
      <w:r>
        <w:rPr>
          <w:snapToGrid w:val="0"/>
        </w:rPr>
        <w:t xml:space="preserve"> to clients</w:t>
      </w:r>
      <w:bookmarkEnd w:id="237"/>
      <w:bookmarkEnd w:id="238"/>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Gazette 1 Sep 2005 p. 4089.]</w:t>
      </w:r>
    </w:p>
    <w:p>
      <w:pPr>
        <w:pStyle w:val="yHeading5"/>
      </w:pPr>
      <w:bookmarkStart w:id="239" w:name="_Toc168930504"/>
      <w:bookmarkStart w:id="240" w:name="_Toc200371734"/>
      <w:r>
        <w:rPr>
          <w:rStyle w:val="CharSClsNo"/>
        </w:rPr>
        <w:t>15A</w:t>
      </w:r>
      <w:r>
        <w:t>.</w:t>
      </w:r>
      <w:r>
        <w:rPr>
          <w:b w:val="0"/>
        </w:rPr>
        <w:tab/>
      </w:r>
      <w:r>
        <w:t>Information to licensing officer</w:t>
      </w:r>
      <w:bookmarkEnd w:id="239"/>
      <w:bookmarkEnd w:id="240"/>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keepNext/>
      </w:pPr>
      <w:r>
        <w:tab/>
        <w:t>(2)</w:t>
      </w:r>
      <w:r>
        <w:tab/>
        <w:t>The notice under subclause (1) is to be in writing and given to a licensing officer within any time frame specified in the request.</w:t>
      </w:r>
    </w:p>
    <w:p>
      <w:pPr>
        <w:pStyle w:val="yFootnotesection"/>
      </w:pPr>
      <w:r>
        <w:tab/>
        <w:t>[Clause 15A inserted: Gazette 4 Dec 2009 p. 4913</w:t>
      </w:r>
      <w:r>
        <w:noBreakHyphen/>
        <w:t>14.]</w:t>
      </w:r>
    </w:p>
    <w:p>
      <w:pPr>
        <w:pStyle w:val="yHeading5"/>
        <w:rPr>
          <w:snapToGrid w:val="0"/>
        </w:rPr>
      </w:pPr>
      <w:bookmarkStart w:id="241" w:name="_Toc168930505"/>
      <w:bookmarkStart w:id="242" w:name="_Toc200371735"/>
      <w:r>
        <w:rPr>
          <w:rStyle w:val="CharSClsNo"/>
        </w:rPr>
        <w:t>16</w:t>
      </w:r>
      <w:r>
        <w:t>.</w:t>
      </w:r>
      <w:r>
        <w:rPr>
          <w:rStyle w:val="CharSClsNo"/>
        </w:rPr>
        <w:tab/>
      </w:r>
      <w:r>
        <w:rPr>
          <w:snapToGrid w:val="0"/>
        </w:rPr>
        <w:t>No weapons to be carried by crowd controllers</w:t>
      </w:r>
      <w:bookmarkEnd w:id="241"/>
      <w:bookmarkEnd w:id="242"/>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Gazette 1 Sep 2005 p. 4089.]</w:t>
      </w:r>
    </w:p>
    <w:p>
      <w:pPr>
        <w:pStyle w:val="yHeading5"/>
      </w:pPr>
      <w:bookmarkStart w:id="243" w:name="_Toc168930506"/>
      <w:bookmarkStart w:id="244" w:name="_Toc200371736"/>
      <w:r>
        <w:rPr>
          <w:rStyle w:val="CharSClsNo"/>
        </w:rPr>
        <w:t>16A</w:t>
      </w:r>
      <w:r>
        <w:t>.</w:t>
      </w:r>
      <w:r>
        <w:rPr>
          <w:rStyle w:val="CharSClsNo"/>
        </w:rPr>
        <w:tab/>
        <w:t>Incident</w:t>
      </w:r>
      <w:r>
        <w:rPr>
          <w:snapToGrid w:val="0"/>
        </w:rPr>
        <w:t xml:space="preserve"> register, duties as to</w:t>
      </w:r>
      <w:bookmarkEnd w:id="243"/>
      <w:bookmarkEnd w:id="244"/>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Gazette 1 Sep 2005 p. 4090.]</w:t>
      </w:r>
    </w:p>
    <w:p>
      <w:pPr>
        <w:pStyle w:val="yHeading3"/>
        <w:rPr>
          <w:snapToGrid w:val="0"/>
        </w:rPr>
      </w:pPr>
      <w:bookmarkStart w:id="245" w:name="_Toc168661157"/>
      <w:bookmarkStart w:id="246" w:name="_Toc168661305"/>
      <w:bookmarkStart w:id="247" w:name="_Toc168930507"/>
      <w:bookmarkStart w:id="248" w:name="_Toc200371737"/>
      <w:r>
        <w:rPr>
          <w:rStyle w:val="CharSDivNo"/>
        </w:rPr>
        <w:t>Division 5</w:t>
      </w:r>
      <w:r>
        <w:rPr>
          <w:snapToGrid w:val="0"/>
        </w:rPr>
        <w:t> — </w:t>
      </w:r>
      <w:r>
        <w:rPr>
          <w:rStyle w:val="CharSDivText"/>
        </w:rPr>
        <w:t>Crowd controller’s licence</w:t>
      </w:r>
      <w:bookmarkEnd w:id="245"/>
      <w:bookmarkEnd w:id="246"/>
      <w:bookmarkEnd w:id="247"/>
      <w:bookmarkEnd w:id="248"/>
    </w:p>
    <w:p>
      <w:pPr>
        <w:pStyle w:val="yHeading5"/>
        <w:rPr>
          <w:snapToGrid w:val="0"/>
        </w:rPr>
      </w:pPr>
      <w:bookmarkStart w:id="249" w:name="_Toc168930508"/>
      <w:bookmarkStart w:id="250" w:name="_Toc200371738"/>
      <w:r>
        <w:rPr>
          <w:rStyle w:val="CharSClsNo"/>
        </w:rPr>
        <w:t>17</w:t>
      </w:r>
      <w:r>
        <w:t>.</w:t>
      </w:r>
      <w:r>
        <w:rPr>
          <w:rStyle w:val="CharSClsNo"/>
        </w:rPr>
        <w:tab/>
        <w:t>I</w:t>
      </w:r>
      <w:r>
        <w:rPr>
          <w:snapToGrid w:val="0"/>
        </w:rPr>
        <w:t>dentification card to be worn</w:t>
      </w:r>
      <w:bookmarkEnd w:id="249"/>
      <w:bookmarkEnd w:id="250"/>
    </w:p>
    <w:p>
      <w:pPr>
        <w:pStyle w:val="ySubsection"/>
        <w:keepNext/>
        <w:rPr>
          <w:snapToGrid w:val="0"/>
        </w:rPr>
      </w:pPr>
      <w:r>
        <w:rPr>
          <w:snapToGrid w:val="0"/>
        </w:rPr>
        <w:tab/>
      </w:r>
      <w:r>
        <w:rPr>
          <w:snapToGrid w:val="0"/>
        </w:rPr>
        <w:tab/>
        <w:t>A crowd controller to whom an identification card has been issued under section 61 must wear that card — </w:t>
      </w:r>
    </w:p>
    <w:p>
      <w:pPr>
        <w:pStyle w:val="yIndenta"/>
        <w:keepNext/>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Gazette 1 Sep 2005 p. 4090.]</w:t>
      </w:r>
    </w:p>
    <w:p>
      <w:pPr>
        <w:pStyle w:val="yHeading5"/>
        <w:rPr>
          <w:rStyle w:val="CharSClsNo"/>
        </w:rPr>
      </w:pPr>
      <w:bookmarkStart w:id="251" w:name="_Toc168930509"/>
      <w:bookmarkStart w:id="252" w:name="_Toc200371739"/>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251"/>
      <w:bookmarkEnd w:id="252"/>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253" w:name="_Toc168930510"/>
      <w:bookmarkStart w:id="254" w:name="_Toc200371740"/>
      <w:r>
        <w:rPr>
          <w:rStyle w:val="CharSClsNo"/>
        </w:rPr>
        <w:t>19A</w:t>
      </w:r>
      <w:r>
        <w:t>.</w:t>
      </w:r>
      <w:r>
        <w:rPr>
          <w:b w:val="0"/>
        </w:rPr>
        <w:tab/>
      </w:r>
      <w:r>
        <w:t>First aid certificate</w:t>
      </w:r>
      <w:bookmarkEnd w:id="253"/>
      <w:bookmarkEnd w:id="254"/>
    </w:p>
    <w:p>
      <w:pPr>
        <w:pStyle w:val="ySubsection"/>
      </w:pPr>
      <w:r>
        <w:tab/>
        <w:t>(1)</w:t>
      </w:r>
      <w:r>
        <w:tab/>
        <w:t>A crowd controller must not perform crowd control activities unless the controller holds a current first aid certificate.</w:t>
      </w:r>
    </w:p>
    <w:p>
      <w:pPr>
        <w:pStyle w:val="yEdnotesubsection"/>
      </w:pPr>
      <w:r>
        <w:tab/>
        <w:t>[(2)</w:t>
      </w:r>
      <w:r>
        <w:tab/>
        <w:t>deleted]</w:t>
      </w:r>
    </w:p>
    <w:p>
      <w:pPr>
        <w:pStyle w:val="yFootnotesection"/>
      </w:pPr>
      <w:r>
        <w:tab/>
        <w:t>[Clause 19A inserted: Gazette 4 Dec 2009 p. 4914; amended: Gazette 29 Jul 2016 p. 3249.]</w:t>
      </w:r>
    </w:p>
    <w:p>
      <w:pPr>
        <w:pStyle w:val="yHeading5"/>
      </w:pPr>
      <w:bookmarkStart w:id="255" w:name="_Toc168930511"/>
      <w:bookmarkStart w:id="256" w:name="_Toc200371741"/>
      <w:r>
        <w:rPr>
          <w:rStyle w:val="CharSClsNo"/>
        </w:rPr>
        <w:t>19</w:t>
      </w:r>
      <w:r>
        <w:t>.</w:t>
      </w:r>
      <w:r>
        <w:rPr>
          <w:rStyle w:val="CharSClsNo"/>
        </w:rPr>
        <w:tab/>
        <w:t>Incident</w:t>
      </w:r>
      <w:r>
        <w:rPr>
          <w:snapToGrid w:val="0"/>
        </w:rPr>
        <w:t xml:space="preserve"> register, duties as to</w:t>
      </w:r>
      <w:bookmarkEnd w:id="255"/>
      <w:bookmarkEnd w:id="256"/>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Gazette 1 Sep 2005 p. 4091.]</w:t>
      </w:r>
    </w:p>
    <w:p>
      <w:pPr>
        <w:pStyle w:val="yHeading3"/>
      </w:pPr>
      <w:bookmarkStart w:id="257" w:name="_Toc168661162"/>
      <w:bookmarkStart w:id="258" w:name="_Toc168661310"/>
      <w:bookmarkStart w:id="259" w:name="_Toc168930512"/>
      <w:bookmarkStart w:id="260" w:name="_Toc200371742"/>
      <w:r>
        <w:rPr>
          <w:rStyle w:val="CharSDivNo"/>
        </w:rPr>
        <w:t>Division 6 </w:t>
      </w:r>
      <w:r>
        <w:t>— </w:t>
      </w:r>
      <w:r>
        <w:rPr>
          <w:rStyle w:val="CharSDivText"/>
        </w:rPr>
        <w:t>All licences</w:t>
      </w:r>
      <w:bookmarkEnd w:id="257"/>
      <w:bookmarkEnd w:id="258"/>
      <w:bookmarkEnd w:id="259"/>
      <w:bookmarkEnd w:id="260"/>
    </w:p>
    <w:p>
      <w:pPr>
        <w:pStyle w:val="yFootnoteheading"/>
      </w:pPr>
      <w:r>
        <w:tab/>
        <w:t>[Heading inserted: Gazette 1 Sep 2005 p. 4091.]</w:t>
      </w:r>
    </w:p>
    <w:p>
      <w:pPr>
        <w:pStyle w:val="yHeading5"/>
      </w:pPr>
      <w:bookmarkStart w:id="261" w:name="_Toc168930513"/>
      <w:bookmarkStart w:id="262" w:name="_Toc200371743"/>
      <w:r>
        <w:rPr>
          <w:rStyle w:val="CharSClsNo"/>
        </w:rPr>
        <w:t>20</w:t>
      </w:r>
      <w:r>
        <w:t>.</w:t>
      </w:r>
      <w:r>
        <w:tab/>
        <w:t>Identity cards, duties of people holding</w:t>
      </w:r>
      <w:bookmarkEnd w:id="261"/>
      <w:bookmarkEnd w:id="262"/>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Gazette 1 Sep 2005 p. 4091</w:t>
      </w:r>
      <w:r>
        <w:noBreakHyphen/>
        <w:t>2.]</w:t>
      </w:r>
    </w:p>
    <w:p>
      <w:pPr>
        <w:pStyle w:val="yScheduleHeading"/>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264" w:name="_Toc168661164"/>
      <w:bookmarkStart w:id="265" w:name="_Toc168661312"/>
      <w:bookmarkStart w:id="266" w:name="_Toc168930514"/>
      <w:bookmarkStart w:id="267" w:name="_Toc200371744"/>
      <w:r>
        <w:rPr>
          <w:rStyle w:val="CharSchNo"/>
        </w:rPr>
        <w:t>Schedule 2</w:t>
      </w:r>
      <w:r>
        <w:t> — </w:t>
      </w:r>
      <w:r>
        <w:rPr>
          <w:rStyle w:val="CharSchText"/>
        </w:rPr>
        <w:t>Disqualifying offences</w:t>
      </w:r>
      <w:bookmarkEnd w:id="264"/>
      <w:bookmarkEnd w:id="265"/>
      <w:bookmarkEnd w:id="266"/>
      <w:bookmarkEnd w:id="267"/>
    </w:p>
    <w:p>
      <w:pPr>
        <w:pStyle w:val="yShoulderClause"/>
      </w:pPr>
      <w:r>
        <w:t>[r. 24]</w:t>
      </w:r>
    </w:p>
    <w:p>
      <w:pPr>
        <w:pStyle w:val="yFootnoteheading"/>
      </w:pPr>
      <w:r>
        <w:tab/>
        <w:t>[Heading inserted: Gazette 4 Dec 2009 p. 4914.]</w:t>
      </w:r>
    </w:p>
    <w:p>
      <w:pPr>
        <w:pStyle w:val="yHeading3"/>
      </w:pPr>
      <w:bookmarkStart w:id="268" w:name="_Toc168661165"/>
      <w:bookmarkStart w:id="269" w:name="_Toc168661313"/>
      <w:bookmarkStart w:id="270" w:name="_Toc168930515"/>
      <w:bookmarkStart w:id="271" w:name="_Toc200371745"/>
      <w:r>
        <w:rPr>
          <w:rStyle w:val="CharSDivNo"/>
        </w:rPr>
        <w:t>Division 1</w:t>
      </w:r>
      <w:r>
        <w:rPr>
          <w:b w:val="0"/>
        </w:rPr>
        <w:t> — </w:t>
      </w:r>
      <w:r>
        <w:rPr>
          <w:rStyle w:val="CharSDivText"/>
        </w:rPr>
        <w:t>Division 1 offences</w:t>
      </w:r>
      <w:bookmarkEnd w:id="268"/>
      <w:bookmarkEnd w:id="269"/>
      <w:bookmarkEnd w:id="270"/>
      <w:bookmarkEnd w:id="271"/>
    </w:p>
    <w:p>
      <w:pPr>
        <w:pStyle w:val="yFootnoteheading"/>
        <w:spacing w:after="120"/>
      </w:pPr>
      <w:r>
        <w:tab/>
        <w:t>[Heading inserted: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192</w:t>
            </w:r>
          </w:p>
        </w:tc>
        <w:tc>
          <w:tcPr>
            <w:tcW w:w="1701" w:type="dxa"/>
            <w:tcBorders>
              <w:top w:val="nil"/>
              <w:left w:val="nil"/>
              <w:bottom w:val="nil"/>
              <w:right w:val="nil"/>
            </w:tcBorders>
          </w:tcPr>
          <w:p>
            <w:pPr>
              <w:pStyle w:val="yTableNAm"/>
              <w:spacing w:before="80"/>
            </w:pPr>
            <w:r>
              <w:t>s. 345</w:t>
            </w:r>
          </w:p>
        </w:tc>
        <w:tc>
          <w:tcPr>
            <w:tcW w:w="1681" w:type="dxa"/>
            <w:tcBorders>
              <w:top w:val="nil"/>
              <w:left w:val="nil"/>
              <w:bottom w:val="nil"/>
              <w:right w:val="nil"/>
            </w:tcBorders>
          </w:tcPr>
          <w:p>
            <w:pPr>
              <w:pStyle w:val="yTableNAm"/>
              <w:spacing w:before="80"/>
            </w:pPr>
            <w:r>
              <w:t>s. 396</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488</w:t>
            </w:r>
          </w:p>
        </w:tc>
        <w:tc>
          <w:tcPr>
            <w:tcW w:w="1701" w:type="dxa"/>
            <w:tcBorders>
              <w:top w:val="nil"/>
              <w:left w:val="nil"/>
              <w:bottom w:val="nil"/>
              <w:right w:val="nil"/>
            </w:tcBorders>
          </w:tcPr>
          <w:p>
            <w:pPr>
              <w:pStyle w:val="yTableNAm"/>
              <w:spacing w:before="80"/>
            </w:pP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Gazette 4 Dec 2009 p. 4914</w:t>
      </w:r>
      <w:r>
        <w:noBreakHyphen/>
        <w:t>15; amended: Gazette 29 Jul 2016 p. 3249.]</w:t>
      </w:r>
    </w:p>
    <w:p>
      <w:pPr>
        <w:pStyle w:val="yHeading3"/>
      </w:pPr>
      <w:bookmarkStart w:id="272" w:name="_Toc168661166"/>
      <w:bookmarkStart w:id="273" w:name="_Toc168661314"/>
      <w:bookmarkStart w:id="274" w:name="_Toc168930516"/>
      <w:bookmarkStart w:id="275" w:name="_Toc200371746"/>
      <w:r>
        <w:rPr>
          <w:rStyle w:val="CharSDivNo"/>
        </w:rPr>
        <w:t>Division 2</w:t>
      </w:r>
      <w:r>
        <w:rPr>
          <w:b w:val="0"/>
        </w:rPr>
        <w:t> — </w:t>
      </w:r>
      <w:r>
        <w:rPr>
          <w:rStyle w:val="CharSDivText"/>
        </w:rPr>
        <w:t>Division 2 offences</w:t>
      </w:r>
      <w:bookmarkEnd w:id="272"/>
      <w:bookmarkEnd w:id="273"/>
      <w:bookmarkEnd w:id="274"/>
      <w:bookmarkEnd w:id="275"/>
    </w:p>
    <w:p>
      <w:pPr>
        <w:pStyle w:val="yFootnoteheading"/>
        <w:spacing w:after="120"/>
      </w:pPr>
      <w:r>
        <w:tab/>
        <w:t>[Heading inserted: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rPr>
                <w:szCs w:val="22"/>
              </w:rPr>
              <w:t>s. 172</w:t>
            </w:r>
          </w:p>
        </w:tc>
        <w:tc>
          <w:tcPr>
            <w:tcW w:w="1624" w:type="dxa"/>
            <w:tcBorders>
              <w:top w:val="nil"/>
              <w:left w:val="nil"/>
              <w:bottom w:val="nil"/>
              <w:right w:val="nil"/>
            </w:tcBorders>
          </w:tcPr>
          <w:p>
            <w:pPr>
              <w:pStyle w:val="yTableNAm"/>
              <w:spacing w:before="80"/>
            </w:pPr>
            <w:r>
              <w:t>s. 190</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191</w:t>
            </w:r>
          </w:p>
        </w:tc>
        <w:tc>
          <w:tcPr>
            <w:tcW w:w="1701" w:type="dxa"/>
            <w:tcBorders>
              <w:top w:val="nil"/>
              <w:left w:val="nil"/>
              <w:bottom w:val="nil"/>
              <w:right w:val="nil"/>
            </w:tcBorders>
          </w:tcPr>
          <w:p>
            <w:pPr>
              <w:pStyle w:val="yTableNAm"/>
              <w:spacing w:before="80"/>
            </w:pPr>
            <w:r>
              <w:t>s. 202</w:t>
            </w:r>
          </w:p>
        </w:tc>
        <w:tc>
          <w:tcPr>
            <w:tcW w:w="1624" w:type="dxa"/>
            <w:tcBorders>
              <w:top w:val="nil"/>
              <w:left w:val="nil"/>
              <w:bottom w:val="nil"/>
              <w:right w:val="nil"/>
            </w:tcBorders>
          </w:tcPr>
          <w:p>
            <w:pPr>
              <w:pStyle w:val="yTableNAm"/>
              <w:spacing w:before="80"/>
            </w:pPr>
            <w:r>
              <w:t>s. 313</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445</w:t>
            </w:r>
          </w:p>
        </w:tc>
        <w:tc>
          <w:tcPr>
            <w:tcW w:w="1701" w:type="dxa"/>
            <w:tcBorders>
              <w:top w:val="nil"/>
              <w:left w:val="nil"/>
              <w:bottom w:val="nil"/>
              <w:right w:val="nil"/>
            </w:tcBorders>
          </w:tcPr>
          <w:p>
            <w:pPr>
              <w:pStyle w:val="yTableNAm"/>
              <w:spacing w:before="80"/>
            </w:pPr>
            <w:r>
              <w:t>s. 474</w:t>
            </w:r>
          </w:p>
        </w:tc>
        <w:tc>
          <w:tcPr>
            <w:tcW w:w="1624" w:type="dxa"/>
            <w:tcBorders>
              <w:top w:val="nil"/>
              <w:left w:val="nil"/>
              <w:bottom w:val="nil"/>
              <w:right w:val="nil"/>
            </w:tcBorders>
          </w:tcPr>
          <w:p>
            <w:pPr>
              <w:pStyle w:val="yTableNAm"/>
              <w:spacing w:before="80"/>
            </w:pPr>
            <w:r>
              <w:t>s. 514</w:t>
            </w: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Medicines and Poisons Act 2014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Gazette 4 Dec 2009 p. 4915</w:t>
      </w:r>
      <w:r>
        <w:noBreakHyphen/>
        <w:t>16; amended: Gazette 29 Jul 2016 p. 3249; 17 Jan 2017 p. 416.]</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276" w:name="_Toc168661167"/>
      <w:bookmarkStart w:id="277" w:name="_Toc168661315"/>
      <w:bookmarkStart w:id="278" w:name="_Toc168930517"/>
      <w:bookmarkStart w:id="279" w:name="_Toc200371747"/>
      <w:r>
        <w:rPr>
          <w:rStyle w:val="CharSchNo"/>
        </w:rPr>
        <w:t>Schedule 3</w:t>
      </w:r>
      <w:r>
        <w:rPr>
          <w:rStyle w:val="CharSDivText"/>
        </w:rPr>
        <w:t> </w:t>
      </w:r>
      <w:r>
        <w:t>—</w:t>
      </w:r>
      <w:r>
        <w:rPr>
          <w:rStyle w:val="CharSDivNo"/>
        </w:rPr>
        <w:t> </w:t>
      </w:r>
      <w:r>
        <w:rPr>
          <w:rStyle w:val="CharSchText"/>
        </w:rPr>
        <w:t>Prescribed drugs</w:t>
      </w:r>
      <w:bookmarkEnd w:id="276"/>
      <w:bookmarkEnd w:id="277"/>
      <w:bookmarkEnd w:id="278"/>
      <w:bookmarkEnd w:id="279"/>
    </w:p>
    <w:p>
      <w:pPr>
        <w:pStyle w:val="yShoulderClause"/>
      </w:pPr>
      <w:r>
        <w:t>[r. 45, 51 and 52]</w:t>
      </w:r>
    </w:p>
    <w:p>
      <w:pPr>
        <w:pStyle w:val="yFootnoteheading"/>
        <w:spacing w:after="120"/>
      </w:pPr>
      <w:r>
        <w:tab/>
        <w:t>[Heading inserted: Gazette 17 Jan 2017 p. 416.]</w:t>
      </w:r>
    </w:p>
    <w:p>
      <w:pPr>
        <w:pStyle w:val="ySubsection"/>
      </w:pPr>
      <w:r>
        <w:tab/>
      </w:r>
      <w:r>
        <w:tab/>
        <w:t xml:space="preserve">Any drug, other than testosterone, that is from time to time — </w:t>
      </w:r>
    </w:p>
    <w:p>
      <w:pPr>
        <w:pStyle w:val="yIndenta"/>
      </w:pPr>
      <w:r>
        <w:tab/>
        <w:t>(a)</w:t>
      </w:r>
      <w:r>
        <w:tab/>
        <w:t xml:space="preserve">a specified drug within the meaning of the </w:t>
      </w:r>
      <w:r>
        <w:rPr>
          <w:i/>
        </w:rPr>
        <w:t>Misuse of Drugs Act 1981</w:t>
      </w:r>
      <w:r>
        <w:t xml:space="preserve"> section 3(1); or</w:t>
      </w:r>
    </w:p>
    <w:p>
      <w:pPr>
        <w:pStyle w:val="yIndenta"/>
      </w:pPr>
      <w:r>
        <w:tab/>
        <w:t>(b)</w:t>
      </w:r>
      <w:r>
        <w:tab/>
        <w:t xml:space="preserve">a Schedule 8 poison or a Schedule 9 poison as those terms are defined in the </w:t>
      </w:r>
      <w:r>
        <w:rPr>
          <w:i/>
        </w:rPr>
        <w:t>Medicines and Poisons Act 2014</w:t>
      </w:r>
      <w:r>
        <w:t xml:space="preserve"> section 3.</w:t>
      </w:r>
    </w:p>
    <w:p>
      <w:pPr>
        <w:pStyle w:val="yFootnotesection"/>
        <w:keepNext/>
        <w:rPr>
          <w:rStyle w:val="CharSchNo"/>
        </w:rPr>
      </w:pPr>
      <w:r>
        <w:tab/>
        <w:t>[Schedule 3 inserted: Gazette 17 Jan 2017 p. 416</w:t>
      </w:r>
      <w:r>
        <w:noBreakHyphen/>
        <w:t>17.]</w:t>
      </w:r>
    </w:p>
    <w:p>
      <w:pPr>
        <w:pStyle w:val="yScheduleHeading"/>
      </w:pPr>
      <w:bookmarkStart w:id="280" w:name="_Toc168661168"/>
      <w:bookmarkStart w:id="281" w:name="_Toc168661316"/>
      <w:bookmarkStart w:id="282" w:name="_Toc168930518"/>
      <w:bookmarkStart w:id="283" w:name="_Toc200371748"/>
      <w:r>
        <w:rPr>
          <w:rStyle w:val="CharSchNo"/>
        </w:rPr>
        <w:t>Schedule 4</w:t>
      </w:r>
      <w:r>
        <w:t> — </w:t>
      </w:r>
      <w:r>
        <w:rPr>
          <w:rStyle w:val="CharSchText"/>
        </w:rPr>
        <w:t>Fees</w:t>
      </w:r>
      <w:bookmarkEnd w:id="280"/>
      <w:bookmarkEnd w:id="281"/>
      <w:bookmarkEnd w:id="282"/>
      <w:bookmarkEnd w:id="283"/>
    </w:p>
    <w:p>
      <w:pPr>
        <w:pStyle w:val="yShoulderClause"/>
      </w:pPr>
      <w:r>
        <w:t>[r. 54]</w:t>
      </w:r>
    </w:p>
    <w:p>
      <w:pPr>
        <w:pStyle w:val="yFootnoteheading"/>
        <w:spacing w:after="60"/>
        <w:rPr>
          <w:iCs/>
        </w:rPr>
      </w:pPr>
      <w:r>
        <w:rPr>
          <w:iCs/>
        </w:rPr>
        <w:tab/>
        <w:t>[Heading inserted: SL 2023/74 r. 11.]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trPr>
          <w:cantSplit/>
          <w:tblHeader/>
        </w:trPr>
        <w:tc>
          <w:tcPr>
            <w:tcW w:w="1985" w:type="dxa"/>
            <w:noWrap/>
          </w:tcPr>
          <w:p>
            <w:pPr>
              <w:pStyle w:val="yTableNAm"/>
              <w:jc w:val="center"/>
              <w:rPr>
                <w:b/>
              </w:rPr>
            </w:pPr>
            <w:r>
              <w:rPr>
                <w:b/>
              </w:rPr>
              <w:t>Column 1</w:t>
            </w:r>
          </w:p>
          <w:p>
            <w:pPr>
              <w:pStyle w:val="yTableNAm"/>
              <w:jc w:val="center"/>
              <w:rPr>
                <w:b/>
              </w:rPr>
            </w:pPr>
            <w:r>
              <w:rPr>
                <w:b/>
              </w:rPr>
              <w:t>Provision of Act or regulations</w:t>
            </w:r>
          </w:p>
        </w:tc>
        <w:tc>
          <w:tcPr>
            <w:tcW w:w="3543" w:type="dxa"/>
            <w:noWrap/>
          </w:tcPr>
          <w:p>
            <w:pPr>
              <w:pStyle w:val="yTableNAm"/>
              <w:jc w:val="center"/>
              <w:rPr>
                <w:b/>
              </w:rPr>
            </w:pPr>
            <w:r>
              <w:rPr>
                <w:b/>
              </w:rPr>
              <w:t>Column 2</w:t>
            </w:r>
          </w:p>
          <w:p>
            <w:pPr>
              <w:pStyle w:val="yTableNAm"/>
              <w:jc w:val="center"/>
              <w:rPr>
                <w:b/>
              </w:rPr>
            </w:pPr>
            <w:r>
              <w:rPr>
                <w:b/>
              </w:rPr>
              <w:br/>
              <w:t>Subject matter</w:t>
            </w:r>
          </w:p>
        </w:tc>
        <w:tc>
          <w:tcPr>
            <w:tcW w:w="1276" w:type="dxa"/>
            <w:noWrap/>
          </w:tcPr>
          <w:p>
            <w:pPr>
              <w:pStyle w:val="yTableNAm"/>
              <w:jc w:val="center"/>
              <w:rPr>
                <w:b/>
              </w:rPr>
            </w:pPr>
            <w:r>
              <w:rPr>
                <w:b/>
              </w:rPr>
              <w:t>Column 3</w:t>
            </w:r>
          </w:p>
          <w:p>
            <w:pPr>
              <w:pStyle w:val="yTableNAm"/>
              <w:jc w:val="center"/>
              <w:rPr>
                <w:b/>
              </w:rPr>
            </w:pPr>
            <w:r>
              <w:rPr>
                <w:b/>
              </w:rPr>
              <w:t>Fee</w:t>
            </w:r>
            <w:r>
              <w:rPr>
                <w:b/>
              </w:rPr>
              <w:br/>
              <w:t>$</w:t>
            </w:r>
          </w:p>
        </w:tc>
      </w:tr>
      <w:tr>
        <w:trPr>
          <w:cantSplit/>
        </w:trPr>
        <w:tc>
          <w:tcPr>
            <w:tcW w:w="6804" w:type="dxa"/>
            <w:gridSpan w:val="3"/>
            <w:noWrap/>
          </w:tcPr>
          <w:p>
            <w:pPr>
              <w:pStyle w:val="yTableNAm"/>
              <w:rPr>
                <w:b/>
              </w:rPr>
            </w:pPr>
            <w:r>
              <w:rPr>
                <w:b/>
                <w:i/>
              </w:rPr>
              <w:t>Agent’s licences</w:t>
            </w:r>
          </w:p>
        </w:tc>
      </w:tr>
      <w:tr>
        <w:trPr>
          <w:cantSplit/>
        </w:trPr>
        <w:tc>
          <w:tcPr>
            <w:tcW w:w="1985" w:type="dxa"/>
            <w:noWrap/>
          </w:tcPr>
          <w:p>
            <w:pPr>
              <w:pStyle w:val="yTableNAm"/>
            </w:pPr>
            <w:r>
              <w:t>s. 46(1)(c)</w:t>
            </w:r>
          </w:p>
        </w:tc>
        <w:tc>
          <w:tcPr>
            <w:tcW w:w="3543" w:type="dxa"/>
            <w:noWrap/>
          </w:tcPr>
          <w:p>
            <w:pPr>
              <w:pStyle w:val="yTableNAm"/>
            </w:pPr>
            <w:r>
              <w:t>Application for issue of agent’s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pPr>
            <w:r>
              <w:t xml:space="preserve">for more than 1 year but not more than 3 years </w:t>
            </w:r>
            <w:r>
              <w:tab/>
            </w:r>
          </w:p>
        </w:tc>
        <w:tc>
          <w:tcPr>
            <w:tcW w:w="1276" w:type="dxa"/>
            <w:noWrap/>
            <w:vAlign w:val="bottom"/>
          </w:tcPr>
          <w:p>
            <w:pPr>
              <w:pStyle w:val="yTableNAm"/>
              <w:ind w:right="240"/>
              <w:jc w:val="right"/>
            </w:pPr>
            <w:r>
              <w:br/>
            </w:r>
          </w:p>
          <w:p>
            <w:pPr>
              <w:pStyle w:val="yTableNAm"/>
              <w:ind w:right="240"/>
              <w:jc w:val="right"/>
            </w:pPr>
            <w:r>
              <w:t>1 391</w:t>
            </w:r>
          </w:p>
          <w:p>
            <w:pPr>
              <w:pStyle w:val="yTableNAm"/>
              <w:ind w:right="240"/>
              <w:jc w:val="right"/>
            </w:pPr>
            <w:r>
              <w:br/>
              <w:t>1 445</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by licensee for additional agent’s licence (each licence) </w:t>
            </w:r>
            <w:r>
              <w:tab/>
            </w:r>
          </w:p>
        </w:tc>
        <w:tc>
          <w:tcPr>
            <w:tcW w:w="1276" w:type="dxa"/>
            <w:noWrap/>
            <w:vAlign w:val="bottom"/>
          </w:tcPr>
          <w:p>
            <w:pPr>
              <w:pStyle w:val="yTableNAm"/>
              <w:ind w:right="240"/>
              <w:jc w:val="right"/>
            </w:pPr>
            <w:r>
              <w:t>979</w:t>
            </w:r>
          </w:p>
        </w:tc>
      </w:tr>
      <w:tr>
        <w:trPr>
          <w:cantSplit/>
        </w:trPr>
        <w:tc>
          <w:tcPr>
            <w:tcW w:w="1985" w:type="dxa"/>
            <w:noWrap/>
          </w:tcPr>
          <w:p>
            <w:pPr>
              <w:pStyle w:val="yTableNAm"/>
            </w:pPr>
            <w:r>
              <w:t>s. 49(1)(c)</w:t>
            </w:r>
          </w:p>
        </w:tc>
        <w:tc>
          <w:tcPr>
            <w:tcW w:w="3543" w:type="dxa"/>
            <w:noWrap/>
          </w:tcPr>
          <w:p>
            <w:pPr>
              <w:pStyle w:val="yTableNAm"/>
              <w:tabs>
                <w:tab w:val="right" w:leader="dot" w:pos="567"/>
                <w:tab w:val="right" w:leader="dot" w:pos="3328"/>
              </w:tabs>
            </w:pPr>
            <w:r>
              <w:t>Application for renewal of agent’s licence — for 3 years (each licence)</w:t>
            </w:r>
          </w:p>
        </w:tc>
        <w:tc>
          <w:tcPr>
            <w:tcW w:w="1276" w:type="dxa"/>
            <w:noWrap/>
            <w:vAlign w:val="bottom"/>
          </w:tcPr>
          <w:p>
            <w:pPr>
              <w:pStyle w:val="yTableNAm"/>
              <w:ind w:right="240"/>
              <w:jc w:val="right"/>
            </w:pPr>
            <w:r>
              <w:t>1 034</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for issue of temporary licence under s. 42B </w:t>
            </w:r>
            <w:r>
              <w:tab/>
            </w:r>
          </w:p>
        </w:tc>
        <w:tc>
          <w:tcPr>
            <w:tcW w:w="1276" w:type="dxa"/>
            <w:noWrap/>
            <w:vAlign w:val="bottom"/>
          </w:tcPr>
          <w:p>
            <w:pPr>
              <w:pStyle w:val="yTableNAm"/>
              <w:ind w:right="240"/>
              <w:jc w:val="right"/>
            </w:pPr>
            <w:r>
              <w:t>1 391</w:t>
            </w:r>
          </w:p>
        </w:tc>
      </w:tr>
      <w:tr>
        <w:trPr>
          <w:cantSplit/>
        </w:trPr>
        <w:tc>
          <w:tcPr>
            <w:tcW w:w="6804" w:type="dxa"/>
            <w:gridSpan w:val="3"/>
            <w:noWrap/>
          </w:tcPr>
          <w:p>
            <w:pPr>
              <w:pStyle w:val="yTableNAm"/>
              <w:rPr>
                <w:b/>
              </w:rPr>
            </w:pPr>
            <w:r>
              <w:rPr>
                <w:b/>
                <w:i/>
              </w:rPr>
              <w:t>Other licences, endorsements and permits</w:t>
            </w:r>
          </w:p>
        </w:tc>
      </w:tr>
      <w:tr>
        <w:trPr>
          <w:cantSplit/>
        </w:trPr>
        <w:tc>
          <w:tcPr>
            <w:tcW w:w="1985" w:type="dxa"/>
            <w:noWrap/>
          </w:tcPr>
          <w:p>
            <w:pPr>
              <w:pStyle w:val="yTableNAm"/>
            </w:pPr>
            <w:r>
              <w:t>s. 46(1)(c)</w:t>
            </w:r>
          </w:p>
        </w:tc>
        <w:tc>
          <w:tcPr>
            <w:tcW w:w="3543" w:type="dxa"/>
            <w:noWrap/>
          </w:tcPr>
          <w:p>
            <w:pPr>
              <w:pStyle w:val="yTableNAm"/>
            </w:pPr>
            <w:r>
              <w:t>Application for issue of licence (other than agent’s licence or temporary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pPr>
            <w:r>
              <w:t xml:space="preserve">for more than 1 year but not more than 3 years </w:t>
            </w:r>
            <w:r>
              <w:tab/>
            </w:r>
          </w:p>
        </w:tc>
        <w:tc>
          <w:tcPr>
            <w:tcW w:w="1276" w:type="dxa"/>
            <w:noWrap/>
            <w:vAlign w:val="bottom"/>
          </w:tcPr>
          <w:p>
            <w:pPr>
              <w:pStyle w:val="yTableNAm"/>
              <w:ind w:right="240"/>
              <w:jc w:val="right"/>
            </w:pPr>
            <w:r>
              <w:br/>
            </w:r>
            <w:r>
              <w:br/>
            </w:r>
          </w:p>
          <w:p>
            <w:pPr>
              <w:pStyle w:val="yTableNAm"/>
              <w:ind w:right="240"/>
              <w:jc w:val="right"/>
            </w:pPr>
            <w:r>
              <w:t>366</w:t>
            </w:r>
          </w:p>
          <w:p>
            <w:pPr>
              <w:pStyle w:val="yTableNAm"/>
              <w:ind w:right="240"/>
              <w:jc w:val="right"/>
            </w:pPr>
            <w:r>
              <w:br/>
              <w:t>388</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by licensee for additional licence (other than agent’s licence or temporary licence) (each licence) </w:t>
            </w:r>
            <w:r>
              <w:tab/>
            </w:r>
          </w:p>
        </w:tc>
        <w:tc>
          <w:tcPr>
            <w:tcW w:w="1276" w:type="dxa"/>
            <w:noWrap/>
            <w:vAlign w:val="bottom"/>
          </w:tcPr>
          <w:p>
            <w:pPr>
              <w:pStyle w:val="yTableNAm"/>
              <w:ind w:right="240"/>
              <w:jc w:val="right"/>
            </w:pPr>
            <w:r>
              <w:t>220</w:t>
            </w:r>
          </w:p>
        </w:tc>
      </w:tr>
      <w:tr>
        <w:trPr>
          <w:cantSplit/>
        </w:trPr>
        <w:tc>
          <w:tcPr>
            <w:tcW w:w="1985" w:type="dxa"/>
            <w:noWrap/>
          </w:tcPr>
          <w:p>
            <w:pPr>
              <w:pStyle w:val="yTableNAm"/>
            </w:pPr>
            <w:r>
              <w:t>s. 49(1)(c)</w:t>
            </w:r>
          </w:p>
        </w:tc>
        <w:tc>
          <w:tcPr>
            <w:tcW w:w="3543" w:type="dxa"/>
            <w:noWrap/>
          </w:tcPr>
          <w:p>
            <w:pPr>
              <w:pStyle w:val="yTableNAm"/>
              <w:tabs>
                <w:tab w:val="right" w:leader="dot" w:pos="567"/>
                <w:tab w:val="right" w:leader="dot" w:pos="3328"/>
              </w:tabs>
            </w:pPr>
            <w:r>
              <w:t xml:space="preserve">Application for renewal of licence (other than agent’s licence or temporary licence) — for 3 years or less (each licence) </w:t>
            </w:r>
            <w:r>
              <w:tab/>
            </w:r>
          </w:p>
        </w:tc>
        <w:tc>
          <w:tcPr>
            <w:tcW w:w="1276" w:type="dxa"/>
            <w:noWrap/>
            <w:vAlign w:val="bottom"/>
          </w:tcPr>
          <w:p>
            <w:pPr>
              <w:pStyle w:val="yTableNAm"/>
              <w:ind w:right="240"/>
              <w:jc w:val="right"/>
            </w:pPr>
            <w:r>
              <w:t>243</w:t>
            </w:r>
          </w:p>
        </w:tc>
      </w:tr>
      <w:tr>
        <w:trPr>
          <w:cantSplit/>
        </w:trPr>
        <w:tc>
          <w:tcPr>
            <w:tcW w:w="1985" w:type="dxa"/>
            <w:noWrap/>
          </w:tcPr>
          <w:p>
            <w:pPr>
              <w:pStyle w:val="yTableNAm"/>
            </w:pPr>
            <w:r>
              <w:t>r. 10(b)</w:t>
            </w:r>
          </w:p>
        </w:tc>
        <w:tc>
          <w:tcPr>
            <w:tcW w:w="3543" w:type="dxa"/>
            <w:noWrap/>
          </w:tcPr>
          <w:p>
            <w:pPr>
              <w:pStyle w:val="yTableNAm"/>
              <w:tabs>
                <w:tab w:val="clear" w:pos="567"/>
                <w:tab w:val="right" w:leader="dot" w:pos="481"/>
                <w:tab w:val="right" w:leader="dot" w:pos="3328"/>
              </w:tabs>
            </w:pPr>
            <w:r>
              <w:t xml:space="preserve">Application for endorsement under s. 24 </w:t>
            </w:r>
            <w:r>
              <w:tab/>
            </w:r>
          </w:p>
        </w:tc>
        <w:tc>
          <w:tcPr>
            <w:tcW w:w="1276" w:type="dxa"/>
            <w:noWrap/>
            <w:vAlign w:val="bottom"/>
          </w:tcPr>
          <w:p>
            <w:pPr>
              <w:pStyle w:val="yTableNAm"/>
              <w:ind w:right="240"/>
              <w:jc w:val="right"/>
            </w:pPr>
            <w:r>
              <w:t>215</w:t>
            </w:r>
          </w:p>
        </w:tc>
      </w:tr>
      <w:tr>
        <w:trPr>
          <w:cantSplit/>
        </w:trPr>
        <w:tc>
          <w:tcPr>
            <w:tcW w:w="1985" w:type="dxa"/>
            <w:noWrap/>
          </w:tcPr>
          <w:p>
            <w:pPr>
              <w:pStyle w:val="yTableNAm"/>
            </w:pPr>
            <w:r>
              <w:t>r. 12</w:t>
            </w:r>
          </w:p>
        </w:tc>
        <w:tc>
          <w:tcPr>
            <w:tcW w:w="3543" w:type="dxa"/>
            <w:noWrap/>
          </w:tcPr>
          <w:p>
            <w:pPr>
              <w:pStyle w:val="yTableNAm"/>
              <w:tabs>
                <w:tab w:val="right" w:leader="dot" w:pos="567"/>
                <w:tab w:val="right" w:leader="dot" w:pos="3328"/>
              </w:tabs>
            </w:pPr>
            <w:r>
              <w:t xml:space="preserve">Application for permit under s. 25 </w:t>
            </w:r>
            <w:r>
              <w:tab/>
            </w:r>
          </w:p>
        </w:tc>
        <w:tc>
          <w:tcPr>
            <w:tcW w:w="1276" w:type="dxa"/>
            <w:noWrap/>
            <w:vAlign w:val="bottom"/>
          </w:tcPr>
          <w:p>
            <w:pPr>
              <w:pStyle w:val="yTableNAm"/>
              <w:ind w:right="240"/>
              <w:jc w:val="right"/>
            </w:pPr>
            <w:r>
              <w:t>255</w:t>
            </w:r>
          </w:p>
        </w:tc>
      </w:tr>
      <w:tr>
        <w:trPr>
          <w:cantSplit/>
        </w:trPr>
        <w:tc>
          <w:tcPr>
            <w:tcW w:w="1985" w:type="dxa"/>
            <w:noWrap/>
          </w:tcPr>
          <w:p>
            <w:pPr>
              <w:pStyle w:val="yTableNAm"/>
            </w:pPr>
            <w:r>
              <w:t>r. 13(b)</w:t>
            </w:r>
          </w:p>
        </w:tc>
        <w:tc>
          <w:tcPr>
            <w:tcW w:w="3543" w:type="dxa"/>
            <w:noWrap/>
          </w:tcPr>
          <w:p>
            <w:pPr>
              <w:pStyle w:val="yTableNAm"/>
              <w:tabs>
                <w:tab w:val="clear" w:pos="567"/>
                <w:tab w:val="right" w:leader="dot" w:pos="481"/>
                <w:tab w:val="right" w:leader="dot" w:pos="3328"/>
              </w:tabs>
            </w:pPr>
            <w:r>
              <w:t xml:space="preserve">Application for endorsement under s. 26 </w:t>
            </w:r>
            <w:r>
              <w:tab/>
            </w:r>
          </w:p>
        </w:tc>
        <w:tc>
          <w:tcPr>
            <w:tcW w:w="1276" w:type="dxa"/>
            <w:noWrap/>
            <w:vAlign w:val="bottom"/>
          </w:tcPr>
          <w:p>
            <w:pPr>
              <w:pStyle w:val="yTableNAm"/>
              <w:ind w:right="240"/>
              <w:jc w:val="right"/>
            </w:pPr>
            <w:r>
              <w:t>215</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for issue of temporary licence under s. 42A </w:t>
            </w:r>
            <w:r>
              <w:tab/>
            </w:r>
          </w:p>
        </w:tc>
        <w:tc>
          <w:tcPr>
            <w:tcW w:w="1276" w:type="dxa"/>
            <w:noWrap/>
            <w:vAlign w:val="bottom"/>
          </w:tcPr>
          <w:p>
            <w:pPr>
              <w:pStyle w:val="yTableNAm"/>
              <w:ind w:right="240"/>
              <w:jc w:val="right"/>
            </w:pPr>
            <w:r>
              <w:t>366</w:t>
            </w:r>
          </w:p>
        </w:tc>
      </w:tr>
      <w:tr>
        <w:trPr>
          <w:cantSplit/>
        </w:trPr>
        <w:tc>
          <w:tcPr>
            <w:tcW w:w="6804" w:type="dxa"/>
            <w:gridSpan w:val="3"/>
            <w:noWrap/>
          </w:tcPr>
          <w:p>
            <w:pPr>
              <w:pStyle w:val="yTableNAm"/>
              <w:rPr>
                <w:b/>
              </w:rPr>
            </w:pPr>
            <w:r>
              <w:rPr>
                <w:b/>
                <w:i/>
              </w:rPr>
              <w:t>Miscellaneous</w:t>
            </w:r>
          </w:p>
        </w:tc>
      </w:tr>
      <w:tr>
        <w:trPr>
          <w:cantSplit/>
        </w:trPr>
        <w:tc>
          <w:tcPr>
            <w:tcW w:w="1985" w:type="dxa"/>
            <w:noWrap/>
          </w:tcPr>
          <w:p>
            <w:pPr>
              <w:pStyle w:val="yTableNAm"/>
            </w:pPr>
            <w:r>
              <w:t>s. 10(2)</w:t>
            </w:r>
          </w:p>
        </w:tc>
        <w:tc>
          <w:tcPr>
            <w:tcW w:w="3543" w:type="dxa"/>
            <w:noWrap/>
          </w:tcPr>
          <w:p>
            <w:pPr>
              <w:pStyle w:val="yTableNAm"/>
              <w:tabs>
                <w:tab w:val="right" w:leader="dot" w:pos="567"/>
                <w:tab w:val="right" w:leader="dot" w:pos="3328"/>
              </w:tabs>
            </w:pPr>
            <w:r>
              <w:t xml:space="preserve">Application to inspect register </w:t>
            </w:r>
            <w:r>
              <w:tab/>
            </w:r>
          </w:p>
        </w:tc>
        <w:tc>
          <w:tcPr>
            <w:tcW w:w="1276" w:type="dxa"/>
            <w:noWrap/>
            <w:vAlign w:val="bottom"/>
          </w:tcPr>
          <w:p>
            <w:pPr>
              <w:pStyle w:val="yTableNAm"/>
              <w:ind w:right="240"/>
              <w:jc w:val="right"/>
            </w:pPr>
            <w:r>
              <w:t>50</w:t>
            </w:r>
          </w:p>
        </w:tc>
      </w:tr>
      <w:tr>
        <w:trPr>
          <w:cantSplit/>
          <w:trHeight w:val="434"/>
        </w:trPr>
        <w:tc>
          <w:tcPr>
            <w:tcW w:w="1985" w:type="dxa"/>
            <w:noWrap/>
          </w:tcPr>
          <w:p>
            <w:pPr>
              <w:pStyle w:val="yTableNAm"/>
            </w:pPr>
            <w:r>
              <w:t>s. 10(3)</w:t>
            </w:r>
          </w:p>
        </w:tc>
        <w:tc>
          <w:tcPr>
            <w:tcW w:w="3543" w:type="dxa"/>
            <w:noWrap/>
          </w:tcPr>
          <w:p>
            <w:pPr>
              <w:pStyle w:val="yTableNAm"/>
              <w:tabs>
                <w:tab w:val="right" w:leader="dot" w:pos="567"/>
                <w:tab w:val="right" w:leader="dot" w:pos="3328"/>
              </w:tabs>
            </w:pPr>
            <w:r>
              <w:t xml:space="preserve">Certified copy of register entry </w:t>
            </w:r>
            <w:r>
              <w:tab/>
            </w:r>
          </w:p>
        </w:tc>
        <w:tc>
          <w:tcPr>
            <w:tcW w:w="1276" w:type="dxa"/>
            <w:noWrap/>
            <w:vAlign w:val="bottom"/>
          </w:tcPr>
          <w:p>
            <w:pPr>
              <w:pStyle w:val="yTableNAm"/>
              <w:ind w:right="238"/>
              <w:jc w:val="right"/>
            </w:pPr>
            <w:r>
              <w:t>52</w:t>
            </w:r>
          </w:p>
        </w:tc>
      </w:tr>
      <w:tr>
        <w:trPr>
          <w:cantSplit/>
        </w:trPr>
        <w:tc>
          <w:tcPr>
            <w:tcW w:w="1985" w:type="dxa"/>
            <w:noWrap/>
          </w:tcPr>
          <w:p>
            <w:pPr>
              <w:pStyle w:val="yTableNAm"/>
            </w:pPr>
            <w:r>
              <w:t>s. 66</w:t>
            </w:r>
          </w:p>
        </w:tc>
        <w:tc>
          <w:tcPr>
            <w:tcW w:w="3543" w:type="dxa"/>
            <w:noWrap/>
          </w:tcPr>
          <w:p>
            <w:pPr>
              <w:pStyle w:val="yTableNAm"/>
              <w:tabs>
                <w:tab w:val="right" w:leader="dot" w:pos="567"/>
                <w:tab w:val="right" w:leader="dot" w:pos="3328"/>
              </w:tabs>
            </w:pPr>
            <w:r>
              <w:t xml:space="preserve">Issue of duplicate licence or duplicate identity card </w:t>
            </w:r>
            <w:r>
              <w:tab/>
            </w:r>
          </w:p>
        </w:tc>
        <w:tc>
          <w:tcPr>
            <w:tcW w:w="1276" w:type="dxa"/>
            <w:noWrap/>
            <w:vAlign w:val="bottom"/>
          </w:tcPr>
          <w:p>
            <w:pPr>
              <w:pStyle w:val="yTableNAm"/>
              <w:ind w:right="238"/>
              <w:jc w:val="right"/>
            </w:pPr>
            <w:r>
              <w:t>34</w:t>
            </w:r>
          </w:p>
        </w:tc>
      </w:tr>
      <w:tr>
        <w:trPr>
          <w:cantSplit/>
        </w:trPr>
        <w:tc>
          <w:tcPr>
            <w:tcW w:w="1985" w:type="dxa"/>
            <w:noWrap/>
          </w:tcPr>
          <w:p>
            <w:pPr>
              <w:pStyle w:val="yTableNAm"/>
            </w:pPr>
            <w:r>
              <w:t>s. 94(4)(b)</w:t>
            </w:r>
          </w:p>
        </w:tc>
        <w:tc>
          <w:tcPr>
            <w:tcW w:w="3543" w:type="dxa"/>
            <w:noWrap/>
          </w:tcPr>
          <w:p>
            <w:pPr>
              <w:pStyle w:val="yTableNAm"/>
              <w:tabs>
                <w:tab w:val="right" w:leader="dot" w:pos="567"/>
                <w:tab w:val="right" w:leader="dot" w:pos="3328"/>
              </w:tabs>
            </w:pPr>
            <w:r>
              <w:t xml:space="preserve">Additional fee if fingerprints and palm prints are required under s. 48(1)(a) or (b)(i) </w:t>
            </w:r>
            <w:r>
              <w:tab/>
            </w:r>
          </w:p>
        </w:tc>
        <w:tc>
          <w:tcPr>
            <w:tcW w:w="1276" w:type="dxa"/>
            <w:noWrap/>
            <w:vAlign w:val="bottom"/>
          </w:tcPr>
          <w:p>
            <w:pPr>
              <w:pStyle w:val="yTableNAm"/>
              <w:ind w:right="238"/>
              <w:jc w:val="right"/>
            </w:pPr>
            <w:r>
              <w:t>124</w:t>
            </w:r>
          </w:p>
        </w:tc>
      </w:tr>
    </w:tbl>
    <w:p>
      <w:pPr>
        <w:pStyle w:val="yFootnotesection"/>
        <w:keepNext/>
      </w:pPr>
      <w:r>
        <w:tab/>
        <w:t>[Schedule 4 inserted: SL 2023/74 r. 11.]</w:t>
      </w:r>
    </w:p>
    <w:p>
      <w:pPr>
        <w:pStyle w:val="yScheduleHeading"/>
      </w:pPr>
      <w:bookmarkStart w:id="284" w:name="_Toc168661169"/>
      <w:bookmarkStart w:id="285" w:name="_Toc168661317"/>
      <w:bookmarkStart w:id="286" w:name="_Toc168930519"/>
      <w:bookmarkStart w:id="287" w:name="_Toc200371749"/>
      <w:r>
        <w:rPr>
          <w:rStyle w:val="CharSchNo"/>
        </w:rPr>
        <w:t>Schedule 5</w:t>
      </w:r>
      <w:r>
        <w:t> — </w:t>
      </w:r>
      <w:r>
        <w:rPr>
          <w:rStyle w:val="CharSchText"/>
        </w:rPr>
        <w:t>Prescribed offences and modified penalties for infringement notices</w:t>
      </w:r>
      <w:bookmarkEnd w:id="284"/>
      <w:bookmarkEnd w:id="285"/>
      <w:bookmarkEnd w:id="286"/>
      <w:bookmarkEnd w:id="287"/>
    </w:p>
    <w:p>
      <w:pPr>
        <w:pStyle w:val="yShoulderClause"/>
        <w:rPr>
          <w:szCs w:val="22"/>
        </w:rPr>
      </w:pPr>
      <w:r>
        <w:rPr>
          <w:szCs w:val="22"/>
        </w:rPr>
        <w:t>[r. 58]</w:t>
      </w:r>
    </w:p>
    <w:p>
      <w:pPr>
        <w:pStyle w:val="yFootnoteheading"/>
      </w:pPr>
      <w:r>
        <w:tab/>
        <w:t>[Heading inserted: Gazette 29 Jul 2016 p. 3249.]</w:t>
      </w:r>
    </w:p>
    <w:p>
      <w:pPr>
        <w:pStyle w:val="yHeading3"/>
      </w:pPr>
      <w:bookmarkStart w:id="288" w:name="_Toc168661170"/>
      <w:bookmarkStart w:id="289" w:name="_Toc168661318"/>
      <w:bookmarkStart w:id="290" w:name="_Toc168930520"/>
      <w:bookmarkStart w:id="291" w:name="_Toc200371750"/>
      <w:r>
        <w:rPr>
          <w:rStyle w:val="CharSDivNo"/>
        </w:rPr>
        <w:t>Division 1</w:t>
      </w:r>
      <w:r>
        <w:t> — </w:t>
      </w:r>
      <w:r>
        <w:rPr>
          <w:rStyle w:val="CharSDivText"/>
        </w:rPr>
        <w:t>Offences under the Act</w:t>
      </w:r>
      <w:bookmarkEnd w:id="288"/>
      <w:bookmarkEnd w:id="289"/>
      <w:bookmarkEnd w:id="290"/>
      <w:bookmarkEnd w:id="291"/>
    </w:p>
    <w:p>
      <w:pPr>
        <w:pStyle w:val="yFootnoteheading"/>
      </w:pPr>
      <w:r>
        <w:tab/>
        <w:t>[Heading inserted: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trPr>
          <w:tblHeader/>
        </w:trPr>
        <w:tc>
          <w:tcPr>
            <w:tcW w:w="766" w:type="dxa"/>
          </w:tcPr>
          <w:p>
            <w:pPr>
              <w:pStyle w:val="yTableNAm"/>
            </w:pPr>
            <w:r>
              <w:rPr>
                <w:b/>
              </w:rPr>
              <w:t>Item</w:t>
            </w:r>
          </w:p>
        </w:tc>
        <w:tc>
          <w:tcPr>
            <w:tcW w:w="1785" w:type="dxa"/>
          </w:tcPr>
          <w:p>
            <w:pPr>
              <w:pStyle w:val="yTableNAm"/>
            </w:pPr>
            <w:r>
              <w:rPr>
                <w:b/>
              </w:rPr>
              <w:t>Section</w:t>
            </w:r>
          </w:p>
        </w:tc>
        <w:tc>
          <w:tcPr>
            <w:tcW w:w="2835" w:type="dxa"/>
          </w:tcPr>
          <w:p>
            <w:pPr>
              <w:pStyle w:val="yTableNAm"/>
            </w:pPr>
            <w:r>
              <w:rPr>
                <w:b/>
              </w:rPr>
              <w:t>Offence</w:t>
            </w:r>
          </w:p>
        </w:tc>
        <w:tc>
          <w:tcPr>
            <w:tcW w:w="1276" w:type="dxa"/>
          </w:tcPr>
          <w:p>
            <w:pPr>
              <w:pStyle w:val="yTableNAm"/>
              <w:jc w:val="center"/>
            </w:pPr>
            <w:r>
              <w:rPr>
                <w:b/>
              </w:rPr>
              <w:t>Modified penalty</w:t>
            </w:r>
            <w:r>
              <w:rPr>
                <w:b/>
              </w:rPr>
              <w:br/>
              <w:t>($)</w:t>
            </w:r>
          </w:p>
        </w:tc>
      </w:tr>
      <w:tr>
        <w:tc>
          <w:tcPr>
            <w:tcW w:w="766" w:type="dxa"/>
          </w:tcPr>
          <w:p>
            <w:pPr>
              <w:pStyle w:val="yTableNAm"/>
            </w:pPr>
            <w:r>
              <w:t>1</w:t>
            </w:r>
          </w:p>
        </w:tc>
        <w:tc>
          <w:tcPr>
            <w:tcW w:w="1785" w:type="dxa"/>
          </w:tcPr>
          <w:p>
            <w:pPr>
              <w:pStyle w:val="yTableNAm"/>
            </w:pPr>
            <w:r>
              <w:t>s. 15</w:t>
            </w:r>
          </w:p>
        </w:tc>
        <w:tc>
          <w:tcPr>
            <w:tcW w:w="2835" w:type="dxa"/>
          </w:tcPr>
          <w:p>
            <w:pPr>
              <w:pStyle w:val="yTableNAm"/>
            </w:pPr>
            <w:r>
              <w:t>Acting as a security agent without a licence</w:t>
            </w:r>
          </w:p>
        </w:tc>
        <w:tc>
          <w:tcPr>
            <w:tcW w:w="1276" w:type="dxa"/>
            <w:vAlign w:val="bottom"/>
          </w:tcPr>
          <w:p>
            <w:pPr>
              <w:pStyle w:val="yTableNAm"/>
              <w:jc w:val="center"/>
            </w:pPr>
            <w:r>
              <w:t>500</w:t>
            </w:r>
          </w:p>
        </w:tc>
      </w:tr>
      <w:tr>
        <w:tc>
          <w:tcPr>
            <w:tcW w:w="766" w:type="dxa"/>
          </w:tcPr>
          <w:p>
            <w:pPr>
              <w:pStyle w:val="yTableNAm"/>
            </w:pPr>
            <w:r>
              <w:t>2</w:t>
            </w:r>
          </w:p>
        </w:tc>
        <w:tc>
          <w:tcPr>
            <w:tcW w:w="1785" w:type="dxa"/>
          </w:tcPr>
          <w:p>
            <w:pPr>
              <w:pStyle w:val="yTableNAm"/>
            </w:pPr>
            <w:r>
              <w:t>s. 16</w:t>
            </w:r>
          </w:p>
        </w:tc>
        <w:tc>
          <w:tcPr>
            <w:tcW w:w="2835" w:type="dxa"/>
          </w:tcPr>
          <w:p>
            <w:pPr>
              <w:pStyle w:val="yTableNAm"/>
            </w:pPr>
            <w:r>
              <w:t>Acting as a security officer without a licence</w:t>
            </w:r>
          </w:p>
        </w:tc>
        <w:tc>
          <w:tcPr>
            <w:tcW w:w="1276" w:type="dxa"/>
            <w:vAlign w:val="bottom"/>
          </w:tcPr>
          <w:p>
            <w:pPr>
              <w:pStyle w:val="yTableNAm"/>
              <w:jc w:val="center"/>
            </w:pPr>
            <w:r>
              <w:t>500</w:t>
            </w:r>
          </w:p>
        </w:tc>
      </w:tr>
      <w:tr>
        <w:tc>
          <w:tcPr>
            <w:tcW w:w="766" w:type="dxa"/>
          </w:tcPr>
          <w:p>
            <w:pPr>
              <w:pStyle w:val="yTableNAm"/>
            </w:pPr>
            <w:r>
              <w:t>3</w:t>
            </w:r>
          </w:p>
        </w:tc>
        <w:tc>
          <w:tcPr>
            <w:tcW w:w="1785" w:type="dxa"/>
          </w:tcPr>
          <w:p>
            <w:pPr>
              <w:pStyle w:val="yTableNAm"/>
            </w:pPr>
            <w:r>
              <w:t>s. 17(1) or (2)</w:t>
            </w:r>
          </w:p>
        </w:tc>
        <w:tc>
          <w:tcPr>
            <w:tcW w:w="2835" w:type="dxa"/>
          </w:tcPr>
          <w:p>
            <w:pPr>
              <w:pStyle w:val="yTableNAm"/>
            </w:pPr>
            <w:r>
              <w:t>Acting as a security consultant without a licence</w:t>
            </w:r>
          </w:p>
        </w:tc>
        <w:tc>
          <w:tcPr>
            <w:tcW w:w="1276" w:type="dxa"/>
            <w:vAlign w:val="bottom"/>
          </w:tcPr>
          <w:p>
            <w:pPr>
              <w:pStyle w:val="yTableNAm"/>
              <w:jc w:val="center"/>
            </w:pPr>
            <w:r>
              <w:t>500</w:t>
            </w:r>
          </w:p>
        </w:tc>
      </w:tr>
      <w:tr>
        <w:tc>
          <w:tcPr>
            <w:tcW w:w="766" w:type="dxa"/>
          </w:tcPr>
          <w:p>
            <w:pPr>
              <w:pStyle w:val="yTableNAm"/>
            </w:pPr>
            <w:r>
              <w:t>4</w:t>
            </w:r>
          </w:p>
        </w:tc>
        <w:tc>
          <w:tcPr>
            <w:tcW w:w="1785" w:type="dxa"/>
          </w:tcPr>
          <w:p>
            <w:pPr>
              <w:pStyle w:val="yTableNAm"/>
            </w:pPr>
            <w:r>
              <w:t>s. 18(1) or (2)</w:t>
            </w:r>
          </w:p>
        </w:tc>
        <w:tc>
          <w:tcPr>
            <w:tcW w:w="2835" w:type="dxa"/>
          </w:tcPr>
          <w:p>
            <w:pPr>
              <w:pStyle w:val="yTableNAm"/>
            </w:pPr>
            <w:r>
              <w:t>Acting as a security installer without a licence</w:t>
            </w:r>
          </w:p>
        </w:tc>
        <w:tc>
          <w:tcPr>
            <w:tcW w:w="1276" w:type="dxa"/>
            <w:vAlign w:val="bottom"/>
          </w:tcPr>
          <w:p>
            <w:pPr>
              <w:pStyle w:val="yTableNAm"/>
              <w:jc w:val="center"/>
            </w:pPr>
            <w:r>
              <w:t>500</w:t>
            </w:r>
          </w:p>
        </w:tc>
      </w:tr>
      <w:tr>
        <w:tc>
          <w:tcPr>
            <w:tcW w:w="766" w:type="dxa"/>
          </w:tcPr>
          <w:p>
            <w:pPr>
              <w:pStyle w:val="yTableNAm"/>
            </w:pPr>
            <w:r>
              <w:t>5</w:t>
            </w:r>
          </w:p>
        </w:tc>
        <w:tc>
          <w:tcPr>
            <w:tcW w:w="1785" w:type="dxa"/>
          </w:tcPr>
          <w:p>
            <w:pPr>
              <w:pStyle w:val="yTableNAm"/>
            </w:pPr>
            <w:r>
              <w:t>s. 18A</w:t>
            </w:r>
          </w:p>
        </w:tc>
        <w:tc>
          <w:tcPr>
            <w:tcW w:w="2835" w:type="dxa"/>
          </w:tcPr>
          <w:p>
            <w:pPr>
              <w:pStyle w:val="yTableNAm"/>
            </w:pPr>
            <w:r>
              <w:t>Acting as a security bodyguard without a licence</w:t>
            </w:r>
          </w:p>
        </w:tc>
        <w:tc>
          <w:tcPr>
            <w:tcW w:w="1276" w:type="dxa"/>
            <w:vAlign w:val="bottom"/>
          </w:tcPr>
          <w:p>
            <w:pPr>
              <w:pStyle w:val="yTableNAm"/>
              <w:jc w:val="center"/>
            </w:pPr>
            <w:r>
              <w:t>500</w:t>
            </w:r>
          </w:p>
        </w:tc>
      </w:tr>
      <w:tr>
        <w:tc>
          <w:tcPr>
            <w:tcW w:w="766" w:type="dxa"/>
          </w:tcPr>
          <w:p>
            <w:pPr>
              <w:pStyle w:val="yTableNAm"/>
            </w:pPr>
            <w:r>
              <w:t>6</w:t>
            </w:r>
          </w:p>
        </w:tc>
        <w:tc>
          <w:tcPr>
            <w:tcW w:w="1785" w:type="dxa"/>
          </w:tcPr>
          <w:p>
            <w:pPr>
              <w:pStyle w:val="yTableNAm"/>
            </w:pPr>
            <w:r>
              <w:t>s. 19(1)</w:t>
            </w:r>
          </w:p>
        </w:tc>
        <w:tc>
          <w:tcPr>
            <w:tcW w:w="2835" w:type="dxa"/>
          </w:tcPr>
          <w:p>
            <w:pPr>
              <w:pStyle w:val="yTableNAm"/>
            </w:pPr>
            <w:r>
              <w:t>Acting as a security officer, etc., while not in the employment of a security agent</w:t>
            </w:r>
          </w:p>
        </w:tc>
        <w:tc>
          <w:tcPr>
            <w:tcW w:w="1276" w:type="dxa"/>
            <w:vAlign w:val="bottom"/>
          </w:tcPr>
          <w:p>
            <w:pPr>
              <w:pStyle w:val="yTableNAm"/>
              <w:jc w:val="center"/>
            </w:pPr>
            <w:r>
              <w:t>500</w:t>
            </w:r>
          </w:p>
        </w:tc>
      </w:tr>
      <w:tr>
        <w:tc>
          <w:tcPr>
            <w:tcW w:w="766" w:type="dxa"/>
          </w:tcPr>
          <w:p>
            <w:pPr>
              <w:pStyle w:val="yTableNAm"/>
            </w:pPr>
            <w:r>
              <w:t>7</w:t>
            </w:r>
          </w:p>
        </w:tc>
        <w:tc>
          <w:tcPr>
            <w:tcW w:w="1785" w:type="dxa"/>
          </w:tcPr>
          <w:p>
            <w:pPr>
              <w:pStyle w:val="yTableNAm"/>
            </w:pPr>
            <w:r>
              <w:t>s. 20(1) or (2)</w:t>
            </w:r>
          </w:p>
        </w:tc>
        <w:tc>
          <w:tcPr>
            <w:tcW w:w="2835" w:type="dxa"/>
          </w:tcPr>
          <w:p>
            <w:pPr>
              <w:pStyle w:val="yTableNAm"/>
            </w:pPr>
            <w:r>
              <w:t>Employing an unlicensed person as a security officer, etc.</w:t>
            </w:r>
          </w:p>
        </w:tc>
        <w:tc>
          <w:tcPr>
            <w:tcW w:w="1276" w:type="dxa"/>
            <w:vAlign w:val="bottom"/>
          </w:tcPr>
          <w:p>
            <w:pPr>
              <w:pStyle w:val="yTableNAm"/>
              <w:jc w:val="center"/>
            </w:pPr>
            <w:r>
              <w:t>500</w:t>
            </w:r>
          </w:p>
        </w:tc>
      </w:tr>
      <w:tr>
        <w:tc>
          <w:tcPr>
            <w:tcW w:w="766" w:type="dxa"/>
          </w:tcPr>
          <w:p>
            <w:pPr>
              <w:pStyle w:val="yTableNAm"/>
              <w:keepNext/>
            </w:pPr>
            <w:r>
              <w:t>8</w:t>
            </w:r>
          </w:p>
        </w:tc>
        <w:tc>
          <w:tcPr>
            <w:tcW w:w="1785" w:type="dxa"/>
          </w:tcPr>
          <w:p>
            <w:pPr>
              <w:pStyle w:val="yTableNAm"/>
              <w:keepNext/>
            </w:pPr>
            <w:r>
              <w:t>s. 21(1)</w:t>
            </w:r>
          </w:p>
        </w:tc>
        <w:tc>
          <w:tcPr>
            <w:tcW w:w="2835" w:type="dxa"/>
          </w:tcPr>
          <w:p>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vAlign w:val="bottom"/>
          </w:tcPr>
          <w:p>
            <w:pPr>
              <w:pStyle w:val="yTableNAm"/>
              <w:keepNext/>
              <w:jc w:val="center"/>
            </w:pPr>
            <w:r>
              <w:t>500</w:t>
            </w:r>
          </w:p>
        </w:tc>
      </w:tr>
      <w:tr>
        <w:tc>
          <w:tcPr>
            <w:tcW w:w="766" w:type="dxa"/>
          </w:tcPr>
          <w:p>
            <w:pPr>
              <w:pStyle w:val="yTableNAm"/>
            </w:pPr>
            <w:r>
              <w:t>9</w:t>
            </w:r>
          </w:p>
        </w:tc>
        <w:tc>
          <w:tcPr>
            <w:tcW w:w="1785" w:type="dxa"/>
          </w:tcPr>
          <w:p>
            <w:pPr>
              <w:pStyle w:val="yTableNAm"/>
            </w:pPr>
            <w:r>
              <w:t>s. 23</w:t>
            </w:r>
          </w:p>
        </w:tc>
        <w:tc>
          <w:tcPr>
            <w:tcW w:w="2835" w:type="dxa"/>
          </w:tcPr>
          <w:p>
            <w:pPr>
              <w:pStyle w:val="yTableNAm"/>
            </w:pPr>
            <w:r>
              <w:t>Possessing a firearm without an endorsement on security officer’s licence authorising possession</w:t>
            </w:r>
          </w:p>
        </w:tc>
        <w:tc>
          <w:tcPr>
            <w:tcW w:w="1276" w:type="dxa"/>
            <w:vAlign w:val="bottom"/>
          </w:tcPr>
          <w:p>
            <w:pPr>
              <w:pStyle w:val="yTableNAm"/>
              <w:jc w:val="center"/>
            </w:pPr>
            <w:r>
              <w:t>500</w:t>
            </w:r>
          </w:p>
        </w:tc>
      </w:tr>
      <w:tr>
        <w:tc>
          <w:tcPr>
            <w:tcW w:w="766" w:type="dxa"/>
          </w:tcPr>
          <w:p>
            <w:pPr>
              <w:pStyle w:val="yTableNAm"/>
            </w:pPr>
            <w:r>
              <w:t>10</w:t>
            </w:r>
          </w:p>
        </w:tc>
        <w:tc>
          <w:tcPr>
            <w:tcW w:w="1785" w:type="dxa"/>
          </w:tcPr>
          <w:p>
            <w:pPr>
              <w:pStyle w:val="yTableNAm"/>
            </w:pPr>
            <w:r>
              <w:t>s. 29</w:t>
            </w:r>
          </w:p>
        </w:tc>
        <w:tc>
          <w:tcPr>
            <w:tcW w:w="2835" w:type="dxa"/>
          </w:tcPr>
          <w:p>
            <w:pPr>
              <w:pStyle w:val="yTableNAm"/>
            </w:pPr>
            <w:r>
              <w:t>Acting as an inquiry agent without a licence</w:t>
            </w:r>
          </w:p>
        </w:tc>
        <w:tc>
          <w:tcPr>
            <w:tcW w:w="1276" w:type="dxa"/>
            <w:vAlign w:val="bottom"/>
          </w:tcPr>
          <w:p>
            <w:pPr>
              <w:pStyle w:val="yTableNAm"/>
              <w:jc w:val="center"/>
            </w:pPr>
            <w:r>
              <w:t>500</w:t>
            </w:r>
          </w:p>
        </w:tc>
      </w:tr>
      <w:tr>
        <w:tc>
          <w:tcPr>
            <w:tcW w:w="766" w:type="dxa"/>
          </w:tcPr>
          <w:p>
            <w:pPr>
              <w:pStyle w:val="yTableNAm"/>
            </w:pPr>
            <w:r>
              <w:t>11</w:t>
            </w:r>
          </w:p>
        </w:tc>
        <w:tc>
          <w:tcPr>
            <w:tcW w:w="1785" w:type="dxa"/>
          </w:tcPr>
          <w:p>
            <w:pPr>
              <w:pStyle w:val="yTableNAm"/>
            </w:pPr>
            <w:r>
              <w:t>s. 30</w:t>
            </w:r>
          </w:p>
        </w:tc>
        <w:tc>
          <w:tcPr>
            <w:tcW w:w="2835" w:type="dxa"/>
          </w:tcPr>
          <w:p>
            <w:pPr>
              <w:pStyle w:val="yTableNAm"/>
            </w:pPr>
            <w:r>
              <w:t>Acting as an investigator without a licence</w:t>
            </w:r>
          </w:p>
        </w:tc>
        <w:tc>
          <w:tcPr>
            <w:tcW w:w="1276" w:type="dxa"/>
            <w:vAlign w:val="bottom"/>
          </w:tcPr>
          <w:p>
            <w:pPr>
              <w:pStyle w:val="yTableNAm"/>
              <w:jc w:val="center"/>
            </w:pPr>
            <w:r>
              <w:t>500</w:t>
            </w:r>
          </w:p>
        </w:tc>
      </w:tr>
      <w:tr>
        <w:tc>
          <w:tcPr>
            <w:tcW w:w="766" w:type="dxa"/>
          </w:tcPr>
          <w:p>
            <w:pPr>
              <w:pStyle w:val="yTableNAm"/>
            </w:pPr>
            <w:r>
              <w:t>12</w:t>
            </w:r>
          </w:p>
        </w:tc>
        <w:tc>
          <w:tcPr>
            <w:tcW w:w="1785" w:type="dxa"/>
          </w:tcPr>
          <w:p>
            <w:pPr>
              <w:pStyle w:val="yTableNAm"/>
            </w:pPr>
            <w:r>
              <w:t>s. 31(1)</w:t>
            </w:r>
          </w:p>
        </w:tc>
        <w:tc>
          <w:tcPr>
            <w:tcW w:w="2835" w:type="dxa"/>
          </w:tcPr>
          <w:p>
            <w:pPr>
              <w:pStyle w:val="yTableNAm"/>
            </w:pPr>
            <w:r>
              <w:t>Acting as a licensed investigator while not in the employment of an inquiry agent</w:t>
            </w:r>
          </w:p>
        </w:tc>
        <w:tc>
          <w:tcPr>
            <w:tcW w:w="1276" w:type="dxa"/>
            <w:vAlign w:val="bottom"/>
          </w:tcPr>
          <w:p>
            <w:pPr>
              <w:pStyle w:val="yTableNAm"/>
              <w:jc w:val="center"/>
            </w:pPr>
            <w:r>
              <w:t>500</w:t>
            </w:r>
          </w:p>
        </w:tc>
      </w:tr>
      <w:tr>
        <w:tc>
          <w:tcPr>
            <w:tcW w:w="766" w:type="dxa"/>
          </w:tcPr>
          <w:p>
            <w:pPr>
              <w:pStyle w:val="yTableNAm"/>
            </w:pPr>
            <w:r>
              <w:t>13</w:t>
            </w:r>
          </w:p>
        </w:tc>
        <w:tc>
          <w:tcPr>
            <w:tcW w:w="1785" w:type="dxa"/>
          </w:tcPr>
          <w:p>
            <w:pPr>
              <w:pStyle w:val="yTableNAm"/>
            </w:pPr>
            <w:r>
              <w:t>s. 32</w:t>
            </w:r>
          </w:p>
        </w:tc>
        <w:tc>
          <w:tcPr>
            <w:tcW w:w="2835" w:type="dxa"/>
          </w:tcPr>
          <w:p>
            <w:pPr>
              <w:pStyle w:val="yTableNAm"/>
            </w:pPr>
            <w:r>
              <w:t>Employing a person as an investigator who does not hold an investigator’s licence</w:t>
            </w:r>
          </w:p>
        </w:tc>
        <w:tc>
          <w:tcPr>
            <w:tcW w:w="1276" w:type="dxa"/>
            <w:vAlign w:val="bottom"/>
          </w:tcPr>
          <w:p>
            <w:pPr>
              <w:pStyle w:val="yTableNAm"/>
              <w:jc w:val="center"/>
            </w:pPr>
            <w:r>
              <w:t>500</w:t>
            </w:r>
          </w:p>
        </w:tc>
      </w:tr>
      <w:tr>
        <w:tc>
          <w:tcPr>
            <w:tcW w:w="766" w:type="dxa"/>
          </w:tcPr>
          <w:p>
            <w:pPr>
              <w:pStyle w:val="yTableNAm"/>
            </w:pPr>
            <w:r>
              <w:t>14</w:t>
            </w:r>
          </w:p>
        </w:tc>
        <w:tc>
          <w:tcPr>
            <w:tcW w:w="1785" w:type="dxa"/>
          </w:tcPr>
          <w:p>
            <w:pPr>
              <w:pStyle w:val="yTableNAm"/>
            </w:pPr>
            <w:r>
              <w:t>s. 33(1)</w:t>
            </w:r>
          </w:p>
        </w:tc>
        <w:tc>
          <w:tcPr>
            <w:tcW w:w="2835" w:type="dxa"/>
          </w:tcPr>
          <w:p>
            <w:pPr>
              <w:pStyle w:val="yTableNAm"/>
            </w:pPr>
            <w:r>
              <w:t>Advertising or holding out to be willing to supply the services of an investigator while not being a holder of an inquiry agent’s licence</w:t>
            </w:r>
          </w:p>
        </w:tc>
        <w:tc>
          <w:tcPr>
            <w:tcW w:w="1276" w:type="dxa"/>
            <w:vAlign w:val="bottom"/>
          </w:tcPr>
          <w:p>
            <w:pPr>
              <w:pStyle w:val="yTableNAm"/>
              <w:jc w:val="center"/>
            </w:pPr>
            <w:r>
              <w:t>500</w:t>
            </w:r>
          </w:p>
        </w:tc>
      </w:tr>
      <w:tr>
        <w:tc>
          <w:tcPr>
            <w:tcW w:w="766" w:type="dxa"/>
          </w:tcPr>
          <w:p>
            <w:pPr>
              <w:pStyle w:val="yTableNAm"/>
            </w:pPr>
            <w:r>
              <w:t>15</w:t>
            </w:r>
          </w:p>
        </w:tc>
        <w:tc>
          <w:tcPr>
            <w:tcW w:w="1785" w:type="dxa"/>
          </w:tcPr>
          <w:p>
            <w:pPr>
              <w:pStyle w:val="yTableNAm"/>
            </w:pPr>
            <w:r>
              <w:t>s. 36</w:t>
            </w:r>
          </w:p>
        </w:tc>
        <w:tc>
          <w:tcPr>
            <w:tcW w:w="2835" w:type="dxa"/>
          </w:tcPr>
          <w:p>
            <w:pPr>
              <w:pStyle w:val="yTableNAm"/>
            </w:pPr>
            <w:r>
              <w:t>Acting as a crowd control agent without a licence</w:t>
            </w:r>
          </w:p>
        </w:tc>
        <w:tc>
          <w:tcPr>
            <w:tcW w:w="1276" w:type="dxa"/>
            <w:vAlign w:val="bottom"/>
          </w:tcPr>
          <w:p>
            <w:pPr>
              <w:pStyle w:val="yTableNAm"/>
              <w:jc w:val="center"/>
            </w:pPr>
            <w:r>
              <w:t>500</w:t>
            </w:r>
          </w:p>
        </w:tc>
      </w:tr>
      <w:tr>
        <w:tc>
          <w:tcPr>
            <w:tcW w:w="766" w:type="dxa"/>
          </w:tcPr>
          <w:p>
            <w:pPr>
              <w:pStyle w:val="yTableNAm"/>
            </w:pPr>
            <w:r>
              <w:t>16</w:t>
            </w:r>
          </w:p>
        </w:tc>
        <w:tc>
          <w:tcPr>
            <w:tcW w:w="1785" w:type="dxa"/>
          </w:tcPr>
          <w:p>
            <w:pPr>
              <w:pStyle w:val="yTableNAm"/>
            </w:pPr>
            <w:r>
              <w:t>s. 37</w:t>
            </w:r>
          </w:p>
        </w:tc>
        <w:tc>
          <w:tcPr>
            <w:tcW w:w="2835" w:type="dxa"/>
          </w:tcPr>
          <w:p>
            <w:pPr>
              <w:pStyle w:val="yTableNAm"/>
            </w:pPr>
            <w:r>
              <w:t>Acting as a crowd controller without a licence</w:t>
            </w:r>
          </w:p>
        </w:tc>
        <w:tc>
          <w:tcPr>
            <w:tcW w:w="1276" w:type="dxa"/>
            <w:vAlign w:val="bottom"/>
          </w:tcPr>
          <w:p>
            <w:pPr>
              <w:pStyle w:val="yTableNAm"/>
              <w:jc w:val="center"/>
            </w:pPr>
            <w:r>
              <w:t>500</w:t>
            </w:r>
          </w:p>
        </w:tc>
      </w:tr>
      <w:tr>
        <w:tc>
          <w:tcPr>
            <w:tcW w:w="766" w:type="dxa"/>
          </w:tcPr>
          <w:p>
            <w:pPr>
              <w:pStyle w:val="yTableNAm"/>
            </w:pPr>
            <w:r>
              <w:t>17</w:t>
            </w:r>
          </w:p>
        </w:tc>
        <w:tc>
          <w:tcPr>
            <w:tcW w:w="1785" w:type="dxa"/>
          </w:tcPr>
          <w:p>
            <w:pPr>
              <w:pStyle w:val="yTableNAm"/>
            </w:pPr>
            <w:r>
              <w:t>s. 38(1)</w:t>
            </w:r>
          </w:p>
        </w:tc>
        <w:tc>
          <w:tcPr>
            <w:tcW w:w="2835" w:type="dxa"/>
          </w:tcPr>
          <w:p>
            <w:pPr>
              <w:pStyle w:val="yTableNAm"/>
            </w:pPr>
            <w:r>
              <w:t>Acting as a crowd controller while not in the employment of a crowd control agent</w:t>
            </w:r>
          </w:p>
        </w:tc>
        <w:tc>
          <w:tcPr>
            <w:tcW w:w="1276" w:type="dxa"/>
            <w:vAlign w:val="bottom"/>
          </w:tcPr>
          <w:p>
            <w:pPr>
              <w:pStyle w:val="yTableNAm"/>
              <w:jc w:val="center"/>
            </w:pPr>
            <w:r>
              <w:t>500</w:t>
            </w:r>
          </w:p>
        </w:tc>
      </w:tr>
      <w:tr>
        <w:tc>
          <w:tcPr>
            <w:tcW w:w="766" w:type="dxa"/>
          </w:tcPr>
          <w:p>
            <w:pPr>
              <w:pStyle w:val="yTableNAm"/>
            </w:pPr>
            <w:r>
              <w:t>18</w:t>
            </w:r>
          </w:p>
        </w:tc>
        <w:tc>
          <w:tcPr>
            <w:tcW w:w="1785" w:type="dxa"/>
          </w:tcPr>
          <w:p>
            <w:pPr>
              <w:pStyle w:val="yTableNAm"/>
            </w:pPr>
            <w:r>
              <w:t>s. 39</w:t>
            </w:r>
          </w:p>
        </w:tc>
        <w:tc>
          <w:tcPr>
            <w:tcW w:w="2835" w:type="dxa"/>
          </w:tcPr>
          <w:p>
            <w:pPr>
              <w:pStyle w:val="yTableNAm"/>
            </w:pPr>
            <w:r>
              <w:t>Employing a person as a crowd controller who does not hold a crowd controller’s licence</w:t>
            </w:r>
          </w:p>
        </w:tc>
        <w:tc>
          <w:tcPr>
            <w:tcW w:w="1276" w:type="dxa"/>
            <w:vAlign w:val="bottom"/>
          </w:tcPr>
          <w:p>
            <w:pPr>
              <w:pStyle w:val="yTableNAm"/>
              <w:jc w:val="center"/>
            </w:pPr>
            <w:r>
              <w:t>500</w:t>
            </w:r>
          </w:p>
        </w:tc>
      </w:tr>
      <w:tr>
        <w:tc>
          <w:tcPr>
            <w:tcW w:w="766" w:type="dxa"/>
          </w:tcPr>
          <w:p>
            <w:pPr>
              <w:pStyle w:val="yTableNAm"/>
            </w:pPr>
            <w:r>
              <w:t>19</w:t>
            </w:r>
          </w:p>
        </w:tc>
        <w:tc>
          <w:tcPr>
            <w:tcW w:w="1785" w:type="dxa"/>
          </w:tcPr>
          <w:p>
            <w:pPr>
              <w:pStyle w:val="yTableNAm"/>
            </w:pPr>
            <w:r>
              <w:t>s. 40(1)</w:t>
            </w:r>
          </w:p>
        </w:tc>
        <w:tc>
          <w:tcPr>
            <w:tcW w:w="2835" w:type="dxa"/>
          </w:tcPr>
          <w:p>
            <w:pPr>
              <w:pStyle w:val="yTableNAm"/>
            </w:pPr>
            <w:r>
              <w:t>Advertising or holding out to be willing to supply the services of a crowd controller while not being a holder of a crowd control agent’s licence</w:t>
            </w:r>
          </w:p>
        </w:tc>
        <w:tc>
          <w:tcPr>
            <w:tcW w:w="1276" w:type="dxa"/>
            <w:vAlign w:val="bottom"/>
          </w:tcPr>
          <w:p>
            <w:pPr>
              <w:pStyle w:val="yTableNAm"/>
              <w:jc w:val="center"/>
            </w:pPr>
            <w:r>
              <w:t>500</w:t>
            </w:r>
          </w:p>
        </w:tc>
      </w:tr>
      <w:tr>
        <w:tc>
          <w:tcPr>
            <w:tcW w:w="766" w:type="dxa"/>
          </w:tcPr>
          <w:p>
            <w:pPr>
              <w:pStyle w:val="yTableNAm"/>
            </w:pPr>
            <w:r>
              <w:t>20</w:t>
            </w:r>
          </w:p>
        </w:tc>
        <w:tc>
          <w:tcPr>
            <w:tcW w:w="1785" w:type="dxa"/>
          </w:tcPr>
          <w:p>
            <w:pPr>
              <w:pStyle w:val="yTableNAm"/>
            </w:pPr>
            <w:r>
              <w:t>s. 41(1)</w:t>
            </w:r>
          </w:p>
        </w:tc>
        <w:tc>
          <w:tcPr>
            <w:tcW w:w="2835" w:type="dxa"/>
          </w:tcPr>
          <w:p>
            <w:pPr>
              <w:pStyle w:val="yTableNAm"/>
            </w:pPr>
            <w:r>
              <w:t>Acting as an armed security bodyguard while not authorised to do so</w:t>
            </w:r>
          </w:p>
        </w:tc>
        <w:tc>
          <w:tcPr>
            <w:tcW w:w="1276" w:type="dxa"/>
            <w:vAlign w:val="bottom"/>
          </w:tcPr>
          <w:p>
            <w:pPr>
              <w:pStyle w:val="yTableNAm"/>
              <w:jc w:val="center"/>
            </w:pPr>
            <w:r>
              <w:t>500</w:t>
            </w:r>
          </w:p>
        </w:tc>
      </w:tr>
      <w:tr>
        <w:tc>
          <w:tcPr>
            <w:tcW w:w="766" w:type="dxa"/>
          </w:tcPr>
          <w:p>
            <w:pPr>
              <w:pStyle w:val="yTableNAm"/>
            </w:pPr>
            <w:r>
              <w:t>21</w:t>
            </w:r>
          </w:p>
        </w:tc>
        <w:tc>
          <w:tcPr>
            <w:tcW w:w="1785" w:type="dxa"/>
          </w:tcPr>
          <w:p>
            <w:pPr>
              <w:pStyle w:val="yTableNAm"/>
            </w:pPr>
            <w:r>
              <w:t>s. 64</w:t>
            </w:r>
          </w:p>
        </w:tc>
        <w:tc>
          <w:tcPr>
            <w:tcW w:w="2835" w:type="dxa"/>
          </w:tcPr>
          <w:p>
            <w:pPr>
              <w:pStyle w:val="yTableNAm"/>
            </w:pPr>
            <w:r>
              <w:t>Failing to comply with a condition or restriction attached to a licence</w:t>
            </w:r>
          </w:p>
        </w:tc>
        <w:tc>
          <w:tcPr>
            <w:tcW w:w="1276" w:type="dxa"/>
            <w:vAlign w:val="bottom"/>
          </w:tcPr>
          <w:p>
            <w:pPr>
              <w:pStyle w:val="yTableNAm"/>
              <w:jc w:val="center"/>
            </w:pPr>
            <w:r>
              <w:t>500</w:t>
            </w:r>
          </w:p>
        </w:tc>
      </w:tr>
      <w:tr>
        <w:tc>
          <w:tcPr>
            <w:tcW w:w="766" w:type="dxa"/>
          </w:tcPr>
          <w:p>
            <w:pPr>
              <w:pStyle w:val="yTableNAm"/>
            </w:pPr>
            <w:r>
              <w:t>22</w:t>
            </w:r>
          </w:p>
        </w:tc>
        <w:tc>
          <w:tcPr>
            <w:tcW w:w="1785" w:type="dxa"/>
          </w:tcPr>
          <w:p>
            <w:pPr>
              <w:pStyle w:val="yTableNAm"/>
            </w:pPr>
            <w:r>
              <w:t>s. 67B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23</w:t>
            </w:r>
          </w:p>
        </w:tc>
        <w:tc>
          <w:tcPr>
            <w:tcW w:w="1785" w:type="dxa"/>
          </w:tcPr>
          <w:p>
            <w:pPr>
              <w:pStyle w:val="yTableNAm"/>
            </w:pPr>
            <w:r>
              <w:t>s. 68(2b)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24</w:t>
            </w:r>
          </w:p>
        </w:tc>
        <w:tc>
          <w:tcPr>
            <w:tcW w:w="1785" w:type="dxa"/>
          </w:tcPr>
          <w:p>
            <w:pPr>
              <w:pStyle w:val="yTableNAm"/>
            </w:pPr>
            <w:r>
              <w:t>s. 75</w:t>
            </w:r>
          </w:p>
        </w:tc>
        <w:tc>
          <w:tcPr>
            <w:tcW w:w="2835" w:type="dxa"/>
          </w:tcPr>
          <w:p>
            <w:pPr>
              <w:pStyle w:val="yTableNAm"/>
            </w:pPr>
            <w:r>
              <w:t>Failing to produce licence for inspection</w:t>
            </w:r>
          </w:p>
        </w:tc>
        <w:tc>
          <w:tcPr>
            <w:tcW w:w="1276" w:type="dxa"/>
            <w:vAlign w:val="bottom"/>
          </w:tcPr>
          <w:p>
            <w:pPr>
              <w:pStyle w:val="yTableNAm"/>
              <w:jc w:val="center"/>
            </w:pPr>
            <w:r>
              <w:t>400</w:t>
            </w:r>
          </w:p>
        </w:tc>
      </w:tr>
      <w:tr>
        <w:tc>
          <w:tcPr>
            <w:tcW w:w="766" w:type="dxa"/>
          </w:tcPr>
          <w:p>
            <w:pPr>
              <w:pStyle w:val="yTableNAm"/>
            </w:pPr>
            <w:r>
              <w:t>25</w:t>
            </w:r>
          </w:p>
        </w:tc>
        <w:tc>
          <w:tcPr>
            <w:tcW w:w="1785" w:type="dxa"/>
          </w:tcPr>
          <w:p>
            <w:pPr>
              <w:pStyle w:val="yTableNAm"/>
            </w:pPr>
            <w:r>
              <w:t>s. 76</w:t>
            </w:r>
          </w:p>
        </w:tc>
        <w:tc>
          <w:tcPr>
            <w:tcW w:w="2835" w:type="dxa"/>
          </w:tcPr>
          <w:p>
            <w:pPr>
              <w:pStyle w:val="yTableNAm"/>
            </w:pPr>
            <w:r>
              <w:t>Failing to return licence and identity card when licence has expired, terminated or been surrendered</w:t>
            </w:r>
          </w:p>
        </w:tc>
        <w:tc>
          <w:tcPr>
            <w:tcW w:w="1276" w:type="dxa"/>
            <w:vAlign w:val="bottom"/>
          </w:tcPr>
          <w:p>
            <w:pPr>
              <w:pStyle w:val="yTableNAm"/>
              <w:jc w:val="center"/>
            </w:pPr>
            <w:r>
              <w:t>400</w:t>
            </w:r>
          </w:p>
        </w:tc>
      </w:tr>
      <w:tr>
        <w:tc>
          <w:tcPr>
            <w:tcW w:w="766" w:type="dxa"/>
          </w:tcPr>
          <w:p>
            <w:pPr>
              <w:pStyle w:val="yTableNAm"/>
            </w:pPr>
            <w:r>
              <w:t>26</w:t>
            </w:r>
          </w:p>
        </w:tc>
        <w:tc>
          <w:tcPr>
            <w:tcW w:w="1785" w:type="dxa"/>
          </w:tcPr>
          <w:p>
            <w:pPr>
              <w:pStyle w:val="yTableNAm"/>
            </w:pPr>
            <w:r>
              <w:t>s. 77(1)</w:t>
            </w:r>
          </w:p>
        </w:tc>
        <w:tc>
          <w:tcPr>
            <w:tcW w:w="2835" w:type="dxa"/>
          </w:tcPr>
          <w:p>
            <w:pPr>
              <w:pStyle w:val="yTableNAm"/>
            </w:pPr>
            <w:r>
              <w:t>Failing to give notice of change of business address</w:t>
            </w:r>
          </w:p>
        </w:tc>
        <w:tc>
          <w:tcPr>
            <w:tcW w:w="1276" w:type="dxa"/>
            <w:vAlign w:val="bottom"/>
          </w:tcPr>
          <w:p>
            <w:pPr>
              <w:pStyle w:val="yTableNAm"/>
              <w:jc w:val="center"/>
            </w:pPr>
            <w:r>
              <w:t>400</w:t>
            </w:r>
          </w:p>
        </w:tc>
      </w:tr>
      <w:tr>
        <w:tc>
          <w:tcPr>
            <w:tcW w:w="766" w:type="dxa"/>
          </w:tcPr>
          <w:p>
            <w:pPr>
              <w:pStyle w:val="yTableNAm"/>
            </w:pPr>
            <w:r>
              <w:t>27</w:t>
            </w:r>
          </w:p>
        </w:tc>
        <w:tc>
          <w:tcPr>
            <w:tcW w:w="1785" w:type="dxa"/>
          </w:tcPr>
          <w:p>
            <w:pPr>
              <w:pStyle w:val="yTableNAm"/>
            </w:pPr>
            <w:r>
              <w:t>s. 77(2)</w:t>
            </w:r>
          </w:p>
        </w:tc>
        <w:tc>
          <w:tcPr>
            <w:tcW w:w="2835" w:type="dxa"/>
          </w:tcPr>
          <w:p>
            <w:pPr>
              <w:pStyle w:val="yTableNAm"/>
            </w:pPr>
            <w:r>
              <w:t>Failing to give notice of change of residential address</w:t>
            </w:r>
          </w:p>
        </w:tc>
        <w:tc>
          <w:tcPr>
            <w:tcW w:w="1276" w:type="dxa"/>
            <w:vAlign w:val="bottom"/>
          </w:tcPr>
          <w:p>
            <w:pPr>
              <w:pStyle w:val="yTableNAm"/>
              <w:jc w:val="center"/>
            </w:pPr>
            <w:r>
              <w:t>400</w:t>
            </w:r>
          </w:p>
        </w:tc>
      </w:tr>
      <w:tr>
        <w:tc>
          <w:tcPr>
            <w:tcW w:w="766" w:type="dxa"/>
          </w:tcPr>
          <w:p>
            <w:pPr>
              <w:pStyle w:val="yTableNAm"/>
            </w:pPr>
            <w:r>
              <w:t>28</w:t>
            </w:r>
          </w:p>
        </w:tc>
        <w:tc>
          <w:tcPr>
            <w:tcW w:w="1785" w:type="dxa"/>
          </w:tcPr>
          <w:p>
            <w:pPr>
              <w:pStyle w:val="yTableNAm"/>
            </w:pPr>
            <w:r>
              <w:t>s. 77A(1)</w:t>
            </w:r>
          </w:p>
        </w:tc>
        <w:tc>
          <w:tcPr>
            <w:tcW w:w="2835" w:type="dxa"/>
          </w:tcPr>
          <w:p>
            <w:pPr>
              <w:pStyle w:val="yTableNAm"/>
            </w:pPr>
            <w:r>
              <w:t>Failing to give notice of being charged or found guilty of disqualifying offence</w:t>
            </w:r>
          </w:p>
        </w:tc>
        <w:tc>
          <w:tcPr>
            <w:tcW w:w="1276" w:type="dxa"/>
            <w:vAlign w:val="bottom"/>
          </w:tcPr>
          <w:p>
            <w:pPr>
              <w:pStyle w:val="yTableNAm"/>
              <w:jc w:val="center"/>
            </w:pPr>
            <w:r>
              <w:t>400</w:t>
            </w:r>
          </w:p>
        </w:tc>
      </w:tr>
      <w:tr>
        <w:tc>
          <w:tcPr>
            <w:tcW w:w="766" w:type="dxa"/>
          </w:tcPr>
          <w:p>
            <w:pPr>
              <w:pStyle w:val="yTableNAm"/>
            </w:pPr>
            <w:r>
              <w:t>29</w:t>
            </w:r>
          </w:p>
        </w:tc>
        <w:tc>
          <w:tcPr>
            <w:tcW w:w="1785" w:type="dxa"/>
          </w:tcPr>
          <w:p>
            <w:pPr>
              <w:pStyle w:val="yTableNAm"/>
            </w:pPr>
            <w:r>
              <w:t>s. 78(1)(a)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30</w:t>
            </w:r>
          </w:p>
        </w:tc>
        <w:tc>
          <w:tcPr>
            <w:tcW w:w="1785" w:type="dxa"/>
          </w:tcPr>
          <w:p>
            <w:pPr>
              <w:pStyle w:val="yTableNAm"/>
            </w:pPr>
            <w:r>
              <w:t>s. 78(2)</w:t>
            </w:r>
          </w:p>
        </w:tc>
        <w:tc>
          <w:tcPr>
            <w:tcW w:w="2835" w:type="dxa"/>
          </w:tcPr>
          <w:p>
            <w:pPr>
              <w:pStyle w:val="yTableNAm"/>
            </w:pPr>
            <w:r>
              <w:t>Failing to notify licensing officer of address where records are kept</w:t>
            </w:r>
          </w:p>
        </w:tc>
        <w:tc>
          <w:tcPr>
            <w:tcW w:w="1276" w:type="dxa"/>
            <w:vAlign w:val="bottom"/>
          </w:tcPr>
          <w:p>
            <w:pPr>
              <w:pStyle w:val="yTableNAm"/>
              <w:jc w:val="center"/>
            </w:pPr>
            <w:r>
              <w:t>400</w:t>
            </w:r>
          </w:p>
        </w:tc>
      </w:tr>
      <w:tr>
        <w:tc>
          <w:tcPr>
            <w:tcW w:w="766" w:type="dxa"/>
          </w:tcPr>
          <w:p>
            <w:pPr>
              <w:pStyle w:val="yTableNAm"/>
            </w:pPr>
            <w:r>
              <w:t>31</w:t>
            </w:r>
          </w:p>
        </w:tc>
        <w:tc>
          <w:tcPr>
            <w:tcW w:w="1785" w:type="dxa"/>
          </w:tcPr>
          <w:p>
            <w:pPr>
              <w:pStyle w:val="yTableNAm"/>
            </w:pPr>
            <w:r>
              <w:t>s. 79</w:t>
            </w:r>
          </w:p>
        </w:tc>
        <w:tc>
          <w:tcPr>
            <w:tcW w:w="2835" w:type="dxa"/>
          </w:tcPr>
          <w:p>
            <w:pPr>
              <w:pStyle w:val="yTableNAm"/>
            </w:pPr>
            <w:r>
              <w:t>Disposing of a licence or identity card to another person or permitting another person to use licence or identity card</w:t>
            </w:r>
          </w:p>
        </w:tc>
        <w:tc>
          <w:tcPr>
            <w:tcW w:w="1276" w:type="dxa"/>
            <w:vAlign w:val="bottom"/>
          </w:tcPr>
          <w:p>
            <w:pPr>
              <w:pStyle w:val="yTableNAm"/>
              <w:jc w:val="center"/>
            </w:pPr>
            <w:r>
              <w:t>500</w:t>
            </w:r>
          </w:p>
        </w:tc>
      </w:tr>
      <w:tr>
        <w:tc>
          <w:tcPr>
            <w:tcW w:w="766" w:type="dxa"/>
          </w:tcPr>
          <w:p>
            <w:pPr>
              <w:pStyle w:val="yTableNAm"/>
            </w:pPr>
            <w:r>
              <w:t>32</w:t>
            </w:r>
          </w:p>
        </w:tc>
        <w:tc>
          <w:tcPr>
            <w:tcW w:w="1785" w:type="dxa"/>
          </w:tcPr>
          <w:p>
            <w:pPr>
              <w:pStyle w:val="yTableNAm"/>
            </w:pPr>
            <w:r>
              <w:t>s. 79A(2)</w:t>
            </w:r>
          </w:p>
        </w:tc>
        <w:tc>
          <w:tcPr>
            <w:tcW w:w="2835" w:type="dxa"/>
          </w:tcPr>
          <w:p>
            <w:pPr>
              <w:pStyle w:val="yTableNAm"/>
            </w:pPr>
            <w:r>
              <w:t>Employing an unlicensed person or a person whose licence has been refused, suspended or revoked</w:t>
            </w:r>
          </w:p>
        </w:tc>
        <w:tc>
          <w:tcPr>
            <w:tcW w:w="1276" w:type="dxa"/>
            <w:vAlign w:val="bottom"/>
          </w:tcPr>
          <w:p>
            <w:pPr>
              <w:pStyle w:val="yTableNAm"/>
              <w:jc w:val="center"/>
            </w:pPr>
            <w:r>
              <w:t>500</w:t>
            </w:r>
          </w:p>
        </w:tc>
      </w:tr>
      <w:tr>
        <w:tc>
          <w:tcPr>
            <w:tcW w:w="766" w:type="dxa"/>
          </w:tcPr>
          <w:p>
            <w:pPr>
              <w:pStyle w:val="yTableNAm"/>
            </w:pPr>
            <w:r>
              <w:t>33</w:t>
            </w:r>
          </w:p>
        </w:tc>
        <w:tc>
          <w:tcPr>
            <w:tcW w:w="1785" w:type="dxa"/>
          </w:tcPr>
          <w:p>
            <w:pPr>
              <w:pStyle w:val="yTableNAm"/>
            </w:pPr>
            <w:r>
              <w:t>s. 84(a)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34</w:t>
            </w:r>
          </w:p>
        </w:tc>
        <w:tc>
          <w:tcPr>
            <w:tcW w:w="1785" w:type="dxa"/>
          </w:tcPr>
          <w:p>
            <w:pPr>
              <w:pStyle w:val="yTableNAm"/>
            </w:pPr>
            <w:r>
              <w:t>s. 85(4)</w:t>
            </w:r>
          </w:p>
        </w:tc>
        <w:tc>
          <w:tcPr>
            <w:tcW w:w="2835" w:type="dxa"/>
          </w:tcPr>
          <w:p>
            <w:pPr>
              <w:pStyle w:val="yTableNAm"/>
            </w:pPr>
            <w:r>
              <w:t>Refusing or failing to comply with a requirement or providing false or misleading information</w:t>
            </w:r>
          </w:p>
        </w:tc>
        <w:tc>
          <w:tcPr>
            <w:tcW w:w="1276" w:type="dxa"/>
            <w:vAlign w:val="bottom"/>
          </w:tcPr>
          <w:p>
            <w:pPr>
              <w:pStyle w:val="yTableNAm"/>
              <w:jc w:val="center"/>
            </w:pPr>
            <w:r>
              <w:t>400</w:t>
            </w:r>
          </w:p>
        </w:tc>
      </w:tr>
      <w:tr>
        <w:tc>
          <w:tcPr>
            <w:tcW w:w="766" w:type="dxa"/>
          </w:tcPr>
          <w:p>
            <w:pPr>
              <w:pStyle w:val="yTableNAm"/>
            </w:pPr>
            <w:r>
              <w:t>35</w:t>
            </w:r>
          </w:p>
        </w:tc>
        <w:tc>
          <w:tcPr>
            <w:tcW w:w="1785" w:type="dxa"/>
          </w:tcPr>
          <w:p>
            <w:pPr>
              <w:pStyle w:val="yTableNAm"/>
            </w:pPr>
            <w:r>
              <w:t>s. 93A(2)</w:t>
            </w:r>
          </w:p>
        </w:tc>
        <w:tc>
          <w:tcPr>
            <w:tcW w:w="2835" w:type="dxa"/>
          </w:tcPr>
          <w:p>
            <w:pPr>
              <w:pStyle w:val="yTableNAm"/>
            </w:pPr>
            <w:r>
              <w:t>Refusing or failing to comply with requirement to provide name and address of agent</w:t>
            </w:r>
          </w:p>
        </w:tc>
        <w:tc>
          <w:tcPr>
            <w:tcW w:w="1276" w:type="dxa"/>
            <w:vAlign w:val="bottom"/>
          </w:tcPr>
          <w:p>
            <w:pPr>
              <w:pStyle w:val="yTableNAm"/>
              <w:jc w:val="center"/>
            </w:pPr>
            <w:r>
              <w:t>400</w:t>
            </w:r>
          </w:p>
        </w:tc>
      </w:tr>
    </w:tbl>
    <w:p>
      <w:pPr>
        <w:pStyle w:val="yFootnotesection"/>
      </w:pPr>
      <w:r>
        <w:tab/>
        <w:t>[Division 1 inserted: Gazette 29 Jul 2016 p. 3249-53.]</w:t>
      </w:r>
    </w:p>
    <w:p>
      <w:pPr>
        <w:pStyle w:val="yHeading3"/>
      </w:pPr>
      <w:bookmarkStart w:id="292" w:name="_Toc168661171"/>
      <w:bookmarkStart w:id="293" w:name="_Toc168661319"/>
      <w:bookmarkStart w:id="294" w:name="_Toc168930521"/>
      <w:bookmarkStart w:id="295" w:name="_Toc200371751"/>
      <w:r>
        <w:rPr>
          <w:rStyle w:val="CharSDivNo"/>
        </w:rPr>
        <w:t>Division 2</w:t>
      </w:r>
      <w:r>
        <w:rPr>
          <w:b w:val="0"/>
        </w:rPr>
        <w:t> — </w:t>
      </w:r>
      <w:r>
        <w:rPr>
          <w:rStyle w:val="CharSDivText"/>
        </w:rPr>
        <w:t>Offence under these regulations</w:t>
      </w:r>
      <w:bookmarkEnd w:id="292"/>
      <w:bookmarkEnd w:id="293"/>
      <w:bookmarkEnd w:id="294"/>
      <w:bookmarkEnd w:id="295"/>
    </w:p>
    <w:p>
      <w:pPr>
        <w:pStyle w:val="yFootnoteheading"/>
      </w:pPr>
      <w:r>
        <w:tab/>
        <w:t>[Heading inserted: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tc>
          <w:tcPr>
            <w:tcW w:w="780" w:type="dxa"/>
          </w:tcPr>
          <w:p>
            <w:pPr>
              <w:pStyle w:val="yTableNAm"/>
            </w:pPr>
            <w:r>
              <w:rPr>
                <w:b/>
              </w:rPr>
              <w:t>Item</w:t>
            </w:r>
          </w:p>
        </w:tc>
        <w:tc>
          <w:tcPr>
            <w:tcW w:w="1778" w:type="dxa"/>
          </w:tcPr>
          <w:p>
            <w:pPr>
              <w:pStyle w:val="yTableNAm"/>
            </w:pPr>
            <w:r>
              <w:rPr>
                <w:b/>
              </w:rPr>
              <w:t>Regulation</w:t>
            </w:r>
          </w:p>
        </w:tc>
        <w:tc>
          <w:tcPr>
            <w:tcW w:w="2827" w:type="dxa"/>
          </w:tcPr>
          <w:p>
            <w:pPr>
              <w:pStyle w:val="yTableNAm"/>
            </w:pPr>
            <w:r>
              <w:rPr>
                <w:b/>
              </w:rPr>
              <w:t>Offence</w:t>
            </w:r>
          </w:p>
        </w:tc>
        <w:tc>
          <w:tcPr>
            <w:tcW w:w="1277" w:type="dxa"/>
            <w:vAlign w:val="center"/>
          </w:tcPr>
          <w:p>
            <w:pPr>
              <w:pStyle w:val="yTableNAm"/>
              <w:jc w:val="center"/>
            </w:pPr>
            <w:r>
              <w:rPr>
                <w:b/>
              </w:rPr>
              <w:t>Modified penalty</w:t>
            </w:r>
            <w:r>
              <w:rPr>
                <w:b/>
              </w:rPr>
              <w:br/>
              <w:t>($)</w:t>
            </w:r>
          </w:p>
        </w:tc>
      </w:tr>
      <w:tr>
        <w:tc>
          <w:tcPr>
            <w:tcW w:w="780" w:type="dxa"/>
          </w:tcPr>
          <w:p>
            <w:pPr>
              <w:pStyle w:val="yTableNAm"/>
            </w:pPr>
            <w:r>
              <w:t>1</w:t>
            </w:r>
          </w:p>
        </w:tc>
        <w:tc>
          <w:tcPr>
            <w:tcW w:w="1778" w:type="dxa"/>
          </w:tcPr>
          <w:p>
            <w:pPr>
              <w:pStyle w:val="yTableNAm"/>
            </w:pPr>
            <w:r>
              <w:t>r. 40(2)</w:t>
            </w:r>
          </w:p>
        </w:tc>
        <w:tc>
          <w:tcPr>
            <w:tcW w:w="2827" w:type="dxa"/>
          </w:tcPr>
          <w:p>
            <w:pPr>
              <w:pStyle w:val="yTableNAm"/>
            </w:pPr>
            <w:r>
              <w:t>Failing to record details in incident register</w:t>
            </w:r>
          </w:p>
        </w:tc>
        <w:tc>
          <w:tcPr>
            <w:tcW w:w="1277" w:type="dxa"/>
            <w:vAlign w:val="bottom"/>
          </w:tcPr>
          <w:p>
            <w:pPr>
              <w:pStyle w:val="yTableNAm"/>
              <w:jc w:val="center"/>
            </w:pPr>
            <w:r>
              <w:t>400</w:t>
            </w:r>
          </w:p>
        </w:tc>
      </w:tr>
      <w:tr>
        <w:tc>
          <w:tcPr>
            <w:tcW w:w="780" w:type="dxa"/>
          </w:tcPr>
          <w:p>
            <w:pPr>
              <w:pStyle w:val="yTableNAm"/>
            </w:pPr>
            <w:r>
              <w:t>2</w:t>
            </w:r>
          </w:p>
        </w:tc>
        <w:tc>
          <w:tcPr>
            <w:tcW w:w="1778" w:type="dxa"/>
          </w:tcPr>
          <w:p>
            <w:pPr>
              <w:pStyle w:val="yTableNAm"/>
            </w:pPr>
            <w:r>
              <w:t>r. 48A(1)</w:t>
            </w:r>
          </w:p>
        </w:tc>
        <w:tc>
          <w:tcPr>
            <w:tcW w:w="2827" w:type="dxa"/>
          </w:tcPr>
          <w:p>
            <w:pPr>
              <w:pStyle w:val="yTableNAm"/>
            </w:pPr>
            <w:r>
              <w:t>Failing to produce identity card when giving blood or urine sample under direction</w:t>
            </w:r>
          </w:p>
        </w:tc>
        <w:tc>
          <w:tcPr>
            <w:tcW w:w="1277" w:type="dxa"/>
            <w:vAlign w:val="bottom"/>
          </w:tcPr>
          <w:p>
            <w:pPr>
              <w:pStyle w:val="yTableNAm"/>
              <w:jc w:val="center"/>
            </w:pPr>
            <w:r>
              <w:t>400</w:t>
            </w:r>
          </w:p>
        </w:tc>
      </w:tr>
    </w:tbl>
    <w:p>
      <w:pPr>
        <w:pStyle w:val="yFootnotesection"/>
      </w:pPr>
      <w:r>
        <w:tab/>
        <w:t>[Division 2 inserted: Gazette 29 Jul 2016 p. 3253.]</w:t>
      </w:r>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yScheduleHeading"/>
      </w:pPr>
      <w:bookmarkStart w:id="296" w:name="_Toc168661172"/>
      <w:bookmarkStart w:id="297" w:name="_Toc168661320"/>
      <w:bookmarkStart w:id="298" w:name="_Toc168930522"/>
      <w:bookmarkStart w:id="299" w:name="_Toc200371752"/>
      <w:r>
        <w:rPr>
          <w:rStyle w:val="CharSchNo"/>
        </w:rPr>
        <w:t>Schedule 6</w:t>
      </w:r>
      <w:r>
        <w:t> — </w:t>
      </w:r>
      <w:r>
        <w:rPr>
          <w:rStyle w:val="CharSchText"/>
        </w:rPr>
        <w:t>Forms</w:t>
      </w:r>
      <w:bookmarkEnd w:id="296"/>
      <w:bookmarkEnd w:id="297"/>
      <w:bookmarkEnd w:id="298"/>
      <w:bookmarkEnd w:id="299"/>
    </w:p>
    <w:p>
      <w:pPr>
        <w:pStyle w:val="yShoulderClause"/>
      </w:pPr>
      <w:r>
        <w:t>[r. 59]</w:t>
      </w:r>
    </w:p>
    <w:p>
      <w:pPr>
        <w:pStyle w:val="yFootnoteheading"/>
      </w:pPr>
      <w:r>
        <w:tab/>
        <w:t>[Heading inserted: Gazette 29 Jul 2016 p. 3254.]</w:t>
      </w:r>
    </w:p>
    <w:p>
      <w:pPr>
        <w:pStyle w:val="zyMiscellaneousHeading"/>
        <w:spacing w:after="60"/>
        <w:rPr>
          <w:b/>
        </w:rPr>
      </w:pPr>
      <w:r>
        <w:rPr>
          <w:b/>
        </w:rPr>
        <w:t xml:space="preserve">Form </w:t>
      </w:r>
      <w:r>
        <w:rPr>
          <w:rStyle w:val="CharSClsNo"/>
          <w:b/>
        </w:rPr>
        <w:t>1</w:t>
      </w:r>
      <w:r>
        <w:rPr>
          <w:b/>
        </w:rPr>
        <w:t>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trPr>
          <w:cantSplit/>
          <w:trHeight w:val="282"/>
        </w:trPr>
        <w:tc>
          <w:tcPr>
            <w:tcW w:w="6957" w:type="dxa"/>
            <w:gridSpan w:val="3"/>
          </w:tcPr>
          <w:p>
            <w:pPr>
              <w:pStyle w:val="yTableNAm"/>
            </w:pPr>
            <w:r>
              <w:br w:type="page"/>
            </w:r>
            <w:r>
              <w:rPr>
                <w:i/>
              </w:rPr>
              <w:t>Security and Related Activities (Control) Act 1996</w:t>
            </w:r>
          </w:p>
          <w:p>
            <w:pPr>
              <w:pStyle w:val="yTableNAm"/>
            </w:pPr>
            <w:r>
              <w:t>Security and Related Activities (Control) Regulations 1997</w:t>
            </w:r>
          </w:p>
          <w:p>
            <w:pPr>
              <w:pStyle w:val="yTableNAm"/>
              <w:rPr>
                <w:b/>
                <w:sz w:val="24"/>
                <w:szCs w:val="24"/>
              </w:rPr>
            </w:pPr>
            <w:r>
              <w:rPr>
                <w:b/>
                <w:sz w:val="24"/>
                <w:szCs w:val="24"/>
              </w:rPr>
              <w:t>Infringement notice</w:t>
            </w:r>
            <w:r>
              <w:rPr>
                <w:b/>
                <w:sz w:val="24"/>
                <w:szCs w:val="24"/>
              </w:rPr>
              <w:tab/>
            </w:r>
          </w:p>
        </w:tc>
      </w:tr>
      <w:tr>
        <w:trPr>
          <w:cantSplit/>
          <w:trHeight w:val="150"/>
        </w:trPr>
        <w:tc>
          <w:tcPr>
            <w:tcW w:w="1554" w:type="dxa"/>
            <w:vMerge w:val="restart"/>
          </w:tcPr>
          <w:p>
            <w:pPr>
              <w:pStyle w:val="yTableNAm"/>
            </w:pPr>
            <w:r>
              <w:rPr>
                <w:b/>
              </w:rPr>
              <w:t>Alleged offender</w:t>
            </w:r>
          </w:p>
        </w:tc>
        <w:tc>
          <w:tcPr>
            <w:tcW w:w="5403" w:type="dxa"/>
            <w:gridSpan w:val="2"/>
          </w:tcPr>
          <w:p>
            <w:pPr>
              <w:pStyle w:val="yTableNAm"/>
            </w:pPr>
            <w:r>
              <w:t>Name:</w:t>
            </w:r>
            <w:r>
              <w:tab/>
              <w:t>Surname</w:t>
            </w:r>
          </w:p>
        </w:tc>
      </w:tr>
      <w:tr>
        <w:trPr>
          <w:cantSplit/>
          <w:trHeight w:val="150"/>
        </w:trPr>
        <w:tc>
          <w:tcPr>
            <w:tcW w:w="1554" w:type="dxa"/>
            <w:vMerge/>
          </w:tcPr>
          <w:p>
            <w:pPr>
              <w:pStyle w:val="zyTableNAm"/>
            </w:pPr>
          </w:p>
        </w:tc>
        <w:tc>
          <w:tcPr>
            <w:tcW w:w="5403" w:type="dxa"/>
            <w:gridSpan w:val="2"/>
          </w:tcPr>
          <w:p>
            <w:pPr>
              <w:pStyle w:val="yTableNAm"/>
            </w:pPr>
            <w:r>
              <w:tab/>
            </w:r>
            <w:r>
              <w:tab/>
              <w:t>Given names</w:t>
            </w:r>
          </w:p>
        </w:tc>
      </w:tr>
      <w:tr>
        <w:trPr>
          <w:cantSplit/>
          <w:trHeight w:val="150"/>
        </w:trPr>
        <w:tc>
          <w:tcPr>
            <w:tcW w:w="1554" w:type="dxa"/>
            <w:vMerge/>
          </w:tcPr>
          <w:p>
            <w:pPr>
              <w:pStyle w:val="zyTableNAm"/>
            </w:pPr>
          </w:p>
        </w:tc>
        <w:tc>
          <w:tcPr>
            <w:tcW w:w="5403" w:type="dxa"/>
            <w:gridSpan w:val="2"/>
          </w:tcPr>
          <w:p>
            <w:pPr>
              <w:pStyle w:val="yTableNAm"/>
            </w:pPr>
            <w:r>
              <w:t>Address _______________________________________</w:t>
            </w:r>
          </w:p>
          <w:p>
            <w:pPr>
              <w:pStyle w:val="yTableNAm"/>
            </w:pPr>
            <w:r>
              <w:tab/>
            </w:r>
            <w:r>
              <w:tab/>
            </w:r>
            <w:r>
              <w:tab/>
            </w:r>
            <w:r>
              <w:tab/>
            </w:r>
            <w:r>
              <w:tab/>
              <w:t>Postcode</w:t>
            </w:r>
          </w:p>
        </w:tc>
      </w:tr>
      <w:tr>
        <w:trPr>
          <w:cantSplit/>
        </w:trPr>
        <w:tc>
          <w:tcPr>
            <w:tcW w:w="1554" w:type="dxa"/>
            <w:vMerge w:val="restart"/>
          </w:tcPr>
          <w:p>
            <w:pPr>
              <w:pStyle w:val="yTableNAm"/>
            </w:pPr>
            <w:r>
              <w:rPr>
                <w:b/>
              </w:rPr>
              <w:t>Details of alleged offence</w:t>
            </w:r>
          </w:p>
        </w:tc>
        <w:tc>
          <w:tcPr>
            <w:tcW w:w="5403" w:type="dxa"/>
            <w:gridSpan w:val="2"/>
          </w:tcPr>
          <w:p>
            <w:pPr>
              <w:pStyle w:val="yTableNAm"/>
            </w:pPr>
            <w:r>
              <w:t>Description of offence ____________________________</w:t>
            </w:r>
          </w:p>
          <w:p>
            <w:pPr>
              <w:pStyle w:val="yTableNAm"/>
              <w:tabs>
                <w:tab w:val="left" w:pos="2663"/>
              </w:tabs>
            </w:pPr>
          </w:p>
        </w:tc>
      </w:tr>
      <w:tr>
        <w:trPr>
          <w:cantSplit/>
        </w:trPr>
        <w:tc>
          <w:tcPr>
            <w:tcW w:w="1554" w:type="dxa"/>
            <w:vMerge/>
          </w:tcPr>
          <w:p>
            <w:pPr>
              <w:pStyle w:val="zyTableNAm"/>
            </w:pPr>
          </w:p>
        </w:tc>
        <w:tc>
          <w:tcPr>
            <w:tcW w:w="5403" w:type="dxa"/>
            <w:gridSpan w:val="2"/>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w:t>
            </w:r>
          </w:p>
        </w:tc>
      </w:tr>
      <w:tr>
        <w:trPr>
          <w:cantSplit/>
        </w:trPr>
        <w:tc>
          <w:tcPr>
            <w:tcW w:w="1554" w:type="dxa"/>
            <w:vMerge/>
          </w:tcPr>
          <w:p>
            <w:pPr>
              <w:pStyle w:val="zyTableNAm"/>
            </w:pPr>
          </w:p>
        </w:tc>
        <w:tc>
          <w:tcPr>
            <w:tcW w:w="5403" w:type="dxa"/>
            <w:gridSpan w:val="2"/>
          </w:tcPr>
          <w:p>
            <w:pPr>
              <w:pStyle w:val="yTableNAm"/>
              <w:tabs>
                <w:tab w:val="clear" w:pos="567"/>
                <w:tab w:val="left" w:pos="820"/>
                <w:tab w:val="left" w:pos="2663"/>
              </w:tabs>
            </w:pPr>
            <w:r>
              <w:t xml:space="preserve">Date </w:t>
            </w:r>
            <w:r>
              <w:tab/>
              <w:t>/          /20</w:t>
            </w:r>
            <w:r>
              <w:tab/>
              <w:t xml:space="preserve">Time </w:t>
            </w:r>
            <w:r>
              <w:tab/>
            </w:r>
          </w:p>
        </w:tc>
      </w:tr>
      <w:tr>
        <w:trPr>
          <w:cantSplit/>
        </w:trPr>
        <w:tc>
          <w:tcPr>
            <w:tcW w:w="1554" w:type="dxa"/>
            <w:vMerge/>
            <w:tcBorders>
              <w:bottom w:val="single" w:sz="4" w:space="0" w:color="auto"/>
            </w:tcBorders>
          </w:tcPr>
          <w:p>
            <w:pPr>
              <w:pStyle w:val="zyTableNAm"/>
            </w:pPr>
          </w:p>
        </w:tc>
        <w:tc>
          <w:tcPr>
            <w:tcW w:w="5403" w:type="dxa"/>
            <w:gridSpan w:val="2"/>
            <w:tcBorders>
              <w:bottom w:val="single" w:sz="4" w:space="0" w:color="auto"/>
            </w:tcBorders>
          </w:tcPr>
          <w:p>
            <w:pPr>
              <w:pStyle w:val="yTableNAm"/>
            </w:pPr>
            <w:r>
              <w:t>Place</w:t>
            </w:r>
          </w:p>
        </w:tc>
      </w:tr>
      <w:tr>
        <w:trPr>
          <w:cantSplit/>
        </w:trPr>
        <w:tc>
          <w:tcPr>
            <w:tcW w:w="1554" w:type="dxa"/>
            <w:vMerge w:val="restart"/>
          </w:tcPr>
          <w:p>
            <w:pPr>
              <w:pStyle w:val="yTableNAm"/>
            </w:pPr>
            <w:r>
              <w:rPr>
                <w:b/>
              </w:rPr>
              <w:t>Officer issuing notice</w:t>
            </w:r>
          </w:p>
        </w:tc>
        <w:tc>
          <w:tcPr>
            <w:tcW w:w="5403" w:type="dxa"/>
            <w:gridSpan w:val="2"/>
            <w:tcBorders>
              <w:bottom w:val="single" w:sz="4" w:space="0" w:color="auto"/>
            </w:tcBorders>
          </w:tcPr>
          <w:p>
            <w:pPr>
              <w:pStyle w:val="yTableNAm"/>
            </w:pPr>
            <w:r>
              <w:t>Name</w:t>
            </w:r>
          </w:p>
        </w:tc>
      </w:tr>
      <w:tr>
        <w:trPr>
          <w:cantSplit/>
        </w:trPr>
        <w:tc>
          <w:tcPr>
            <w:tcW w:w="1554" w:type="dxa"/>
            <w:vMerge/>
          </w:tcPr>
          <w:p>
            <w:pPr>
              <w:pStyle w:val="zyTableNAm"/>
              <w:rPr>
                <w:b/>
              </w:rPr>
            </w:pPr>
          </w:p>
        </w:tc>
        <w:tc>
          <w:tcPr>
            <w:tcW w:w="5403" w:type="dxa"/>
            <w:gridSpan w:val="2"/>
            <w:tcBorders>
              <w:top w:val="single" w:sz="4" w:space="0" w:color="auto"/>
              <w:bottom w:val="single" w:sz="4" w:space="0" w:color="auto"/>
            </w:tcBorders>
          </w:tcPr>
          <w:p>
            <w:pPr>
              <w:pStyle w:val="yTableNAm"/>
              <w:rPr>
                <w:highlight w:val="yellow"/>
              </w:rPr>
            </w:pPr>
            <w:r>
              <w:t>Signature</w:t>
            </w:r>
          </w:p>
        </w:tc>
      </w:tr>
      <w:tr>
        <w:trPr>
          <w:cantSplit/>
        </w:trPr>
        <w:tc>
          <w:tcPr>
            <w:tcW w:w="1554" w:type="dxa"/>
            <w:vMerge/>
            <w:tcBorders>
              <w:bottom w:val="single" w:sz="4" w:space="0" w:color="auto"/>
            </w:tcBorders>
          </w:tcPr>
          <w:p>
            <w:pPr>
              <w:pStyle w:val="zyTableNAm"/>
              <w:rPr>
                <w:b/>
              </w:rPr>
            </w:pPr>
          </w:p>
        </w:tc>
        <w:tc>
          <w:tcPr>
            <w:tcW w:w="5403" w:type="dxa"/>
            <w:gridSpan w:val="2"/>
            <w:tcBorders>
              <w:top w:val="single" w:sz="4" w:space="0" w:color="auto"/>
              <w:bottom w:val="single" w:sz="4" w:space="0" w:color="auto"/>
            </w:tcBorders>
          </w:tcPr>
          <w:p>
            <w:pPr>
              <w:pStyle w:val="yTableNAm"/>
            </w:pPr>
            <w:r>
              <w:t>Office</w:t>
            </w:r>
          </w:p>
        </w:tc>
      </w:tr>
      <w:tr>
        <w:trPr>
          <w:cantSplit/>
        </w:trPr>
        <w:tc>
          <w:tcPr>
            <w:tcW w:w="1554" w:type="dxa"/>
            <w:tcBorders>
              <w:top w:val="single" w:sz="4" w:space="0" w:color="auto"/>
              <w:bottom w:val="single" w:sz="4" w:space="0" w:color="auto"/>
            </w:tcBorders>
          </w:tcPr>
          <w:p>
            <w:pPr>
              <w:pStyle w:val="yTableNAm"/>
            </w:pPr>
            <w:r>
              <w:rPr>
                <w:b/>
              </w:rPr>
              <w:t>Date of notice</w:t>
            </w:r>
          </w:p>
        </w:tc>
        <w:tc>
          <w:tcPr>
            <w:tcW w:w="5403" w:type="dxa"/>
            <w:gridSpan w:val="2"/>
            <w:tcBorders>
              <w:top w:val="single" w:sz="4" w:space="0" w:color="auto"/>
              <w:bottom w:val="single" w:sz="4" w:space="0" w:color="auto"/>
            </w:tcBorders>
          </w:tcPr>
          <w:p>
            <w:pPr>
              <w:pStyle w:val="yTableNAm"/>
              <w:tabs>
                <w:tab w:val="clear" w:pos="567"/>
                <w:tab w:val="left" w:pos="678"/>
                <w:tab w:val="left" w:pos="1245"/>
              </w:tabs>
            </w:pPr>
            <w:r>
              <w:tab/>
              <w:t>/</w:t>
            </w:r>
            <w:r>
              <w:tab/>
              <w:t>/20</w:t>
            </w:r>
          </w:p>
        </w:tc>
      </w:tr>
      <w:tr>
        <w:trPr>
          <w:cantSplit/>
        </w:trPr>
        <w:tc>
          <w:tcPr>
            <w:tcW w:w="1554" w:type="dxa"/>
            <w:tcBorders>
              <w:top w:val="single" w:sz="4" w:space="0" w:color="auto"/>
              <w:bottom w:val="single" w:sz="4" w:space="0" w:color="auto"/>
            </w:tcBorders>
          </w:tcPr>
          <w:p>
            <w:pPr>
              <w:pStyle w:val="yTableNAm"/>
            </w:pPr>
            <w:r>
              <w:rPr>
                <w:b/>
              </w:rPr>
              <w:t>Modified 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yTableNAm"/>
            </w:pPr>
            <w:r>
              <w:rPr>
                <w:b/>
              </w:rPr>
              <w:t>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zyTableNAm"/>
            </w:pPr>
          </w:p>
        </w:tc>
        <w:tc>
          <w:tcPr>
            <w:tcW w:w="5403" w:type="dxa"/>
            <w:gridSpan w:val="2"/>
            <w:tcBorders>
              <w:top w:val="single" w:sz="4" w:space="0" w:color="auto"/>
              <w:bottom w:val="single" w:sz="4" w:space="0" w:color="auto"/>
            </w:tcBorders>
          </w:tcPr>
          <w:p>
            <w:pPr>
              <w:pStyle w:val="yTableNAm"/>
            </w:pPr>
            <w:r>
              <w:t>You do not have to pay this amount.  This is the maximum fine that can be imposed if you are prosecuted in a court and convicted of an offence.</w:t>
            </w:r>
          </w:p>
        </w:tc>
      </w:tr>
      <w:tr>
        <w:trPr>
          <w:cantSplit/>
        </w:trPr>
        <w:tc>
          <w:tcPr>
            <w:tcW w:w="1554" w:type="dxa"/>
            <w:vMerge w:val="restart"/>
            <w:tcBorders>
              <w:top w:val="single" w:sz="4" w:space="0" w:color="auto"/>
            </w:tcBorders>
          </w:tcPr>
          <w:p>
            <w:pPr>
              <w:pStyle w:val="yTableNAm"/>
            </w:pPr>
            <w:r>
              <w:rPr>
                <w:b/>
              </w:rPr>
              <w:t>Notice to alleged offender</w:t>
            </w:r>
          </w:p>
        </w:tc>
        <w:tc>
          <w:tcPr>
            <w:tcW w:w="5403" w:type="dxa"/>
            <w:gridSpan w:val="2"/>
            <w:tcBorders>
              <w:top w:val="single" w:sz="4" w:space="0" w:color="auto"/>
              <w:bottom w:val="nil"/>
            </w:tcBorders>
          </w:tcPr>
          <w:p>
            <w:pPr>
              <w:pStyle w:val="yTableNAm"/>
            </w:pPr>
            <w:r>
              <w:t>It is alleged that you have committed the above offence.</w:t>
            </w:r>
          </w:p>
        </w:tc>
      </w:tr>
      <w:tr>
        <w:trPr>
          <w:cantSplit/>
        </w:trPr>
        <w:tc>
          <w:tcPr>
            <w:tcW w:w="1554" w:type="dxa"/>
            <w:vMerge/>
          </w:tcPr>
          <w:p>
            <w:pPr>
              <w:pStyle w:val="zyTableNAm"/>
              <w:keepLines/>
              <w:widowControl w:val="0"/>
            </w:pPr>
          </w:p>
        </w:tc>
        <w:tc>
          <w:tcPr>
            <w:tcW w:w="5403" w:type="dxa"/>
            <w:gridSpan w:val="2"/>
            <w:tcBorders>
              <w:top w:val="nil"/>
            </w:tcBorders>
          </w:tcPr>
          <w:p>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trPr>
          <w:cantSplit/>
        </w:trPr>
        <w:tc>
          <w:tcPr>
            <w:tcW w:w="1554" w:type="dxa"/>
            <w:vMerge/>
          </w:tcPr>
          <w:p>
            <w:pPr>
              <w:pStyle w:val="zyTableNAm"/>
              <w:widowControl w:val="0"/>
            </w:pPr>
          </w:p>
        </w:tc>
        <w:tc>
          <w:tcPr>
            <w:tcW w:w="5403" w:type="dxa"/>
            <w:gridSpan w:val="2"/>
          </w:tcPr>
          <w:p>
            <w:pPr>
              <w:pStyle w:val="yTableNAm"/>
            </w:pPr>
            <w:r>
              <w:rPr>
                <w:b/>
              </w:rPr>
              <w:t>Paying the modified penalty will not be regarded as an admission for the purposes of any civil or criminal court case.</w:t>
            </w:r>
          </w:p>
        </w:tc>
      </w:tr>
      <w:tr>
        <w:trPr>
          <w:cantSplit/>
        </w:trPr>
        <w:tc>
          <w:tcPr>
            <w:tcW w:w="1554" w:type="dxa"/>
            <w:vMerge/>
          </w:tcPr>
          <w:p>
            <w:pPr>
              <w:pStyle w:val="zyTableNAm"/>
              <w:widowControl w:val="0"/>
            </w:pPr>
          </w:p>
        </w:tc>
        <w:tc>
          <w:tcPr>
            <w:tcW w:w="5403" w:type="dxa"/>
            <w:gridSpan w:val="2"/>
          </w:tcPr>
          <w:p>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Pr>
        <w:tc>
          <w:tcPr>
            <w:tcW w:w="1554" w:type="dxa"/>
            <w:vMerge/>
          </w:tcPr>
          <w:p>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need more time</w:t>
            </w:r>
            <w:r>
              <w:t xml:space="preserve"> to pay the modified penalty, you should contact the designated person at the address below.</w:t>
            </w:r>
          </w:p>
        </w:tc>
      </w:tr>
      <w:tr>
        <w:trPr>
          <w:cantSplit/>
        </w:trPr>
        <w:tc>
          <w:tcPr>
            <w:tcW w:w="1554" w:type="dxa"/>
            <w:vMerge/>
          </w:tcPr>
          <w:p>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designated person at the address below within 28 days after the date of this notice.</w:t>
            </w:r>
          </w:p>
        </w:tc>
      </w:tr>
      <w:tr>
        <w:trPr>
          <w:cantSplit/>
        </w:trPr>
        <w:tc>
          <w:tcPr>
            <w:tcW w:w="1554" w:type="dxa"/>
            <w:vMerge/>
          </w:tcPr>
          <w:p>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are prosecuted in a court for the alleged offence, and convicted, you will be liable to a penalty and costs.</w:t>
            </w:r>
          </w:p>
        </w:tc>
      </w:tr>
      <w:tr>
        <w:trPr>
          <w:cantSplit/>
        </w:trPr>
        <w:tc>
          <w:tcPr>
            <w:tcW w:w="1554" w:type="dxa"/>
            <w:vMerge/>
          </w:tcPr>
          <w:p>
            <w:pPr>
              <w:pStyle w:val="yTableNAm"/>
            </w:pPr>
            <w:r>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554" w:type="dxa"/>
            <w:tcBorders>
              <w:top w:val="single" w:sz="4" w:space="0" w:color="auto"/>
              <w:left w:val="single" w:sz="4" w:space="0" w:color="auto"/>
              <w:bottom w:val="single" w:sz="4" w:space="0" w:color="auto"/>
              <w:right w:val="single" w:sz="4" w:space="0" w:color="auto"/>
            </w:tcBorders>
          </w:tcPr>
          <w:p>
            <w:pPr>
              <w:pStyle w:val="yTableNAm"/>
            </w:pPr>
            <w:r>
              <w:rPr>
                <w:b/>
              </w:rPr>
              <w:t>How to pay the modified penalty</w:t>
            </w:r>
          </w:p>
        </w:tc>
        <w:tc>
          <w:tcPr>
            <w:tcW w:w="1495" w:type="dxa"/>
            <w:tcBorders>
              <w:top w:val="single" w:sz="4" w:space="0" w:color="auto"/>
              <w:left w:val="single" w:sz="4" w:space="0" w:color="auto"/>
              <w:bottom w:val="single" w:sz="4" w:space="0" w:color="auto"/>
              <w:right w:val="single" w:sz="4" w:space="0" w:color="auto"/>
            </w:tcBorders>
          </w:tcPr>
          <w:p>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paying in person]</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pPr>
              <w:pStyle w:val="yTableNAm"/>
            </w:pPr>
            <w:r>
              <w:t>Post this notice, with a cheque or money order made payable to [</w:t>
            </w:r>
            <w:r>
              <w:rPr>
                <w:i/>
              </w:rPr>
              <w:t>payee</w:t>
            </w:r>
            <w:r>
              <w:t>], to:</w:t>
            </w:r>
          </w:p>
          <w:p>
            <w:pPr>
              <w:pStyle w:val="yTableNAm"/>
            </w:pPr>
            <w:r>
              <w:t>Western Australia Police</w:t>
            </w:r>
            <w:r>
              <w:br/>
              <w:t>303 Sevenoaks Street</w:t>
            </w:r>
            <w:r>
              <w:br/>
              <w:t>Cannington WA 6107</w:t>
            </w:r>
          </w:p>
          <w:p>
            <w:pPr>
              <w:pStyle w:val="yTableNAm"/>
            </w:pPr>
            <w:r>
              <w:t>or</w:t>
            </w:r>
          </w:p>
          <w:p>
            <w:pPr>
              <w:pStyle w:val="yTableNAm"/>
            </w:pPr>
            <w:r>
              <w:t>Locked Bag 9, East Perth WA 6892</w:t>
            </w:r>
          </w:p>
          <w:p>
            <w:pPr>
              <w:pStyle w:val="yTableNAm"/>
            </w:pPr>
          </w:p>
          <w:p>
            <w:pPr>
              <w:pStyle w:val="yTableNAm"/>
              <w:rPr>
                <w:u w:val="single"/>
              </w:rPr>
            </w:pPr>
            <w:r>
              <w:t>Do not send cash in the mail.</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online payments]</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telephone payments]</w:t>
            </w:r>
          </w:p>
        </w:tc>
      </w:tr>
    </w:tbl>
    <w:p>
      <w:pPr>
        <w:pStyle w:val="yFootnotesection"/>
      </w:pPr>
      <w:r>
        <w:tab/>
        <w:t>[Form 1 inserted: Gazette 29 Jul 2016 p. 3254</w:t>
      </w:r>
      <w:r>
        <w:noBreakHyphen/>
        <w:t>6; amended: SL 2020/171 r. 4.]</w:t>
      </w:r>
    </w:p>
    <w:p>
      <w:pPr>
        <w:pStyle w:val="zyMiscellaneousHeading"/>
        <w:spacing w:before="360" w:after="60"/>
        <w:rPr>
          <w:b/>
        </w:rPr>
      </w:pPr>
      <w:r>
        <w:rPr>
          <w:b/>
        </w:rPr>
        <w:t xml:space="preserve">Form </w:t>
      </w:r>
      <w:r>
        <w:rPr>
          <w:rStyle w:val="CharSClsNo"/>
          <w:b/>
        </w:rPr>
        <w:t>2</w:t>
      </w:r>
      <w:r>
        <w:rPr>
          <w:b/>
        </w:rPr>
        <w:t>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pPr>
            <w:r>
              <w:rPr>
                <w:i/>
              </w:rPr>
              <w:t>Security and Related Activities (Control) Act 1996</w:t>
            </w:r>
          </w:p>
          <w:p>
            <w:pPr>
              <w:pStyle w:val="yTableNAm"/>
            </w:pPr>
            <w:r>
              <w:t>Security and Related Activities (Control) Regulations 1997</w:t>
            </w:r>
          </w:p>
          <w:p>
            <w:pPr>
              <w:pStyle w:val="yTableNAm"/>
              <w:rPr>
                <w:szCs w:val="22"/>
              </w:rPr>
            </w:pPr>
            <w:r>
              <w:rPr>
                <w:b/>
                <w:sz w:val="24"/>
                <w:szCs w:val="24"/>
              </w:rPr>
              <w:t>Withdrawal of infringement notice</w:t>
            </w:r>
          </w:p>
        </w:tc>
      </w:tr>
      <w:tr>
        <w:trPr>
          <w:cantSplit/>
          <w:trHeight w:val="150"/>
        </w:trPr>
        <w:tc>
          <w:tcPr>
            <w:tcW w:w="1559" w:type="dxa"/>
            <w:vMerge w:val="restart"/>
          </w:tcPr>
          <w:p>
            <w:pPr>
              <w:pStyle w:val="yTableNAm"/>
            </w:pPr>
            <w:r>
              <w:rPr>
                <w:b/>
              </w:rPr>
              <w:t>Alleged offender</w:t>
            </w:r>
          </w:p>
        </w:tc>
        <w:tc>
          <w:tcPr>
            <w:tcW w:w="5387" w:type="dxa"/>
          </w:tcPr>
          <w:p>
            <w:pPr>
              <w:pStyle w:val="yTableNAm"/>
            </w:pPr>
            <w:r>
              <w:t>Name:</w:t>
            </w:r>
            <w:r>
              <w:tab/>
              <w:t>Surname</w:t>
            </w:r>
          </w:p>
        </w:tc>
      </w:tr>
      <w:tr>
        <w:trPr>
          <w:cantSplit/>
          <w:trHeight w:val="150"/>
        </w:trPr>
        <w:tc>
          <w:tcPr>
            <w:tcW w:w="1559" w:type="dxa"/>
            <w:vMerge/>
          </w:tcPr>
          <w:p>
            <w:pPr>
              <w:pStyle w:val="zyTableNAm"/>
              <w:rPr>
                <w:b/>
              </w:rPr>
            </w:pPr>
          </w:p>
        </w:tc>
        <w:tc>
          <w:tcPr>
            <w:tcW w:w="5387" w:type="dxa"/>
          </w:tcPr>
          <w:p>
            <w:pPr>
              <w:pStyle w:val="yTableNAm"/>
            </w:pPr>
            <w:r>
              <w:tab/>
              <w:t>Given names</w:t>
            </w:r>
          </w:p>
        </w:tc>
      </w:tr>
      <w:tr>
        <w:trPr>
          <w:cantSplit/>
          <w:trHeight w:val="150"/>
        </w:trPr>
        <w:tc>
          <w:tcPr>
            <w:tcW w:w="1559" w:type="dxa"/>
            <w:vMerge/>
          </w:tcPr>
          <w:p>
            <w:pPr>
              <w:pStyle w:val="zyTableNAm"/>
              <w:rPr>
                <w:b/>
              </w:rPr>
            </w:pPr>
          </w:p>
        </w:tc>
        <w:tc>
          <w:tcPr>
            <w:tcW w:w="5387" w:type="dxa"/>
          </w:tcPr>
          <w:p>
            <w:pPr>
              <w:pStyle w:val="yTableNAm"/>
            </w:pPr>
            <w:r>
              <w:t>Address _______________________________________</w:t>
            </w:r>
          </w:p>
          <w:p>
            <w:pPr>
              <w:pStyle w:val="yTableNAm"/>
            </w:pPr>
            <w:r>
              <w:tab/>
            </w:r>
            <w:r>
              <w:tab/>
            </w:r>
            <w:r>
              <w:tab/>
            </w:r>
            <w:r>
              <w:tab/>
            </w:r>
            <w:r>
              <w:tab/>
              <w:t>Postcode</w:t>
            </w:r>
          </w:p>
        </w:tc>
      </w:tr>
      <w:tr>
        <w:trPr>
          <w:cantSplit/>
        </w:trPr>
        <w:tc>
          <w:tcPr>
            <w:tcW w:w="1559" w:type="dxa"/>
            <w:vMerge w:val="restart"/>
          </w:tcPr>
          <w:p>
            <w:pPr>
              <w:pStyle w:val="yTableNAm"/>
            </w:pPr>
            <w:r>
              <w:rPr>
                <w:b/>
              </w:rPr>
              <w:t>Infringement notice</w:t>
            </w:r>
          </w:p>
        </w:tc>
        <w:tc>
          <w:tcPr>
            <w:tcW w:w="5387" w:type="dxa"/>
          </w:tcPr>
          <w:p>
            <w:pPr>
              <w:pStyle w:val="yTableNAm"/>
            </w:pPr>
            <w:r>
              <w:t>Infringement notice no.</w:t>
            </w:r>
          </w:p>
        </w:tc>
      </w:tr>
      <w:tr>
        <w:trPr>
          <w:cantSplit/>
        </w:trPr>
        <w:tc>
          <w:tcPr>
            <w:tcW w:w="1559" w:type="dxa"/>
            <w:vMerge/>
          </w:tcPr>
          <w:p>
            <w:pPr>
              <w:pStyle w:val="zyTableNAm"/>
            </w:pPr>
          </w:p>
        </w:tc>
        <w:tc>
          <w:tcPr>
            <w:tcW w:w="5387" w:type="dxa"/>
          </w:tcPr>
          <w:p>
            <w:pPr>
              <w:pStyle w:val="yTableNAm"/>
              <w:tabs>
                <w:tab w:val="left" w:pos="1735"/>
              </w:tabs>
            </w:pPr>
            <w:r>
              <w:t xml:space="preserve">Date of notice  </w:t>
            </w:r>
            <w:r>
              <w:tab/>
              <w:t>/</w:t>
            </w:r>
            <w:r>
              <w:tab/>
              <w:t>/20</w:t>
            </w:r>
          </w:p>
        </w:tc>
      </w:tr>
      <w:tr>
        <w:trPr>
          <w:cantSplit/>
        </w:trPr>
        <w:tc>
          <w:tcPr>
            <w:tcW w:w="1559" w:type="dxa"/>
            <w:vMerge w:val="restart"/>
          </w:tcPr>
          <w:p>
            <w:pPr>
              <w:pStyle w:val="yTableNAm"/>
            </w:pPr>
            <w:r>
              <w:rPr>
                <w:b/>
              </w:rPr>
              <w:t>Alleged offence</w:t>
            </w:r>
          </w:p>
        </w:tc>
        <w:tc>
          <w:tcPr>
            <w:tcW w:w="5387" w:type="dxa"/>
          </w:tcPr>
          <w:p>
            <w:pPr>
              <w:pStyle w:val="yTableNAm"/>
            </w:pPr>
            <w:r>
              <w:t>Description of offence ____________________________</w:t>
            </w:r>
          </w:p>
          <w:p>
            <w:pPr>
              <w:pStyle w:val="yTableNAm"/>
            </w:pPr>
          </w:p>
        </w:tc>
      </w:tr>
      <w:tr>
        <w:trPr>
          <w:cantSplit/>
        </w:trPr>
        <w:tc>
          <w:tcPr>
            <w:tcW w:w="1559" w:type="dxa"/>
            <w:vMerge/>
          </w:tcPr>
          <w:p>
            <w:pPr>
              <w:pStyle w:val="zyTableNAm"/>
              <w:rPr>
                <w:b/>
              </w:rPr>
            </w:pPr>
          </w:p>
        </w:tc>
        <w:tc>
          <w:tcPr>
            <w:tcW w:w="5387" w:type="dxa"/>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 </w:t>
            </w:r>
          </w:p>
          <w:p>
            <w:pPr>
              <w:pStyle w:val="yTableNAm"/>
            </w:pPr>
          </w:p>
        </w:tc>
      </w:tr>
      <w:tr>
        <w:trPr>
          <w:cantSplit/>
        </w:trPr>
        <w:tc>
          <w:tcPr>
            <w:tcW w:w="1559" w:type="dxa"/>
            <w:vMerge/>
          </w:tcPr>
          <w:p>
            <w:pPr>
              <w:pStyle w:val="zyTableNAm"/>
            </w:pPr>
          </w:p>
        </w:tc>
        <w:tc>
          <w:tcPr>
            <w:tcW w:w="5387" w:type="dxa"/>
          </w:tcPr>
          <w:p>
            <w:pPr>
              <w:pStyle w:val="yTableNAm"/>
              <w:tabs>
                <w:tab w:val="clear" w:pos="567"/>
                <w:tab w:val="left" w:pos="743"/>
                <w:tab w:val="left" w:pos="1168"/>
                <w:tab w:val="left" w:pos="2139"/>
              </w:tabs>
            </w:pPr>
            <w:r>
              <w:t xml:space="preserve">Date </w:t>
            </w:r>
            <w:r>
              <w:tab/>
              <w:t>/</w:t>
            </w:r>
            <w:r>
              <w:tab/>
              <w:t>/20</w:t>
            </w:r>
            <w:r>
              <w:tab/>
              <w:t>Time</w:t>
            </w:r>
            <w:r>
              <w:tab/>
            </w:r>
          </w:p>
        </w:tc>
      </w:tr>
      <w:tr>
        <w:trPr>
          <w:cantSplit/>
        </w:trPr>
        <w:tc>
          <w:tcPr>
            <w:tcW w:w="1559" w:type="dxa"/>
            <w:vMerge/>
          </w:tcPr>
          <w:p>
            <w:pPr>
              <w:pStyle w:val="zyTableNAm"/>
            </w:pPr>
          </w:p>
        </w:tc>
        <w:tc>
          <w:tcPr>
            <w:tcW w:w="5387" w:type="dxa"/>
          </w:tcPr>
          <w:p>
            <w:pPr>
              <w:pStyle w:val="yTableNAm"/>
            </w:pPr>
            <w:r>
              <w:t>Place</w:t>
            </w:r>
          </w:p>
        </w:tc>
      </w:tr>
      <w:tr>
        <w:trPr>
          <w:cantSplit/>
        </w:trPr>
        <w:tc>
          <w:tcPr>
            <w:tcW w:w="1559" w:type="dxa"/>
            <w:vMerge w:val="restart"/>
          </w:tcPr>
          <w:p>
            <w:pPr>
              <w:pStyle w:val="yTableNAm"/>
            </w:pPr>
            <w:r>
              <w:rPr>
                <w:b/>
              </w:rPr>
              <w:t>Officer withdrawing notice</w:t>
            </w:r>
          </w:p>
        </w:tc>
        <w:tc>
          <w:tcPr>
            <w:tcW w:w="5387" w:type="dxa"/>
          </w:tcPr>
          <w:p>
            <w:pPr>
              <w:pStyle w:val="yTableNAm"/>
            </w:pPr>
            <w:r>
              <w:t>Name</w:t>
            </w:r>
          </w:p>
        </w:tc>
      </w:tr>
      <w:tr>
        <w:trPr>
          <w:cantSplit/>
        </w:trPr>
        <w:tc>
          <w:tcPr>
            <w:tcW w:w="1559" w:type="dxa"/>
            <w:vMerge/>
          </w:tcPr>
          <w:p>
            <w:pPr>
              <w:pStyle w:val="zyTableNAm"/>
            </w:pPr>
          </w:p>
        </w:tc>
        <w:tc>
          <w:tcPr>
            <w:tcW w:w="5387" w:type="dxa"/>
          </w:tcPr>
          <w:p>
            <w:pPr>
              <w:pStyle w:val="yTableNAm"/>
            </w:pPr>
            <w:r>
              <w:t>Signature</w:t>
            </w:r>
          </w:p>
        </w:tc>
      </w:tr>
      <w:tr>
        <w:trPr>
          <w:cantSplit/>
        </w:trPr>
        <w:tc>
          <w:tcPr>
            <w:tcW w:w="1559" w:type="dxa"/>
            <w:vMerge/>
          </w:tcPr>
          <w:p>
            <w:pPr>
              <w:pStyle w:val="zyTableNAm"/>
            </w:pPr>
          </w:p>
        </w:tc>
        <w:tc>
          <w:tcPr>
            <w:tcW w:w="5387" w:type="dxa"/>
          </w:tcPr>
          <w:p>
            <w:pPr>
              <w:pStyle w:val="yTableNAm"/>
            </w:pPr>
            <w:r>
              <w:t>Office</w:t>
            </w:r>
          </w:p>
        </w:tc>
      </w:tr>
      <w:tr>
        <w:tc>
          <w:tcPr>
            <w:tcW w:w="1559" w:type="dxa"/>
          </w:tcPr>
          <w:p>
            <w:pPr>
              <w:pStyle w:val="yTableNAm"/>
            </w:pPr>
            <w:r>
              <w:rPr>
                <w:b/>
              </w:rPr>
              <w:t>Date of withdrawal</w:t>
            </w:r>
          </w:p>
        </w:tc>
        <w:tc>
          <w:tcPr>
            <w:tcW w:w="5387" w:type="dxa"/>
            <w:tcBorders>
              <w:bottom w:val="single" w:sz="4" w:space="0" w:color="auto"/>
            </w:tcBorders>
          </w:tcPr>
          <w:p>
            <w:pPr>
              <w:pStyle w:val="yTableNAm"/>
              <w:tabs>
                <w:tab w:val="left" w:pos="1077"/>
              </w:tabs>
            </w:pPr>
            <w:r>
              <w:tab/>
              <w:t>/</w:t>
            </w:r>
            <w:r>
              <w:tab/>
              <w:t>/20</w:t>
            </w:r>
          </w:p>
        </w:tc>
      </w:tr>
      <w:tr>
        <w:tc>
          <w:tcPr>
            <w:tcW w:w="1559" w:type="dxa"/>
          </w:tcPr>
          <w:p>
            <w:pPr>
              <w:pStyle w:val="yTableNAm"/>
            </w:pPr>
            <w:r>
              <w:rPr>
                <w:b/>
              </w:rPr>
              <w:t>Withdrawal of infringement notice</w:t>
            </w:r>
          </w:p>
          <w:p>
            <w:pPr>
              <w:pStyle w:val="zyTableNAm"/>
              <w:rPr>
                <w:b/>
              </w:rPr>
            </w:pPr>
          </w:p>
        </w:tc>
        <w:tc>
          <w:tcPr>
            <w:tcW w:w="5387" w:type="dxa"/>
          </w:tcPr>
          <w:p>
            <w:pPr>
              <w:pStyle w:val="yTableNAm"/>
            </w:pPr>
            <w: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 inserted: Gazette 29 Jul 2016 p. 3256</w:t>
      </w:r>
      <w:r>
        <w:noBreakHyphen/>
        <w:t>7.]</w:t>
      </w:r>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pPr>
      <w:bookmarkStart w:id="300" w:name="_Toc168661173"/>
      <w:bookmarkStart w:id="301" w:name="_Toc168661321"/>
      <w:bookmarkStart w:id="302" w:name="_Toc168930523"/>
      <w:bookmarkStart w:id="303" w:name="_Toc200371753"/>
      <w:r>
        <w:t>Notes</w:t>
      </w:r>
      <w:bookmarkEnd w:id="300"/>
      <w:bookmarkEnd w:id="301"/>
      <w:bookmarkEnd w:id="302"/>
      <w:bookmarkEnd w:id="303"/>
    </w:p>
    <w:p>
      <w:pPr>
        <w:pStyle w:val="nStatement"/>
      </w:pPr>
      <w:r>
        <w:t xml:space="preserve">This is a compilation of the </w:t>
      </w:r>
      <w:r>
        <w:rPr>
          <w:i/>
          <w:noProof/>
        </w:rPr>
        <w:t>Security and Related Activities (Control) Regulations 1997</w:t>
      </w:r>
      <w:r>
        <w:t xml:space="preserve"> and includes amendments made by other written laws. For provisions that have come into operation, and for information about any reprints, see the compilation table.</w:t>
      </w:r>
      <w:ins w:id="304" w:author="Master Repository Process" w:date="2025-06-16T11:49:00Z">
        <w:r>
          <w:t xml:space="preserve"> For provisions that have not yet come into operation see the uncommenced provisions table.</w:t>
        </w:r>
      </w:ins>
    </w:p>
    <w:p>
      <w:pPr>
        <w:pStyle w:val="nHeading3"/>
      </w:pPr>
      <w:bookmarkStart w:id="305" w:name="_Toc168930524"/>
      <w:bookmarkStart w:id="306" w:name="_Toc200371754"/>
      <w:r>
        <w:t>Compilation table</w:t>
      </w:r>
      <w:bookmarkEnd w:id="305"/>
      <w:bookmarkEnd w:id="306"/>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keepLines/>
              <w:spacing w:after="40"/>
              <w:rPr>
                <w:i/>
              </w:rPr>
            </w:pPr>
            <w:r>
              <w:rPr>
                <w:i/>
              </w:rPr>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bCs/>
                <w:snapToGrid w:val="0"/>
              </w:rPr>
            </w:pPr>
            <w:r>
              <w:rPr>
                <w:bCs/>
                <w:snapToGrid w:val="0"/>
              </w:rPr>
              <w:t xml:space="preserve">r. 1 and 2: </w:t>
            </w:r>
            <w:r>
              <w:t>2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bCs/>
                <w:snapToGrid w:val="0"/>
              </w:rPr>
            </w:pPr>
            <w:r>
              <w:rPr>
                <w:bCs/>
                <w:snapToGrid w:val="0"/>
              </w:rPr>
              <w:t>r. 1 and 2: 16 Jun 2015 (see r. 2(a));</w:t>
            </w:r>
            <w:r>
              <w:rPr>
                <w:bCs/>
                <w:snapToGrid w:val="0"/>
              </w:rPr>
              <w:br/>
              <w:t>Regulations other than r. 1 and 2: 17 Jun 2015 (see r. 2(b) and Gazette 16 Jun 2015 p. 2071)</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Security and Related Activities (Control) Regulations 1997</w:t>
            </w:r>
            <w:r>
              <w:rPr>
                <w:b/>
                <w:bCs/>
                <w:snapToGrid w:val="0"/>
                <w:spacing w:val="-2"/>
              </w:rPr>
              <w:t xml:space="preserve"> as at 4 Dec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Regulations Amendment (Fees and Charges) Regulations 2016 </w:t>
            </w:r>
            <w:r>
              <w:t>Pt. 5</w:t>
            </w:r>
          </w:p>
        </w:tc>
        <w:tc>
          <w:tcPr>
            <w:tcW w:w="1276" w:type="dxa"/>
            <w:shd w:val="clear" w:color="auto" w:fill="auto"/>
          </w:tcPr>
          <w:p>
            <w:pPr>
              <w:pStyle w:val="nTable"/>
              <w:spacing w:after="40"/>
            </w:pPr>
            <w:r>
              <w:t>14 Jun 2016 p. 1826</w:t>
            </w:r>
            <w:r>
              <w:noBreakHyphen/>
              <w:t>33</w:t>
            </w:r>
          </w:p>
        </w:tc>
        <w:tc>
          <w:tcPr>
            <w:tcW w:w="2693" w:type="dxa"/>
            <w:shd w:val="clear" w:color="auto" w:fill="auto"/>
          </w:tcPr>
          <w:p>
            <w:pPr>
              <w:pStyle w:val="nTable"/>
              <w:spacing w:after="40"/>
              <w:rPr>
                <w:bCs/>
                <w:snapToGrid w:val="0"/>
              </w:rPr>
            </w:pPr>
            <w:r>
              <w:t>1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2016</w:t>
            </w:r>
          </w:p>
        </w:tc>
        <w:tc>
          <w:tcPr>
            <w:tcW w:w="1276" w:type="dxa"/>
            <w:shd w:val="clear" w:color="auto" w:fill="auto"/>
          </w:tcPr>
          <w:p>
            <w:pPr>
              <w:pStyle w:val="nTable"/>
              <w:spacing w:after="40"/>
            </w:pPr>
            <w:r>
              <w:t>29 Jul 2016 p. 3243-57</w:t>
            </w:r>
          </w:p>
        </w:tc>
        <w:tc>
          <w:tcPr>
            <w:tcW w:w="2693" w:type="dxa"/>
            <w:shd w:val="clear" w:color="auto" w:fill="auto"/>
          </w:tcPr>
          <w:p>
            <w:pPr>
              <w:pStyle w:val="nTable"/>
              <w:spacing w:after="40"/>
            </w:pPr>
            <w:r>
              <w:rPr>
                <w:bCs/>
                <w:snapToGrid w:val="0"/>
                <w:spacing w:val="-2"/>
              </w:rPr>
              <w:t>r. 1 and 2: 29 Jul 2016 (see r. 2(a));</w:t>
            </w:r>
            <w:r>
              <w:rPr>
                <w:bCs/>
                <w:snapToGrid w:val="0"/>
                <w:spacing w:val="-2"/>
              </w:rPr>
              <w:br/>
              <w:t>Regulations other than r. 1 and 2: 30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Service Regulations Amendment (Public Health) Regulations 2016 </w:t>
            </w:r>
            <w:r>
              <w:t>Pt. 4</w:t>
            </w:r>
          </w:p>
        </w:tc>
        <w:tc>
          <w:tcPr>
            <w:tcW w:w="1276" w:type="dxa"/>
            <w:shd w:val="clear" w:color="auto" w:fill="auto"/>
          </w:tcPr>
          <w:p>
            <w:pPr>
              <w:pStyle w:val="nTable"/>
              <w:spacing w:after="40"/>
            </w:pPr>
            <w:r>
              <w:t>10 Jan 2017 p. 221-4</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Police Regulations Amendment (Poisons) Regulations 2016</w:t>
            </w:r>
            <w:r>
              <w:t xml:space="preserve"> Pt. 4</w:t>
            </w:r>
          </w:p>
        </w:tc>
        <w:tc>
          <w:tcPr>
            <w:tcW w:w="1276" w:type="dxa"/>
            <w:shd w:val="clear" w:color="auto" w:fill="auto"/>
          </w:tcPr>
          <w:p>
            <w:pPr>
              <w:pStyle w:val="nTable"/>
              <w:spacing w:after="40"/>
            </w:pPr>
            <w:r>
              <w:t>17 Jan 2017 p. 412</w:t>
            </w:r>
            <w:r>
              <w:noBreakHyphen/>
              <w:t>17</w:t>
            </w:r>
          </w:p>
        </w:tc>
        <w:tc>
          <w:tcPr>
            <w:tcW w:w="2693" w:type="dxa"/>
            <w:shd w:val="clear" w:color="auto" w:fill="auto"/>
          </w:tcPr>
          <w:p>
            <w:pPr>
              <w:pStyle w:val="nTable"/>
              <w:spacing w:after="40"/>
            </w:pPr>
            <w:r>
              <w:t xml:space="preserve">30 Jan 2017 (see r. 2(b) and </w:t>
            </w:r>
            <w:r>
              <w:rPr>
                <w:i/>
              </w:rPr>
              <w:t>Gazette</w:t>
            </w:r>
            <w:r>
              <w:t xml:space="preserve"> 17 Jan 2017 p. 403)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2017</w:t>
            </w:r>
            <w:r>
              <w:t xml:space="preserve"> Pt. 5</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2018</w:t>
            </w:r>
            <w:r>
              <w:t xml:space="preserve"> Pt. 5</w:t>
            </w:r>
          </w:p>
        </w:tc>
        <w:tc>
          <w:tcPr>
            <w:tcW w:w="1276" w:type="dxa"/>
            <w:shd w:val="clear" w:color="auto" w:fill="auto"/>
          </w:tcPr>
          <w:p>
            <w:pPr>
              <w:pStyle w:val="nTable"/>
              <w:spacing w:after="40"/>
            </w:pPr>
            <w:r>
              <w:t>26 Jun 2018 p. 2392</w:t>
            </w:r>
            <w:r>
              <w:noBreakHyphen/>
              <w:t>400</w:t>
            </w:r>
          </w:p>
        </w:tc>
        <w:tc>
          <w:tcPr>
            <w:tcW w:w="2693" w:type="dxa"/>
            <w:shd w:val="clear" w:color="auto" w:fill="auto"/>
          </w:tcPr>
          <w:p>
            <w:pPr>
              <w:pStyle w:val="nTable"/>
              <w:spacing w:after="40"/>
            </w:pPr>
            <w:r>
              <w:t>1 Jul 2018 (see r. 2(b))</w:t>
            </w:r>
          </w:p>
        </w:tc>
      </w:tr>
      <w:tr>
        <w:tc>
          <w:tcPr>
            <w:tcW w:w="3119" w:type="dxa"/>
            <w:tcBorders>
              <w:top w:val="nil"/>
              <w:bottom w:val="nil"/>
            </w:tcBorders>
            <w:shd w:val="clear" w:color="auto" w:fill="auto"/>
          </w:tcPr>
          <w:p>
            <w:pPr>
              <w:pStyle w:val="nTable"/>
              <w:spacing w:after="40"/>
              <w:rPr>
                <w:i/>
              </w:rPr>
            </w:pPr>
            <w:r>
              <w:rPr>
                <w:i/>
              </w:rPr>
              <w:t>Police Regulations Amendment (Fees and Charges) Regulations 2019</w:t>
            </w:r>
            <w:r>
              <w:t xml:space="preserve"> Pt. 5</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2020</w:t>
            </w:r>
            <w:r>
              <w:t xml:space="preserve"> Pt. 5</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2020</w:t>
            </w:r>
          </w:p>
        </w:tc>
        <w:tc>
          <w:tcPr>
            <w:tcW w:w="1276" w:type="dxa"/>
            <w:tcBorders>
              <w:top w:val="nil"/>
              <w:bottom w:val="nil"/>
            </w:tcBorders>
            <w:shd w:val="clear" w:color="auto" w:fill="auto"/>
          </w:tcPr>
          <w:p>
            <w:pPr>
              <w:pStyle w:val="nTable"/>
              <w:spacing w:after="40"/>
            </w:pPr>
            <w:r>
              <w:t>SL 2020/171 25 Sep 2020</w:t>
            </w:r>
          </w:p>
        </w:tc>
        <w:tc>
          <w:tcPr>
            <w:tcW w:w="2693" w:type="dxa"/>
            <w:tcBorders>
              <w:top w:val="nil"/>
              <w:bottom w:val="nil"/>
            </w:tcBorders>
            <w:shd w:val="clear" w:color="auto" w:fill="auto"/>
          </w:tcPr>
          <w:p>
            <w:pPr>
              <w:pStyle w:val="nTable"/>
              <w:spacing w:after="40"/>
            </w:pPr>
            <w:r>
              <w:t>r. 1 and 2: 25 Sep 2020 (see r. 2(a));</w:t>
            </w:r>
            <w:r>
              <w:br/>
              <w:t>Regulations other than r. 1 and 2: 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 xml:space="preserve">SL 2021/106 29 Jun 2021 </w:t>
            </w:r>
          </w:p>
        </w:tc>
        <w:tc>
          <w:tcPr>
            <w:tcW w:w="2693"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2022</w:t>
            </w:r>
            <w:r>
              <w:t xml:space="preserve"> Pt. 5</w:t>
            </w:r>
          </w:p>
        </w:tc>
        <w:tc>
          <w:tcPr>
            <w:tcW w:w="1276" w:type="dxa"/>
            <w:tcBorders>
              <w:top w:val="nil"/>
              <w:bottom w:val="nil"/>
            </w:tcBorders>
            <w:shd w:val="clear" w:color="auto" w:fill="auto"/>
          </w:tcPr>
          <w:p>
            <w:pPr>
              <w:pStyle w:val="nTable"/>
              <w:spacing w:after="40"/>
            </w:pPr>
            <w:r>
              <w:t>SL 2022/65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2022</w:t>
            </w:r>
          </w:p>
        </w:tc>
        <w:tc>
          <w:tcPr>
            <w:tcW w:w="1276" w:type="dxa"/>
            <w:tcBorders>
              <w:top w:val="nil"/>
              <w:bottom w:val="nil"/>
            </w:tcBorders>
            <w:shd w:val="clear" w:color="auto" w:fill="auto"/>
          </w:tcPr>
          <w:p>
            <w:pPr>
              <w:pStyle w:val="nTable"/>
              <w:spacing w:after="40"/>
            </w:pPr>
            <w:r>
              <w:t>SL 2022/211 16 Dec 2022</w:t>
            </w:r>
          </w:p>
        </w:tc>
        <w:tc>
          <w:tcPr>
            <w:tcW w:w="2693" w:type="dxa"/>
            <w:tcBorders>
              <w:top w:val="nil"/>
              <w:bottom w:val="nil"/>
            </w:tcBorders>
            <w:shd w:val="clear" w:color="auto" w:fill="auto"/>
          </w:tcPr>
          <w:p>
            <w:pPr>
              <w:pStyle w:val="nTable"/>
              <w:spacing w:after="40"/>
            </w:pPr>
            <w:r>
              <w:t>r. 1 and 2: 16 Dec 2022 (see r. 2(a));</w:t>
            </w:r>
            <w:r>
              <w:br/>
              <w:t>Regulations other than r. 1 and 2: 17 Dec 2022 (see r. 2(b))</w:t>
            </w:r>
          </w:p>
        </w:tc>
      </w:tr>
      <w:tr>
        <w:trPr>
          <w:cantSplit/>
        </w:trPr>
        <w:tc>
          <w:tcPr>
            <w:tcW w:w="3119" w:type="dxa"/>
            <w:tcBorders>
              <w:top w:val="nil"/>
              <w:bottom w:val="single" w:sz="4" w:space="0" w:color="auto"/>
            </w:tcBorders>
            <w:shd w:val="clear" w:color="auto" w:fill="auto"/>
          </w:tcPr>
          <w:p>
            <w:pPr>
              <w:pStyle w:val="nTable"/>
              <w:spacing w:after="40"/>
              <w:rPr>
                <w:i/>
              </w:rPr>
            </w:pPr>
            <w:r>
              <w:rPr>
                <w:i/>
              </w:rPr>
              <w:t xml:space="preserve">Police Regulations Amendment (Fees and Charges) Regulations 2023 </w:t>
            </w:r>
            <w:r>
              <w:t>Pt. 5</w:t>
            </w:r>
          </w:p>
        </w:tc>
        <w:tc>
          <w:tcPr>
            <w:tcW w:w="1276" w:type="dxa"/>
            <w:tcBorders>
              <w:top w:val="nil"/>
              <w:bottom w:val="single" w:sz="4" w:space="0" w:color="auto"/>
            </w:tcBorders>
            <w:shd w:val="clear" w:color="auto" w:fill="auto"/>
          </w:tcPr>
          <w:p>
            <w:pPr>
              <w:pStyle w:val="nTable"/>
              <w:spacing w:after="40"/>
            </w:pPr>
            <w:r>
              <w:t>SL 2023/74 16 Jun 2023</w:t>
            </w:r>
          </w:p>
        </w:tc>
        <w:tc>
          <w:tcPr>
            <w:tcW w:w="2693" w:type="dxa"/>
            <w:tcBorders>
              <w:top w:val="nil"/>
              <w:bottom w:val="single" w:sz="4" w:space="0" w:color="auto"/>
            </w:tcBorders>
            <w:shd w:val="clear" w:color="auto" w:fill="auto"/>
          </w:tcPr>
          <w:p>
            <w:pPr>
              <w:pStyle w:val="nTable"/>
              <w:spacing w:after="40"/>
            </w:pPr>
            <w:r>
              <w:t>1 Jul 2023 (see r. 2(b))</w:t>
            </w:r>
          </w:p>
        </w:tc>
      </w:tr>
    </w:tbl>
    <w:p>
      <w:pPr>
        <w:pStyle w:val="nHeading3"/>
        <w:rPr>
          <w:ins w:id="307" w:author="Master Repository Process" w:date="2025-06-16T11:49:00Z"/>
        </w:rPr>
      </w:pPr>
      <w:bookmarkStart w:id="308" w:name="_Toc168930525"/>
      <w:ins w:id="309" w:author="Master Repository Process" w:date="2025-06-16T11:49:00Z">
        <w:r>
          <w:t>Uncommenced provisions table</w:t>
        </w:r>
        <w:bookmarkEnd w:id="308"/>
      </w:ins>
    </w:p>
    <w:p>
      <w:pPr>
        <w:pStyle w:val="nStatement"/>
        <w:keepNext/>
        <w:spacing w:after="240"/>
        <w:rPr>
          <w:ins w:id="310" w:author="Master Repository Process" w:date="2025-06-16T11:49:00Z"/>
        </w:rPr>
      </w:pPr>
      <w:ins w:id="311" w:author="Master Repository Process" w:date="2025-06-16T11:49: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12" w:author="Master Repository Process" w:date="2025-06-16T11:49:00Z"/>
        </w:trPr>
        <w:tc>
          <w:tcPr>
            <w:tcW w:w="3118" w:type="dxa"/>
          </w:tcPr>
          <w:p>
            <w:pPr>
              <w:pStyle w:val="nTable"/>
              <w:spacing w:after="40"/>
              <w:rPr>
                <w:ins w:id="313" w:author="Master Repository Process" w:date="2025-06-16T11:49:00Z"/>
                <w:b/>
              </w:rPr>
            </w:pPr>
            <w:ins w:id="314" w:author="Master Repository Process" w:date="2025-06-16T11:49:00Z">
              <w:r>
                <w:rPr>
                  <w:b/>
                </w:rPr>
                <w:t>Citation</w:t>
              </w:r>
            </w:ins>
          </w:p>
        </w:tc>
        <w:tc>
          <w:tcPr>
            <w:tcW w:w="1276" w:type="dxa"/>
          </w:tcPr>
          <w:p>
            <w:pPr>
              <w:pStyle w:val="nTable"/>
              <w:spacing w:after="40"/>
              <w:rPr>
                <w:ins w:id="315" w:author="Master Repository Process" w:date="2025-06-16T11:49:00Z"/>
                <w:b/>
              </w:rPr>
            </w:pPr>
            <w:ins w:id="316" w:author="Master Repository Process" w:date="2025-06-16T11:49:00Z">
              <w:r>
                <w:rPr>
                  <w:b/>
                </w:rPr>
                <w:t>Published</w:t>
              </w:r>
            </w:ins>
          </w:p>
        </w:tc>
        <w:tc>
          <w:tcPr>
            <w:tcW w:w="2693" w:type="dxa"/>
          </w:tcPr>
          <w:p>
            <w:pPr>
              <w:pStyle w:val="nTable"/>
              <w:spacing w:after="40"/>
              <w:rPr>
                <w:ins w:id="317" w:author="Master Repository Process" w:date="2025-06-16T11:49:00Z"/>
                <w:b/>
              </w:rPr>
            </w:pPr>
            <w:ins w:id="318" w:author="Master Repository Process" w:date="2025-06-16T11:49:00Z">
              <w:r>
                <w:rPr>
                  <w:b/>
                </w:rPr>
                <w:t>Commencement</w:t>
              </w:r>
            </w:ins>
          </w:p>
        </w:tc>
      </w:tr>
      <w:tr>
        <w:trPr>
          <w:ins w:id="319" w:author="Master Repository Process" w:date="2025-06-16T11:49:00Z"/>
        </w:trPr>
        <w:tc>
          <w:tcPr>
            <w:tcW w:w="3118" w:type="dxa"/>
          </w:tcPr>
          <w:p>
            <w:pPr>
              <w:pStyle w:val="nTable"/>
              <w:spacing w:after="40"/>
              <w:rPr>
                <w:ins w:id="320" w:author="Master Repository Process" w:date="2025-06-16T11:49:00Z"/>
              </w:rPr>
            </w:pPr>
            <w:ins w:id="321" w:author="Master Repository Process" w:date="2025-06-16T11:49:00Z">
              <w:r>
                <w:rPr>
                  <w:i/>
                </w:rPr>
                <w:t>Police Regulations Amendment (Fees and Charges) Regulations 2024</w:t>
              </w:r>
              <w:r>
                <w:rPr>
                  <w:iCs/>
                </w:rPr>
                <w:t xml:space="preserve"> Pt. 5</w:t>
              </w:r>
            </w:ins>
          </w:p>
        </w:tc>
        <w:tc>
          <w:tcPr>
            <w:tcW w:w="1276" w:type="dxa"/>
          </w:tcPr>
          <w:p>
            <w:pPr>
              <w:pStyle w:val="nTable"/>
              <w:spacing w:after="40"/>
              <w:rPr>
                <w:ins w:id="322" w:author="Master Repository Process" w:date="2025-06-16T11:49:00Z"/>
              </w:rPr>
            </w:pPr>
            <w:ins w:id="323" w:author="Master Repository Process" w:date="2025-06-16T11:49:00Z">
              <w:r>
                <w:t>SL 2024/94 12 Jun 2024</w:t>
              </w:r>
            </w:ins>
          </w:p>
        </w:tc>
        <w:tc>
          <w:tcPr>
            <w:tcW w:w="2693" w:type="dxa"/>
          </w:tcPr>
          <w:p>
            <w:pPr>
              <w:pStyle w:val="nTable"/>
              <w:spacing w:after="40"/>
              <w:rPr>
                <w:ins w:id="324" w:author="Master Repository Process" w:date="2025-06-16T11:49:00Z"/>
              </w:rPr>
            </w:pPr>
            <w:ins w:id="325" w:author="Master Repository Process" w:date="2025-06-16T11:49:00Z">
              <w:r>
                <w:t>1 Jul 2024 (see r. 2(b))</w:t>
              </w:r>
            </w:ins>
          </w:p>
        </w:tc>
      </w:tr>
    </w:tbl>
    <w:p>
      <w:pPr>
        <w:pStyle w:val="nHeading3"/>
      </w:pPr>
      <w:bookmarkStart w:id="326" w:name="_Toc168930526"/>
      <w:bookmarkStart w:id="327" w:name="_Toc200371755"/>
      <w:r>
        <w:t>Other notes</w:t>
      </w:r>
      <w:bookmarkEnd w:id="326"/>
      <w:bookmarkEnd w:id="327"/>
    </w:p>
    <w:p>
      <w:pPr>
        <w:pStyle w:val="nNote"/>
        <w:keepNext/>
        <w:spacing w:before="160"/>
      </w:pPr>
      <w:r>
        <w:rPr>
          <w:szCs w:val="13"/>
          <w:vertAlign w:val="superscript"/>
        </w:rPr>
        <w:t>1</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
      <w:pPr>
        <w:sectPr>
          <w:headerReference w:type="even" r:id="rId31"/>
          <w:headerReference w:type="default" r:id="rId32"/>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29" w:author="Master Repository Process" w:date="2025-06-16T11:49:00Z">
                              <w:r>
                                <w:rPr>
                                  <w:sz w:val="16"/>
                                </w:rPr>
                                <w:delText>2023</w:delText>
                              </w:r>
                            </w:del>
                            <w:ins w:id="330" w:author="Master Repository Process" w:date="2025-06-16T11:49: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31" w:author="Master Repository Process" w:date="2025-06-16T11:49:00Z">
                              <w:r>
                                <w:rPr>
                                  <w:sz w:val="16"/>
                                </w:rPr>
                                <w:delText>2023</w:delText>
                              </w:r>
                            </w:del>
                            <w:ins w:id="332" w:author="Master Repository Process" w:date="2025-06-16T11:49: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33" w:author="Master Repository Process" w:date="2025-06-16T11:49:00Z">
                        <w:r>
                          <w:rPr>
                            <w:sz w:val="16"/>
                          </w:rPr>
                          <w:delText>2023</w:delText>
                        </w:r>
                      </w:del>
                      <w:ins w:id="334" w:author="Master Repository Process" w:date="2025-06-16T11:49: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35" w:author="Master Repository Process" w:date="2025-06-16T11:49:00Z">
                        <w:r>
                          <w:rPr>
                            <w:sz w:val="16"/>
                          </w:rPr>
                          <w:delText>2023</w:delText>
                        </w:r>
                      </w:del>
                      <w:ins w:id="336" w:author="Master Repository Process" w:date="2025-06-16T11:49: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07-t0-01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07-u0-00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07-t0-01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07-t0-01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3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9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884" w:type="dxa"/>
        </w:tcPr>
        <w:p>
          <w:pPr>
            <w:pStyle w:val="Header"/>
            <w:spacing w:before="40"/>
            <w:jc w:val="right"/>
          </w:pPr>
          <w:r>
            <w:fldChar w:fldCharType="begin"/>
          </w:r>
          <w:r>
            <w:instrText>styleref CharPartText</w:instrText>
          </w:r>
          <w:r>
            <w:fldChar w:fldCharType="separate"/>
          </w:r>
          <w:r>
            <w:t>Preliminary</w: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4A</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97"/>
      <w:gridCol w:w="576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497" w:type="dxa"/>
        </w:tcPr>
        <w:p>
          <w:pPr>
            <w:pStyle w:val="Header"/>
            <w:spacing w:before="40"/>
          </w:pPr>
          <w:r>
            <w:rPr>
              <w:b/>
            </w:rPr>
            <w:fldChar w:fldCharType="begin"/>
          </w:r>
          <w:r>
            <w:rPr>
              <w:b/>
            </w:rPr>
            <w:instrText>styleref CharSchno</w:instrText>
          </w:r>
          <w:r>
            <w:rPr>
              <w:b/>
            </w:rPr>
            <w:fldChar w:fldCharType="end"/>
          </w:r>
        </w:p>
      </w:tc>
      <w:tc>
        <w:tcPr>
          <w:tcW w:w="5766" w:type="dxa"/>
        </w:tcPr>
        <w:p>
          <w:pPr>
            <w:pStyle w:val="Header"/>
            <w:spacing w:before="40"/>
          </w:pPr>
          <w:r>
            <w:fldChar w:fldCharType="begin"/>
          </w:r>
          <w:r>
            <w:instrText>styleref CharSchText</w:instrText>
          </w:r>
          <w:r>
            <w:fldChar w:fldCharType="end"/>
          </w:r>
        </w:p>
      </w:tc>
    </w:tr>
    <w:tr>
      <w:trPr>
        <w:jc w:val="center"/>
      </w:trPr>
      <w:tc>
        <w:tcPr>
          <w:tcW w:w="1497" w:type="dxa"/>
        </w:tcPr>
        <w:p>
          <w:pPr>
            <w:pStyle w:val="Header"/>
            <w:spacing w:before="40"/>
          </w:pPr>
          <w:r>
            <w:rPr>
              <w:b/>
            </w:rPr>
            <w:fldChar w:fldCharType="begin"/>
          </w:r>
          <w:r>
            <w:rPr>
              <w:b/>
            </w:rPr>
            <w:instrText xml:space="preserve"> STYLEREF CharSDivNo \* charformat</w:instrText>
          </w:r>
          <w:r>
            <w:rPr>
              <w:b/>
            </w:rPr>
            <w:fldChar w:fldCharType="end"/>
          </w:r>
        </w:p>
      </w:tc>
      <w:tc>
        <w:tcPr>
          <w:tcW w:w="5766" w:type="dxa"/>
        </w:tcPr>
        <w:p>
          <w:pPr>
            <w:pStyle w:val="Header"/>
            <w:spacing w:before="40"/>
          </w:pPr>
          <w:r>
            <w:fldChar w:fldCharType="begin"/>
          </w:r>
          <w:r>
            <w:instrText>styleref CharSDivText</w:instrText>
          </w:r>
          <w:r>
            <w:fldChar w:fldCharType="end"/>
          </w:r>
        </w:p>
      </w:tc>
    </w:tr>
    <w:tr>
      <w:trPr>
        <w:jc w:val="center"/>
      </w:trP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6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bookmarkStart w:id="263" w:name="Schedule"/>
    <w:bookmarkEnd w:id="26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Division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Division 2 offences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 for infringement notices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Prescribed offences and modified penalties for infringement notices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5</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28" w:name="Compilation"/>
    <w:bookmarkEnd w:id="32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37" w:name="Coversheet"/>
    <w:bookmarkEnd w:id="3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7134827"/>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 w:name="WAFER_20170112084002" w:val="RemoveTocBookmarks,RemoveUnusedBookmarks,RemoveLanguageTags,UsedStyles,ResetPageSize"/>
    <w:docVar w:name="WAFER_20170112084002_GUID" w:val="f00d2172-0063-4220-9f52-6ae2ef31b006"/>
    <w:docVar w:name="WAFER_202006181512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51237_GUID" w:val="bd73fba4-4e34-456d-9727-5c7a98015662"/>
    <w:docVar w:name="WAFER_20200623095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5946_GUID" w:val="dc648999-51c4-4219-a2da-ba19166de4a5"/>
    <w:docVar w:name="WAFER_20200922171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71347_GUID" w:val="e709533c-ecd4-45f8-87d8-1f8b0f8e3c0d"/>
    <w:docVar w:name="WAFER_20210628111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240_GUID" w:val="80ae8f59-e4bb-404f-b1b5-d61ee6a8992f"/>
    <w:docVar w:name="WAFER_202206010909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905_GUID" w:val="c77cfb01-5732-446f-b33f-b1d4408536d0"/>
    <w:docVar w:name="WAFER_202206241114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31_GUID" w:val="c119d31c-a1c8-4cf0-b49e-fc396886a5dc"/>
    <w:docVar w:name="WAFER_202212151047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5104746_GUID" w:val="485eea64-3c11-4ac5-a7d5-abcce315f79e"/>
    <w:docVar w:name="WAFER_20230613155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907_GUID" w:val="1aa7cb3a-f50a-4158-bdbd-ad8b18dcc044"/>
    <w:docVar w:name="WAFER_20230626170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0608_GUID" w:val="8694cae0-b902-4018-bdd3-06aa2907f8a9"/>
    <w:docVar w:name="WAFER_202312281610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002_GUID" w:val="a45a3fe5-d2bb-44b0-94e4-2881e3f084b1"/>
    <w:docVar w:name="WAFER_20240607134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34827_GUID" w:val="04225664-d3ea-41d0-a8eb-87f4d5241f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671380">
      <w:bodyDiv w:val="1"/>
      <w:marLeft w:val="0"/>
      <w:marRight w:val="0"/>
      <w:marTop w:val="0"/>
      <w:marBottom w:val="0"/>
      <w:divBdr>
        <w:top w:val="none" w:sz="0" w:space="0" w:color="auto"/>
        <w:left w:val="none" w:sz="0" w:space="0" w:color="auto"/>
        <w:bottom w:val="none" w:sz="0" w:space="0" w:color="auto"/>
        <w:right w:val="none" w:sz="0" w:space="0" w:color="auto"/>
      </w:divBdr>
    </w:div>
    <w:div w:id="952788886">
      <w:bodyDiv w:val="1"/>
      <w:marLeft w:val="0"/>
      <w:marRight w:val="0"/>
      <w:marTop w:val="0"/>
      <w:marBottom w:val="0"/>
      <w:divBdr>
        <w:top w:val="none" w:sz="0" w:space="0" w:color="auto"/>
        <w:left w:val="none" w:sz="0" w:space="0" w:color="auto"/>
        <w:bottom w:val="none" w:sz="0" w:space="0" w:color="auto"/>
        <w:right w:val="none" w:sz="0" w:space="0" w:color="auto"/>
      </w:divBdr>
    </w:div>
    <w:div w:id="12645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C396C-84AB-4356-BFD7-B3DC03A64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16931</Words>
  <Characters>82458</Characters>
  <Application>Microsoft Office Word</Application>
  <DocSecurity>0</DocSecurity>
  <Lines>2748</Lines>
  <Paragraphs>1629</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97760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07-t0-01 - 07-u0-00</dc:title>
  <dc:subject/>
  <dc:creator/>
  <cp:keywords/>
  <dc:description/>
  <cp:lastModifiedBy>Master Repository Process</cp:lastModifiedBy>
  <cp:revision>2</cp:revision>
  <cp:lastPrinted>2016-07-28T08:24:00Z</cp:lastPrinted>
  <dcterms:created xsi:type="dcterms:W3CDTF">2025-06-16T03:48:00Z</dcterms:created>
  <dcterms:modified xsi:type="dcterms:W3CDTF">2025-06-16T03:49:00Z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Official">
    <vt:lpwstr/>
  </property>
  <property fmtid="{D5CDD505-2E9C-101B-9397-08002B2CF9AE}" pid="9" name="CommencementDate">
    <vt:lpwstr>20240612</vt:lpwstr>
  </property>
  <property fmtid="{D5CDD505-2E9C-101B-9397-08002B2CF9AE}" pid="10" name="CommencementAsAt">
    <vt:filetime>2024-06-11T16:00:00Z</vt:filetime>
  </property>
  <property fmtid="{D5CDD505-2E9C-101B-9397-08002B2CF9AE}" pid="11" name="CommencementYear">
    <vt:lpwstr>2024</vt:lpwstr>
  </property>
  <property fmtid="{D5CDD505-2E9C-101B-9397-08002B2CF9AE}" pid="12" name="FromSuffix">
    <vt:lpwstr>07-t0-01</vt:lpwstr>
  </property>
  <property fmtid="{D5CDD505-2E9C-101B-9397-08002B2CF9AE}" pid="13" name="FromAsAtDate">
    <vt:lpwstr>01 Jul 2023</vt:lpwstr>
  </property>
  <property fmtid="{D5CDD505-2E9C-101B-9397-08002B2CF9AE}" pid="14" name="ToSuffix">
    <vt:lpwstr>07-u0-00</vt:lpwstr>
  </property>
  <property fmtid="{D5CDD505-2E9C-101B-9397-08002B2CF9AE}" pid="15" name="ToAsAtDate">
    <vt:lpwstr>12 Jun 2024</vt:lpwstr>
  </property>
</Properties>
</file>