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Aug 2020</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Workers’ Compensation and Injury Management Act 1981</w:t>
      </w:r>
    </w:p>
    <w:p>
      <w:pPr>
        <w:pStyle w:val="NameofActReg"/>
      </w:pPr>
      <w:r>
        <w:t>Workers’ Compensation and Injury Management Arbitration Rules 2011</w:t>
      </w:r>
    </w:p>
    <w:p>
      <w:pPr>
        <w:pStyle w:val="Heading2"/>
        <w:pageBreakBefore w:val="0"/>
        <w:spacing w:before="240"/>
      </w:pPr>
      <w:bookmarkStart w:id="1" w:name="_Toc170305611"/>
      <w:bookmarkStart w:id="2" w:name="_Toc170305899"/>
      <w:bookmarkStart w:id="3" w:name="_Toc170370559"/>
      <w:bookmarkStart w:id="4" w:name="_Toc48550755"/>
      <w:bookmarkStart w:id="5" w:name="_Toc48574905"/>
      <w:bookmarkStart w:id="6" w:name="_Toc4863779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70370560"/>
      <w:bookmarkStart w:id="8" w:name="_Toc48637796"/>
      <w:r>
        <w:rPr>
          <w:rStyle w:val="CharSectno"/>
        </w:rPr>
        <w:t>1</w:t>
      </w:r>
      <w:r>
        <w:t>.</w:t>
      </w:r>
      <w:r>
        <w:tab/>
        <w:t>Citation</w:t>
      </w:r>
      <w:bookmarkEnd w:id="7"/>
      <w:bookmarkEnd w:id="8"/>
    </w:p>
    <w:p>
      <w:pPr>
        <w:pStyle w:val="Subsection"/>
        <w:rPr>
          <w:i/>
        </w:rPr>
      </w:pPr>
      <w:r>
        <w:tab/>
      </w:r>
      <w:r>
        <w:tab/>
      </w:r>
      <w:bookmarkStart w:id="9" w:name="Start_Cursor"/>
      <w:bookmarkEnd w:id="9"/>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10" w:name="_Toc170370561"/>
      <w:bookmarkStart w:id="11" w:name="_Toc48637797"/>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12" w:name="_Toc170370562"/>
      <w:bookmarkStart w:id="13" w:name="_Toc48637798"/>
      <w:r>
        <w:rPr>
          <w:rStyle w:val="CharSectno"/>
        </w:rPr>
        <w:t>3</w:t>
      </w:r>
      <w:r>
        <w:t>.</w:t>
      </w:r>
      <w:r>
        <w:tab/>
        <w:t>Terms used</w:t>
      </w:r>
      <w:bookmarkEnd w:id="12"/>
      <w:bookmarkEnd w:id="13"/>
    </w:p>
    <w:p>
      <w:pPr>
        <w:pStyle w:val="Subsection"/>
      </w:pPr>
      <w:r>
        <w:tab/>
        <w:t>(1)</w:t>
      </w:r>
      <w:r>
        <w:tab/>
        <w:t xml:space="preserve">In these rules, unless the contrary intention appears — </w:t>
      </w:r>
    </w:p>
    <w:p>
      <w:pPr>
        <w:pStyle w:val="Defstart"/>
      </w:pPr>
      <w:r>
        <w:tab/>
      </w:r>
      <w:r>
        <w:rPr>
          <w:rStyle w:val="CharDefText"/>
        </w:rPr>
        <w:t>application for arbitration</w:t>
      </w:r>
      <w:r>
        <w:t xml:space="preserve"> means — </w:t>
      </w:r>
    </w:p>
    <w:p>
      <w:pPr>
        <w:pStyle w:val="Defpara"/>
      </w:pPr>
      <w:r>
        <w:tab/>
        <w:t>(a)</w:t>
      </w:r>
      <w:r>
        <w:tab/>
        <w:t>an application under section 182ZT; or</w:t>
      </w:r>
    </w:p>
    <w:p>
      <w:pPr>
        <w:pStyle w:val="Defpara"/>
      </w:pPr>
      <w:r>
        <w:tab/>
        <w:t>(b)</w:t>
      </w:r>
      <w:r>
        <w:tab/>
        <w:t>a fatality compensation application, whether or not liability is accepted in respect of the compensation claimed;</w:t>
      </w:r>
    </w:p>
    <w:p>
      <w:pPr>
        <w:pStyle w:val="Defstart"/>
      </w:pPr>
    </w:p>
    <w:p>
      <w:pPr>
        <w:pStyle w:val="Defstart"/>
      </w:pPr>
      <w:r>
        <w:tab/>
      </w:r>
      <w:r>
        <w:rPr>
          <w:rStyle w:val="CharDefText"/>
        </w:rPr>
        <w:t>approved form</w:t>
      </w:r>
      <w:r>
        <w:t xml:space="preserve"> means a form approved under rule 77;</w:t>
      </w:r>
    </w:p>
    <w:p>
      <w:pPr>
        <w:pStyle w:val="Defstart"/>
      </w:pPr>
      <w:r>
        <w:lastRenderedPageBreak/>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claimant</w:t>
      </w:r>
      <w:r>
        <w:t xml:space="preserve"> has the meaning given in section 72C;</w:t>
      </w:r>
    </w:p>
    <w:p>
      <w:pPr>
        <w:pStyle w:val="Defstart"/>
      </w:pPr>
      <w:r>
        <w:tab/>
      </w:r>
      <w:r>
        <w:rPr>
          <w:rStyle w:val="CharDefText"/>
        </w:rPr>
        <w:t>EDS</w:t>
      </w:r>
      <w:r>
        <w:t xml:space="preserve"> means the electronic document system operated by or on behalf of the Arbitration Service that enables — </w:t>
      </w:r>
    </w:p>
    <w:p>
      <w:pPr>
        <w:pStyle w:val="Defpara"/>
      </w:pPr>
      <w:r>
        <w:tab/>
        <w:t>(a)</w:t>
      </w:r>
      <w:r>
        <w:tab/>
        <w:t>applications for arbitration to be made; and</w:t>
      </w:r>
    </w:p>
    <w:p>
      <w:pPr>
        <w:pStyle w:val="Defpara"/>
      </w:pPr>
      <w:r>
        <w:tab/>
        <w:t>(b)</w:t>
      </w:r>
      <w:r>
        <w:tab/>
        <w:t>documents to be lodged with the Arbitration Service in relation to proceedings; and</w:t>
      </w:r>
    </w:p>
    <w:p>
      <w:pPr>
        <w:pStyle w:val="Defpara"/>
      </w:pPr>
      <w:r>
        <w:tab/>
        <w:t>(c)</w:t>
      </w:r>
      <w:r>
        <w:tab/>
        <w:t>notices to be given by the Registrar or an arbitrator to parties to proceedings;</w:t>
      </w:r>
    </w:p>
    <w:p>
      <w:pPr>
        <w:pStyle w:val="Defstart"/>
      </w:pPr>
      <w:r>
        <w:tab/>
      </w:r>
      <w:r>
        <w:rPr>
          <w:rStyle w:val="CharDefText"/>
        </w:rPr>
        <w:t>EDS exempt</w:t>
      </w:r>
      <w:r>
        <w:t>, in relation to a proceeding, has the meaning given in rule 3A;</w:t>
      </w:r>
    </w:p>
    <w:p>
      <w:pPr>
        <w:pStyle w:val="Defstart"/>
      </w:pPr>
      <w:r>
        <w:tab/>
      </w:r>
      <w:r>
        <w:rPr>
          <w:rStyle w:val="CharDefText"/>
        </w:rPr>
        <w:t>fatality compensation application</w:t>
      </w:r>
      <w:r>
        <w:t xml:space="preserve"> means an application under any of the following — </w:t>
      </w:r>
    </w:p>
    <w:p>
      <w:pPr>
        <w:pStyle w:val="Defpara"/>
      </w:pPr>
      <w:r>
        <w:tab/>
        <w:t>(a)</w:t>
      </w:r>
      <w:r>
        <w:tab/>
        <w:t>section 72H(3);</w:t>
      </w:r>
    </w:p>
    <w:p>
      <w:pPr>
        <w:pStyle w:val="Defpara"/>
      </w:pPr>
      <w:r>
        <w:tab/>
        <w:t>(b)</w:t>
      </w:r>
      <w:r>
        <w:tab/>
        <w:t>section 72I(3);</w:t>
      </w:r>
    </w:p>
    <w:p>
      <w:pPr>
        <w:pStyle w:val="Defpara"/>
      </w:pPr>
      <w:r>
        <w:tab/>
        <w:t>(c)</w:t>
      </w:r>
      <w:r>
        <w:tab/>
        <w:t>section 72J(8);</w:t>
      </w:r>
    </w:p>
    <w:p>
      <w:pPr>
        <w:pStyle w:val="Defpara"/>
      </w:pPr>
      <w:r>
        <w:tab/>
        <w:t>(d)</w:t>
      </w:r>
      <w:r>
        <w:tab/>
        <w:t>Schedule 1A clause 8(6) of the Act;</w:t>
      </w:r>
    </w:p>
    <w:p>
      <w:pPr>
        <w:pStyle w:val="Defpara"/>
      </w:pPr>
      <w:r>
        <w:tab/>
        <w:t>(e)</w:t>
      </w:r>
      <w:r>
        <w:tab/>
        <w:t>Schedule 1A clause 8(7) of the Act;</w:t>
      </w:r>
    </w:p>
    <w:p>
      <w:pPr>
        <w:pStyle w:val="Defstart"/>
      </w:pPr>
      <w:r>
        <w:tab/>
      </w:r>
      <w:r>
        <w:rPr>
          <w:rStyle w:val="CharDefText"/>
        </w:rPr>
        <w:t>interlocutory application</w:t>
      </w:r>
      <w:r>
        <w:t xml:space="preserve"> means an application or request for an order in a proceeding, other than an order that finally determines the dispute between the parties;</w:t>
      </w:r>
    </w:p>
    <w:p>
      <w:pPr>
        <w:pStyle w:val="Defstart"/>
      </w:pPr>
      <w:r>
        <w:tab/>
      </w:r>
      <w:r>
        <w:rPr>
          <w:rStyle w:val="CharDefText"/>
        </w:rPr>
        <w:t>proceeding</w:t>
      </w:r>
      <w:r>
        <w:t xml:space="preserve"> means a proceeding before an arbitrator;</w:t>
      </w:r>
    </w:p>
    <w:p>
      <w:pPr>
        <w:pStyle w:val="Defstart"/>
      </w:pPr>
      <w:r>
        <w:tab/>
      </w:r>
      <w:r>
        <w:rPr>
          <w:rStyle w:val="CharDefText"/>
        </w:rPr>
        <w:t>representative</w:t>
      </w:r>
      <w:r>
        <w:t xml:space="preserve"> has the meaning given in rule 51(1);</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Subsection"/>
      </w:pPr>
      <w:r>
        <w:lastRenderedPageBreak/>
        <w:tab/>
        <w:t>(2)</w:t>
      </w:r>
      <w:r>
        <w:tab/>
        <w:t>In these rules, in the case of a fatality compensation application, a reference to a party includes a reference to a claimant.</w:t>
      </w:r>
    </w:p>
    <w:p>
      <w:pPr>
        <w:pStyle w:val="Footnotesection"/>
        <w:spacing w:before="100"/>
        <w:ind w:left="890" w:hanging="890"/>
      </w:pPr>
      <w:r>
        <w:tab/>
        <w:t>[Rule 3 amended: Gazette 12 Jun 2015 p. 2045; 29 Jun 2018 p. 2447; SL 2020/137 r. 4.]</w:t>
      </w:r>
    </w:p>
    <w:p>
      <w:pPr>
        <w:pStyle w:val="Heading5"/>
      </w:pPr>
      <w:bookmarkStart w:id="14" w:name="_Toc170370563"/>
      <w:bookmarkStart w:id="15" w:name="_Toc48637799"/>
      <w:r>
        <w:rPr>
          <w:rStyle w:val="CharSectno"/>
        </w:rPr>
        <w:t>3A</w:t>
      </w:r>
      <w:r>
        <w:t>.</w:t>
      </w:r>
      <w:r>
        <w:tab/>
        <w:t>EDS exempt</w:t>
      </w:r>
      <w:bookmarkEnd w:id="14"/>
      <w:bookmarkEnd w:id="15"/>
    </w:p>
    <w:p>
      <w:pPr>
        <w:pStyle w:val="Subsection"/>
      </w:pPr>
      <w:r>
        <w:tab/>
        <w:t>(1)</w:t>
      </w:r>
      <w:r>
        <w:tab/>
        <w:t xml:space="preserve">A person is EDS exempt in relation to a proceeding at a particular time if, at that time — </w:t>
      </w:r>
    </w:p>
    <w:p>
      <w:pPr>
        <w:pStyle w:val="Indenta"/>
      </w:pPr>
      <w:r>
        <w:tab/>
        <w:t>(a)</w:t>
      </w:r>
      <w:r>
        <w:tab/>
        <w:t>the person is a party to the proceeding, is self</w:t>
      </w:r>
      <w:r>
        <w:noBreakHyphen/>
        <w:t>represented in relation to the proceeding and is neither an insurer nor a self</w:t>
      </w:r>
      <w:r>
        <w:noBreakHyphen/>
        <w:t>insurer; or</w:t>
      </w:r>
    </w:p>
    <w:p>
      <w:pPr>
        <w:pStyle w:val="Indenta"/>
      </w:pPr>
      <w:r>
        <w:tab/>
        <w:t>(b)</w:t>
      </w:r>
      <w:r>
        <w:tab/>
        <w:t>the person is exempt in relation to the proceeding under subrule (3).</w:t>
      </w:r>
    </w:p>
    <w:p>
      <w:pPr>
        <w:pStyle w:val="Subsection"/>
      </w:pPr>
      <w:r>
        <w:tab/>
        <w:t>(2)</w:t>
      </w:r>
      <w:r>
        <w:tab/>
        <w:t>A party is self</w:t>
      </w:r>
      <w:r>
        <w:noBreakHyphen/>
        <w:t xml:space="preserve">represented in relation to a proceeding if — </w:t>
      </w:r>
    </w:p>
    <w:p>
      <w:pPr>
        <w:pStyle w:val="Indenta"/>
      </w:pPr>
      <w:r>
        <w:tab/>
        <w:t>(a)</w:t>
      </w:r>
      <w:r>
        <w:tab/>
        <w:t>in the case of a worker or a claimant — a representative is not engaged by or on behalf of the worker or claimant to represent them in the proceeding; or</w:t>
      </w:r>
    </w:p>
    <w:p>
      <w:pPr>
        <w:pStyle w:val="Indenta"/>
      </w:pPr>
      <w:r>
        <w:tab/>
        <w:t>(b)</w:t>
      </w:r>
      <w:r>
        <w:tab/>
        <w:t>in the case of an employer — the employer is uninsured.</w:t>
      </w:r>
    </w:p>
    <w:p>
      <w:pPr>
        <w:pStyle w:val="Subsection"/>
      </w:pPr>
      <w:r>
        <w:tab/>
        <w:t>(3)</w:t>
      </w:r>
      <w:r>
        <w:tab/>
        <w:t>The Registrar may exempt a person from a requirement to use the EDS in relation to a proceeding, or all proceedings, if satisfied that it would be unreasonable for the person to be required to use the EDS in relation to the proceeding or proceedings.</w:t>
      </w:r>
    </w:p>
    <w:p>
      <w:pPr>
        <w:pStyle w:val="Footnotesection"/>
        <w:spacing w:before="100"/>
        <w:ind w:left="890" w:hanging="890"/>
      </w:pPr>
      <w:r>
        <w:tab/>
        <w:t>[Rule 3A inserted: SL 2020/137 r. 5.]</w:t>
      </w:r>
    </w:p>
    <w:p>
      <w:pPr>
        <w:pStyle w:val="Heading5"/>
      </w:pPr>
      <w:bookmarkStart w:id="16" w:name="_Toc170370564"/>
      <w:bookmarkStart w:id="17" w:name="_Toc48637800"/>
      <w:r>
        <w:rPr>
          <w:rStyle w:val="CharSectno"/>
        </w:rPr>
        <w:t>4</w:t>
      </w:r>
      <w:r>
        <w:t>.</w:t>
      </w:r>
      <w:r>
        <w:tab/>
        <w:t>Relief from procedural requirements</w:t>
      </w:r>
      <w:bookmarkEnd w:id="16"/>
      <w:bookmarkEnd w:id="17"/>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18" w:name="_Toc170370565"/>
      <w:bookmarkStart w:id="19" w:name="_Toc48637801"/>
      <w:r>
        <w:rPr>
          <w:rStyle w:val="CharSectno"/>
        </w:rPr>
        <w:t>5</w:t>
      </w:r>
      <w:r>
        <w:t>.</w:t>
      </w:r>
      <w:r>
        <w:tab/>
        <w:t>Arbitrator may fix time</w:t>
      </w:r>
      <w:bookmarkEnd w:id="18"/>
      <w:bookmarkEnd w:id="19"/>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20" w:name="_Toc170370566"/>
      <w:bookmarkStart w:id="21" w:name="_Toc48637802"/>
      <w:r>
        <w:rPr>
          <w:rStyle w:val="CharSectno"/>
        </w:rPr>
        <w:t>6</w:t>
      </w:r>
      <w:r>
        <w:t>.</w:t>
      </w:r>
      <w:r>
        <w:tab/>
        <w:t>Order to obey requirement of rules</w:t>
      </w:r>
      <w:bookmarkEnd w:id="20"/>
      <w:bookmarkEnd w:id="21"/>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given by the arbitrator to the party at least 3 working days before the date on which the party has to obey it.</w:t>
      </w:r>
    </w:p>
    <w:p>
      <w:pPr>
        <w:pStyle w:val="Subsection"/>
      </w:pPr>
      <w:r>
        <w:tab/>
        <w:t>(3)</w:t>
      </w:r>
      <w:r>
        <w:tab/>
        <w:t>This rule does not limit an arbitrator’s other powers under these rules to make orders.</w:t>
      </w:r>
    </w:p>
    <w:p>
      <w:pPr>
        <w:pStyle w:val="Footnotesection"/>
        <w:spacing w:before="100"/>
        <w:ind w:left="890" w:hanging="890"/>
      </w:pPr>
      <w:bookmarkStart w:id="22" w:name="_Toc48550762"/>
      <w:r>
        <w:tab/>
        <w:t>[Rule 6 amended: SL 2020/137 r. 6.]</w:t>
      </w:r>
    </w:p>
    <w:p>
      <w:pPr>
        <w:pStyle w:val="Heading2"/>
      </w:pPr>
      <w:bookmarkStart w:id="23" w:name="_Toc170305619"/>
      <w:bookmarkStart w:id="24" w:name="_Toc170305907"/>
      <w:bookmarkStart w:id="25" w:name="_Toc170370567"/>
      <w:bookmarkStart w:id="26" w:name="_Toc48574913"/>
      <w:bookmarkStart w:id="27" w:name="_Toc48637803"/>
      <w:r>
        <w:rPr>
          <w:rStyle w:val="CharPartNo"/>
        </w:rPr>
        <w:t>Part 2</w:t>
      </w:r>
      <w:r>
        <w:rPr>
          <w:rStyle w:val="CharDivNo"/>
        </w:rPr>
        <w:t> </w:t>
      </w:r>
      <w:r>
        <w:t>—</w:t>
      </w:r>
      <w:r>
        <w:rPr>
          <w:rStyle w:val="CharDivText"/>
        </w:rPr>
        <w:t> </w:t>
      </w:r>
      <w:r>
        <w:rPr>
          <w:rStyle w:val="CharPartText"/>
        </w:rPr>
        <w:t>Lodging documents</w:t>
      </w:r>
      <w:bookmarkEnd w:id="23"/>
      <w:bookmarkEnd w:id="24"/>
      <w:bookmarkEnd w:id="25"/>
      <w:bookmarkEnd w:id="22"/>
      <w:bookmarkEnd w:id="26"/>
      <w:bookmarkEnd w:id="27"/>
    </w:p>
    <w:p>
      <w:pPr>
        <w:pStyle w:val="Heading5"/>
      </w:pPr>
      <w:bookmarkStart w:id="28" w:name="_Toc170370568"/>
      <w:bookmarkStart w:id="29" w:name="_Toc48637804"/>
      <w:r>
        <w:rPr>
          <w:rStyle w:val="CharSectno"/>
        </w:rPr>
        <w:t>7</w:t>
      </w:r>
      <w:r>
        <w:t>.</w:t>
      </w:r>
      <w:r>
        <w:tab/>
        <w:t>Term used: document</w:t>
      </w:r>
      <w:bookmarkEnd w:id="28"/>
      <w:bookmarkEnd w:id="29"/>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lodged or filed with, the Registrar or an arbitrator by a party or a representative of a party.</w:t>
      </w:r>
    </w:p>
    <w:p>
      <w:pPr>
        <w:pStyle w:val="Footnotesection"/>
        <w:spacing w:before="100"/>
        <w:ind w:left="890" w:hanging="890"/>
      </w:pPr>
      <w:r>
        <w:tab/>
        <w:t>[Rule 7 amended: SL 2020/137 r. 7.]</w:t>
      </w:r>
    </w:p>
    <w:p>
      <w:pPr>
        <w:pStyle w:val="Heading5"/>
      </w:pPr>
      <w:bookmarkStart w:id="30" w:name="_Toc170370569"/>
      <w:bookmarkStart w:id="31" w:name="_Toc48637805"/>
      <w:r>
        <w:rPr>
          <w:rStyle w:val="CharSectno"/>
        </w:rPr>
        <w:t>8</w:t>
      </w:r>
      <w:r>
        <w:t>.</w:t>
      </w:r>
      <w:r>
        <w:tab/>
        <w:t>Form of documents</w:t>
      </w:r>
      <w:bookmarkEnd w:id="30"/>
      <w:bookmarkEnd w:id="31"/>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where relevant, must be clearly written, typed or reproduced; and</w:t>
      </w:r>
    </w:p>
    <w:p>
      <w:pPr>
        <w:pStyle w:val="Indenta"/>
      </w:pPr>
      <w:r>
        <w:tab/>
        <w:t>(c)</w:t>
      </w:r>
      <w:r>
        <w:tab/>
        <w:t>must be properly completed.</w:t>
      </w:r>
    </w:p>
    <w:p>
      <w:pPr>
        <w:pStyle w:val="Footnotesection"/>
        <w:spacing w:before="100"/>
        <w:ind w:left="890" w:hanging="890"/>
      </w:pPr>
      <w:r>
        <w:tab/>
        <w:t>[Rule 8 amended: SL 2020/137 r. 8.]</w:t>
      </w:r>
    </w:p>
    <w:p>
      <w:pPr>
        <w:pStyle w:val="Heading5"/>
      </w:pPr>
      <w:bookmarkStart w:id="32" w:name="_Toc170370570"/>
      <w:bookmarkStart w:id="33" w:name="_Toc48637806"/>
      <w:r>
        <w:rPr>
          <w:rStyle w:val="CharSectno"/>
        </w:rPr>
        <w:t>9</w:t>
      </w:r>
      <w:r>
        <w:t>.</w:t>
      </w:r>
      <w:r>
        <w:tab/>
        <w:t>Lodging documents</w:t>
      </w:r>
      <w:bookmarkEnd w:id="32"/>
      <w:bookmarkEnd w:id="33"/>
    </w:p>
    <w:p>
      <w:pPr>
        <w:pStyle w:val="Subsection"/>
      </w:pPr>
      <w:r>
        <w:tab/>
        <w:t>(1)</w:t>
      </w:r>
      <w:r>
        <w:tab/>
        <w:t xml:space="preserve">Every document in relation to a proceeding must be lodged with the Arbitration Service using the EDS unless — </w:t>
      </w:r>
    </w:p>
    <w:p>
      <w:pPr>
        <w:pStyle w:val="Indenta"/>
      </w:pPr>
      <w:r>
        <w:tab/>
        <w:t>(a)</w:t>
      </w:r>
      <w:r>
        <w:tab/>
        <w:t>the person lodging the document is EDS exempt in relation to the proceeding; or</w:t>
      </w:r>
    </w:p>
    <w:p>
      <w:pPr>
        <w:pStyle w:val="Indenta"/>
      </w:pPr>
      <w:r>
        <w:tab/>
        <w:t>(b)</w:t>
      </w:r>
      <w:r>
        <w:tab/>
        <w:t>the EDS is unavailable at the time of lodging.</w:t>
      </w:r>
    </w:p>
    <w:p>
      <w:pPr>
        <w:pStyle w:val="Subsection"/>
      </w:pPr>
      <w:r>
        <w:tab/>
        <w:t>(2)</w:t>
      </w:r>
      <w:r>
        <w:tab/>
        <w:t xml:space="preserve">Subject to subrule (5), a person who is EDS exempt in relation to a proceeding may lodge a document in relation to the proceeding with the Arbitration Service in the following manner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email in accordance with rule 10; or</w:t>
      </w:r>
    </w:p>
    <w:p>
      <w:pPr>
        <w:pStyle w:val="Indenta"/>
      </w:pPr>
      <w:r>
        <w:tab/>
        <w:t>(d)</w:t>
      </w:r>
      <w:r>
        <w:tab/>
        <w:t>by using the EDS.</w:t>
      </w:r>
    </w:p>
    <w:p>
      <w:pPr>
        <w:pStyle w:val="Subsection"/>
      </w:pPr>
      <w:r>
        <w:tab/>
        <w:t>(2A)</w:t>
      </w:r>
      <w:r>
        <w:tab/>
        <w:t>While the EDS is unavailable for use a document may be lodged in the manner referred to in subrule (2)(a), (b) or (c).</w:t>
      </w:r>
    </w:p>
    <w:p>
      <w:pPr>
        <w:pStyle w:val="Subsection"/>
      </w:pPr>
      <w:r>
        <w:tab/>
        <w:t>(3)</w:t>
      </w:r>
      <w:r>
        <w:tab/>
        <w:t>The Registrar may at any time require a person who has lodged a document by email or by using the EDS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Subsection"/>
      </w:pPr>
      <w:r>
        <w:tab/>
        <w:t>(5)</w:t>
      </w:r>
      <w:r>
        <w:tab/>
        <w:t>The Registrar may require a person who is EDS exempt in relation to a proceeding to lodge a document in relation to the proceeding in the manner directed by the Registrar.</w:t>
      </w:r>
    </w:p>
    <w:p>
      <w:pPr>
        <w:pStyle w:val="Footnotesection"/>
        <w:spacing w:before="100"/>
        <w:ind w:left="890" w:hanging="890"/>
      </w:pPr>
      <w:r>
        <w:tab/>
        <w:t>[Rule 9 amended: SL 2020/137 r. 9.]</w:t>
      </w:r>
    </w:p>
    <w:p>
      <w:pPr>
        <w:pStyle w:val="Heading5"/>
      </w:pPr>
      <w:bookmarkStart w:id="34" w:name="_Toc170370571"/>
      <w:bookmarkStart w:id="35" w:name="_Toc48637807"/>
      <w:r>
        <w:rPr>
          <w:rStyle w:val="CharSectno"/>
        </w:rPr>
        <w:t>10</w:t>
      </w:r>
      <w:r>
        <w:t>.</w:t>
      </w:r>
      <w:r>
        <w:tab/>
        <w:t>Lodging by email</w:t>
      </w:r>
      <w:bookmarkEnd w:id="34"/>
      <w:bookmarkEnd w:id="35"/>
    </w:p>
    <w:p>
      <w:pPr>
        <w:pStyle w:val="Subsection"/>
      </w:pPr>
      <w:r>
        <w:tab/>
        <w:t>(1)</w:t>
      </w:r>
      <w:r>
        <w:tab/>
        <w:t xml:space="preserve">The Registrar may — </w:t>
      </w:r>
    </w:p>
    <w:p>
      <w:pPr>
        <w:pStyle w:val="Indenta"/>
      </w:pPr>
      <w:r>
        <w:tab/>
        <w:t>(a)</w:t>
      </w:r>
      <w:r>
        <w:tab/>
        <w:t>approve and publish an email address for the lodgment of documents under this rule; and</w:t>
      </w:r>
    </w:p>
    <w:p>
      <w:pPr>
        <w:pStyle w:val="Indenta"/>
      </w:pPr>
      <w:r>
        <w:tab/>
        <w:t>(b)</w:t>
      </w:r>
      <w:r>
        <w:tab/>
        <w:t>determine and publish requirements as to the permissible format and the maximum size of documents that may be lodged under this rule.</w:t>
      </w:r>
    </w:p>
    <w:p>
      <w:pPr>
        <w:pStyle w:val="Subsection"/>
      </w:pPr>
      <w:r>
        <w:tab/>
        <w:t>(2)</w:t>
      </w:r>
      <w:r>
        <w:tab/>
        <w:t xml:space="preserve">An email by which documents are lodged under this rule must — </w:t>
      </w:r>
    </w:p>
    <w:p>
      <w:pPr>
        <w:pStyle w:val="Indenta"/>
      </w:pPr>
      <w:r>
        <w:tab/>
        <w:t>(a)</w:t>
      </w:r>
      <w:r>
        <w:tab/>
        <w:t>state the sender’s name; and</w:t>
      </w:r>
    </w:p>
    <w:p>
      <w:pPr>
        <w:pStyle w:val="Indenta"/>
      </w:pPr>
      <w:r>
        <w:tab/>
        <w:t>(b)</w:t>
      </w:r>
      <w:r>
        <w:tab/>
        <w:t>state a telephone number by which the sender can be contacted; and</w:t>
      </w:r>
    </w:p>
    <w:p>
      <w:pPr>
        <w:pStyle w:val="Indenta"/>
      </w:pPr>
      <w:r>
        <w:tab/>
        <w:t>(c)</w:t>
      </w:r>
      <w:r>
        <w:tab/>
        <w:t>list and describe the documents being lodged by the email.</w:t>
      </w:r>
    </w:p>
    <w:p>
      <w:pPr>
        <w:pStyle w:val="Subsection"/>
      </w:pPr>
      <w:r>
        <w:tab/>
        <w:t>(3)</w:t>
      </w:r>
      <w:r>
        <w:tab/>
        <w:t>Documents lodged under this rule must comply with any published requirements as to form and size.</w:t>
      </w:r>
    </w:p>
    <w:p>
      <w:pPr>
        <w:pStyle w:val="Subsection"/>
      </w:pPr>
      <w:r>
        <w:tab/>
        <w:t>(4)</w:t>
      </w:r>
      <w:r>
        <w:tab/>
        <w:t xml:space="preserve">A person who lodges a document by email under this rule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for the duration of any proceeding to which the document relates; and</w:t>
      </w:r>
    </w:p>
    <w:p>
      <w:pPr>
        <w:pStyle w:val="Indenta"/>
      </w:pPr>
      <w:r>
        <w:tab/>
        <w:t>(c)</w:t>
      </w:r>
      <w:r>
        <w:tab/>
        <w:t>if directed to do so by an arbitrator, produce the endorsed original document to the arbitrator.</w:t>
      </w:r>
    </w:p>
    <w:p>
      <w:pPr>
        <w:pStyle w:val="Footnotesection"/>
        <w:spacing w:before="100"/>
        <w:ind w:left="890" w:hanging="890"/>
      </w:pPr>
      <w:r>
        <w:tab/>
        <w:t>[Rule 10 inserted: SL 2020/137 r. 10.]</w:t>
      </w:r>
    </w:p>
    <w:p>
      <w:pPr>
        <w:pStyle w:val="Heading5"/>
      </w:pPr>
      <w:bookmarkStart w:id="36" w:name="_Toc170370572"/>
      <w:bookmarkStart w:id="37" w:name="_Toc48637808"/>
      <w:r>
        <w:rPr>
          <w:rStyle w:val="CharSectno"/>
        </w:rPr>
        <w:t>11</w:t>
      </w:r>
      <w:r>
        <w:t>.</w:t>
      </w:r>
      <w:r>
        <w:tab/>
        <w:t>Notification by Registrar or arbitrator through EDS</w:t>
      </w:r>
      <w:bookmarkEnd w:id="36"/>
      <w:bookmarkEnd w:id="37"/>
    </w:p>
    <w:p>
      <w:pPr>
        <w:pStyle w:val="Subsection"/>
      </w:pPr>
      <w:r>
        <w:tab/>
        <w:t>(1)</w:t>
      </w:r>
      <w:r>
        <w:tab/>
        <w:t xml:space="preserve">A requirement for the Registrar or an arbitrator to notify a person, or give them a copy of a document, in relation to a proceeding is satisfied, on a day, if — </w:t>
      </w:r>
    </w:p>
    <w:p>
      <w:pPr>
        <w:pStyle w:val="Indenta"/>
      </w:pPr>
      <w:r>
        <w:tab/>
        <w:t>(a)</w:t>
      </w:r>
      <w:r>
        <w:tab/>
        <w:t>the person is not EDS exempt in relation to the proceeding; and</w:t>
      </w:r>
    </w:p>
    <w:p>
      <w:pPr>
        <w:pStyle w:val="Indenta"/>
      </w:pPr>
      <w:r>
        <w:tab/>
        <w:t>(b)</w:t>
      </w:r>
      <w:r>
        <w:tab/>
        <w:t>the notice or document becomes accessible using the EDS to the person before 5.00 p.m. on that day; and</w:t>
      </w:r>
    </w:p>
    <w:p>
      <w:pPr>
        <w:pStyle w:val="Indenta"/>
      </w:pPr>
      <w:r>
        <w:tab/>
        <w:t>(c)</w:t>
      </w:r>
      <w:r>
        <w:tab/>
        <w:t>electronic notification that the notice or document is accessible is sent to the person before 5.00 p.m. on that day.</w:t>
      </w:r>
    </w:p>
    <w:p>
      <w:pPr>
        <w:pStyle w:val="Subsection"/>
      </w:pPr>
      <w:r>
        <w:tab/>
        <w:t>(2)</w:t>
      </w:r>
      <w:r>
        <w:tab/>
        <w:t xml:space="preserve">In subrule (1) — </w:t>
      </w:r>
    </w:p>
    <w:p>
      <w:pPr>
        <w:pStyle w:val="Defstart"/>
      </w:pPr>
      <w:r>
        <w:tab/>
      </w:r>
      <w:r>
        <w:rPr>
          <w:rStyle w:val="CharDefText"/>
        </w:rPr>
        <w:t>electronic notification</w:t>
      </w:r>
      <w:r>
        <w:t>, in relation to a person, includes notification by an email sent to an email address provided by the person.</w:t>
      </w:r>
    </w:p>
    <w:p>
      <w:pPr>
        <w:pStyle w:val="Subsection"/>
      </w:pPr>
      <w:r>
        <w:tab/>
        <w:t>(3)</w:t>
      </w:r>
      <w:r>
        <w:tab/>
        <w:t>This rule does not apply to the requirements of service in rule 54(2) and (3).</w:t>
      </w:r>
    </w:p>
    <w:p>
      <w:pPr>
        <w:pStyle w:val="Footnotesection"/>
        <w:spacing w:before="100"/>
        <w:ind w:left="890" w:hanging="890"/>
      </w:pPr>
      <w:r>
        <w:tab/>
        <w:t>[Rule 11 inserted: SL 2020/137 r. 10.]</w:t>
      </w:r>
    </w:p>
    <w:p>
      <w:pPr>
        <w:pStyle w:val="Heading5"/>
      </w:pPr>
      <w:bookmarkStart w:id="38" w:name="_Toc170370573"/>
      <w:bookmarkStart w:id="39" w:name="_Toc48637809"/>
      <w:r>
        <w:rPr>
          <w:rStyle w:val="CharSectno"/>
        </w:rPr>
        <w:t>12</w:t>
      </w:r>
      <w:r>
        <w:t>.</w:t>
      </w:r>
      <w:r>
        <w:tab/>
        <w:t>Day of lodgment</w:t>
      </w:r>
      <w:bookmarkEnd w:id="38"/>
      <w:bookmarkEnd w:id="39"/>
    </w:p>
    <w:p>
      <w:pPr>
        <w:pStyle w:val="Subsection"/>
      </w:pPr>
      <w:r>
        <w:tab/>
      </w:r>
      <w:r>
        <w:tab/>
        <w:t xml:space="preserve">A document is taken to have been lodged — </w:t>
      </w:r>
    </w:p>
    <w:p>
      <w:pPr>
        <w:pStyle w:val="Indenta"/>
      </w:pPr>
      <w:r>
        <w:tab/>
        <w:t>(a)</w:t>
      </w:r>
      <w:r>
        <w:tab/>
        <w:t>if the whole document is received before 5.00 p.m. on a particular working day, on that day; or</w:t>
      </w:r>
    </w:p>
    <w:p>
      <w:pPr>
        <w:pStyle w:val="Indenta"/>
      </w:pPr>
      <w:r>
        <w:tab/>
        <w:t>(b)</w:t>
      </w:r>
      <w:r>
        <w:tab/>
        <w:t>otherwise, on the next working day.</w:t>
      </w:r>
    </w:p>
    <w:p>
      <w:pPr>
        <w:pStyle w:val="Footnotesection"/>
        <w:spacing w:before="100"/>
        <w:ind w:left="890" w:hanging="890"/>
      </w:pPr>
      <w:r>
        <w:tab/>
        <w:t>[Rule 12 amended: SL 2020/137 r. 11.]</w:t>
      </w:r>
    </w:p>
    <w:p>
      <w:pPr>
        <w:pStyle w:val="Heading5"/>
      </w:pPr>
      <w:bookmarkStart w:id="40" w:name="_Toc170370574"/>
      <w:bookmarkStart w:id="41" w:name="_Toc48637810"/>
      <w:r>
        <w:rPr>
          <w:rStyle w:val="CharSectno"/>
        </w:rPr>
        <w:t>13</w:t>
      </w:r>
      <w:r>
        <w:t>.</w:t>
      </w:r>
      <w:r>
        <w:tab/>
        <w:t>Registrar must accept or reject document</w:t>
      </w:r>
      <w:bookmarkEnd w:id="40"/>
      <w:bookmarkEnd w:id="41"/>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42" w:name="_Toc170370575"/>
      <w:bookmarkStart w:id="43" w:name="_Toc48637811"/>
      <w:r>
        <w:rPr>
          <w:rStyle w:val="CharSectno"/>
        </w:rPr>
        <w:t>14</w:t>
      </w:r>
      <w:r>
        <w:t>.</w:t>
      </w:r>
      <w:r>
        <w:tab/>
        <w:t>Review of Registrar’s decision to reject document</w:t>
      </w:r>
      <w:bookmarkEnd w:id="42"/>
      <w:bookmarkEnd w:id="43"/>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44" w:name="_Toc170305628"/>
      <w:bookmarkStart w:id="45" w:name="_Toc170305916"/>
      <w:bookmarkStart w:id="46" w:name="_Toc170370576"/>
      <w:bookmarkStart w:id="47" w:name="_Toc48550771"/>
      <w:bookmarkStart w:id="48" w:name="_Toc48574922"/>
      <w:bookmarkStart w:id="49" w:name="_Toc48637812"/>
      <w:r>
        <w:rPr>
          <w:rStyle w:val="CharPartNo"/>
        </w:rPr>
        <w:t>Part 3</w:t>
      </w:r>
      <w:r>
        <w:rPr>
          <w:rStyle w:val="CharDivNo"/>
        </w:rPr>
        <w:t> </w:t>
      </w:r>
      <w:r>
        <w:t>—</w:t>
      </w:r>
      <w:r>
        <w:rPr>
          <w:rStyle w:val="CharDivText"/>
        </w:rPr>
        <w:t> </w:t>
      </w:r>
      <w:r>
        <w:rPr>
          <w:rStyle w:val="CharPartText"/>
        </w:rPr>
        <w:t>Serving documents</w:t>
      </w:r>
      <w:bookmarkEnd w:id="44"/>
      <w:bookmarkEnd w:id="45"/>
      <w:bookmarkEnd w:id="46"/>
      <w:bookmarkEnd w:id="47"/>
      <w:bookmarkEnd w:id="48"/>
      <w:bookmarkEnd w:id="49"/>
    </w:p>
    <w:p>
      <w:pPr>
        <w:pStyle w:val="Heading5"/>
      </w:pPr>
      <w:bookmarkStart w:id="50" w:name="_Toc170370577"/>
      <w:bookmarkStart w:id="51" w:name="_Toc48637813"/>
      <w:r>
        <w:rPr>
          <w:rStyle w:val="CharSectno"/>
        </w:rPr>
        <w:t>15</w:t>
      </w:r>
      <w:r>
        <w:t>.</w:t>
      </w:r>
      <w:r>
        <w:tab/>
        <w:t>Party who lodges document must serve copy on other parties</w:t>
      </w:r>
      <w:bookmarkEnd w:id="50"/>
      <w:bookmarkEnd w:id="51"/>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52" w:name="_Toc170370578"/>
      <w:bookmarkStart w:id="53" w:name="_Toc48637814"/>
      <w:r>
        <w:rPr>
          <w:rStyle w:val="CharSectno"/>
        </w:rPr>
        <w:t>16</w:t>
      </w:r>
      <w:r>
        <w:t>.</w:t>
      </w:r>
      <w:r>
        <w:tab/>
        <w:t>Serving documents</w:t>
      </w:r>
      <w:bookmarkEnd w:id="52"/>
      <w:bookmarkEnd w:id="53"/>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keepNext/>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an email address for service has been provided under rule 17, by sending it as an attachment to an email sent to that email address.</w:t>
      </w:r>
    </w:p>
    <w:p>
      <w:pPr>
        <w:pStyle w:val="Subsection"/>
      </w:pPr>
      <w:r>
        <w:tab/>
        <w:t>(2)</w:t>
      </w:r>
      <w:r>
        <w:tab/>
        <w:t>Nothing in these rules prevents a person from consenting to being served with a document in a manner other than in accordance with this rule.</w:t>
      </w:r>
    </w:p>
    <w:p>
      <w:pPr>
        <w:pStyle w:val="Footnotesection"/>
        <w:spacing w:before="100"/>
        <w:ind w:left="890" w:hanging="890"/>
      </w:pPr>
      <w:r>
        <w:tab/>
        <w:t>[Rule 16 amended: SL 2020/137 r. 12.]</w:t>
      </w:r>
    </w:p>
    <w:p>
      <w:pPr>
        <w:pStyle w:val="Heading5"/>
      </w:pPr>
      <w:bookmarkStart w:id="54" w:name="_Toc170370579"/>
      <w:bookmarkStart w:id="55" w:name="_Toc48637815"/>
      <w:r>
        <w:rPr>
          <w:rStyle w:val="CharSectno"/>
        </w:rPr>
        <w:t>17</w:t>
      </w:r>
      <w:r>
        <w:t>.</w:t>
      </w:r>
      <w:r>
        <w:tab/>
        <w:t>Address for service</w:t>
      </w:r>
      <w:bookmarkEnd w:id="54"/>
      <w:bookmarkEnd w:id="55"/>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an email address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an email address;</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an email address of a person under this rule, the person is to be taken to have consented to being served with documents as attachments to emails sent to that email address.</w:t>
      </w:r>
    </w:p>
    <w:p>
      <w:pPr>
        <w:pStyle w:val="Footnotesection"/>
        <w:spacing w:before="100"/>
        <w:ind w:left="890" w:hanging="890"/>
      </w:pPr>
      <w:r>
        <w:tab/>
        <w:t>[Rule 17 amended: SL 2020/137 r. 13.]</w:t>
      </w:r>
    </w:p>
    <w:p>
      <w:pPr>
        <w:pStyle w:val="Heading5"/>
      </w:pPr>
      <w:bookmarkStart w:id="56" w:name="_Toc170370580"/>
      <w:bookmarkStart w:id="57" w:name="_Toc48637816"/>
      <w:r>
        <w:rPr>
          <w:rStyle w:val="CharSectno"/>
        </w:rPr>
        <w:t>18</w:t>
      </w:r>
      <w:r>
        <w:t>.</w:t>
      </w:r>
      <w:r>
        <w:tab/>
        <w:t>Personal service</w:t>
      </w:r>
      <w:bookmarkEnd w:id="56"/>
      <w:bookmarkEnd w:id="57"/>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58" w:name="_Toc170370581"/>
      <w:bookmarkStart w:id="59" w:name="_Toc48637817"/>
      <w:r>
        <w:rPr>
          <w:rStyle w:val="CharSectno"/>
        </w:rPr>
        <w:t>19</w:t>
      </w:r>
      <w:r>
        <w:t>.</w:t>
      </w:r>
      <w:r>
        <w:tab/>
        <w:t>Service by email</w:t>
      </w:r>
      <w:bookmarkEnd w:id="58"/>
      <w:bookmarkEnd w:id="59"/>
    </w:p>
    <w:p>
      <w:pPr>
        <w:pStyle w:val="Subsection"/>
      </w:pPr>
      <w:r>
        <w:tab/>
        <w:t>(1)</w:t>
      </w:r>
      <w:r>
        <w:tab/>
        <w:t xml:space="preserve">An email by which documents are served must — </w:t>
      </w:r>
    </w:p>
    <w:p>
      <w:pPr>
        <w:pStyle w:val="Indenta"/>
      </w:pPr>
      <w:r>
        <w:tab/>
        <w:t>(a)</w:t>
      </w:r>
      <w:r>
        <w:tab/>
        <w:t>state the sender’s name; and</w:t>
      </w:r>
    </w:p>
    <w:p>
      <w:pPr>
        <w:pStyle w:val="Indenta"/>
      </w:pPr>
      <w:r>
        <w:tab/>
        <w:t>(b)</w:t>
      </w:r>
      <w:r>
        <w:tab/>
        <w:t>state a telephone number by which the sender can be contacted; and</w:t>
      </w:r>
    </w:p>
    <w:p>
      <w:pPr>
        <w:pStyle w:val="Indenta"/>
      </w:pPr>
      <w:r>
        <w:tab/>
        <w:t>(c)</w:t>
      </w:r>
      <w:r>
        <w:tab/>
        <w:t>list and describe the documents being served by the email.</w:t>
      </w:r>
    </w:p>
    <w:p>
      <w:pPr>
        <w:pStyle w:val="Subsection"/>
      </w:pPr>
      <w:r>
        <w:tab/>
        <w:t>(2)</w:t>
      </w:r>
      <w:r>
        <w:tab/>
        <w:t xml:space="preserve">A person who serves a document by email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for the duration of any proceeding to which the document relates; and</w:t>
      </w:r>
    </w:p>
    <w:p>
      <w:pPr>
        <w:pStyle w:val="Indenta"/>
      </w:pPr>
      <w:r>
        <w:tab/>
        <w:t>(c)</w:t>
      </w:r>
      <w:r>
        <w:tab/>
        <w:t>if directed to do so by an arbitrator, produce the endorsed original document to the arbitrator.</w:t>
      </w:r>
    </w:p>
    <w:p>
      <w:pPr>
        <w:pStyle w:val="Footnotesection"/>
        <w:spacing w:before="100"/>
        <w:ind w:left="890" w:hanging="890"/>
      </w:pPr>
      <w:r>
        <w:tab/>
        <w:t>[Rule 19 inserted: SL 2020/137 r. 14.]</w:t>
      </w:r>
    </w:p>
    <w:p>
      <w:pPr>
        <w:pStyle w:val="Heading5"/>
      </w:pPr>
      <w:bookmarkStart w:id="60" w:name="_Toc170370582"/>
      <w:bookmarkStart w:id="61" w:name="_Toc48637818"/>
      <w:r>
        <w:rPr>
          <w:rStyle w:val="CharSectno"/>
        </w:rPr>
        <w:t>20</w:t>
      </w:r>
      <w:r>
        <w:t>.</w:t>
      </w:r>
      <w:r>
        <w:tab/>
        <w:t>Time of service</w:t>
      </w:r>
      <w:bookmarkEnd w:id="60"/>
      <w:bookmarkEnd w:id="61"/>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keepNext/>
      </w:pPr>
      <w:r>
        <w:tab/>
        <w:t>(2)</w:t>
      </w:r>
      <w:r>
        <w:tab/>
        <w:t xml:space="preserve">A document that is served by email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Footnotesection"/>
        <w:spacing w:before="100"/>
        <w:ind w:left="890" w:hanging="890"/>
      </w:pPr>
      <w:r>
        <w:tab/>
        <w:t>[Rule 20 amended: SL 2020/137 r. 15.]</w:t>
      </w:r>
    </w:p>
    <w:p>
      <w:pPr>
        <w:pStyle w:val="Heading5"/>
      </w:pPr>
      <w:bookmarkStart w:id="62" w:name="_Toc170370583"/>
      <w:bookmarkStart w:id="63" w:name="_Toc48637819"/>
      <w:r>
        <w:rPr>
          <w:rStyle w:val="CharSectno"/>
        </w:rPr>
        <w:t>21</w:t>
      </w:r>
      <w:r>
        <w:t>.</w:t>
      </w:r>
      <w:r>
        <w:tab/>
        <w:t>Substituted service</w:t>
      </w:r>
      <w:bookmarkEnd w:id="62"/>
      <w:bookmarkEnd w:id="63"/>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64" w:name="_Toc170370584"/>
      <w:bookmarkStart w:id="65" w:name="_Toc48637820"/>
      <w:r>
        <w:rPr>
          <w:rStyle w:val="CharSectno"/>
        </w:rPr>
        <w:t>22</w:t>
      </w:r>
      <w:r>
        <w:t>.</w:t>
      </w:r>
      <w:r>
        <w:tab/>
        <w:t>Certificate of service</w:t>
      </w:r>
      <w:bookmarkEnd w:id="64"/>
      <w:bookmarkEnd w:id="65"/>
    </w:p>
    <w:p>
      <w:pPr>
        <w:pStyle w:val="Subsection"/>
      </w:pPr>
      <w:r>
        <w:tab/>
      </w:r>
      <w:r>
        <w:tab/>
        <w:t xml:space="preserve">A person who serves a document must lodge a certificate of service with the Registrar — </w:t>
      </w:r>
    </w:p>
    <w:p>
      <w:pPr>
        <w:pStyle w:val="Indenta"/>
      </w:pPr>
      <w:r>
        <w:tab/>
        <w:t>(a)</w:t>
      </w:r>
      <w:r>
        <w:tab/>
        <w:t>if the document is a sealed copy of an application under rule 24(1) for an extension of time; or</w:t>
      </w:r>
    </w:p>
    <w:p>
      <w:pPr>
        <w:pStyle w:val="Indenta"/>
      </w:pPr>
      <w:r>
        <w:tab/>
        <w:t>(b)</w:t>
      </w:r>
      <w:r>
        <w:tab/>
        <w:t>in any other case, if an arbitrator or the Registrar so directs.</w:t>
      </w:r>
    </w:p>
    <w:p>
      <w:pPr>
        <w:pStyle w:val="Footnotesection"/>
        <w:spacing w:before="100"/>
        <w:ind w:left="890" w:hanging="890"/>
      </w:pPr>
      <w:r>
        <w:tab/>
        <w:t>[Rule 22 inserted: Gazette 12 Jun 2015 p. 2045.]</w:t>
      </w:r>
    </w:p>
    <w:p>
      <w:pPr>
        <w:pStyle w:val="Heading2"/>
      </w:pPr>
      <w:bookmarkStart w:id="66" w:name="_Toc170305637"/>
      <w:bookmarkStart w:id="67" w:name="_Toc170305925"/>
      <w:bookmarkStart w:id="68" w:name="_Toc170370585"/>
      <w:bookmarkStart w:id="69" w:name="_Toc48550780"/>
      <w:bookmarkStart w:id="70" w:name="_Toc48574931"/>
      <w:bookmarkStart w:id="71" w:name="_Toc48637821"/>
      <w:r>
        <w:rPr>
          <w:rStyle w:val="CharPartNo"/>
        </w:rPr>
        <w:t>Part 4</w:t>
      </w:r>
      <w:r>
        <w:t> — </w:t>
      </w:r>
      <w:r>
        <w:rPr>
          <w:rStyle w:val="CharPartText"/>
        </w:rPr>
        <w:t>Applications for arbitration</w:t>
      </w:r>
      <w:bookmarkEnd w:id="66"/>
      <w:bookmarkEnd w:id="67"/>
      <w:bookmarkEnd w:id="68"/>
      <w:bookmarkEnd w:id="69"/>
      <w:bookmarkEnd w:id="70"/>
      <w:bookmarkEnd w:id="71"/>
    </w:p>
    <w:p>
      <w:pPr>
        <w:pStyle w:val="Heading5"/>
      </w:pPr>
      <w:bookmarkStart w:id="72" w:name="_Toc170370586"/>
      <w:bookmarkStart w:id="73" w:name="_Toc48637822"/>
      <w:r>
        <w:rPr>
          <w:rStyle w:val="CharSectno"/>
        </w:rPr>
        <w:t>22A</w:t>
      </w:r>
      <w:r>
        <w:t>.</w:t>
      </w:r>
      <w:r>
        <w:tab/>
        <w:t>Application of this Part to fatality compensation applications</w:t>
      </w:r>
      <w:bookmarkEnd w:id="72"/>
      <w:bookmarkEnd w:id="73"/>
    </w:p>
    <w:p>
      <w:pPr>
        <w:pStyle w:val="Subsection"/>
      </w:pPr>
      <w:r>
        <w:tab/>
        <w:t>(1)</w:t>
      </w:r>
      <w:r>
        <w:tab/>
        <w:t xml:space="preserve">In this section — </w:t>
      </w:r>
    </w:p>
    <w:p>
      <w:pPr>
        <w:pStyle w:val="Defstart"/>
      </w:pPr>
      <w:r>
        <w:tab/>
      </w:r>
      <w:r>
        <w:rPr>
          <w:rStyle w:val="CharDefText"/>
        </w:rPr>
        <w:t>accepted claim</w:t>
      </w:r>
      <w:r>
        <w:t xml:space="preserve"> means a claim for compensation made under section 72E in relation to which liability is accepted.</w:t>
      </w:r>
    </w:p>
    <w:p>
      <w:pPr>
        <w:pStyle w:val="Subsection"/>
      </w:pPr>
      <w:r>
        <w:tab/>
        <w:t>(2)</w:t>
      </w:r>
      <w:r>
        <w:tab/>
        <w:t>Rules 23 and 24 do not apply in relation to a fatality compensation application.</w:t>
      </w:r>
    </w:p>
    <w:p>
      <w:pPr>
        <w:pStyle w:val="Subsection"/>
      </w:pPr>
      <w:r>
        <w:tab/>
        <w:t>(3)</w:t>
      </w:r>
      <w:r>
        <w:tab/>
        <w:t xml:space="preserve">Rules 25, 27, 28, 29 and 30 — </w:t>
      </w:r>
    </w:p>
    <w:p>
      <w:pPr>
        <w:pStyle w:val="Indenta"/>
      </w:pPr>
      <w:r>
        <w:tab/>
        <w:t>(a)</w:t>
      </w:r>
      <w:r>
        <w:tab/>
        <w:t>do not apply in relation to a fatality compensation application made in respect of an accepted claim; and</w:t>
      </w:r>
    </w:p>
    <w:p>
      <w:pPr>
        <w:pStyle w:val="Indenta"/>
      </w:pPr>
      <w:r>
        <w:tab/>
        <w:t>(b)</w:t>
      </w:r>
      <w:r>
        <w:tab/>
        <w:t>cease to apply in relation to a fatality compensation application if the claim in respect of which it is made becomes an accepted claim after the application is made.</w:t>
      </w:r>
    </w:p>
    <w:p>
      <w:pPr>
        <w:pStyle w:val="Subsection"/>
      </w:pPr>
      <w:r>
        <w:tab/>
        <w:t>(4)</w:t>
      </w:r>
      <w:r>
        <w:tab/>
        <w:t>Despite subrule (3), an arbitrator may order that a rule referred to in that subrule applies in relation to an application referred to in that subrule.</w:t>
      </w:r>
    </w:p>
    <w:p>
      <w:pPr>
        <w:pStyle w:val="Footnotesection"/>
      </w:pPr>
      <w:r>
        <w:tab/>
        <w:t>[Rule 22A inserted: Gazette 29 Jun 2018 p. 2448.]</w:t>
      </w:r>
    </w:p>
    <w:p>
      <w:pPr>
        <w:pStyle w:val="Heading5"/>
      </w:pPr>
      <w:bookmarkStart w:id="74" w:name="_Toc170370587"/>
      <w:bookmarkStart w:id="75" w:name="_Toc48637823"/>
      <w:r>
        <w:rPr>
          <w:rStyle w:val="CharSectno"/>
        </w:rPr>
        <w:t>23</w:t>
      </w:r>
      <w:r>
        <w:t>.</w:t>
      </w:r>
      <w:r>
        <w:tab/>
        <w:t>Time limit for lodging application for arbitration</w:t>
      </w:r>
      <w:bookmarkEnd w:id="74"/>
      <w:bookmarkEnd w:id="75"/>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keepLines/>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76" w:name="_Toc170370588"/>
      <w:bookmarkStart w:id="77" w:name="_Toc48637824"/>
      <w:r>
        <w:rPr>
          <w:rStyle w:val="CharSectno"/>
        </w:rPr>
        <w:t>24</w:t>
      </w:r>
      <w:r>
        <w:t>.</w:t>
      </w:r>
      <w:r>
        <w:tab/>
        <w:t>Registrar may extend time for lodging application for arbitration</w:t>
      </w:r>
      <w:bookmarkEnd w:id="76"/>
      <w:bookmarkEnd w:id="77"/>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78" w:name="_Toc170370589"/>
      <w:bookmarkStart w:id="79" w:name="_Toc48637825"/>
      <w:r>
        <w:rPr>
          <w:rStyle w:val="CharSectno"/>
        </w:rPr>
        <w:t>25</w:t>
      </w:r>
      <w:r>
        <w:t>.</w:t>
      </w:r>
      <w:r>
        <w:tab/>
        <w:t>Material to be lodged and served with application for arbitration</w:t>
      </w:r>
      <w:bookmarkEnd w:id="78"/>
      <w:bookmarkEnd w:id="79"/>
    </w:p>
    <w:p>
      <w:pPr>
        <w:pStyle w:val="Subsection"/>
      </w:pPr>
      <w:r>
        <w:tab/>
        <w:t>(1)</w:t>
      </w:r>
      <w:r>
        <w:tab/>
        <w:t xml:space="preserve">A person lodging an application for arbitration must — </w:t>
      </w:r>
    </w:p>
    <w:p>
      <w:pPr>
        <w:pStyle w:val="Indenta"/>
      </w:pPr>
      <w:r>
        <w:tab/>
        <w:t>(a)</w:t>
      </w:r>
      <w:r>
        <w:tab/>
        <w:t>lodge with the application; and</w:t>
      </w:r>
    </w:p>
    <w:p>
      <w:pPr>
        <w:pStyle w:val="Indenta"/>
        <w:keepNext/>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28 days, or any shorter period specified in the practice notes, before the hearing of the proceeding.</w:t>
      </w:r>
    </w:p>
    <w:p>
      <w:pPr>
        <w:pStyle w:val="Subsection"/>
        <w:keepNext/>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Footnotesection"/>
        <w:spacing w:before="100"/>
        <w:ind w:left="890" w:hanging="890"/>
      </w:pPr>
      <w:r>
        <w:tab/>
        <w:t>[Rule 25 amended: Gazette 12 Jun 2015 p. 2045.]</w:t>
      </w:r>
    </w:p>
    <w:p>
      <w:pPr>
        <w:pStyle w:val="Heading5"/>
      </w:pPr>
      <w:bookmarkStart w:id="80" w:name="_Toc170370590"/>
      <w:bookmarkStart w:id="81" w:name="_Toc48637826"/>
      <w:r>
        <w:rPr>
          <w:rStyle w:val="CharSectno"/>
        </w:rPr>
        <w:t>26</w:t>
      </w:r>
      <w:r>
        <w:t>.</w:t>
      </w:r>
      <w:r>
        <w:tab/>
        <w:t>Application for order as to total liability (section 217) or additional expenses (clause 18A)</w:t>
      </w:r>
      <w:bookmarkEnd w:id="80"/>
      <w:bookmarkEnd w:id="81"/>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82" w:name="_Toc170370591"/>
      <w:bookmarkStart w:id="83" w:name="_Toc48637827"/>
      <w:r>
        <w:rPr>
          <w:rStyle w:val="CharSectno"/>
        </w:rPr>
        <w:t>27</w:t>
      </w:r>
      <w:r>
        <w:t>.</w:t>
      </w:r>
      <w:r>
        <w:tab/>
        <w:t>Reply to application</w:t>
      </w:r>
      <w:bookmarkEnd w:id="82"/>
      <w:bookmarkEnd w:id="83"/>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keepNext/>
      </w:pPr>
      <w:r>
        <w:tab/>
        <w:t>(2)</w:t>
      </w:r>
      <w:r>
        <w:tab/>
        <w:t xml:space="preserve">The reply must — </w:t>
      </w:r>
    </w:p>
    <w:p>
      <w:pPr>
        <w:pStyle w:val="Indenta"/>
        <w:keepNext/>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84" w:name="_Toc170370592"/>
      <w:bookmarkStart w:id="85" w:name="_Toc48637828"/>
      <w:r>
        <w:rPr>
          <w:rStyle w:val="CharSectno"/>
        </w:rPr>
        <w:t>28</w:t>
      </w:r>
      <w:r>
        <w:t>.</w:t>
      </w:r>
      <w:r>
        <w:tab/>
        <w:t>Procedure where party does not reply</w:t>
      </w:r>
      <w:bookmarkEnd w:id="84"/>
      <w:bookmarkEnd w:id="85"/>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86" w:name="_Toc170370593"/>
      <w:bookmarkStart w:id="87" w:name="_Toc48637829"/>
      <w:r>
        <w:rPr>
          <w:rStyle w:val="CharSectno"/>
        </w:rPr>
        <w:t>29</w:t>
      </w:r>
      <w:r>
        <w:t>.</w:t>
      </w:r>
      <w:r>
        <w:tab/>
        <w:t>Material to be lodged and served with reply</w:t>
      </w:r>
      <w:bookmarkEnd w:id="86"/>
      <w:bookmarkEnd w:id="87"/>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keepNext/>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28 days, or any shorter period specified in the practice notes, before the hearing of the proceeding.</w:t>
      </w:r>
    </w:p>
    <w:p>
      <w:pPr>
        <w:pStyle w:val="Footnotesection"/>
        <w:spacing w:before="100"/>
        <w:ind w:left="890" w:hanging="890"/>
      </w:pPr>
      <w:r>
        <w:tab/>
        <w:t>[Rule 29 amended: Gazette 12 Jun 2015 p. 2045.]</w:t>
      </w:r>
    </w:p>
    <w:p>
      <w:pPr>
        <w:pStyle w:val="Heading5"/>
      </w:pPr>
      <w:bookmarkStart w:id="88" w:name="_Toc170370594"/>
      <w:bookmarkStart w:id="89" w:name="_Toc48637830"/>
      <w:r>
        <w:rPr>
          <w:rStyle w:val="CharSectno"/>
        </w:rPr>
        <w:t>30</w:t>
      </w:r>
      <w:r>
        <w:t>.</w:t>
      </w:r>
      <w:r>
        <w:tab/>
        <w:t>Adducing late material in evidence</w:t>
      </w:r>
      <w:bookmarkEnd w:id="88"/>
      <w:bookmarkEnd w:id="89"/>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Ednotesection"/>
      </w:pPr>
      <w:r>
        <w:t>[</w:t>
      </w:r>
      <w:r>
        <w:rPr>
          <w:b/>
        </w:rPr>
        <w:t>31.</w:t>
      </w:r>
      <w:r>
        <w:tab/>
        <w:t>Deleted: Gazette 12 Jun 2015 p. 2045.]</w:t>
      </w:r>
    </w:p>
    <w:p>
      <w:pPr>
        <w:pStyle w:val="Heading2"/>
      </w:pPr>
      <w:bookmarkStart w:id="90" w:name="_Toc170305647"/>
      <w:bookmarkStart w:id="91" w:name="_Toc170305935"/>
      <w:bookmarkStart w:id="92" w:name="_Toc170370595"/>
      <w:bookmarkStart w:id="93" w:name="_Toc48550790"/>
      <w:bookmarkStart w:id="94" w:name="_Toc48574941"/>
      <w:bookmarkStart w:id="95" w:name="_Toc48637831"/>
      <w:r>
        <w:rPr>
          <w:rStyle w:val="CharPartNo"/>
        </w:rPr>
        <w:t>Part 5</w:t>
      </w:r>
      <w:r>
        <w:rPr>
          <w:rStyle w:val="CharDivNo"/>
        </w:rPr>
        <w:t> </w:t>
      </w:r>
      <w:r>
        <w:t>—</w:t>
      </w:r>
      <w:r>
        <w:rPr>
          <w:rStyle w:val="CharDivText"/>
        </w:rPr>
        <w:t> </w:t>
      </w:r>
      <w:r>
        <w:rPr>
          <w:rStyle w:val="CharPartText"/>
        </w:rPr>
        <w:t>Proceedings before an arbitrator</w:t>
      </w:r>
      <w:bookmarkEnd w:id="90"/>
      <w:bookmarkEnd w:id="91"/>
      <w:bookmarkEnd w:id="92"/>
      <w:bookmarkEnd w:id="93"/>
      <w:bookmarkEnd w:id="94"/>
      <w:bookmarkEnd w:id="95"/>
    </w:p>
    <w:p>
      <w:pPr>
        <w:pStyle w:val="Heading5"/>
      </w:pPr>
      <w:bookmarkStart w:id="96" w:name="_Toc170370596"/>
      <w:bookmarkStart w:id="97" w:name="_Toc48637832"/>
      <w:r>
        <w:rPr>
          <w:rStyle w:val="CharSectno"/>
        </w:rPr>
        <w:t>32</w:t>
      </w:r>
      <w:r>
        <w:t>.</w:t>
      </w:r>
      <w:r>
        <w:tab/>
        <w:t>Party may discontinue proceeding</w:t>
      </w:r>
      <w:bookmarkEnd w:id="96"/>
      <w:bookmarkEnd w:id="97"/>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(ba)</w:t>
      </w:r>
      <w:r>
        <w:tab/>
        <w:t>a notice of discontinuance signed by all parties to the proceedings is lodged with the Registrar; or</w:t>
      </w:r>
    </w:p>
    <w:p>
      <w:pPr>
        <w:pStyle w:val="Indenta"/>
      </w:pPr>
      <w:r>
        <w:tab/>
        <w:t>(b)</w:t>
      </w:r>
      <w:r>
        <w:tab/>
        <w:t>an arbitrator makes a consent order effecting the discontinuance,</w:t>
      </w:r>
    </w:p>
    <w:p>
      <w:pPr>
        <w:pStyle w:val="Subsection"/>
        <w:rPr>
          <w:u w:val="single"/>
        </w:rPr>
      </w:pPr>
      <w:r>
        <w:tab/>
      </w:r>
      <w:r>
        <w:tab/>
        <w:t>whichever occurs first.</w:t>
      </w:r>
    </w:p>
    <w:p>
      <w:pPr>
        <w:pStyle w:val="Subsection"/>
      </w:pPr>
      <w:r>
        <w:tab/>
        <w:t>(3)</w:t>
      </w:r>
      <w:r>
        <w:tab/>
        <w:t>Subject to Part XV Division 2 of the Act an arbitrator may make an order as to costs in a proceeding that has been discontinued.</w:t>
      </w:r>
    </w:p>
    <w:p>
      <w:pPr>
        <w:pStyle w:val="Footnotesection"/>
        <w:spacing w:before="100"/>
        <w:ind w:left="890" w:hanging="890"/>
      </w:pPr>
      <w:r>
        <w:tab/>
        <w:t>[Rule 32 amended: Gazette 12 Jun 2015 p. 2045.]</w:t>
      </w:r>
    </w:p>
    <w:p>
      <w:pPr>
        <w:pStyle w:val="Heading5"/>
      </w:pPr>
      <w:bookmarkStart w:id="98" w:name="_Toc170370597"/>
      <w:bookmarkStart w:id="99" w:name="_Toc48637833"/>
      <w:r>
        <w:rPr>
          <w:rStyle w:val="CharSectno"/>
        </w:rPr>
        <w:t>33</w:t>
      </w:r>
      <w:r>
        <w:t>.</w:t>
      </w:r>
      <w:r>
        <w:tab/>
        <w:t>Adjournment of proceeding</w:t>
      </w:r>
      <w:bookmarkEnd w:id="98"/>
      <w:bookmarkEnd w:id="99"/>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100" w:name="_Toc170370598"/>
      <w:bookmarkStart w:id="101" w:name="_Toc48637834"/>
      <w:r>
        <w:rPr>
          <w:rStyle w:val="CharSectno"/>
        </w:rPr>
        <w:t>34</w:t>
      </w:r>
      <w:r>
        <w:t>.</w:t>
      </w:r>
      <w:r>
        <w:tab/>
        <w:t>Application for adjournment</w:t>
      </w:r>
      <w:bookmarkEnd w:id="100"/>
      <w:bookmarkEnd w:id="101"/>
    </w:p>
    <w:p>
      <w:pPr>
        <w:pStyle w:val="Subsection"/>
        <w:keepNext/>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102" w:name="_Toc170370599"/>
      <w:bookmarkStart w:id="103" w:name="_Toc48637835"/>
      <w:r>
        <w:rPr>
          <w:rStyle w:val="CharSectno"/>
        </w:rPr>
        <w:t>35</w:t>
      </w:r>
      <w:r>
        <w:t>.</w:t>
      </w:r>
      <w:r>
        <w:tab/>
        <w:t>Late application for adjournment</w:t>
      </w:r>
      <w:bookmarkEnd w:id="102"/>
      <w:bookmarkEnd w:id="103"/>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104" w:name="_Toc170370600"/>
      <w:bookmarkStart w:id="105" w:name="_Toc48637836"/>
      <w:r>
        <w:rPr>
          <w:rStyle w:val="CharSectno"/>
        </w:rPr>
        <w:t>36</w:t>
      </w:r>
      <w:r>
        <w:t>.</w:t>
      </w:r>
      <w:r>
        <w:tab/>
        <w:t>Application may be dismissed or determined if adjournment not granted</w:t>
      </w:r>
      <w:bookmarkEnd w:id="104"/>
      <w:bookmarkEnd w:id="105"/>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106" w:name="_Toc170370601"/>
      <w:bookmarkStart w:id="107" w:name="_Toc48637837"/>
      <w:r>
        <w:rPr>
          <w:rStyle w:val="CharSectno"/>
        </w:rPr>
        <w:t>37</w:t>
      </w:r>
      <w:r>
        <w:t>.</w:t>
      </w:r>
      <w:r>
        <w:tab/>
        <w:t>Interlocutory applications</w:t>
      </w:r>
      <w:bookmarkEnd w:id="106"/>
      <w:bookmarkEnd w:id="107"/>
    </w:p>
    <w:p>
      <w:pPr>
        <w:pStyle w:val="Ednotesubsection"/>
      </w:pPr>
      <w:r>
        <w:tab/>
        <w:t>[(1)</w:t>
      </w:r>
      <w:r>
        <w:tab/>
        <w:t>deleted]</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Subsection"/>
      </w:pPr>
      <w:r>
        <w:tab/>
        <w:t>(5)</w:t>
      </w:r>
      <w:r>
        <w:tab/>
        <w:t xml:space="preserve">Except as otherwise ordered by an arbitrator, a party served with a copy of an interlocutory application must no later than 2 working days before the time fixed for hearing that application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(6)</w:t>
      </w:r>
      <w:r>
        <w:tab/>
        <w:t>If a party fails to lodge and serve a notice required by subrule (5) the interlocutory application may be determined as if that party did not oppose any part of the application.</w:t>
      </w:r>
    </w:p>
    <w:p>
      <w:pPr>
        <w:pStyle w:val="Footnotesection"/>
        <w:spacing w:before="100"/>
        <w:ind w:left="890" w:hanging="890"/>
      </w:pPr>
      <w:r>
        <w:tab/>
        <w:t>[Rule 37 amended: Gazette 12 Jun 2015 p. 2046.]</w:t>
      </w:r>
    </w:p>
    <w:p>
      <w:pPr>
        <w:pStyle w:val="Heading5"/>
      </w:pPr>
      <w:bookmarkStart w:id="108" w:name="_Toc170370602"/>
      <w:bookmarkStart w:id="109" w:name="_Toc48637838"/>
      <w:r>
        <w:rPr>
          <w:rStyle w:val="CharSectno"/>
        </w:rPr>
        <w:t>38</w:t>
      </w:r>
      <w:r>
        <w:t>.</w:t>
      </w:r>
      <w:r>
        <w:tab/>
        <w:t>Consent orders</w:t>
      </w:r>
      <w:bookmarkEnd w:id="108"/>
      <w:bookmarkEnd w:id="109"/>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110" w:name="_Toc170370603"/>
      <w:bookmarkStart w:id="111" w:name="_Toc48637839"/>
      <w:r>
        <w:rPr>
          <w:rStyle w:val="CharSectno"/>
        </w:rPr>
        <w:t>39</w:t>
      </w:r>
      <w:r>
        <w:t>.</w:t>
      </w:r>
      <w:r>
        <w:tab/>
        <w:t>Proceedings to be held in private</w:t>
      </w:r>
      <w:bookmarkEnd w:id="110"/>
      <w:bookmarkEnd w:id="111"/>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112" w:name="_Toc170370604"/>
      <w:bookmarkStart w:id="113" w:name="_Toc48637840"/>
      <w:r>
        <w:rPr>
          <w:rStyle w:val="CharSectno"/>
        </w:rPr>
        <w:t>40</w:t>
      </w:r>
      <w:r>
        <w:t>.</w:t>
      </w:r>
      <w:r>
        <w:tab/>
        <w:t>Arbitrator must not interview individual parties or witnesses</w:t>
      </w:r>
      <w:bookmarkEnd w:id="112"/>
      <w:bookmarkEnd w:id="113"/>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114" w:name="_Toc170370605"/>
      <w:bookmarkStart w:id="115" w:name="_Toc48637841"/>
      <w:r>
        <w:rPr>
          <w:rStyle w:val="CharSectno"/>
        </w:rPr>
        <w:t>41</w:t>
      </w:r>
      <w:r>
        <w:t>.</w:t>
      </w:r>
      <w:r>
        <w:tab/>
        <w:t>Statement as to agreed facts and issues</w:t>
      </w:r>
      <w:bookmarkEnd w:id="114"/>
      <w:bookmarkEnd w:id="115"/>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116" w:name="_Toc170370606"/>
      <w:bookmarkStart w:id="117" w:name="_Toc48637842"/>
      <w:r>
        <w:rPr>
          <w:rStyle w:val="CharSectno"/>
        </w:rPr>
        <w:t>42</w:t>
      </w:r>
      <w:r>
        <w:t>.</w:t>
      </w:r>
      <w:r>
        <w:tab/>
        <w:t>Directions hearing</w:t>
      </w:r>
      <w:bookmarkEnd w:id="116"/>
      <w:bookmarkEnd w:id="117"/>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118" w:name="_Toc170370607"/>
      <w:bookmarkStart w:id="119" w:name="_Toc48637843"/>
      <w:r>
        <w:rPr>
          <w:rStyle w:val="CharSectno"/>
        </w:rPr>
        <w:t>43</w:t>
      </w:r>
      <w:r>
        <w:t>.</w:t>
      </w:r>
      <w:r>
        <w:tab/>
        <w:t>Notice of hearing</w:t>
      </w:r>
      <w:bookmarkEnd w:id="118"/>
      <w:bookmarkEnd w:id="119"/>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120" w:name="_Toc170370608"/>
      <w:bookmarkStart w:id="121" w:name="_Toc48637844"/>
      <w:r>
        <w:rPr>
          <w:rStyle w:val="CharSectno"/>
        </w:rPr>
        <w:t>44</w:t>
      </w:r>
      <w:r>
        <w:t>.</w:t>
      </w:r>
      <w:r>
        <w:tab/>
        <w:t>Index and record of documents</w:t>
      </w:r>
      <w:bookmarkEnd w:id="120"/>
      <w:bookmarkEnd w:id="121"/>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122" w:name="_Toc170305661"/>
      <w:bookmarkStart w:id="123" w:name="_Toc170305949"/>
      <w:bookmarkStart w:id="124" w:name="_Toc170370609"/>
      <w:bookmarkStart w:id="125" w:name="_Toc48550804"/>
      <w:bookmarkStart w:id="126" w:name="_Toc48574955"/>
      <w:bookmarkStart w:id="127" w:name="_Toc48637845"/>
      <w:r>
        <w:rPr>
          <w:rStyle w:val="CharPartNo"/>
        </w:rPr>
        <w:t>Part 6</w:t>
      </w:r>
      <w:r>
        <w:rPr>
          <w:rStyle w:val="CharDivNo"/>
        </w:rPr>
        <w:t> </w:t>
      </w:r>
      <w:r>
        <w:t>—</w:t>
      </w:r>
      <w:r>
        <w:rPr>
          <w:rStyle w:val="CharDivText"/>
        </w:rPr>
        <w:t> </w:t>
      </w:r>
      <w:r>
        <w:rPr>
          <w:rStyle w:val="CharPartText"/>
        </w:rPr>
        <w:t>Disclosure of documents and information</w:t>
      </w:r>
      <w:bookmarkEnd w:id="122"/>
      <w:bookmarkEnd w:id="123"/>
      <w:bookmarkEnd w:id="124"/>
      <w:bookmarkEnd w:id="125"/>
      <w:bookmarkEnd w:id="126"/>
      <w:bookmarkEnd w:id="127"/>
    </w:p>
    <w:p>
      <w:pPr>
        <w:pStyle w:val="Heading5"/>
      </w:pPr>
      <w:bookmarkStart w:id="128" w:name="_Toc170370610"/>
      <w:bookmarkStart w:id="129" w:name="_Toc48637846"/>
      <w:r>
        <w:rPr>
          <w:rStyle w:val="CharSectno"/>
        </w:rPr>
        <w:t>45</w:t>
      </w:r>
      <w:r>
        <w:t>.</w:t>
      </w:r>
      <w:r>
        <w:tab/>
        <w:t>Duty of disclosure</w:t>
      </w:r>
      <w:bookmarkEnd w:id="128"/>
      <w:bookmarkEnd w:id="129"/>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130" w:name="_Toc170370611"/>
      <w:bookmarkStart w:id="131" w:name="_Toc48637847"/>
      <w:r>
        <w:rPr>
          <w:rStyle w:val="CharSectno"/>
        </w:rPr>
        <w:t>46</w:t>
      </w:r>
      <w:r>
        <w:t>.</w:t>
      </w:r>
      <w:r>
        <w:tab/>
        <w:t>Disclosure without order</w:t>
      </w:r>
      <w:bookmarkEnd w:id="130"/>
      <w:bookmarkEnd w:id="131"/>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132" w:name="_Toc170370612"/>
      <w:bookmarkStart w:id="133" w:name="_Toc48637848"/>
      <w:r>
        <w:rPr>
          <w:rStyle w:val="CharSectno"/>
        </w:rPr>
        <w:t>47</w:t>
      </w:r>
      <w:r>
        <w:t>.</w:t>
      </w:r>
      <w:r>
        <w:tab/>
        <w:t>Orders relating to disclosure</w:t>
      </w:r>
      <w:bookmarkEnd w:id="132"/>
      <w:bookmarkEnd w:id="133"/>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134" w:name="_Toc170370613"/>
      <w:bookmarkStart w:id="135" w:name="_Toc48637849"/>
      <w:r>
        <w:rPr>
          <w:rStyle w:val="CharSectno"/>
        </w:rPr>
        <w:t>48</w:t>
      </w:r>
      <w:r>
        <w:t>.</w:t>
      </w:r>
      <w:r>
        <w:tab/>
        <w:t>Request for order to produce documents: section 193</w:t>
      </w:r>
      <w:bookmarkEnd w:id="134"/>
      <w:bookmarkEnd w:id="135"/>
    </w:p>
    <w:p>
      <w:pPr>
        <w:pStyle w:val="Subsection"/>
      </w:pPr>
      <w:r>
        <w:tab/>
        <w:t>(1)</w:t>
      </w:r>
      <w:r>
        <w:tab/>
        <w:t>A party to a proceeding may, by lodging an interlocutory application and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 or within such other time as an arbitrator may order.</w:t>
      </w:r>
    </w:p>
    <w:p>
      <w:pPr>
        <w:pStyle w:val="Subsection"/>
      </w:pPr>
      <w:r>
        <w:tab/>
        <w:t>(3)</w:t>
      </w:r>
      <w:r>
        <w:tab/>
        <w:t>A person is not required to comply with an order that is not served in accordance with subrule (2).</w:t>
      </w:r>
    </w:p>
    <w:p>
      <w:pPr>
        <w:pStyle w:val="Footnotesection"/>
        <w:spacing w:before="100"/>
        <w:ind w:left="890" w:hanging="890"/>
      </w:pPr>
      <w:r>
        <w:tab/>
        <w:t>[Rule 48 amended: Gazette 12 Jun 2015 p. 2046.]</w:t>
      </w:r>
    </w:p>
    <w:p>
      <w:pPr>
        <w:pStyle w:val="Heading5"/>
      </w:pPr>
      <w:bookmarkStart w:id="136" w:name="_Toc170370614"/>
      <w:bookmarkStart w:id="137" w:name="_Toc48637850"/>
      <w:r>
        <w:rPr>
          <w:rStyle w:val="CharSectno"/>
        </w:rPr>
        <w:t>49</w:t>
      </w:r>
      <w:r>
        <w:t>.</w:t>
      </w:r>
      <w:r>
        <w:tab/>
        <w:t>Continuing obligation to disclose documents</w:t>
      </w:r>
      <w:bookmarkEnd w:id="136"/>
      <w:bookmarkEnd w:id="137"/>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138" w:name="_Toc170370615"/>
      <w:bookmarkStart w:id="139" w:name="_Toc48637851"/>
      <w:r>
        <w:rPr>
          <w:rStyle w:val="CharSectno"/>
        </w:rPr>
        <w:t>50</w:t>
      </w:r>
      <w:r>
        <w:t>.</w:t>
      </w:r>
      <w:r>
        <w:tab/>
        <w:t>Order under rule 47 or section 193</w:t>
      </w:r>
      <w:bookmarkEnd w:id="138"/>
      <w:bookmarkEnd w:id="139"/>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140" w:name="_Toc170305668"/>
      <w:bookmarkStart w:id="141" w:name="_Toc170305956"/>
      <w:bookmarkStart w:id="142" w:name="_Toc170370616"/>
      <w:bookmarkStart w:id="143" w:name="_Toc48550811"/>
      <w:bookmarkStart w:id="144" w:name="_Toc48574962"/>
      <w:bookmarkStart w:id="145" w:name="_Toc48637852"/>
      <w:r>
        <w:rPr>
          <w:rStyle w:val="CharPartNo"/>
        </w:rPr>
        <w:t>Part 7</w:t>
      </w:r>
      <w:r>
        <w:rPr>
          <w:rStyle w:val="CharDivNo"/>
        </w:rPr>
        <w:t> </w:t>
      </w:r>
      <w:r>
        <w:t>—</w:t>
      </w:r>
      <w:r>
        <w:rPr>
          <w:rStyle w:val="CharDivText"/>
        </w:rPr>
        <w:t> </w:t>
      </w:r>
      <w:r>
        <w:rPr>
          <w:rStyle w:val="CharPartText"/>
        </w:rPr>
        <w:t>Representation</w:t>
      </w:r>
      <w:bookmarkEnd w:id="140"/>
      <w:bookmarkEnd w:id="141"/>
      <w:bookmarkEnd w:id="142"/>
      <w:bookmarkEnd w:id="143"/>
      <w:bookmarkEnd w:id="144"/>
      <w:bookmarkEnd w:id="145"/>
    </w:p>
    <w:p>
      <w:pPr>
        <w:pStyle w:val="Heading5"/>
      </w:pPr>
      <w:bookmarkStart w:id="146" w:name="_Toc170370617"/>
      <w:bookmarkStart w:id="147" w:name="_Toc48637853"/>
      <w:r>
        <w:rPr>
          <w:rStyle w:val="CharSectno"/>
        </w:rPr>
        <w:t>51</w:t>
      </w:r>
      <w:r>
        <w:t>.</w:t>
      </w:r>
      <w:r>
        <w:tab/>
        <w:t>Notice of representation</w:t>
      </w:r>
      <w:bookmarkEnd w:id="146"/>
      <w:bookmarkEnd w:id="147"/>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148" w:name="_Toc170370618"/>
      <w:bookmarkStart w:id="149" w:name="_Toc48637854"/>
      <w:r>
        <w:rPr>
          <w:rStyle w:val="CharSectno"/>
        </w:rPr>
        <w:t>52</w:t>
      </w:r>
      <w:r>
        <w:t>.</w:t>
      </w:r>
      <w:r>
        <w:tab/>
        <w:t>Litigation guardian</w:t>
      </w:r>
      <w:bookmarkEnd w:id="148"/>
      <w:bookmarkEnd w:id="149"/>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150" w:name="_Toc170305671"/>
      <w:bookmarkStart w:id="151" w:name="_Toc170305959"/>
      <w:bookmarkStart w:id="152" w:name="_Toc170370619"/>
      <w:bookmarkStart w:id="153" w:name="_Toc48550814"/>
      <w:bookmarkStart w:id="154" w:name="_Toc48574965"/>
      <w:bookmarkStart w:id="155" w:name="_Toc48637855"/>
      <w:r>
        <w:rPr>
          <w:rStyle w:val="CharPartNo"/>
        </w:rPr>
        <w:t>Part 8</w:t>
      </w:r>
      <w:r>
        <w:rPr>
          <w:rStyle w:val="CharDivNo"/>
        </w:rPr>
        <w:t> </w:t>
      </w:r>
      <w:r>
        <w:t>—</w:t>
      </w:r>
      <w:r>
        <w:rPr>
          <w:rStyle w:val="CharDivText"/>
        </w:rPr>
        <w:t> </w:t>
      </w:r>
      <w:r>
        <w:rPr>
          <w:rStyle w:val="CharPartText"/>
        </w:rPr>
        <w:t>Joinder of parties</w:t>
      </w:r>
      <w:bookmarkEnd w:id="150"/>
      <w:bookmarkEnd w:id="151"/>
      <w:bookmarkEnd w:id="152"/>
      <w:bookmarkEnd w:id="153"/>
      <w:bookmarkEnd w:id="154"/>
      <w:bookmarkEnd w:id="155"/>
    </w:p>
    <w:p>
      <w:pPr>
        <w:pStyle w:val="Heading5"/>
      </w:pPr>
      <w:bookmarkStart w:id="156" w:name="_Toc170370620"/>
      <w:bookmarkStart w:id="157" w:name="_Toc48637856"/>
      <w:r>
        <w:rPr>
          <w:rStyle w:val="CharSectno"/>
        </w:rPr>
        <w:t>53</w:t>
      </w:r>
      <w:r>
        <w:t>.</w:t>
      </w:r>
      <w:r>
        <w:tab/>
        <w:t>Arbitrator may give leave to join another party</w:t>
      </w:r>
      <w:bookmarkEnd w:id="156"/>
      <w:bookmarkEnd w:id="157"/>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158" w:name="_Toc170370621"/>
      <w:bookmarkStart w:id="159" w:name="_Toc48637857"/>
      <w:r>
        <w:rPr>
          <w:rStyle w:val="CharSectno"/>
        </w:rPr>
        <w:t>54</w:t>
      </w:r>
      <w:r>
        <w:t>.</w:t>
      </w:r>
      <w:r>
        <w:tab/>
        <w:t>Notice of joinder</w:t>
      </w:r>
      <w:bookmarkEnd w:id="158"/>
      <w:bookmarkEnd w:id="159"/>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160" w:name="_Toc170370622"/>
      <w:bookmarkStart w:id="161" w:name="_Toc48637858"/>
      <w:r>
        <w:rPr>
          <w:rStyle w:val="CharSectno"/>
        </w:rPr>
        <w:t>55</w:t>
      </w:r>
      <w:r>
        <w:t>.</w:t>
      </w:r>
      <w:r>
        <w:tab/>
        <w:t>Reply by person joined</w:t>
      </w:r>
      <w:bookmarkEnd w:id="160"/>
      <w:bookmarkEnd w:id="161"/>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162" w:name="_Toc170305675"/>
      <w:bookmarkStart w:id="163" w:name="_Toc170305963"/>
      <w:bookmarkStart w:id="164" w:name="_Toc170370623"/>
      <w:bookmarkStart w:id="165" w:name="_Toc48550818"/>
      <w:bookmarkStart w:id="166" w:name="_Toc48574969"/>
      <w:bookmarkStart w:id="167" w:name="_Toc48637859"/>
      <w:r>
        <w:rPr>
          <w:rStyle w:val="CharPartNo"/>
        </w:rPr>
        <w:t>Part 9</w:t>
      </w:r>
      <w:r>
        <w:rPr>
          <w:rStyle w:val="CharDivNo"/>
        </w:rPr>
        <w:t> </w:t>
      </w:r>
      <w:r>
        <w:t>—</w:t>
      </w:r>
      <w:r>
        <w:rPr>
          <w:rStyle w:val="CharDivText"/>
        </w:rPr>
        <w:t> </w:t>
      </w:r>
      <w:r>
        <w:rPr>
          <w:rStyle w:val="CharPartText"/>
        </w:rPr>
        <w:t>Witnesses</w:t>
      </w:r>
      <w:bookmarkEnd w:id="162"/>
      <w:bookmarkEnd w:id="163"/>
      <w:bookmarkEnd w:id="164"/>
      <w:bookmarkEnd w:id="165"/>
      <w:bookmarkEnd w:id="166"/>
      <w:bookmarkEnd w:id="167"/>
    </w:p>
    <w:p>
      <w:pPr>
        <w:pStyle w:val="Heading5"/>
      </w:pPr>
      <w:bookmarkStart w:id="168" w:name="_Toc170370624"/>
      <w:bookmarkStart w:id="169" w:name="_Toc48637860"/>
      <w:r>
        <w:rPr>
          <w:rStyle w:val="CharSectno"/>
        </w:rPr>
        <w:t>56</w:t>
      </w:r>
      <w:r>
        <w:t>.</w:t>
      </w:r>
      <w:r>
        <w:tab/>
        <w:t>Summons</w:t>
      </w:r>
      <w:bookmarkEnd w:id="168"/>
      <w:bookmarkEnd w:id="169"/>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170" w:name="_Toc170370625"/>
      <w:bookmarkStart w:id="171" w:name="_Toc48637861"/>
      <w:r>
        <w:rPr>
          <w:rStyle w:val="CharSectno"/>
        </w:rPr>
        <w:t>57</w:t>
      </w:r>
      <w:r>
        <w:t>.</w:t>
      </w:r>
      <w:r>
        <w:tab/>
        <w:t>Witness statements</w:t>
      </w:r>
      <w:bookmarkEnd w:id="170"/>
      <w:bookmarkEnd w:id="171"/>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(2A)</w:t>
      </w:r>
      <w:r>
        <w:tab/>
        <w:t>Except with the leave of an arbitrator, the evidence in chief of a witness from whom oral evidence is adduced is to be confined to the evidence set out in the document lodged and served under subrule (1) in relation to that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Footnotesection"/>
        <w:spacing w:before="100"/>
        <w:ind w:left="890" w:hanging="890"/>
      </w:pPr>
      <w:r>
        <w:tab/>
        <w:t>[Rule 57 amended: Gazette 12 Jun 2015 p. 2046.]</w:t>
      </w:r>
    </w:p>
    <w:p>
      <w:pPr>
        <w:pStyle w:val="Heading5"/>
      </w:pPr>
      <w:bookmarkStart w:id="172" w:name="_Toc170370626"/>
      <w:bookmarkStart w:id="173" w:name="_Toc48637862"/>
      <w:r>
        <w:rPr>
          <w:rStyle w:val="CharSectno"/>
        </w:rPr>
        <w:t>58</w:t>
      </w:r>
      <w:r>
        <w:t>.</w:t>
      </w:r>
      <w:r>
        <w:tab/>
        <w:t>Medical evidence</w:t>
      </w:r>
      <w:bookmarkEnd w:id="172"/>
      <w:bookmarkEnd w:id="173"/>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174" w:name="_Toc170370627"/>
      <w:bookmarkStart w:id="175" w:name="_Toc48637863"/>
      <w:r>
        <w:rPr>
          <w:rStyle w:val="CharSectno"/>
        </w:rPr>
        <w:t>59</w:t>
      </w:r>
      <w:r>
        <w:t>.</w:t>
      </w:r>
      <w:r>
        <w:tab/>
        <w:t>Medical reports</w:t>
      </w:r>
      <w:bookmarkEnd w:id="174"/>
      <w:bookmarkEnd w:id="175"/>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Ednotesubsection"/>
      </w:pPr>
      <w:r>
        <w:tab/>
        <w:t>[(3)</w:t>
      </w:r>
      <w:r>
        <w:tab/>
        <w:t>deleted]</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Footnotesection"/>
        <w:spacing w:before="100"/>
        <w:ind w:left="890" w:hanging="890"/>
      </w:pPr>
      <w:bookmarkStart w:id="176" w:name="_Toc48550823"/>
      <w:r>
        <w:tab/>
        <w:t>[Rule 59 amended: SL 2020/137 r. 16.]</w:t>
      </w:r>
    </w:p>
    <w:p>
      <w:pPr>
        <w:pStyle w:val="Heading2"/>
      </w:pPr>
      <w:bookmarkStart w:id="177" w:name="_Toc170305680"/>
      <w:bookmarkStart w:id="178" w:name="_Toc170305968"/>
      <w:bookmarkStart w:id="179" w:name="_Toc170370628"/>
      <w:bookmarkStart w:id="180" w:name="_Toc48574974"/>
      <w:bookmarkStart w:id="181" w:name="_Toc48637864"/>
      <w:r>
        <w:rPr>
          <w:rStyle w:val="CharPartNo"/>
        </w:rPr>
        <w:t>Part 10</w:t>
      </w:r>
      <w:r>
        <w:rPr>
          <w:rStyle w:val="CharDivNo"/>
        </w:rPr>
        <w:t> </w:t>
      </w:r>
      <w:r>
        <w:t>—</w:t>
      </w:r>
      <w:r>
        <w:rPr>
          <w:rStyle w:val="CharDivText"/>
        </w:rPr>
        <w:t> </w:t>
      </w:r>
      <w:r>
        <w:rPr>
          <w:rStyle w:val="CharPartText"/>
        </w:rPr>
        <w:t>Costs</w:t>
      </w:r>
      <w:bookmarkEnd w:id="177"/>
      <w:bookmarkEnd w:id="178"/>
      <w:bookmarkEnd w:id="179"/>
      <w:bookmarkEnd w:id="176"/>
      <w:bookmarkEnd w:id="180"/>
      <w:bookmarkEnd w:id="181"/>
    </w:p>
    <w:p>
      <w:pPr>
        <w:pStyle w:val="Heading5"/>
      </w:pPr>
      <w:bookmarkStart w:id="182" w:name="_Toc170370629"/>
      <w:bookmarkStart w:id="183" w:name="_Toc48637865"/>
      <w:r>
        <w:rPr>
          <w:rStyle w:val="CharSectno"/>
        </w:rPr>
        <w:t>60</w:t>
      </w:r>
      <w:r>
        <w:t>.</w:t>
      </w:r>
      <w:r>
        <w:tab/>
        <w:t>Term used: costs</w:t>
      </w:r>
      <w:bookmarkEnd w:id="182"/>
      <w:bookmarkEnd w:id="183"/>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184" w:name="_Toc170370630"/>
      <w:bookmarkStart w:id="185" w:name="_Toc48637866"/>
      <w:r>
        <w:rPr>
          <w:rStyle w:val="CharSectno"/>
        </w:rPr>
        <w:t>61</w:t>
      </w:r>
      <w:r>
        <w:t>.</w:t>
      </w:r>
      <w:r>
        <w:tab/>
        <w:t>Order as to costs</w:t>
      </w:r>
      <w:bookmarkEnd w:id="184"/>
      <w:bookmarkEnd w:id="185"/>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186" w:name="_Toc170370631"/>
      <w:bookmarkStart w:id="187" w:name="_Toc48637867"/>
      <w:r>
        <w:rPr>
          <w:rStyle w:val="CharSectno"/>
        </w:rPr>
        <w:t>62</w:t>
      </w:r>
      <w:r>
        <w:t>.</w:t>
      </w:r>
      <w:r>
        <w:tab/>
        <w:t>Application for assessment of costs</w:t>
      </w:r>
      <w:bookmarkEnd w:id="186"/>
      <w:bookmarkEnd w:id="187"/>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188" w:name="_Toc170370632"/>
      <w:bookmarkStart w:id="189" w:name="_Toc48637868"/>
      <w:r>
        <w:rPr>
          <w:rStyle w:val="CharSectno"/>
        </w:rPr>
        <w:t>63A</w:t>
      </w:r>
      <w:r>
        <w:t>.</w:t>
      </w:r>
      <w:r>
        <w:tab/>
        <w:t>Submission on application for order as to costs or for assessment of costs</w:t>
      </w:r>
      <w:bookmarkEnd w:id="188"/>
      <w:bookmarkEnd w:id="189"/>
    </w:p>
    <w:p>
      <w:pPr>
        <w:pStyle w:val="Subsection"/>
      </w:pPr>
      <w:r>
        <w:tab/>
        <w:t>(1)</w:t>
      </w:r>
      <w:r>
        <w:tab/>
        <w:t xml:space="preserve">Except as otherwise ordered by an arbitrator, a party served with a copy of an application under rule 61 or 62 must within 14 days of the service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(2)</w:t>
      </w:r>
      <w:r>
        <w:tab/>
        <w:t>If a party fails to lodge and serve a notice required by subrule (1) the application may be determined as if that party did not oppose any part of the application.</w:t>
      </w:r>
    </w:p>
    <w:p>
      <w:pPr>
        <w:pStyle w:val="Footnotesection"/>
        <w:spacing w:before="100"/>
        <w:ind w:left="890" w:hanging="890"/>
      </w:pPr>
      <w:r>
        <w:tab/>
        <w:t>[Rule 63A inserted: Gazette 12 Jun 2015 p. 2046</w:t>
      </w:r>
      <w:r>
        <w:noBreakHyphen/>
        <w:t>7.]</w:t>
      </w:r>
    </w:p>
    <w:p>
      <w:pPr>
        <w:pStyle w:val="Heading5"/>
      </w:pPr>
      <w:bookmarkStart w:id="190" w:name="_Toc170370633"/>
      <w:bookmarkStart w:id="191" w:name="_Toc48637869"/>
      <w:r>
        <w:rPr>
          <w:rStyle w:val="CharSectno"/>
        </w:rPr>
        <w:t>63</w:t>
      </w:r>
      <w:r>
        <w:t>.</w:t>
      </w:r>
      <w:r>
        <w:tab/>
        <w:t>Expenses of approved medical specialist panel or approved specialised retraining assessment panel</w:t>
      </w:r>
      <w:bookmarkEnd w:id="190"/>
      <w:bookmarkEnd w:id="191"/>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192" w:name="_Toc170305686"/>
      <w:bookmarkStart w:id="193" w:name="_Toc170305974"/>
      <w:bookmarkStart w:id="194" w:name="_Toc170370634"/>
      <w:bookmarkStart w:id="195" w:name="_Toc48550829"/>
      <w:bookmarkStart w:id="196" w:name="_Toc48574980"/>
      <w:bookmarkStart w:id="197" w:name="_Toc48637870"/>
      <w:r>
        <w:rPr>
          <w:rStyle w:val="CharPartNo"/>
        </w:rPr>
        <w:t>Part 11</w:t>
      </w:r>
      <w:r>
        <w:t> — </w:t>
      </w:r>
      <w:r>
        <w:rPr>
          <w:rStyle w:val="CharPartText"/>
        </w:rPr>
        <w:t>Medical assessment panels and specialised retraining assessment panels</w:t>
      </w:r>
      <w:bookmarkEnd w:id="192"/>
      <w:bookmarkEnd w:id="193"/>
      <w:bookmarkEnd w:id="194"/>
      <w:bookmarkEnd w:id="195"/>
      <w:bookmarkEnd w:id="196"/>
      <w:bookmarkEnd w:id="197"/>
    </w:p>
    <w:p>
      <w:pPr>
        <w:pStyle w:val="Heading3"/>
      </w:pPr>
      <w:bookmarkStart w:id="198" w:name="_Toc170305687"/>
      <w:bookmarkStart w:id="199" w:name="_Toc170305975"/>
      <w:bookmarkStart w:id="200" w:name="_Toc170370635"/>
      <w:bookmarkStart w:id="201" w:name="_Toc48550830"/>
      <w:bookmarkStart w:id="202" w:name="_Toc48574981"/>
      <w:bookmarkStart w:id="203" w:name="_Toc48637871"/>
      <w:r>
        <w:rPr>
          <w:rStyle w:val="CharDivNo"/>
        </w:rPr>
        <w:t>Division 1</w:t>
      </w:r>
      <w:r>
        <w:t> — </w:t>
      </w:r>
      <w:r>
        <w:rPr>
          <w:rStyle w:val="CharDivText"/>
        </w:rPr>
        <w:t>Medical assessment panels</w:t>
      </w:r>
      <w:bookmarkEnd w:id="198"/>
      <w:bookmarkEnd w:id="199"/>
      <w:bookmarkEnd w:id="200"/>
      <w:bookmarkEnd w:id="201"/>
      <w:bookmarkEnd w:id="202"/>
      <w:bookmarkEnd w:id="203"/>
    </w:p>
    <w:p>
      <w:pPr>
        <w:pStyle w:val="Heading5"/>
      </w:pPr>
      <w:bookmarkStart w:id="204" w:name="_Toc170370636"/>
      <w:bookmarkStart w:id="205" w:name="_Toc48637872"/>
      <w:r>
        <w:rPr>
          <w:rStyle w:val="CharSectno"/>
        </w:rPr>
        <w:t>64</w:t>
      </w:r>
      <w:r>
        <w:t>.</w:t>
      </w:r>
      <w:r>
        <w:tab/>
        <w:t>Form for requirement to attend</w:t>
      </w:r>
      <w:bookmarkEnd w:id="204"/>
      <w:bookmarkEnd w:id="205"/>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206" w:name="_Toc170370637"/>
      <w:bookmarkStart w:id="207" w:name="_Toc48637873"/>
      <w:r>
        <w:rPr>
          <w:rStyle w:val="CharSectno"/>
        </w:rPr>
        <w:t>65</w:t>
      </w:r>
      <w:r>
        <w:t>.</w:t>
      </w:r>
      <w:r>
        <w:tab/>
        <w:t>Time, date and place of meeting</w:t>
      </w:r>
      <w:bookmarkEnd w:id="206"/>
      <w:bookmarkEnd w:id="207"/>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208" w:name="_Toc170370638"/>
      <w:bookmarkStart w:id="209" w:name="_Toc48637874"/>
      <w:r>
        <w:rPr>
          <w:rStyle w:val="CharSectno"/>
        </w:rPr>
        <w:t>66</w:t>
      </w:r>
      <w:r>
        <w:t>.</w:t>
      </w:r>
      <w:r>
        <w:tab/>
        <w:t>Notice of meeting</w:t>
      </w:r>
      <w:bookmarkEnd w:id="208"/>
      <w:bookmarkEnd w:id="209"/>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210" w:name="_Toc170370639"/>
      <w:bookmarkStart w:id="211" w:name="_Toc48637875"/>
      <w:r>
        <w:rPr>
          <w:rStyle w:val="CharSectno"/>
        </w:rPr>
        <w:t>67</w:t>
      </w:r>
      <w:r>
        <w:t>.</w:t>
      </w:r>
      <w:r>
        <w:tab/>
        <w:t>Giving documents to medical assessment panel</w:t>
      </w:r>
      <w:bookmarkEnd w:id="210"/>
      <w:bookmarkEnd w:id="211"/>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written notice that lists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Footnotesection"/>
        <w:spacing w:before="100"/>
        <w:ind w:left="890" w:hanging="890"/>
      </w:pPr>
      <w:r>
        <w:tab/>
        <w:t>[Rule 67 amended: SL 2020/137 r. 17.]</w:t>
      </w:r>
    </w:p>
    <w:p>
      <w:pPr>
        <w:pStyle w:val="Heading5"/>
      </w:pPr>
      <w:bookmarkStart w:id="212" w:name="_Toc170370640"/>
      <w:bookmarkStart w:id="213" w:name="_Toc48637876"/>
      <w:r>
        <w:rPr>
          <w:rStyle w:val="CharSectno"/>
        </w:rPr>
        <w:t>68</w:t>
      </w:r>
      <w:r>
        <w:t>.</w:t>
      </w:r>
      <w:r>
        <w:tab/>
        <w:t>Objection to document being given to medical assessment panel</w:t>
      </w:r>
      <w:bookmarkEnd w:id="212"/>
      <w:bookmarkEnd w:id="213"/>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lodged under this rule may be given to a medical assessment panel.</w:t>
      </w:r>
    </w:p>
    <w:p>
      <w:pPr>
        <w:pStyle w:val="Footnotesection"/>
        <w:spacing w:before="100"/>
        <w:ind w:left="890" w:hanging="890"/>
      </w:pPr>
      <w:bookmarkStart w:id="214" w:name="_Toc48550836"/>
      <w:r>
        <w:tab/>
        <w:t>[Rule 68 amended: SL 2020/137 r. 18.]</w:t>
      </w:r>
    </w:p>
    <w:p>
      <w:pPr>
        <w:pStyle w:val="Heading3"/>
      </w:pPr>
      <w:bookmarkStart w:id="215" w:name="_Toc170305693"/>
      <w:bookmarkStart w:id="216" w:name="_Toc170305981"/>
      <w:bookmarkStart w:id="217" w:name="_Toc170370641"/>
      <w:bookmarkStart w:id="218" w:name="_Toc48574987"/>
      <w:bookmarkStart w:id="219" w:name="_Toc48637877"/>
      <w:r>
        <w:rPr>
          <w:rStyle w:val="CharDivNo"/>
        </w:rPr>
        <w:t>Division 2</w:t>
      </w:r>
      <w:r>
        <w:t> — </w:t>
      </w:r>
      <w:r>
        <w:rPr>
          <w:rStyle w:val="CharDivText"/>
        </w:rPr>
        <w:t>Specialised retraining assessment panels</w:t>
      </w:r>
      <w:bookmarkEnd w:id="215"/>
      <w:bookmarkEnd w:id="216"/>
      <w:bookmarkEnd w:id="217"/>
      <w:bookmarkEnd w:id="214"/>
      <w:bookmarkEnd w:id="218"/>
      <w:bookmarkEnd w:id="219"/>
    </w:p>
    <w:p>
      <w:pPr>
        <w:pStyle w:val="Heading5"/>
      </w:pPr>
      <w:bookmarkStart w:id="220" w:name="_Toc170370642"/>
      <w:bookmarkStart w:id="221" w:name="_Toc48637878"/>
      <w:r>
        <w:rPr>
          <w:rStyle w:val="CharSectno"/>
        </w:rPr>
        <w:t>69</w:t>
      </w:r>
      <w:r>
        <w:t>.</w:t>
      </w:r>
      <w:r>
        <w:tab/>
        <w:t>Form for request to attend</w:t>
      </w:r>
      <w:bookmarkEnd w:id="220"/>
      <w:bookmarkEnd w:id="221"/>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222" w:name="_Toc170370643"/>
      <w:bookmarkStart w:id="223" w:name="_Toc48637879"/>
      <w:r>
        <w:rPr>
          <w:rStyle w:val="CharSectno"/>
        </w:rPr>
        <w:t>70</w:t>
      </w:r>
      <w:r>
        <w:t>.</w:t>
      </w:r>
      <w:r>
        <w:tab/>
        <w:t>Time, date and place of meeting</w:t>
      </w:r>
      <w:bookmarkEnd w:id="222"/>
      <w:bookmarkEnd w:id="223"/>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224" w:name="_Toc170370644"/>
      <w:bookmarkStart w:id="225" w:name="_Toc48637880"/>
      <w:r>
        <w:rPr>
          <w:rStyle w:val="CharSectno"/>
        </w:rPr>
        <w:t>71</w:t>
      </w:r>
      <w:r>
        <w:t>.</w:t>
      </w:r>
      <w:r>
        <w:tab/>
        <w:t>Notification of meeting</w:t>
      </w:r>
      <w:bookmarkEnd w:id="224"/>
      <w:bookmarkEnd w:id="225"/>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keepNext/>
      </w:pPr>
      <w:r>
        <w:tab/>
        <w:t>(2)</w:t>
      </w:r>
      <w:r>
        <w:tab/>
        <w:t xml:space="preserve">The notice must be — </w:t>
      </w:r>
    </w:p>
    <w:p>
      <w:pPr>
        <w:pStyle w:val="Indenta"/>
        <w:keepNext/>
      </w:pPr>
      <w:r>
        <w:tab/>
        <w:t>(a)</w:t>
      </w:r>
      <w:r>
        <w:tab/>
        <w:t>in the form referred to in rule 69; or</w:t>
      </w:r>
    </w:p>
    <w:p>
      <w:pPr>
        <w:pStyle w:val="Indenta"/>
      </w:pPr>
      <w:r>
        <w:tab/>
        <w:t>(b)</w:t>
      </w:r>
      <w:r>
        <w:tab/>
        <w:t>given in writing by the Registrar.</w:t>
      </w:r>
    </w:p>
    <w:p>
      <w:pPr>
        <w:pStyle w:val="Heading5"/>
      </w:pPr>
      <w:bookmarkStart w:id="226" w:name="_Toc170370645"/>
      <w:bookmarkStart w:id="227" w:name="_Toc48637881"/>
      <w:r>
        <w:rPr>
          <w:rStyle w:val="CharSectno"/>
        </w:rPr>
        <w:t>72</w:t>
      </w:r>
      <w:r>
        <w:t>.</w:t>
      </w:r>
      <w:r>
        <w:tab/>
        <w:t>Giving documents to specialised retraining assessment panel</w:t>
      </w:r>
      <w:bookmarkEnd w:id="226"/>
      <w:bookmarkEnd w:id="227"/>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written notice that lists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Footnotesection"/>
        <w:spacing w:before="100"/>
        <w:ind w:left="890" w:hanging="890"/>
      </w:pPr>
      <w:r>
        <w:tab/>
        <w:t>[Rule 72 amended: SL 2020/137 r. 19.]</w:t>
      </w:r>
    </w:p>
    <w:p>
      <w:pPr>
        <w:pStyle w:val="Heading5"/>
      </w:pPr>
      <w:bookmarkStart w:id="228" w:name="_Toc170370646"/>
      <w:bookmarkStart w:id="229" w:name="_Toc48637882"/>
      <w:r>
        <w:rPr>
          <w:rStyle w:val="CharSectno"/>
        </w:rPr>
        <w:t>73</w:t>
      </w:r>
      <w:r>
        <w:t>.</w:t>
      </w:r>
      <w:r>
        <w:tab/>
        <w:t>Objection to document being given to specialised retraining assessment panel</w:t>
      </w:r>
      <w:bookmarkEnd w:id="228"/>
      <w:bookmarkEnd w:id="229"/>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lodged under this rule may be given to a specialised retraining assessment panel.</w:t>
      </w:r>
    </w:p>
    <w:p>
      <w:pPr>
        <w:pStyle w:val="Footnotesection"/>
        <w:spacing w:before="100"/>
        <w:ind w:left="890" w:hanging="890"/>
      </w:pPr>
      <w:bookmarkStart w:id="230" w:name="_Toc48550842"/>
      <w:r>
        <w:tab/>
        <w:t>[Rule 73 amended: SL 2020/137 r. 20.]</w:t>
      </w:r>
    </w:p>
    <w:p>
      <w:pPr>
        <w:pStyle w:val="Heading2"/>
      </w:pPr>
      <w:bookmarkStart w:id="231" w:name="_Toc170305699"/>
      <w:bookmarkStart w:id="232" w:name="_Toc170305987"/>
      <w:bookmarkStart w:id="233" w:name="_Toc170370647"/>
      <w:bookmarkStart w:id="234" w:name="_Toc48574993"/>
      <w:bookmarkStart w:id="235" w:name="_Toc48637883"/>
      <w:r>
        <w:rPr>
          <w:rStyle w:val="CharPartNo"/>
        </w:rPr>
        <w:t>Part 12</w:t>
      </w:r>
      <w:r>
        <w:rPr>
          <w:rStyle w:val="CharDivNo"/>
        </w:rPr>
        <w:t> </w:t>
      </w:r>
      <w:r>
        <w:t>—</w:t>
      </w:r>
      <w:r>
        <w:rPr>
          <w:rStyle w:val="CharDivText"/>
        </w:rPr>
        <w:t> </w:t>
      </w:r>
      <w:r>
        <w:rPr>
          <w:rStyle w:val="CharPartText"/>
        </w:rPr>
        <w:t>Miscellaneous</w:t>
      </w:r>
      <w:bookmarkEnd w:id="231"/>
      <w:bookmarkEnd w:id="232"/>
      <w:bookmarkEnd w:id="233"/>
      <w:bookmarkEnd w:id="230"/>
      <w:bookmarkEnd w:id="234"/>
      <w:bookmarkEnd w:id="235"/>
    </w:p>
    <w:p>
      <w:pPr>
        <w:pStyle w:val="Heading5"/>
      </w:pPr>
      <w:bookmarkStart w:id="236" w:name="_Toc170370648"/>
      <w:bookmarkStart w:id="237" w:name="_Toc48637884"/>
      <w:r>
        <w:rPr>
          <w:rStyle w:val="CharSectno"/>
        </w:rPr>
        <w:t>74</w:t>
      </w:r>
      <w:r>
        <w:t>.</w:t>
      </w:r>
      <w:r>
        <w:tab/>
        <w:t>Section 180 request</w:t>
      </w:r>
      <w:bookmarkEnd w:id="236"/>
      <w:bookmarkEnd w:id="237"/>
    </w:p>
    <w:p>
      <w:pPr>
        <w:pStyle w:val="Subsection"/>
      </w:pPr>
      <w:r>
        <w:tab/>
        <w:t>(1)</w:t>
      </w:r>
      <w:r>
        <w:tab/>
        <w:t>A request under section 180(2) or (3) must be made by written request served on the employer, insurer or WorkCover WA, as the case requires.</w:t>
      </w:r>
    </w:p>
    <w:p>
      <w:pPr>
        <w:pStyle w:val="Subsection"/>
      </w:pPr>
      <w:r>
        <w:tab/>
        <w:t>(2)</w:t>
      </w:r>
      <w:r>
        <w:tab/>
        <w:t>The request must be complied with within 7 days after the day on which the request is served.</w:t>
      </w:r>
    </w:p>
    <w:p>
      <w:pPr>
        <w:pStyle w:val="Heading5"/>
      </w:pPr>
      <w:bookmarkStart w:id="238" w:name="_Toc170370649"/>
      <w:bookmarkStart w:id="239" w:name="_Toc48637885"/>
      <w:r>
        <w:rPr>
          <w:rStyle w:val="CharSectno"/>
        </w:rPr>
        <w:t>75</w:t>
      </w:r>
      <w:r>
        <w:t>.</w:t>
      </w:r>
      <w:r>
        <w:tab/>
        <w:t>Arbitration Service seal</w:t>
      </w:r>
      <w:bookmarkEnd w:id="238"/>
      <w:bookmarkEnd w:id="239"/>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240" w:name="_Toc170370650"/>
      <w:bookmarkStart w:id="241" w:name="_Toc48637886"/>
      <w:r>
        <w:rPr>
          <w:rStyle w:val="CharSectno"/>
        </w:rPr>
        <w:t>76</w:t>
      </w:r>
      <w:r>
        <w:t>.</w:t>
      </w:r>
      <w:r>
        <w:tab/>
        <w:t>Use of seal</w:t>
      </w:r>
      <w:bookmarkEnd w:id="240"/>
      <w:bookmarkEnd w:id="241"/>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242" w:name="_Toc170370651"/>
      <w:bookmarkStart w:id="243" w:name="_Toc48637887"/>
      <w:r>
        <w:rPr>
          <w:rStyle w:val="CharSectno"/>
        </w:rPr>
        <w:t>77</w:t>
      </w:r>
      <w:r>
        <w:t>.</w:t>
      </w:r>
      <w:r>
        <w:tab/>
        <w:t>Approved forms</w:t>
      </w:r>
      <w:bookmarkEnd w:id="242"/>
      <w:bookmarkEnd w:id="243"/>
    </w:p>
    <w:p>
      <w:pPr>
        <w:pStyle w:val="Subsection"/>
      </w:pPr>
      <w:r>
        <w:tab/>
      </w:r>
      <w:r>
        <w:tab/>
        <w:t>The chief executive officer may approve forms for use in the Arbitration Service.</w:t>
      </w:r>
    </w:p>
    <w:p>
      <w:pPr>
        <w:pStyle w:val="Heading5"/>
      </w:pPr>
      <w:bookmarkStart w:id="244" w:name="_Toc170370652"/>
      <w:bookmarkStart w:id="245" w:name="_Toc48637888"/>
      <w:r>
        <w:rPr>
          <w:rStyle w:val="CharSectno"/>
        </w:rPr>
        <w:t>78</w:t>
      </w:r>
      <w:r>
        <w:t>.</w:t>
      </w:r>
      <w:r>
        <w:tab/>
        <w:t>Amendment of documents</w:t>
      </w:r>
      <w:bookmarkEnd w:id="244"/>
      <w:bookmarkEnd w:id="245"/>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246" w:name="_Toc170370653"/>
      <w:bookmarkStart w:id="247" w:name="_Toc48637889"/>
      <w:r>
        <w:rPr>
          <w:rStyle w:val="CharSectno"/>
        </w:rPr>
        <w:t>79</w:t>
      </w:r>
      <w:r>
        <w:t>.</w:t>
      </w:r>
      <w:r>
        <w:tab/>
        <w:t>Application of these rules to pending arbitration proceedings</w:t>
      </w:r>
      <w:bookmarkEnd w:id="246"/>
      <w:bookmarkEnd w:id="247"/>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248" w:name="_Toc170305706"/>
      <w:bookmarkStart w:id="249" w:name="_Toc170305994"/>
      <w:bookmarkStart w:id="250" w:name="_Toc170370654"/>
      <w:bookmarkStart w:id="251" w:name="_Toc48575000"/>
      <w:bookmarkStart w:id="252" w:name="_Toc48637890"/>
      <w:bookmarkStart w:id="253" w:name="_Toc48550851"/>
      <w:r>
        <w:t>Notes</w:t>
      </w:r>
      <w:bookmarkEnd w:id="248"/>
      <w:bookmarkEnd w:id="249"/>
      <w:bookmarkEnd w:id="250"/>
      <w:bookmarkEnd w:id="251"/>
      <w:bookmarkEnd w:id="252"/>
    </w:p>
    <w:p>
      <w:pPr>
        <w:pStyle w:val="nStatement"/>
      </w:pPr>
      <w:r>
        <w:t xml:space="preserve">This is a compilation of the </w:t>
      </w:r>
      <w:r>
        <w:rPr>
          <w:i/>
          <w:noProof/>
        </w:rPr>
        <w:t>Workers’ Compensation and Injury Management Arbitration Rules 2011</w:t>
      </w:r>
      <w:r>
        <w:t xml:space="preserve"> and includes amendments made by other written laws. For provisions that have come into operation see the compilation table.</w:t>
      </w:r>
    </w:p>
    <w:p>
      <w:pPr>
        <w:pStyle w:val="nHeading3"/>
      </w:pPr>
      <w:bookmarkStart w:id="254" w:name="_Toc170370655"/>
      <w:bookmarkStart w:id="255" w:name="_Toc48637891"/>
      <w:r>
        <w:t>Compilation table</w:t>
      </w:r>
      <w:bookmarkEnd w:id="254"/>
      <w:bookmarkEnd w:id="25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Borders>
              <w:bottom w:val="nil"/>
            </w:tcBorders>
          </w:tcPr>
          <w:p>
            <w:pPr>
              <w:pStyle w:val="nTable"/>
              <w:spacing w:after="40"/>
            </w:pPr>
            <w:r>
              <w:t>9 Nov 2011 p. 4689</w:t>
            </w:r>
            <w:r>
              <w:noBreakHyphen/>
              <w:t>740</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r>
              <w:t xml:space="preserve"> </w:t>
            </w:r>
          </w:p>
        </w:tc>
      </w:tr>
      <w:tr>
        <w:tc>
          <w:tcPr>
            <w:tcW w:w="3118" w:type="dxa"/>
            <w:tcBorders>
              <w:top w:val="nil"/>
              <w:bottom w:val="nil"/>
            </w:tcBorders>
          </w:tcPr>
          <w:p>
            <w:pPr>
              <w:pStyle w:val="nTable"/>
              <w:spacing w:after="40"/>
              <w:rPr>
                <w:i/>
                <w:noProof/>
                <w:snapToGrid w:val="0"/>
              </w:rPr>
            </w:pPr>
            <w:r>
              <w:rPr>
                <w:i/>
              </w:rPr>
              <w:t>Workers’ Compensation and Injury Management Arbitration Amendment Rules 2015</w:t>
            </w:r>
          </w:p>
        </w:tc>
        <w:tc>
          <w:tcPr>
            <w:tcW w:w="1276" w:type="dxa"/>
            <w:tcBorders>
              <w:top w:val="nil"/>
              <w:bottom w:val="nil"/>
            </w:tcBorders>
          </w:tcPr>
          <w:p>
            <w:pPr>
              <w:pStyle w:val="nTable"/>
              <w:spacing w:after="40"/>
            </w:pPr>
            <w:r>
              <w:t>12 Jun 2015 p. 2044</w:t>
            </w:r>
            <w:r>
              <w:noBreakHyphen/>
              <w:t>7</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 xml:space="preserve"> (see r. 2(a));</w:t>
            </w:r>
            <w:r>
              <w:rPr>
                <w:snapToGrid w:val="0"/>
                <w:spacing w:val="-2"/>
              </w:rPr>
              <w:br/>
              <w:t xml:space="preserve">Rules other than r. 1 and 2: </w:t>
            </w:r>
            <w:r>
              <w:t>1 Jul 2015 (see r. 2(b)(ii))</w:t>
            </w:r>
          </w:p>
        </w:tc>
      </w:tr>
      <w:tr>
        <w:tc>
          <w:tcPr>
            <w:tcW w:w="3118" w:type="dxa"/>
            <w:tcBorders>
              <w:top w:val="nil"/>
              <w:bottom w:val="nil"/>
            </w:tcBorders>
          </w:tcPr>
          <w:p>
            <w:pPr>
              <w:pStyle w:val="nTable"/>
              <w:spacing w:after="40"/>
              <w:rPr>
                <w:i/>
              </w:rPr>
            </w:pPr>
            <w:r>
              <w:rPr>
                <w:i/>
              </w:rPr>
              <w:t>Workers’ Compensation and Injury Management Arbitration Amendment Rules 2018</w:t>
            </w:r>
          </w:p>
        </w:tc>
        <w:tc>
          <w:tcPr>
            <w:tcW w:w="1276" w:type="dxa"/>
            <w:tcBorders>
              <w:top w:val="nil"/>
              <w:bottom w:val="nil"/>
            </w:tcBorders>
          </w:tcPr>
          <w:p>
            <w:pPr>
              <w:pStyle w:val="nTable"/>
              <w:spacing w:after="40"/>
            </w:pPr>
            <w:r>
              <w:t>29 Jun 2018 p. 2447</w:t>
            </w:r>
            <w:r>
              <w:noBreakHyphen/>
              <w:t>8</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29 Jun 2018</w:t>
            </w:r>
            <w:r>
              <w:rPr>
                <w:snapToGrid w:val="0"/>
                <w:spacing w:val="-2"/>
              </w:rPr>
              <w:t xml:space="preserve"> (see r. 2(a));</w:t>
            </w:r>
            <w:r>
              <w:rPr>
                <w:snapToGrid w:val="0"/>
                <w:spacing w:val="-2"/>
              </w:rPr>
              <w:br/>
              <w:t xml:space="preserve">Rules other than r. 1 and 2: </w:t>
            </w:r>
            <w:r>
              <w:t xml:space="preserve">1 Jul 2018 (see r. 2(b) and </w:t>
            </w:r>
            <w:r>
              <w:rPr>
                <w:i/>
              </w:rPr>
              <w:t xml:space="preserve">Gazette </w:t>
            </w:r>
            <w:r>
              <w:t>29 Jun 2018 p. 2433)</w:t>
            </w:r>
          </w:p>
        </w:tc>
      </w:tr>
      <w:tr>
        <w:tc>
          <w:tcPr>
            <w:tcW w:w="3118" w:type="dxa"/>
            <w:tcBorders>
              <w:top w:val="nil"/>
              <w:bottom w:val="nil"/>
            </w:tcBorders>
          </w:tcPr>
          <w:p>
            <w:pPr>
              <w:pStyle w:val="nTable"/>
              <w:spacing w:after="40"/>
              <w:rPr>
                <w:i/>
              </w:rPr>
            </w:pPr>
            <w:r>
              <w:rPr>
                <w:i/>
              </w:rPr>
              <w:t>Workers’ Compensation and Injury Management Arbitration Amendment Rules 2020</w:t>
            </w:r>
          </w:p>
        </w:tc>
        <w:tc>
          <w:tcPr>
            <w:tcW w:w="1276" w:type="dxa"/>
            <w:tcBorders>
              <w:top w:val="nil"/>
              <w:bottom w:val="nil"/>
            </w:tcBorders>
          </w:tcPr>
          <w:p>
            <w:pPr>
              <w:pStyle w:val="nTable"/>
              <w:spacing w:after="40"/>
            </w:pPr>
            <w:r>
              <w:t>SL 2020/137 18 Aug 2020</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18 Aug 2020</w:t>
            </w:r>
            <w:r>
              <w:rPr>
                <w:snapToGrid w:val="0"/>
                <w:spacing w:val="-2"/>
              </w:rPr>
              <w:t xml:space="preserve"> (see r. 2(a));</w:t>
            </w:r>
            <w:r>
              <w:rPr>
                <w:snapToGrid w:val="0"/>
                <w:spacing w:val="-2"/>
              </w:rPr>
              <w:br/>
              <w:t xml:space="preserve">Rules other than r. 1 and 2: </w:t>
            </w:r>
            <w:r>
              <w:t>19 Aug 2020 (see r. 2(b))</w:t>
            </w:r>
          </w:p>
        </w:tc>
      </w:tr>
    </w:tbl>
    <w:p>
      <w:pPr>
        <w:rPr>
          <w:del w:id="256" w:author="Master Repository Process" w:date="2025-06-18T10:38:00Z"/>
        </w:rPr>
      </w:pPr>
    </w:p>
    <w:p>
      <w:pPr>
        <w:rPr>
          <w:del w:id="257" w:author="Master Repository Process" w:date="2025-06-18T10:38:00Z"/>
        </w:rPr>
        <w:sectPr>
          <w:headerReference w:type="even" r:id="rId21"/>
          <w:headerReference w:type="default" r:id="rId22"/>
          <w:pgSz w:w="11907" w:h="16840" w:code="9"/>
          <w:pgMar w:top="2376" w:right="2404" w:bottom="3544" w:left="2404" w:header="720" w:footer="3380" w:gutter="0"/>
          <w:cols w:space="720"/>
          <w:noEndnote/>
          <w:docGrid w:linePitch="326"/>
        </w:sectPr>
      </w:pP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7087"/>
      </w:tblGrid>
      <w:tr>
        <w:trPr>
          <w:ins w:id="258" w:author="Master Repository Process" w:date="2025-06-18T10:38:00Z"/>
        </w:trPr>
        <w:tc>
          <w:tcPr>
            <w:tcW w:w="7087" w:type="dxa"/>
            <w:tcBorders>
              <w:top w:val="nil"/>
              <w:bottom w:val="single" w:sz="4" w:space="0" w:color="auto"/>
            </w:tcBorders>
          </w:tcPr>
          <w:bookmarkEnd w:id="253"/>
          <w:p>
            <w:pPr>
              <w:pStyle w:val="nTable"/>
              <w:spacing w:after="40"/>
              <w:rPr>
                <w:ins w:id="259" w:author="Master Repository Process" w:date="2025-06-18T10:38:00Z"/>
                <w:b/>
                <w:bCs/>
                <w:snapToGrid w:val="0"/>
                <w:spacing w:val="-2"/>
              </w:rPr>
            </w:pPr>
            <w:ins w:id="260" w:author="Master Repository Process" w:date="2025-06-18T10:38:00Z">
              <w:r>
                <w:rPr>
                  <w:b/>
                  <w:bCs/>
                  <w:color w:val="FF0000"/>
                </w:rPr>
                <w:t xml:space="preserve">These rules were repealed by the </w:t>
              </w:r>
              <w:r>
                <w:rPr>
                  <w:b/>
                  <w:bCs/>
                  <w:i/>
                  <w:iCs/>
                  <w:color w:val="FF0000"/>
                </w:rPr>
                <w:t>Workers Compensation and Injury Management Arbitration Rules 2024</w:t>
              </w:r>
              <w:r>
                <w:rPr>
                  <w:b/>
                  <w:bCs/>
                  <w:color w:val="FF0000"/>
                </w:rPr>
                <w:t xml:space="preserve"> r. 79 on 1 Jul 2024 (see SL 2024/78 r. 2(b))</w:t>
              </w:r>
            </w:ins>
          </w:p>
        </w:tc>
      </w:tr>
    </w:tbl>
    <w:p>
      <w:pPr>
        <w:rPr>
          <w:ins w:id="261" w:author="Master Repository Process" w:date="2025-06-18T10:38:00Z"/>
        </w:rPr>
      </w:pPr>
    </w:p>
    <w:p>
      <w:pPr>
        <w:rPr>
          <w:ins w:id="262" w:author="Master Repository Process" w:date="2025-06-18T10:38:00Z"/>
        </w:rPr>
        <w:sectPr>
          <w:headerReference w:type="even" r:id="rId23"/>
          <w:headerReference w:type="default" r:id="rId24"/>
          <w:pgSz w:w="11907" w:h="16840" w:code="9"/>
          <w:pgMar w:top="2376" w:right="2404" w:bottom="3544" w:left="2404" w:header="720" w:footer="3544" w:gutter="0"/>
          <w:cols w:space="720"/>
          <w:noEndnote/>
          <w:docGrid w:linePitch="326"/>
        </w:sectPr>
      </w:pPr>
    </w:p>
    <w:p>
      <w:ins w:id="264" w:author="Master Repository Process" w:date="2025-06-18T10:38: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65" w:author="Master Repository Process" w:date="2025-06-18T10:38:00Z"/>
                                  <w:sz w:val="16"/>
                                </w:rPr>
                              </w:pPr>
                              <w:ins w:id="266" w:author="Master Repository Process" w:date="2025-06-18T10: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67" w:author="Master Repository Process" w:date="2025-06-18T10:38:00Z"/>
                                  <w:sz w:val="16"/>
                                </w:rPr>
                              </w:pPr>
                              <w:ins w:id="268" w:author="Master Repository Process" w:date="2025-06-18T10: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69" w:author="Master Repository Process" w:date="2025-06-18T10:38:00Z"/>
                                  <w:sz w:val="16"/>
                                </w:rPr>
                              </w:pPr>
                              <w:ins w:id="270" w:author="Master Repository Process" w:date="2025-06-18T10: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71" w:author="Master Repository Process" w:date="2025-06-18T10:38:00Z"/>
                                  <w:rFonts w:ascii="Arial" w:hAnsi="Arial" w:cs="Arial"/>
                                  <w:sz w:val="12"/>
                                </w:rPr>
                              </w:pPr>
                              <w:ins w:id="272" w:author="Master Repository Process" w:date="2025-06-18T10:38: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73" w:author="Master Repository Process" w:date="2025-06-18T10:38:00Z"/>
                            <w:sz w:val="16"/>
                          </w:rPr>
                        </w:pPr>
                        <w:ins w:id="274" w:author="Master Repository Process" w:date="2025-06-18T10:38: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75" w:author="Master Repository Process" w:date="2025-06-18T10:38:00Z"/>
                            <w:sz w:val="16"/>
                          </w:rPr>
                        </w:pPr>
                        <w:ins w:id="276" w:author="Master Repository Process" w:date="2025-06-18T10:38: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77" w:author="Master Repository Process" w:date="2025-06-18T10:38:00Z"/>
                            <w:sz w:val="16"/>
                          </w:rPr>
                        </w:pPr>
                        <w:ins w:id="278" w:author="Master Repository Process" w:date="2025-06-18T10:38: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79" w:author="Master Repository Process" w:date="2025-06-18T10:38:00Z"/>
                            <w:rFonts w:ascii="Arial" w:hAnsi="Arial" w:cs="Arial"/>
                            <w:sz w:val="12"/>
                          </w:rPr>
                        </w:pPr>
                        <w:ins w:id="280" w:author="Master Repository Process" w:date="2025-06-18T10:38:00Z">
                          <w:r>
                            <w:rPr>
                              <w:rFonts w:ascii="Arial" w:hAnsi="Arial" w:cs="Arial"/>
                              <w:sz w:val="12"/>
                            </w:rPr>
                            <w:t>By Authority: GEOFF O. LAWN, Government Printer</w:t>
                          </w:r>
                        </w:ins>
                      </w:p>
                    </w:txbxContent>
                  </v:textbox>
                  <w10:wrap anchorx="page" anchory="page"/>
                </v:shape>
              </w:pict>
            </mc:Fallback>
          </mc:AlternateContent>
        </w:r>
      </w:ins>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3" w:name="Compilation"/>
    <w:bookmarkEnd w:id="26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1" w:name="Coversheet"/>
    <w:bookmarkEnd w:id="2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6144555"/>
    <w:docVar w:name="WAFER_20150615091004" w:val="ResetPageSize,UpdateArrangement,UpdateNTable"/>
    <w:docVar w:name="WAFER_20150615091004_GUID" w:val="065328c4-4e7c-4e29-8be2-2ebbdafa2466"/>
    <w:docVar w:name="WAFER_20151112114053" w:val="UpdateStyles,UsedStyles"/>
    <w:docVar w:name="WAFER_20151112114053_GUID" w:val="72de87d7-bb8a-4e87-9c29-aace1d3bda7e"/>
    <w:docVar w:name="WAFER_20180628151021" w:val="RemoveTocBookmarks,RemoveUnusedBookmarks,RemoveLanguageTags,UsedStyles,ResetPageSize"/>
    <w:docVar w:name="WAFER_20180628151021_GUID" w:val="9df4ae87-5788-445c-a7ca-8c0d7668ae19"/>
    <w:docVar w:name="WAFER_202008170957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817095742_GUID" w:val="13b1cec2-1efe-41bf-ba65-1cf88ee79052"/>
    <w:docVar w:name="WAFER_202406261445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626144555_GUID" w:val="522842fe-3c56-434c-8514-709c1246d7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698B4EF-A2D4-466B-BD5F-027B6E096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10863</Words>
  <Characters>51711</Characters>
  <Application>Microsoft Office Word</Application>
  <DocSecurity>0</DocSecurity>
  <Lines>1360</Lines>
  <Paragraphs>753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00-f0-00 - 00-g0-00</dc:title>
  <dc:subject/>
  <dc:creator/>
  <cp:keywords/>
  <dc:description/>
  <cp:lastModifiedBy>Master Repository Process</cp:lastModifiedBy>
  <cp:revision>2</cp:revision>
  <cp:lastPrinted>2011-10-25T01:09:00Z</cp:lastPrinted>
  <dcterms:created xsi:type="dcterms:W3CDTF">2025-06-18T02:38:00Z</dcterms:created>
  <dcterms:modified xsi:type="dcterms:W3CDTF">2025-06-18T02:38:00Z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OWLSUId">
    <vt:i4>915</vt:i4>
  </property>
  <property fmtid="{D5CDD505-2E9C-101B-9397-08002B2CF9AE}" pid="4" name="DocumentType">
    <vt:lpwstr>Reg</vt:lpwstr>
  </property>
  <property fmtid="{D5CDD505-2E9C-101B-9397-08002B2CF9AE}" pid="5" name="Official">
    <vt:lpwstr/>
  </property>
  <property fmtid="{D5CDD505-2E9C-101B-9397-08002B2CF9AE}" pid="6" name="Status">
    <vt:lpwstr>NIF</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FromSuffix">
    <vt:lpwstr>00-f0-00</vt:lpwstr>
  </property>
  <property fmtid="{D5CDD505-2E9C-101B-9397-08002B2CF9AE}" pid="11" name="FromAsAtDate">
    <vt:lpwstr>19 Aug 2020</vt:lpwstr>
  </property>
  <property fmtid="{D5CDD505-2E9C-101B-9397-08002B2CF9AE}" pid="12" name="ToSuffix">
    <vt:lpwstr>00-g0-00</vt:lpwstr>
  </property>
  <property fmtid="{D5CDD505-2E9C-101B-9397-08002B2CF9AE}" pid="13" name="ToAsAtDate">
    <vt:lpwstr>01 Jul 2024</vt:lpwstr>
  </property>
</Properties>
</file>