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1" w:name="_Toc185424657"/>
      <w:bookmarkStart w:id="2" w:name="_Toc185425013"/>
      <w:bookmarkStart w:id="3" w:name="_Toc185428272"/>
      <w:bookmarkStart w:id="4" w:name="_Toc185428325"/>
      <w:bookmarkStart w:id="5" w:name="_Toc119412396"/>
      <w:bookmarkStart w:id="6" w:name="_Toc119413642"/>
      <w:bookmarkStart w:id="7" w:name="_Toc1194916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85428326"/>
      <w:bookmarkStart w:id="9" w:name="_Toc119491642"/>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10" w:name="_Toc185428327"/>
      <w:bookmarkStart w:id="11" w:name="_Toc119491643"/>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85428328"/>
      <w:bookmarkStart w:id="13" w:name="_Toc119491644"/>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lastRenderedPageBreak/>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keepNex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keepNex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keepNext/>
      </w:pPr>
      <w:r>
        <w:tab/>
        <w:t>(2)</w:t>
      </w:r>
      <w:r>
        <w:tab/>
        <w:t>A prescribed offence is to be taken to involve anti</w:t>
      </w:r>
      <w:r>
        <w:noBreakHyphen/>
        <w:t>social behaviour in the absence of proof to the contrary.</w:t>
      </w:r>
    </w:p>
    <w:p>
      <w:pPr>
        <w:pStyle w:val="Footnotesection"/>
      </w:pPr>
      <w:r>
        <w:tab/>
        <w:t>[Section 3 amended: No. 13 of 2022 s. 75.]</w:t>
      </w:r>
    </w:p>
    <w:p>
      <w:pPr>
        <w:pStyle w:val="Heading5"/>
      </w:pPr>
      <w:bookmarkStart w:id="14" w:name="_Toc185428329"/>
      <w:bookmarkStart w:id="15" w:name="_Toc119491645"/>
      <w:r>
        <w:rPr>
          <w:rStyle w:val="CharSectno"/>
        </w:rPr>
        <w:t>4</w:t>
      </w:r>
      <w:r>
        <w:t>.</w:t>
      </w:r>
      <w:r>
        <w:tab/>
        <w:t>Constrained persons to be natural persons</w:t>
      </w:r>
      <w:bookmarkEnd w:id="14"/>
      <w:bookmarkEnd w:id="15"/>
    </w:p>
    <w:p>
      <w:pPr>
        <w:pStyle w:val="Subsection"/>
      </w:pPr>
      <w:r>
        <w:tab/>
      </w:r>
      <w:r>
        <w:tab/>
        <w:t>A constrained person must be a natural person.</w:t>
      </w:r>
    </w:p>
    <w:p>
      <w:pPr>
        <w:pStyle w:val="Heading5"/>
      </w:pPr>
      <w:bookmarkStart w:id="16" w:name="_Toc185428330"/>
      <w:bookmarkStart w:id="17" w:name="_Toc119491646"/>
      <w:r>
        <w:rPr>
          <w:rStyle w:val="CharSectno"/>
        </w:rPr>
        <w:t>5A</w:t>
      </w:r>
      <w:r>
        <w:t>.</w:t>
      </w:r>
      <w:r>
        <w:tab/>
      </w:r>
      <w:r>
        <w:rPr>
          <w:i/>
        </w:rPr>
        <w:t>Courts and Tribunals (Electronic Processes Facilitation) Act 2013</w:t>
      </w:r>
      <w:r>
        <w:t xml:space="preserve"> Part 2 applies</w:t>
      </w:r>
      <w:bookmarkEnd w:id="16"/>
      <w:bookmarkEnd w:id="17"/>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18" w:name="_Toc185424663"/>
      <w:bookmarkStart w:id="19" w:name="_Toc185425019"/>
      <w:bookmarkStart w:id="20" w:name="_Toc185428278"/>
      <w:bookmarkStart w:id="21" w:name="_Toc185428331"/>
      <w:bookmarkStart w:id="22" w:name="_Toc119412402"/>
      <w:bookmarkStart w:id="23" w:name="_Toc119413648"/>
      <w:bookmarkStart w:id="24" w:name="_Toc119491647"/>
      <w:r>
        <w:rPr>
          <w:rStyle w:val="CharPartNo"/>
        </w:rPr>
        <w:t>Part 2</w:t>
      </w:r>
      <w:r>
        <w:t> — </w:t>
      </w:r>
      <w:r>
        <w:rPr>
          <w:rStyle w:val="CharPartText"/>
        </w:rPr>
        <w:t>Prohibited behaviour orders</w:t>
      </w:r>
      <w:bookmarkEnd w:id="18"/>
      <w:bookmarkEnd w:id="19"/>
      <w:bookmarkEnd w:id="20"/>
      <w:bookmarkEnd w:id="21"/>
      <w:bookmarkEnd w:id="22"/>
      <w:bookmarkEnd w:id="23"/>
      <w:bookmarkEnd w:id="24"/>
    </w:p>
    <w:p>
      <w:pPr>
        <w:pStyle w:val="Heading3"/>
      </w:pPr>
      <w:bookmarkStart w:id="25" w:name="_Toc185424664"/>
      <w:bookmarkStart w:id="26" w:name="_Toc185425020"/>
      <w:bookmarkStart w:id="27" w:name="_Toc185428279"/>
      <w:bookmarkStart w:id="28" w:name="_Toc185428332"/>
      <w:bookmarkStart w:id="29" w:name="_Toc119412403"/>
      <w:bookmarkStart w:id="30" w:name="_Toc119413649"/>
      <w:bookmarkStart w:id="31" w:name="_Toc119491648"/>
      <w:r>
        <w:rPr>
          <w:rStyle w:val="CharDivNo"/>
        </w:rPr>
        <w:t>Division 1</w:t>
      </w:r>
      <w:r>
        <w:t> — </w:t>
      </w:r>
      <w:r>
        <w:rPr>
          <w:rStyle w:val="CharDivText"/>
        </w:rPr>
        <w:t>Making PBOs, general</w:t>
      </w:r>
      <w:bookmarkEnd w:id="25"/>
      <w:bookmarkEnd w:id="26"/>
      <w:bookmarkEnd w:id="27"/>
      <w:bookmarkEnd w:id="28"/>
      <w:bookmarkEnd w:id="29"/>
      <w:bookmarkEnd w:id="30"/>
      <w:bookmarkEnd w:id="31"/>
    </w:p>
    <w:p>
      <w:pPr>
        <w:pStyle w:val="Heading5"/>
      </w:pPr>
      <w:bookmarkStart w:id="32" w:name="_Toc185428333"/>
      <w:bookmarkStart w:id="33" w:name="_Toc119491649"/>
      <w:r>
        <w:rPr>
          <w:rStyle w:val="CharSectno"/>
        </w:rPr>
        <w:t>5</w:t>
      </w:r>
      <w:r>
        <w:t>.</w:t>
      </w:r>
      <w:r>
        <w:tab/>
        <w:t>Application for PBO</w:t>
      </w:r>
      <w:bookmarkEnd w:id="32"/>
      <w:bookmarkEnd w:id="33"/>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34" w:name="_Toc185428334"/>
      <w:bookmarkStart w:id="35" w:name="_Toc119491650"/>
      <w:r>
        <w:rPr>
          <w:rStyle w:val="CharSectno"/>
        </w:rPr>
        <w:t>6</w:t>
      </w:r>
      <w:r>
        <w:rPr>
          <w:snapToGrid w:val="0"/>
        </w:rPr>
        <w:t>.</w:t>
      </w:r>
      <w:r>
        <w:rPr>
          <w:snapToGrid w:val="0"/>
        </w:rPr>
        <w:tab/>
        <w:t>Court may make PBO after sentencing</w:t>
      </w:r>
      <w:bookmarkEnd w:id="34"/>
      <w:bookmarkEnd w:id="35"/>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36" w:name="_Toc185428335"/>
      <w:bookmarkStart w:id="37" w:name="_Toc119491651"/>
      <w:r>
        <w:rPr>
          <w:rStyle w:val="CharSectno"/>
        </w:rPr>
        <w:t>7</w:t>
      </w:r>
      <w:r>
        <w:t>.</w:t>
      </w:r>
      <w:r>
        <w:tab/>
        <w:t>Hearing of PBO proceedings</w:t>
      </w:r>
      <w:bookmarkEnd w:id="36"/>
      <w:bookmarkEnd w:id="37"/>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38" w:name="_Toc185428336"/>
      <w:bookmarkStart w:id="39" w:name="_Toc119491652"/>
      <w:r>
        <w:rPr>
          <w:rStyle w:val="CharSectno"/>
        </w:rPr>
        <w:t>8</w:t>
      </w:r>
      <w:r>
        <w:rPr>
          <w:snapToGrid w:val="0"/>
        </w:rPr>
        <w:t>.</w:t>
      </w:r>
      <w:r>
        <w:rPr>
          <w:snapToGrid w:val="0"/>
        </w:rPr>
        <w:tab/>
        <w:t>Grounds for PBO</w:t>
      </w:r>
      <w:bookmarkEnd w:id="38"/>
      <w:bookmarkEnd w:id="39"/>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40" w:name="_Toc185428337"/>
      <w:bookmarkStart w:id="41" w:name="_Toc119491653"/>
      <w:r>
        <w:rPr>
          <w:rStyle w:val="CharSectno"/>
        </w:rPr>
        <w:t>9</w:t>
      </w:r>
      <w:r>
        <w:rPr>
          <w:snapToGrid w:val="0"/>
        </w:rPr>
        <w:t>.</w:t>
      </w:r>
      <w:r>
        <w:rPr>
          <w:snapToGrid w:val="0"/>
        </w:rPr>
        <w:tab/>
        <w:t>Matters to be considered by court</w:t>
      </w:r>
      <w:bookmarkEnd w:id="40"/>
      <w:bookmarkEnd w:id="41"/>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42" w:name="_Toc185428338"/>
      <w:bookmarkStart w:id="43" w:name="_Toc119491654"/>
      <w:r>
        <w:rPr>
          <w:rStyle w:val="CharSectno"/>
        </w:rPr>
        <w:t>10</w:t>
      </w:r>
      <w:r>
        <w:rPr>
          <w:snapToGrid w:val="0"/>
        </w:rPr>
        <w:t>.</w:t>
      </w:r>
      <w:r>
        <w:rPr>
          <w:snapToGrid w:val="0"/>
        </w:rPr>
        <w:tab/>
        <w:t>Constraints imposed by PBO</w:t>
      </w:r>
      <w:bookmarkEnd w:id="42"/>
      <w:bookmarkEnd w:id="43"/>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keepNext/>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44" w:name="_Toc185428339"/>
      <w:bookmarkStart w:id="45" w:name="_Toc119491655"/>
      <w:r>
        <w:rPr>
          <w:rStyle w:val="CharSectno"/>
        </w:rPr>
        <w:t>11</w:t>
      </w:r>
      <w:r>
        <w:t>.</w:t>
      </w:r>
      <w:r>
        <w:tab/>
        <w:t>When PBO comes into force</w:t>
      </w:r>
      <w:bookmarkEnd w:id="44"/>
      <w:bookmarkEnd w:id="45"/>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46" w:name="_Toc185428340"/>
      <w:bookmarkStart w:id="47" w:name="_Toc119491656"/>
      <w:r>
        <w:rPr>
          <w:rStyle w:val="CharSectno"/>
        </w:rPr>
        <w:t>12</w:t>
      </w:r>
      <w:r>
        <w:rPr>
          <w:snapToGrid w:val="0"/>
        </w:rPr>
        <w:t>.</w:t>
      </w:r>
      <w:r>
        <w:rPr>
          <w:snapToGrid w:val="0"/>
        </w:rPr>
        <w:tab/>
        <w:t>Duration of PBO</w:t>
      </w:r>
      <w:bookmarkEnd w:id="46"/>
      <w:bookmarkEnd w:id="47"/>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48" w:name="_Toc185428341"/>
      <w:bookmarkStart w:id="49" w:name="_Toc119491657"/>
      <w:r>
        <w:rPr>
          <w:rStyle w:val="CharSectno"/>
        </w:rPr>
        <w:t>13</w:t>
      </w:r>
      <w:r>
        <w:t>.</w:t>
      </w:r>
      <w:r>
        <w:tab/>
        <w:t>PBO ceases to have force if conviction set aside or quashed</w:t>
      </w:r>
      <w:bookmarkEnd w:id="48"/>
      <w:bookmarkEnd w:id="49"/>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50" w:name="_Toc185428342"/>
      <w:bookmarkStart w:id="51" w:name="_Toc119491658"/>
      <w:r>
        <w:rPr>
          <w:rStyle w:val="CharSectno"/>
        </w:rPr>
        <w:t>14</w:t>
      </w:r>
      <w:r>
        <w:t>.</w:t>
      </w:r>
      <w:r>
        <w:tab/>
        <w:t>Explanation about PBO to be given</w:t>
      </w:r>
      <w:bookmarkEnd w:id="50"/>
      <w:bookmarkEnd w:id="51"/>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item or to holding or obtaining a firearms authorisation, the effects of sections 30 and 31 relating to firearm items and firearms authorisations.</w:t>
      </w:r>
    </w:p>
    <w:p>
      <w:pPr>
        <w:pStyle w:val="Subsection"/>
        <w:keepNext/>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keepNext/>
      </w:pPr>
      <w:r>
        <w:tab/>
        <w:t>(4)</w:t>
      </w:r>
      <w:r>
        <w:tab/>
        <w:t>A PBO is not invalid merely because the constrained person was not given the explanation.</w:t>
      </w:r>
    </w:p>
    <w:p>
      <w:pPr>
        <w:pStyle w:val="Footnotesection"/>
      </w:pPr>
      <w:r>
        <w:tab/>
        <w:t>[Section 14 amended: No. 13 of 2022 s. 76 and 77.]</w:t>
      </w:r>
    </w:p>
    <w:p>
      <w:pPr>
        <w:pStyle w:val="Heading5"/>
        <w:rPr>
          <w:snapToGrid w:val="0"/>
        </w:rPr>
      </w:pPr>
      <w:bookmarkStart w:id="52" w:name="_Toc185428343"/>
      <w:bookmarkStart w:id="53" w:name="_Toc119491659"/>
      <w:r>
        <w:rPr>
          <w:rStyle w:val="CharSectno"/>
        </w:rPr>
        <w:t>15</w:t>
      </w:r>
      <w:r>
        <w:rPr>
          <w:snapToGrid w:val="0"/>
        </w:rPr>
        <w:t>.</w:t>
      </w:r>
      <w:r>
        <w:rPr>
          <w:snapToGrid w:val="0"/>
        </w:rPr>
        <w:tab/>
        <w:t>Registrar to give copies of PBOs</w:t>
      </w:r>
      <w:bookmarkEnd w:id="52"/>
      <w:bookmarkEnd w:id="53"/>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54" w:name="_Toc185424676"/>
      <w:bookmarkStart w:id="55" w:name="_Toc185425032"/>
      <w:bookmarkStart w:id="56" w:name="_Toc185428291"/>
      <w:bookmarkStart w:id="57" w:name="_Toc185428344"/>
      <w:bookmarkStart w:id="58" w:name="_Toc119412415"/>
      <w:bookmarkStart w:id="59" w:name="_Toc119413661"/>
      <w:bookmarkStart w:id="60" w:name="_Toc119491660"/>
      <w:r>
        <w:rPr>
          <w:rStyle w:val="CharDivNo"/>
        </w:rPr>
        <w:t>Division 2</w:t>
      </w:r>
      <w:r>
        <w:t> — </w:t>
      </w:r>
      <w:r>
        <w:rPr>
          <w:rStyle w:val="CharDivText"/>
        </w:rPr>
        <w:t>Making PBOs against youths</w:t>
      </w:r>
      <w:bookmarkEnd w:id="54"/>
      <w:bookmarkEnd w:id="55"/>
      <w:bookmarkEnd w:id="56"/>
      <w:bookmarkEnd w:id="57"/>
      <w:bookmarkEnd w:id="58"/>
      <w:bookmarkEnd w:id="59"/>
      <w:bookmarkEnd w:id="60"/>
    </w:p>
    <w:p>
      <w:pPr>
        <w:pStyle w:val="Heading5"/>
      </w:pPr>
      <w:bookmarkStart w:id="61" w:name="_Toc185428345"/>
      <w:bookmarkStart w:id="62" w:name="_Toc119491661"/>
      <w:r>
        <w:rPr>
          <w:rStyle w:val="CharSectno"/>
        </w:rPr>
        <w:t>16</w:t>
      </w:r>
      <w:r>
        <w:t>.</w:t>
      </w:r>
      <w:r>
        <w:tab/>
        <w:t>Term used: youth</w:t>
      </w:r>
      <w:r>
        <w:noBreakHyphen/>
        <w:t>related PBO proceedings</w:t>
      </w:r>
      <w:bookmarkEnd w:id="61"/>
      <w:bookmarkEnd w:id="62"/>
    </w:p>
    <w:p>
      <w:pPr>
        <w:pStyle w:val="Subsection"/>
        <w:keepNext/>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63" w:name="_Toc185428346"/>
      <w:bookmarkStart w:id="64" w:name="_Toc119491662"/>
      <w:r>
        <w:rPr>
          <w:rStyle w:val="CharSectno"/>
        </w:rPr>
        <w:t>17</w:t>
      </w:r>
      <w:r>
        <w:t>.</w:t>
      </w:r>
      <w:r>
        <w:tab/>
        <w:t>No PBO where court refrains from imposing punishment on youth</w:t>
      </w:r>
      <w:bookmarkEnd w:id="63"/>
      <w:bookmarkEnd w:id="64"/>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65" w:name="_Toc185428347"/>
      <w:bookmarkStart w:id="66" w:name="_Toc119491663"/>
      <w:r>
        <w:rPr>
          <w:rStyle w:val="CharSectno"/>
        </w:rPr>
        <w:t>18</w:t>
      </w:r>
      <w:r>
        <w:t>.</w:t>
      </w:r>
      <w:r>
        <w:tab/>
        <w:t>Child welfare laws not affected</w:t>
      </w:r>
      <w:bookmarkEnd w:id="65"/>
      <w:bookmarkEnd w:id="66"/>
    </w:p>
    <w:p>
      <w:pPr>
        <w:pStyle w:val="Subsection"/>
        <w:keepNext/>
      </w:pPr>
      <w:r>
        <w:tab/>
        <w:t>(1)</w:t>
      </w:r>
      <w:r>
        <w:tab/>
        <w:t xml:space="preserve">In this section — </w:t>
      </w:r>
    </w:p>
    <w:p>
      <w:pPr>
        <w:pStyle w:val="Defstart"/>
        <w:keepNex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keepNext/>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keepNext/>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67" w:name="_Toc185428348"/>
      <w:bookmarkStart w:id="68" w:name="_Toc119491664"/>
      <w:r>
        <w:rPr>
          <w:rStyle w:val="CharSectno"/>
        </w:rPr>
        <w:t>19</w:t>
      </w:r>
      <w:r>
        <w:t>.</w:t>
      </w:r>
      <w:r>
        <w:tab/>
        <w:t>Court to take into account certain principles and considerations</w:t>
      </w:r>
      <w:bookmarkEnd w:id="67"/>
      <w:bookmarkEnd w:id="68"/>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69" w:name="_Toc185428349"/>
      <w:bookmarkStart w:id="70" w:name="_Toc119491665"/>
      <w:r>
        <w:rPr>
          <w:rStyle w:val="CharSectno"/>
        </w:rPr>
        <w:t>20</w:t>
      </w:r>
      <w:r>
        <w:rPr>
          <w:snapToGrid w:val="0"/>
        </w:rPr>
        <w:t>.</w:t>
      </w:r>
      <w:r>
        <w:rPr>
          <w:snapToGrid w:val="0"/>
        </w:rPr>
        <w:tab/>
        <w:t>Responsible adult to attend</w:t>
      </w:r>
      <w:bookmarkEnd w:id="69"/>
      <w:bookmarkEnd w:id="70"/>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71" w:name="_Toc185424682"/>
      <w:bookmarkStart w:id="72" w:name="_Toc185425038"/>
      <w:bookmarkStart w:id="73" w:name="_Toc185428297"/>
      <w:bookmarkStart w:id="74" w:name="_Toc185428350"/>
      <w:bookmarkStart w:id="75" w:name="_Toc119412421"/>
      <w:bookmarkStart w:id="76" w:name="_Toc119413667"/>
      <w:bookmarkStart w:id="77" w:name="_Toc119491666"/>
      <w:r>
        <w:rPr>
          <w:rStyle w:val="CharDivNo"/>
        </w:rPr>
        <w:t>Division 3</w:t>
      </w:r>
      <w:r>
        <w:t> — </w:t>
      </w:r>
      <w:r>
        <w:rPr>
          <w:rStyle w:val="CharDivText"/>
        </w:rPr>
        <w:t>Varying or cancelling PBOs</w:t>
      </w:r>
      <w:bookmarkEnd w:id="71"/>
      <w:bookmarkEnd w:id="72"/>
      <w:bookmarkEnd w:id="73"/>
      <w:bookmarkEnd w:id="74"/>
      <w:bookmarkEnd w:id="75"/>
      <w:bookmarkEnd w:id="76"/>
      <w:bookmarkEnd w:id="77"/>
    </w:p>
    <w:p>
      <w:pPr>
        <w:pStyle w:val="Heading5"/>
      </w:pPr>
      <w:bookmarkStart w:id="78" w:name="_Toc185428351"/>
      <w:bookmarkStart w:id="79" w:name="_Toc119491667"/>
      <w:r>
        <w:rPr>
          <w:rStyle w:val="CharSectno"/>
        </w:rPr>
        <w:t>21</w:t>
      </w:r>
      <w:r>
        <w:t>.</w:t>
      </w:r>
      <w:r>
        <w:tab/>
        <w:t>Application</w:t>
      </w:r>
      <w:bookmarkEnd w:id="78"/>
      <w:bookmarkEnd w:id="79"/>
    </w:p>
    <w:p>
      <w:pPr>
        <w:pStyle w:val="Subsection"/>
        <w:keepNext/>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80" w:name="_Toc185428352"/>
      <w:bookmarkStart w:id="81" w:name="_Toc119491668"/>
      <w:r>
        <w:rPr>
          <w:rStyle w:val="CharSectno"/>
        </w:rPr>
        <w:t>22</w:t>
      </w:r>
      <w:r>
        <w:rPr>
          <w:snapToGrid w:val="0"/>
        </w:rPr>
        <w:t>.</w:t>
      </w:r>
      <w:r>
        <w:rPr>
          <w:snapToGrid w:val="0"/>
        </w:rPr>
        <w:tab/>
      </w:r>
      <w:r>
        <w:t xml:space="preserve">Registrar </w:t>
      </w:r>
      <w:r>
        <w:rPr>
          <w:snapToGrid w:val="0"/>
        </w:rPr>
        <w:t>to fix hearing and notify parties</w:t>
      </w:r>
      <w:bookmarkEnd w:id="80"/>
      <w:bookmarkEnd w:id="81"/>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keepNext/>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82" w:name="_Toc185428353"/>
      <w:bookmarkStart w:id="83" w:name="_Toc119491669"/>
      <w:r>
        <w:rPr>
          <w:rStyle w:val="CharSectno"/>
        </w:rPr>
        <w:t>23</w:t>
      </w:r>
      <w:r>
        <w:t>.</w:t>
      </w:r>
      <w:r>
        <w:tab/>
        <w:t>Applications to extend period of PBOs</w:t>
      </w:r>
      <w:bookmarkEnd w:id="82"/>
      <w:bookmarkEnd w:id="83"/>
    </w:p>
    <w:p>
      <w:pPr>
        <w:pStyle w:val="Subsection"/>
        <w:keepNext/>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84" w:name="_Toc185428354"/>
      <w:bookmarkStart w:id="85" w:name="_Toc119491670"/>
      <w:r>
        <w:rPr>
          <w:rStyle w:val="CharSectno"/>
        </w:rPr>
        <w:t>24</w:t>
      </w:r>
      <w:r>
        <w:rPr>
          <w:snapToGrid w:val="0"/>
        </w:rPr>
        <w:t>.</w:t>
      </w:r>
      <w:r>
        <w:rPr>
          <w:snapToGrid w:val="0"/>
        </w:rPr>
        <w:tab/>
        <w:t>Variation or cancellation</w:t>
      </w:r>
      <w:bookmarkEnd w:id="84"/>
      <w:bookmarkEnd w:id="85"/>
    </w:p>
    <w:p>
      <w:pPr>
        <w:pStyle w:val="Subsection"/>
        <w:keepNext/>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keepNext/>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keepNext/>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keepNext/>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86" w:name="_Toc185428355"/>
      <w:bookmarkStart w:id="87" w:name="_Toc119491671"/>
      <w:r>
        <w:rPr>
          <w:rStyle w:val="CharSectno"/>
        </w:rPr>
        <w:t>25</w:t>
      </w:r>
      <w:r>
        <w:t>.</w:t>
      </w:r>
      <w:r>
        <w:tab/>
        <w:t>Correcting minor errors in PBOs</w:t>
      </w:r>
      <w:bookmarkEnd w:id="86"/>
      <w:bookmarkEnd w:id="87"/>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88" w:name="_Toc185424688"/>
      <w:bookmarkStart w:id="89" w:name="_Toc185425044"/>
      <w:bookmarkStart w:id="90" w:name="_Toc185428303"/>
      <w:bookmarkStart w:id="91" w:name="_Toc185428356"/>
      <w:bookmarkStart w:id="92" w:name="_Toc119412427"/>
      <w:bookmarkStart w:id="93" w:name="_Toc119413673"/>
      <w:bookmarkStart w:id="94" w:name="_Toc119491672"/>
      <w:r>
        <w:rPr>
          <w:rStyle w:val="CharDivNo"/>
        </w:rPr>
        <w:t>Division 4</w:t>
      </w:r>
      <w:r>
        <w:t> — </w:t>
      </w:r>
      <w:r>
        <w:rPr>
          <w:rStyle w:val="CharDivText"/>
        </w:rPr>
        <w:t>PBO proceedings</w:t>
      </w:r>
      <w:bookmarkEnd w:id="88"/>
      <w:bookmarkEnd w:id="89"/>
      <w:bookmarkEnd w:id="90"/>
      <w:bookmarkEnd w:id="91"/>
      <w:bookmarkEnd w:id="92"/>
      <w:bookmarkEnd w:id="93"/>
      <w:bookmarkEnd w:id="94"/>
    </w:p>
    <w:p>
      <w:pPr>
        <w:pStyle w:val="Heading5"/>
      </w:pPr>
      <w:bookmarkStart w:id="95" w:name="_Toc185428357"/>
      <w:bookmarkStart w:id="96" w:name="_Toc119491673"/>
      <w:r>
        <w:rPr>
          <w:rStyle w:val="CharSectno"/>
        </w:rPr>
        <w:t>26</w:t>
      </w:r>
      <w:r>
        <w:t>.</w:t>
      </w:r>
      <w:r>
        <w:tab/>
        <w:t>Evidence in PBO proceedings</w:t>
      </w:r>
      <w:bookmarkEnd w:id="95"/>
      <w:bookmarkEnd w:id="96"/>
    </w:p>
    <w:p>
      <w:pPr>
        <w:pStyle w:val="Subsection"/>
        <w:keepNext/>
      </w:pPr>
      <w:r>
        <w:tab/>
        <w:t>(1)</w:t>
      </w:r>
      <w:r>
        <w:tab/>
        <w:t xml:space="preserve">A court considering whether to make a PBO against a person may take evidence as to — </w:t>
      </w:r>
    </w:p>
    <w:p>
      <w:pPr>
        <w:pStyle w:val="Indenta"/>
        <w:keepNext/>
      </w:pPr>
      <w:r>
        <w:tab/>
        <w:t>(a)</w:t>
      </w:r>
      <w:r>
        <w:tab/>
        <w:t xml:space="preserve">the behaviour of the person in committing — </w:t>
      </w:r>
    </w:p>
    <w:p>
      <w:pPr>
        <w:pStyle w:val="Indenti"/>
      </w:pPr>
      <w:r>
        <w:tab/>
        <w:t>(i)</w:t>
      </w:r>
      <w:r>
        <w:tab/>
        <w:t>the offence for which the person received the related sentence; and</w:t>
      </w:r>
    </w:p>
    <w:p>
      <w:pPr>
        <w:pStyle w:val="Indenti"/>
        <w:keepNext/>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keepNext/>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keepNext/>
      </w:pPr>
      <w:r>
        <w:tab/>
        <w:t>(3)</w:t>
      </w:r>
      <w:r>
        <w:tab/>
        <w:t xml:space="preserve">Without limiting subsection (1) or (2), a court in PBO proceedings may — </w:t>
      </w:r>
    </w:p>
    <w:p>
      <w:pPr>
        <w:pStyle w:val="Indenta"/>
        <w:keepNext/>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keepNext/>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keepNext/>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keepNext/>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97" w:name="_Toc185428358"/>
      <w:bookmarkStart w:id="98" w:name="_Toc119491674"/>
      <w:r>
        <w:rPr>
          <w:rStyle w:val="CharSectno"/>
        </w:rPr>
        <w:t>27</w:t>
      </w:r>
      <w:r>
        <w:rPr>
          <w:snapToGrid w:val="0"/>
        </w:rPr>
        <w:t>.</w:t>
      </w:r>
      <w:r>
        <w:rPr>
          <w:snapToGrid w:val="0"/>
        </w:rPr>
        <w:tab/>
        <w:t>PBO proceedings, general provisions about</w:t>
      </w:r>
      <w:bookmarkEnd w:id="97"/>
      <w:bookmarkEnd w:id="98"/>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99" w:name="_Toc185428359"/>
      <w:bookmarkStart w:id="100" w:name="_Toc119491675"/>
      <w:r>
        <w:rPr>
          <w:rStyle w:val="CharSectno"/>
        </w:rPr>
        <w:t>28</w:t>
      </w:r>
      <w:r>
        <w:rPr>
          <w:snapToGrid w:val="0"/>
        </w:rPr>
        <w:t>.</w:t>
      </w:r>
      <w:r>
        <w:rPr>
          <w:snapToGrid w:val="0"/>
        </w:rPr>
        <w:tab/>
        <w:t>Practice and procedure</w:t>
      </w:r>
      <w:bookmarkEnd w:id="99"/>
      <w:bookmarkEnd w:id="100"/>
    </w:p>
    <w:p>
      <w:pPr>
        <w:pStyle w:val="Subsection"/>
        <w:keepNext/>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101" w:name="_Toc185424692"/>
      <w:bookmarkStart w:id="102" w:name="_Toc185425048"/>
      <w:bookmarkStart w:id="103" w:name="_Toc185428307"/>
      <w:bookmarkStart w:id="104" w:name="_Toc185428360"/>
      <w:bookmarkStart w:id="105" w:name="_Toc119412431"/>
      <w:bookmarkStart w:id="106" w:name="_Toc119413677"/>
      <w:bookmarkStart w:id="107" w:name="_Toc119491676"/>
      <w:r>
        <w:rPr>
          <w:rStyle w:val="CharPartNo"/>
        </w:rPr>
        <w:t>Part 3</w:t>
      </w:r>
      <w:r>
        <w:rPr>
          <w:rStyle w:val="CharDivNo"/>
        </w:rPr>
        <w:t> </w:t>
      </w:r>
      <w:r>
        <w:t>—</w:t>
      </w:r>
      <w:r>
        <w:rPr>
          <w:rStyle w:val="CharDivText"/>
        </w:rPr>
        <w:t> </w:t>
      </w:r>
      <w:r>
        <w:rPr>
          <w:rStyle w:val="CharPartText"/>
        </w:rPr>
        <w:t>Firearm items constraints in PBOs</w:t>
      </w:r>
      <w:bookmarkEnd w:id="101"/>
      <w:bookmarkEnd w:id="102"/>
      <w:bookmarkEnd w:id="103"/>
      <w:bookmarkEnd w:id="104"/>
      <w:bookmarkEnd w:id="105"/>
      <w:bookmarkEnd w:id="106"/>
      <w:bookmarkEnd w:id="107"/>
    </w:p>
    <w:p>
      <w:pPr>
        <w:pStyle w:val="Footnoteheading"/>
        <w:keepNext/>
      </w:pPr>
      <w:r>
        <w:tab/>
        <w:t>[Heading amended: No. 13 of 2022 s. 76.]</w:t>
      </w:r>
    </w:p>
    <w:p>
      <w:pPr>
        <w:pStyle w:val="Heading5"/>
        <w:rPr>
          <w:snapToGrid w:val="0"/>
        </w:rPr>
      </w:pPr>
      <w:bookmarkStart w:id="108" w:name="_Toc185428361"/>
      <w:bookmarkStart w:id="109" w:name="_Toc119491677"/>
      <w:r>
        <w:rPr>
          <w:rStyle w:val="CharSectno"/>
        </w:rPr>
        <w:t>29</w:t>
      </w:r>
      <w:r>
        <w:rPr>
          <w:snapToGrid w:val="0"/>
        </w:rPr>
        <w:t>.</w:t>
      </w:r>
      <w:r>
        <w:rPr>
          <w:snapToGrid w:val="0"/>
        </w:rPr>
        <w:tab/>
        <w:t>Application of this Part</w:t>
      </w:r>
      <w:bookmarkEnd w:id="108"/>
      <w:bookmarkEnd w:id="109"/>
    </w:p>
    <w:p>
      <w:pPr>
        <w:pStyle w:val="Subsection"/>
        <w:keepNext/>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 xml:space="preserve">being in possession of a </w:t>
      </w:r>
      <w:r>
        <w:t>firearm item</w:t>
      </w:r>
      <w:r>
        <w:rPr>
          <w:snapToGrid w:val="0"/>
        </w:rPr>
        <w:t>; or</w:t>
      </w:r>
    </w:p>
    <w:p>
      <w:pPr>
        <w:pStyle w:val="Indenta"/>
        <w:keepNext/>
        <w:rPr>
          <w:snapToGrid w:val="0"/>
        </w:rPr>
      </w:pPr>
      <w:r>
        <w:rPr>
          <w:snapToGrid w:val="0"/>
        </w:rPr>
        <w:tab/>
        <w:t>(b)</w:t>
      </w:r>
      <w:r>
        <w:rPr>
          <w:snapToGrid w:val="0"/>
        </w:rPr>
        <w:tab/>
        <w:t xml:space="preserve">holding or obtaining a </w:t>
      </w:r>
      <w:r>
        <w:t>firearms authorisation</w:t>
      </w:r>
      <w:r>
        <w:rPr>
          <w:snapToGrid w:val="0"/>
        </w:rPr>
        <w:t>.</w:t>
      </w:r>
    </w:p>
    <w:p>
      <w:pPr>
        <w:pStyle w:val="Footnotesection"/>
      </w:pPr>
      <w:r>
        <w:tab/>
        <w:t>[Section 29 amended: No. 13 of 2022 s. 76 and 77.]</w:t>
      </w:r>
    </w:p>
    <w:p>
      <w:pPr>
        <w:pStyle w:val="Heading5"/>
      </w:pPr>
      <w:bookmarkStart w:id="110" w:name="_Toc185428362"/>
      <w:bookmarkStart w:id="111" w:name="_Toc119491678"/>
      <w:r>
        <w:rPr>
          <w:rStyle w:val="CharSectno"/>
        </w:rPr>
        <w:t>30</w:t>
      </w:r>
      <w:r>
        <w:t>.</w:t>
      </w:r>
      <w:r>
        <w:tab/>
      </w:r>
      <w:r>
        <w:rPr>
          <w:snapToGrid w:val="0"/>
        </w:rPr>
        <w:t>Constrained person to give up possession of firearm items and firearms authorisations</w:t>
      </w:r>
      <w:bookmarkEnd w:id="110"/>
      <w:bookmarkEnd w:id="111"/>
    </w:p>
    <w:p>
      <w:pPr>
        <w:pStyle w:val="Subsection"/>
        <w:keepNext/>
        <w:rPr>
          <w:snapToGrid w:val="0"/>
        </w:rPr>
      </w:pPr>
      <w:r>
        <w:rPr>
          <w:snapToGrid w:val="0"/>
        </w:rPr>
        <w:tab/>
        <w:t>(1)</w:t>
      </w:r>
      <w:r>
        <w:rPr>
          <w:snapToGrid w:val="0"/>
        </w:rPr>
        <w:tab/>
        <w:t xml:space="preserve">The constrained person must give up possession of all </w:t>
      </w:r>
      <w:bookmarkStart w:id="112" w:name="_Hlk119412613"/>
      <w:r>
        <w:t>firearm items</w:t>
      </w:r>
      <w:bookmarkEnd w:id="112"/>
      <w:r>
        <w:rPr>
          <w:snapToGrid w:val="0"/>
        </w:rPr>
        <w:t xml:space="preserve"> and </w:t>
      </w:r>
      <w:r>
        <w:t xml:space="preserve">firearms authorisations </w:t>
      </w:r>
      <w:r>
        <w:rPr>
          <w:snapToGrid w:val="0"/>
        </w:rPr>
        <w:t xml:space="preserve">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 xml:space="preserve">A </w:t>
      </w:r>
      <w:r>
        <w:t xml:space="preserve">firearm item or firearms authorisation </w:t>
      </w:r>
      <w:r>
        <w:rPr>
          <w:snapToGrid w:val="0"/>
        </w:rPr>
        <w:t>given up under subsection (1) must be dealt with in the prescribed manner.</w:t>
      </w:r>
    </w:p>
    <w:p>
      <w:pPr>
        <w:pStyle w:val="Subsection"/>
        <w:keepNext/>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 xml:space="preserve">was lawfully in possession of a </w:t>
      </w:r>
      <w:r>
        <w:t xml:space="preserve">firearm item or firearms authorisation </w:t>
      </w:r>
      <w:r>
        <w:rPr>
          <w:snapToGrid w:val="0"/>
        </w:rPr>
        <w:t>before the PBO was made; and</w:t>
      </w:r>
    </w:p>
    <w:p>
      <w:pPr>
        <w:pStyle w:val="Indenta"/>
        <w:keepNext/>
        <w:rPr>
          <w:snapToGrid w:val="0"/>
        </w:rPr>
      </w:pPr>
      <w:r>
        <w:rPr>
          <w:snapToGrid w:val="0"/>
        </w:rPr>
        <w:tab/>
        <w:t>(b)</w:t>
      </w:r>
      <w:r>
        <w:rPr>
          <w:snapToGrid w:val="0"/>
        </w:rPr>
        <w:tab/>
        <w:t xml:space="preserve">gives up possession of the </w:t>
      </w:r>
      <w:r>
        <w:t xml:space="preserve">firearm item or firearms authorisation </w:t>
      </w:r>
      <w:r>
        <w:rPr>
          <w:snapToGrid w:val="0"/>
        </w:rPr>
        <w:t>under subsection (1),</w:t>
      </w:r>
    </w:p>
    <w:p>
      <w:pPr>
        <w:pStyle w:val="Subsection"/>
        <w:rPr>
          <w:snapToGrid w:val="0"/>
        </w:rPr>
      </w:pPr>
      <w:r>
        <w:rPr>
          <w:snapToGrid w:val="0"/>
        </w:rPr>
        <w:tab/>
      </w:r>
      <w:r>
        <w:rPr>
          <w:snapToGrid w:val="0"/>
        </w:rPr>
        <w:tab/>
        <w:t xml:space="preserve">the constrained person does not breach the PBO only because he or she is in possession of the </w:t>
      </w:r>
      <w:bookmarkStart w:id="113" w:name="_Hlk119412538"/>
      <w:r>
        <w:t>firearm item or</w:t>
      </w:r>
      <w:bookmarkEnd w:id="113"/>
      <w:r>
        <w:t xml:space="preserve"> firearms authorisation </w:t>
      </w:r>
      <w:r>
        <w:rPr>
          <w:snapToGrid w:val="0"/>
        </w:rPr>
        <w:t>for the period necessary to comply with subsection (1).</w:t>
      </w:r>
    </w:p>
    <w:p>
      <w:pPr>
        <w:pStyle w:val="Subsection"/>
        <w:keepNext/>
        <w:rPr>
          <w:snapToGrid w:val="0"/>
        </w:rPr>
      </w:pPr>
      <w:r>
        <w:rPr>
          <w:snapToGrid w:val="0"/>
        </w:rPr>
        <w:tab/>
        <w:t>(4)</w:t>
      </w:r>
      <w:r>
        <w:rPr>
          <w:snapToGrid w:val="0"/>
        </w:rPr>
        <w:tab/>
        <w:t xml:space="preserve">When making a PBO the court may shorten the prescribed period within which the constrained person must give up possession of </w:t>
      </w:r>
      <w:r>
        <w:t>firearm items</w:t>
      </w:r>
      <w:r>
        <w:rPr>
          <w:snapToGrid w:val="0"/>
        </w:rPr>
        <w:t xml:space="preserve"> and </w:t>
      </w:r>
      <w:r>
        <w:t>firearms authorisations</w:t>
      </w:r>
      <w:r>
        <w:rPr>
          <w:snapToGrid w:val="0"/>
        </w:rPr>
        <w:t>.</w:t>
      </w:r>
    </w:p>
    <w:p>
      <w:pPr>
        <w:pStyle w:val="Footnotesection"/>
      </w:pPr>
      <w:r>
        <w:tab/>
        <w:t>[Section 30 amended: No. 13 of 2022 s. 76 and 77.]</w:t>
      </w:r>
    </w:p>
    <w:p>
      <w:pPr>
        <w:pStyle w:val="Heading5"/>
      </w:pPr>
      <w:bookmarkStart w:id="114" w:name="_Toc185428363"/>
      <w:bookmarkStart w:id="115" w:name="_Toc119491679"/>
      <w:r>
        <w:rPr>
          <w:rStyle w:val="CharSectno"/>
        </w:rPr>
        <w:t>31</w:t>
      </w:r>
      <w:r>
        <w:t>.</w:t>
      </w:r>
      <w:r>
        <w:tab/>
        <w:t>Seizure of firearm items</w:t>
      </w:r>
      <w:bookmarkEnd w:id="114"/>
      <w:bookmarkEnd w:id="115"/>
    </w:p>
    <w:p>
      <w:pPr>
        <w:pStyle w:val="Subsection"/>
        <w:keepNext/>
      </w:pPr>
      <w:r>
        <w:tab/>
        <w:t>(1)</w:t>
      </w:r>
      <w:r>
        <w:tab/>
        <w:t xml:space="preserve">Subject to the </w:t>
      </w:r>
      <w:r>
        <w:rPr>
          <w:i/>
        </w:rPr>
        <w:t>Criminal Investigation Act 2006</w:t>
      </w:r>
      <w:r>
        <w:t xml:space="preserve"> section 31, if a constrained person does not give up possession of a firearm item or firearms authorisation in accordance with section 30 of this Act, a police officer may, without a warrant, enter a place where — </w:t>
      </w:r>
    </w:p>
    <w:p>
      <w:pPr>
        <w:pStyle w:val="Indenta"/>
      </w:pPr>
      <w:r>
        <w:tab/>
        <w:t>(a)</w:t>
      </w:r>
      <w:r>
        <w:tab/>
        <w:t>a firearm item that is, or is reasonably suspected to be, in the possession of the constrained person; or</w:t>
      </w:r>
    </w:p>
    <w:p>
      <w:pPr>
        <w:pStyle w:val="Indenta"/>
        <w:keepNext/>
      </w:pPr>
      <w:r>
        <w:tab/>
        <w:t>(b)</w:t>
      </w:r>
      <w:r>
        <w:tab/>
        <w:t>a firearms authorisation held by the constrained person,</w:t>
      </w:r>
    </w:p>
    <w:p>
      <w:pPr>
        <w:pStyle w:val="Subsection"/>
      </w:pPr>
      <w:r>
        <w:tab/>
      </w:r>
      <w:r>
        <w:tab/>
        <w:t>is reasonably suspected to be, and search for and seize the firearm item or firearms authorisation.</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keepNext/>
      </w:pPr>
      <w:r>
        <w:tab/>
        <w:t>(3)</w:t>
      </w:r>
      <w:r>
        <w:tab/>
        <w:t xml:space="preserve">A firearm item or </w:t>
      </w:r>
      <w:bookmarkStart w:id="116" w:name="_Hlk119413136"/>
      <w:r>
        <w:t>firearms authorisation</w:t>
      </w:r>
      <w:bookmarkEnd w:id="116"/>
      <w:r>
        <w:t xml:space="preserve"> seized under subsection (1) must be given to the Commissioner of Police and dealt with in the prescribed manner.</w:t>
      </w:r>
    </w:p>
    <w:p>
      <w:pPr>
        <w:pStyle w:val="Footnotesection"/>
      </w:pPr>
      <w:r>
        <w:tab/>
        <w:t>[Section 31 amended: No. 13 of 2022 s. 76 and 77.]</w:t>
      </w:r>
    </w:p>
    <w:p>
      <w:pPr>
        <w:pStyle w:val="Heading5"/>
      </w:pPr>
      <w:bookmarkStart w:id="117" w:name="_Toc185428364"/>
      <w:bookmarkStart w:id="118" w:name="_Toc119491680"/>
      <w:r>
        <w:rPr>
          <w:rStyle w:val="CharSectno"/>
        </w:rPr>
        <w:t>32</w:t>
      </w:r>
      <w:r>
        <w:t>.</w:t>
      </w:r>
      <w:r>
        <w:tab/>
        <w:t>Notification of co</w:t>
      </w:r>
      <w:r>
        <w:noBreakHyphen/>
        <w:t>licensees and responsible persons</w:t>
      </w:r>
      <w:bookmarkEnd w:id="117"/>
      <w:bookmarkEnd w:id="118"/>
    </w:p>
    <w:p>
      <w:pPr>
        <w:pStyle w:val="Subsection"/>
        <w:keepNext/>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firearms authorisation for a firearm item, means another person who holds a firearms authorisation for the same firearm item;</w:t>
      </w:r>
    </w:p>
    <w:p>
      <w:pPr>
        <w:pStyle w:val="Defstart"/>
        <w:keepNext/>
      </w:pPr>
      <w:r>
        <w:tab/>
      </w:r>
      <w:r>
        <w:rPr>
          <w:rStyle w:val="CharDefText"/>
        </w:rPr>
        <w:t>responsible person</w:t>
      </w:r>
      <w:r>
        <w:t xml:space="preserve">, in relation to a constrained person who uses or has access to a firearm item in the course of the constrained person’s usual occupation, means the person who holds a firearms authorisation (or the equivalent under a law of another State or a Territory) for that firearm item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keepNext/>
      </w:pPr>
      <w:r>
        <w:tab/>
        <w:t>(2)</w:t>
      </w:r>
      <w:r>
        <w:tab/>
        <w:t xml:space="preserve">As soon as practicable after receiving a copy of a PBO under section 15 or 24(3), the Commissioner of Police must instruct a police officer to — </w:t>
      </w:r>
    </w:p>
    <w:p>
      <w:pPr>
        <w:pStyle w:val="Indenta"/>
        <w:keepNext/>
      </w:pPr>
      <w:r>
        <w:tab/>
        <w:t>(a)</w:t>
      </w:r>
      <w:r>
        <w:tab/>
        <w:t xml:space="preserve">ask the constrained person whether the constrained person uses or has access to any firearm items in the course of the constrained person’s usual occupation and if so — </w:t>
      </w:r>
    </w:p>
    <w:p>
      <w:pPr>
        <w:pStyle w:val="Indenti"/>
      </w:pPr>
      <w:r>
        <w:tab/>
        <w:t>(i)</w:t>
      </w:r>
      <w:r>
        <w:tab/>
        <w:t>the name and business address of the responsible person; and</w:t>
      </w:r>
    </w:p>
    <w:p>
      <w:pPr>
        <w:pStyle w:val="Indenti"/>
        <w:keepNext/>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keepNext/>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keepNext/>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item; or</w:t>
      </w:r>
    </w:p>
    <w:p>
      <w:pPr>
        <w:pStyle w:val="Indenti"/>
        <w:keepNext/>
      </w:pPr>
      <w:r>
        <w:tab/>
        <w:t>(ii)</w:t>
      </w:r>
      <w:r>
        <w:tab/>
        <w:t>being in possession of a firearm item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item in contravention of the PBO.</w:t>
      </w:r>
    </w:p>
    <w:p>
      <w:pPr>
        <w:pStyle w:val="Subsection"/>
        <w:keepNext/>
      </w:pPr>
      <w:r>
        <w:tab/>
        <w:t>(5)</w:t>
      </w:r>
      <w:r>
        <w:tab/>
        <w:t>A responsible person or co</w:t>
      </w:r>
      <w:r>
        <w:noBreakHyphen/>
        <w:t xml:space="preserve">licensee given written notice under subsection (4) who allows the constrained person to use or have access to a </w:t>
      </w:r>
      <w:bookmarkStart w:id="119" w:name="_Hlk119412784"/>
      <w:r>
        <w:t>firearm item</w:t>
      </w:r>
      <w:bookmarkEnd w:id="119"/>
      <w:r>
        <w:t>, except as permitted under the PBO, commits an offence.</w:t>
      </w:r>
    </w:p>
    <w:p>
      <w:pPr>
        <w:pStyle w:val="Penstart"/>
        <w:keepNext/>
      </w:pPr>
      <w:r>
        <w:tab/>
        <w:t>Penalty:</w:t>
      </w:r>
    </w:p>
    <w:p>
      <w:pPr>
        <w:pStyle w:val="Penpara"/>
      </w:pPr>
      <w:r>
        <w:tab/>
        <w:t>(a)</w:t>
      </w:r>
      <w:r>
        <w:tab/>
        <w:t>in the case of a responsible person — a fine of $12 000;</w:t>
      </w:r>
    </w:p>
    <w:p>
      <w:pPr>
        <w:pStyle w:val="Penpara"/>
        <w:keepNext/>
      </w:pPr>
      <w:r>
        <w:tab/>
        <w:t>(b)</w:t>
      </w:r>
      <w:r>
        <w:tab/>
        <w:t>in the case of a co</w:t>
      </w:r>
      <w:r>
        <w:noBreakHyphen/>
        <w:t>licensee — a fine of $12 000 or imprisonment for 12 months or both.</w:t>
      </w:r>
    </w:p>
    <w:p>
      <w:pPr>
        <w:pStyle w:val="Footnotesection"/>
      </w:pPr>
      <w:bookmarkStart w:id="120" w:name="_Toc119412436"/>
      <w:r>
        <w:tab/>
        <w:t>[Section 32 amended: No. 13 of 2022 s. 76 and 77.]</w:t>
      </w:r>
    </w:p>
    <w:p>
      <w:pPr>
        <w:pStyle w:val="Heading2"/>
      </w:pPr>
      <w:bookmarkStart w:id="121" w:name="_Toc185424697"/>
      <w:bookmarkStart w:id="122" w:name="_Toc185425053"/>
      <w:bookmarkStart w:id="123" w:name="_Toc185428312"/>
      <w:bookmarkStart w:id="124" w:name="_Toc185428365"/>
      <w:bookmarkStart w:id="125" w:name="_Toc119413682"/>
      <w:bookmarkStart w:id="126" w:name="_Toc119491681"/>
      <w:r>
        <w:rPr>
          <w:rStyle w:val="CharPartNo"/>
        </w:rPr>
        <w:t>Part 4</w:t>
      </w:r>
      <w:r>
        <w:rPr>
          <w:rStyle w:val="CharDivNo"/>
        </w:rPr>
        <w:t> </w:t>
      </w:r>
      <w:r>
        <w:t>—</w:t>
      </w:r>
      <w:r>
        <w:rPr>
          <w:rStyle w:val="CharDivText"/>
        </w:rPr>
        <w:t> </w:t>
      </w:r>
      <w:r>
        <w:rPr>
          <w:rStyle w:val="CharPartText"/>
        </w:rPr>
        <w:t>General</w:t>
      </w:r>
      <w:bookmarkEnd w:id="121"/>
      <w:bookmarkEnd w:id="122"/>
      <w:bookmarkEnd w:id="123"/>
      <w:bookmarkEnd w:id="124"/>
      <w:bookmarkEnd w:id="120"/>
      <w:bookmarkEnd w:id="125"/>
      <w:bookmarkEnd w:id="126"/>
    </w:p>
    <w:p>
      <w:pPr>
        <w:pStyle w:val="Heading5"/>
        <w:rPr>
          <w:snapToGrid w:val="0"/>
        </w:rPr>
      </w:pPr>
      <w:bookmarkStart w:id="127" w:name="_Toc185428366"/>
      <w:bookmarkStart w:id="128" w:name="_Toc119491682"/>
      <w:r>
        <w:rPr>
          <w:rStyle w:val="CharSectno"/>
        </w:rPr>
        <w:t>33</w:t>
      </w:r>
      <w:r>
        <w:rPr>
          <w:snapToGrid w:val="0"/>
        </w:rPr>
        <w:t>.</w:t>
      </w:r>
      <w:r>
        <w:rPr>
          <w:snapToGrid w:val="0"/>
        </w:rPr>
        <w:tab/>
        <w:t>Giving of documents</w:t>
      </w:r>
      <w:bookmarkEnd w:id="127"/>
      <w:bookmarkEnd w:id="128"/>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29" w:name="_Toc185428367"/>
      <w:bookmarkStart w:id="130" w:name="_Toc119491683"/>
      <w:r>
        <w:rPr>
          <w:rStyle w:val="CharSectno"/>
        </w:rPr>
        <w:t>34</w:t>
      </w:r>
      <w:r>
        <w:t>.</w:t>
      </w:r>
      <w:r>
        <w:tab/>
        <w:t>Publication of details of constrained people</w:t>
      </w:r>
      <w:bookmarkEnd w:id="129"/>
      <w:bookmarkEnd w:id="130"/>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31" w:name="_Toc185428368"/>
      <w:bookmarkStart w:id="132" w:name="_Toc119491684"/>
      <w:r>
        <w:rPr>
          <w:rStyle w:val="CharSectno"/>
        </w:rPr>
        <w:t>35</w:t>
      </w:r>
      <w:r>
        <w:rPr>
          <w:snapToGrid w:val="0"/>
        </w:rPr>
        <w:t>.</w:t>
      </w:r>
      <w:r>
        <w:rPr>
          <w:snapToGrid w:val="0"/>
        </w:rPr>
        <w:tab/>
        <w:t xml:space="preserve">Breach of </w:t>
      </w:r>
      <w:r>
        <w:t>PBO</w:t>
      </w:r>
      <w:bookmarkEnd w:id="131"/>
      <w:bookmarkEnd w:id="132"/>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133" w:name="_Toc185428369"/>
      <w:bookmarkStart w:id="134" w:name="_Toc119491685"/>
      <w:r>
        <w:rPr>
          <w:rStyle w:val="CharSectno"/>
        </w:rPr>
        <w:t>36</w:t>
      </w:r>
      <w:r>
        <w:t>.</w:t>
      </w:r>
      <w:r>
        <w:tab/>
        <w:t>Defence</w:t>
      </w:r>
      <w:bookmarkEnd w:id="133"/>
      <w:bookmarkEnd w:id="134"/>
    </w:p>
    <w:p>
      <w:pPr>
        <w:pStyle w:val="Ednotesubsection"/>
      </w:pPr>
      <w:r>
        <w:tab/>
        <w:t>[(1)</w:t>
      </w:r>
      <w:r>
        <w:tab/>
        <w:t>deleted]</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Footnotesection"/>
      </w:pPr>
      <w:r>
        <w:tab/>
        <w:t>[Section 36 amended: No. 9 of 2022 s. 424.]</w:t>
      </w:r>
    </w:p>
    <w:p>
      <w:pPr>
        <w:pStyle w:val="Heading5"/>
        <w:rPr>
          <w:snapToGrid w:val="0"/>
        </w:rPr>
      </w:pPr>
      <w:bookmarkStart w:id="135" w:name="_Toc185428370"/>
      <w:bookmarkStart w:id="136" w:name="_Toc119491686"/>
      <w:r>
        <w:rPr>
          <w:rStyle w:val="CharSectno"/>
        </w:rPr>
        <w:t>37</w:t>
      </w:r>
      <w:r>
        <w:rPr>
          <w:snapToGrid w:val="0"/>
        </w:rPr>
        <w:t>.</w:t>
      </w:r>
      <w:r>
        <w:rPr>
          <w:snapToGrid w:val="0"/>
        </w:rPr>
        <w:tab/>
        <w:t>Appeals</w:t>
      </w:r>
      <w:bookmarkEnd w:id="135"/>
      <w:bookmarkEnd w:id="136"/>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37" w:name="_Toc185428371"/>
      <w:bookmarkStart w:id="138" w:name="_Toc119491687"/>
      <w:r>
        <w:rPr>
          <w:rStyle w:val="CharSectno"/>
        </w:rPr>
        <w:t>38</w:t>
      </w:r>
      <w:r>
        <w:t>.</w:t>
      </w:r>
      <w:r>
        <w:tab/>
        <w:t>Protection from liability for wrongdoing</w:t>
      </w:r>
      <w:bookmarkEnd w:id="137"/>
      <w:bookmarkEnd w:id="13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39" w:name="_Toc185428372"/>
      <w:bookmarkStart w:id="140" w:name="_Toc119491688"/>
      <w:r>
        <w:rPr>
          <w:rStyle w:val="CharSectno"/>
        </w:rPr>
        <w:t>39</w:t>
      </w:r>
      <w:r>
        <w:rPr>
          <w:snapToGrid w:val="0"/>
        </w:rPr>
        <w:t>.</w:t>
      </w:r>
      <w:r>
        <w:rPr>
          <w:snapToGrid w:val="0"/>
        </w:rPr>
        <w:tab/>
        <w:t>Regulations</w:t>
      </w:r>
      <w:bookmarkEnd w:id="139"/>
      <w:bookmarkEnd w:id="140"/>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 items and </w:t>
      </w:r>
      <w:bookmarkStart w:id="141" w:name="_Hlk119413194"/>
      <w:r>
        <w:t>firearms authorisations</w:t>
      </w:r>
      <w:bookmarkEnd w:id="141"/>
      <w:r>
        <w:rPr>
          <w:snapToGrid w:val="0"/>
        </w:rPr>
        <w:t xml:space="preserve">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 item.</w:t>
      </w:r>
    </w:p>
    <w:p>
      <w:pPr>
        <w:pStyle w:val="Footnotesection"/>
      </w:pPr>
      <w:r>
        <w:tab/>
        <w:t>[Section 39 amended: No. 13 of 2022 s. 76 and 77.]</w:t>
      </w:r>
    </w:p>
    <w:p>
      <w:pPr>
        <w:pStyle w:val="Heading5"/>
      </w:pPr>
      <w:bookmarkStart w:id="142" w:name="_Toc185428373"/>
      <w:bookmarkStart w:id="143" w:name="_Toc119491689"/>
      <w:r>
        <w:rPr>
          <w:rStyle w:val="CharSectno"/>
        </w:rPr>
        <w:t>40</w:t>
      </w:r>
      <w:r>
        <w:t>.</w:t>
      </w:r>
      <w:r>
        <w:tab/>
        <w:t>Review of Act</w:t>
      </w:r>
      <w:bookmarkEnd w:id="142"/>
      <w:bookmarkEnd w:id="143"/>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rPr>
          <w:del w:id="144" w:author="Master Repository Process" w:date="2025-06-06T13:37:00Z"/>
        </w:rPr>
      </w:pP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145" w:name="_Toc185424706"/>
      <w:bookmarkStart w:id="146" w:name="_Toc185425062"/>
      <w:bookmarkStart w:id="147" w:name="_Toc185428321"/>
      <w:bookmarkStart w:id="148" w:name="_Toc185428374"/>
      <w:bookmarkStart w:id="149" w:name="_Toc119412445"/>
      <w:bookmarkStart w:id="150" w:name="_Toc119413691"/>
      <w:bookmarkStart w:id="151" w:name="_Toc119491690"/>
      <w:r>
        <w:t>Notes</w:t>
      </w:r>
      <w:bookmarkEnd w:id="145"/>
      <w:bookmarkEnd w:id="146"/>
      <w:bookmarkEnd w:id="147"/>
      <w:bookmarkEnd w:id="148"/>
      <w:bookmarkEnd w:id="149"/>
      <w:bookmarkEnd w:id="150"/>
      <w:bookmarkEnd w:id="151"/>
    </w:p>
    <w:p>
      <w:pPr>
        <w:pStyle w:val="nStatement"/>
      </w:pPr>
      <w:r>
        <w:t xml:space="preserve">This is a compilation of the </w:t>
      </w:r>
      <w:r>
        <w:rPr>
          <w:i/>
          <w:noProof/>
        </w:rPr>
        <w:t>Prohibited Behaviour Orders Act</w:t>
      </w:r>
      <w:del w:id="152" w:author="Master Repository Process" w:date="2025-06-06T13:37:00Z">
        <w:r>
          <w:rPr>
            <w:i/>
            <w:noProof/>
          </w:rPr>
          <w:delText xml:space="preserve"> </w:delText>
        </w:r>
      </w:del>
      <w:ins w:id="153" w:author="Master Repository Process" w:date="2025-06-06T13:37:00Z">
        <w:r>
          <w:rPr>
            <w:i/>
            <w:noProof/>
          </w:rPr>
          <w:t> </w:t>
        </w:r>
      </w:ins>
      <w:r>
        <w:rPr>
          <w:i/>
          <w:noProof/>
        </w:rPr>
        <w:t>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4" w:name="_Toc185428375"/>
      <w:bookmarkStart w:id="155" w:name="_Toc119491691"/>
      <w:r>
        <w:t>Compilation table</w:t>
      </w:r>
      <w:bookmarkEnd w:id="154"/>
      <w:bookmarkEnd w:id="15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2"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r>
        <w:tc>
          <w:tcPr>
            <w:tcW w:w="2268" w:type="dxa"/>
            <w:tcBorders>
              <w:top w:val="nil"/>
              <w:bottom w:val="nil"/>
              <w:right w:val="nil"/>
            </w:tcBorders>
          </w:tcPr>
          <w:p>
            <w:pPr>
              <w:pStyle w:val="nTable"/>
              <w:spacing w:after="40"/>
              <w:rPr>
                <w:i/>
                <w:snapToGrid w:val="0"/>
              </w:rPr>
            </w:pPr>
            <w:r>
              <w:rPr>
                <w:i/>
              </w:rPr>
              <w:t>Legal Profession Uniform Law Application Act 2022</w:t>
            </w:r>
            <w:r>
              <w:t xml:space="preserve"> Pt. 17 Div. 15</w:t>
            </w:r>
          </w:p>
        </w:tc>
        <w:tc>
          <w:tcPr>
            <w:tcW w:w="1134" w:type="dxa"/>
            <w:tcBorders>
              <w:top w:val="nil"/>
              <w:left w:val="nil"/>
              <w:bottom w:val="nil"/>
              <w:right w:val="nil"/>
            </w:tcBorders>
          </w:tcPr>
          <w:p>
            <w:pPr>
              <w:pStyle w:val="nTable"/>
              <w:spacing w:after="40"/>
              <w:rPr>
                <w:snapToGrid w:val="0"/>
              </w:rPr>
            </w:pPr>
            <w:r>
              <w:t>9 of 2022</w:t>
            </w:r>
          </w:p>
        </w:tc>
        <w:tc>
          <w:tcPr>
            <w:tcW w:w="1134" w:type="dxa"/>
            <w:tcBorders>
              <w:top w:val="nil"/>
              <w:left w:val="nil"/>
              <w:bottom w:val="nil"/>
              <w:right w:val="nil"/>
            </w:tcBorders>
          </w:tcPr>
          <w:p>
            <w:pPr>
              <w:pStyle w:val="nTable"/>
              <w:spacing w:after="40"/>
            </w:pPr>
            <w:r>
              <w:t>14 Apr 2022</w:t>
            </w:r>
          </w:p>
        </w:tc>
        <w:tc>
          <w:tcPr>
            <w:tcW w:w="2552" w:type="dxa"/>
            <w:tcBorders>
              <w:top w:val="nil"/>
              <w:left w:val="nil"/>
              <w:bottom w:val="nil"/>
            </w:tcBorders>
          </w:tcPr>
          <w:p>
            <w:pPr>
              <w:pStyle w:val="nTable"/>
              <w:spacing w:after="40"/>
            </w:pPr>
            <w:r>
              <w:rPr>
                <w:snapToGrid w:val="0"/>
              </w:rPr>
              <w:t>1 Jul 2022 (see s. 2(c) and SL 2022/113 cl. 2)</w:t>
            </w:r>
          </w:p>
        </w:tc>
      </w:tr>
      <w:tr>
        <w:tc>
          <w:tcPr>
            <w:tcW w:w="2268" w:type="dxa"/>
            <w:tcBorders>
              <w:top w:val="nil"/>
              <w:bottom w:val="single" w:sz="4" w:space="0" w:color="auto"/>
              <w:right w:val="nil"/>
            </w:tcBorders>
          </w:tcPr>
          <w:p>
            <w:pPr>
              <w:pStyle w:val="nTable"/>
              <w:spacing w:after="40"/>
              <w:rPr>
                <w:i/>
              </w:rPr>
            </w:pPr>
            <w:r>
              <w:rPr>
                <w:i/>
              </w:rPr>
              <w:t>Firearms Amendment Act 2022</w:t>
            </w:r>
            <w:r>
              <w:t xml:space="preserve"> Pt. 3 Div. 3</w:t>
            </w:r>
          </w:p>
        </w:tc>
        <w:tc>
          <w:tcPr>
            <w:tcW w:w="1134" w:type="dxa"/>
            <w:tcBorders>
              <w:top w:val="nil"/>
              <w:left w:val="nil"/>
              <w:bottom w:val="single" w:sz="4" w:space="0" w:color="auto"/>
              <w:right w:val="nil"/>
            </w:tcBorders>
          </w:tcPr>
          <w:p>
            <w:pPr>
              <w:pStyle w:val="nTable"/>
              <w:spacing w:after="40"/>
            </w:pPr>
            <w:r>
              <w:t>13 of 2022</w:t>
            </w:r>
          </w:p>
        </w:tc>
        <w:tc>
          <w:tcPr>
            <w:tcW w:w="1134" w:type="dxa"/>
            <w:tcBorders>
              <w:top w:val="nil"/>
              <w:left w:val="nil"/>
              <w:bottom w:val="single" w:sz="4" w:space="0" w:color="auto"/>
              <w:right w:val="nil"/>
            </w:tcBorders>
          </w:tcPr>
          <w:p>
            <w:pPr>
              <w:pStyle w:val="nTable"/>
              <w:spacing w:after="40"/>
            </w:pPr>
            <w:r>
              <w:t>18 May 2022</w:t>
            </w:r>
          </w:p>
        </w:tc>
        <w:tc>
          <w:tcPr>
            <w:tcW w:w="2552" w:type="dxa"/>
            <w:tcBorders>
              <w:top w:val="nil"/>
              <w:left w:val="nil"/>
              <w:bottom w:val="single" w:sz="4" w:space="0" w:color="auto"/>
            </w:tcBorders>
          </w:tcPr>
          <w:p>
            <w:pPr>
              <w:pStyle w:val="nTable"/>
              <w:spacing w:after="40"/>
              <w:rPr>
                <w:snapToGrid w:val="0"/>
              </w:rPr>
            </w:pPr>
            <w:r>
              <w:rPr>
                <w:snapToGrid w:val="0"/>
              </w:rPr>
              <w:t>19 Nov 2022 (see s. 2(c) and SL 2022/186 cl. 2)</w:t>
            </w:r>
          </w:p>
        </w:tc>
      </w:tr>
    </w:tbl>
    <w:p>
      <w:pPr>
        <w:pStyle w:val="nHeading3"/>
      </w:pPr>
      <w:bookmarkStart w:id="156" w:name="_Toc185428376"/>
      <w:bookmarkStart w:id="157" w:name="_Toc119491692"/>
      <w:r>
        <w:t>Uncommenced provisions table</w:t>
      </w:r>
      <w:bookmarkEnd w:id="156"/>
      <w:bookmarkEnd w:id="157"/>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68" w:type="dxa"/>
            <w:tcBorders>
              <w:top w:val="single" w:sz="8" w:space="0" w:color="auto"/>
              <w:bottom w:val="nil"/>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nil"/>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nil"/>
              <w:right w:val="nil"/>
            </w:tcBorders>
            <w:shd w:val="clear" w:color="auto" w:fill="auto"/>
          </w:tcPr>
          <w:p>
            <w:pPr>
              <w:pStyle w:val="nTable"/>
              <w:spacing w:after="40"/>
            </w:pPr>
            <w:r>
              <w:t>4 Nov 2013</w:t>
            </w:r>
          </w:p>
        </w:tc>
        <w:tc>
          <w:tcPr>
            <w:tcW w:w="2551" w:type="dxa"/>
            <w:tcBorders>
              <w:top w:val="single" w:sz="8" w:space="0" w:color="auto"/>
              <w:left w:val="nil"/>
              <w:bottom w:val="nil"/>
            </w:tcBorders>
            <w:shd w:val="clear" w:color="auto" w:fill="auto"/>
          </w:tcPr>
          <w:p>
            <w:pPr>
              <w:pStyle w:val="nTable"/>
              <w:spacing w:after="40"/>
              <w:rPr>
                <w:snapToGrid w:val="0"/>
              </w:rPr>
            </w:pPr>
            <w:r>
              <w:rPr>
                <w:snapToGrid w:val="0"/>
              </w:rPr>
              <w:t>To be proclaimed (see s. 2(b))</w:t>
            </w:r>
          </w:p>
        </w:tc>
      </w:tr>
    </w:tbl>
    <w:p>
      <w:pPr>
        <w:rPr>
          <w:del w:id="158" w:author="Master Repository Process" w:date="2025-06-06T13:37:00Z"/>
        </w:rPr>
      </w:pPr>
    </w:p>
    <w:p>
      <w:pPr>
        <w:rPr>
          <w:del w:id="159" w:author="Master Repository Process" w:date="2025-06-06T13:37:00Z"/>
        </w:rPr>
        <w:sectPr>
          <w:headerReference w:type="even" r:id="rId23"/>
          <w:headerReference w:type="default" r:id="rId24"/>
          <w:pgSz w:w="11907" w:h="16840" w:code="9"/>
          <w:pgMar w:top="2376" w:right="2405" w:bottom="3542" w:left="2405" w:header="706" w:footer="3380" w:gutter="0"/>
          <w:cols w:space="720"/>
          <w:noEndnote/>
          <w:docGrid w:linePitch="326"/>
        </w:sectPr>
      </w:pP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cantSplit/>
          <w:ins w:id="160" w:author="Master Repository Process" w:date="2025-06-06T13:37:00Z"/>
        </w:trPr>
        <w:tc>
          <w:tcPr>
            <w:tcW w:w="2268" w:type="dxa"/>
            <w:tcBorders>
              <w:top w:val="nil"/>
              <w:bottom w:val="single" w:sz="4" w:space="0" w:color="auto"/>
              <w:right w:val="nil"/>
            </w:tcBorders>
            <w:shd w:val="clear" w:color="auto" w:fill="auto"/>
          </w:tcPr>
          <w:p>
            <w:pPr>
              <w:pStyle w:val="nTable"/>
              <w:spacing w:after="40"/>
              <w:rPr>
                <w:ins w:id="161" w:author="Master Repository Process" w:date="2025-06-06T13:37:00Z"/>
                <w:iCs/>
                <w:snapToGrid w:val="0"/>
              </w:rPr>
            </w:pPr>
            <w:ins w:id="162" w:author="Master Repository Process" w:date="2025-06-06T13:37:00Z">
              <w:r>
                <w:rPr>
                  <w:i/>
                  <w:snapToGrid w:val="0"/>
                </w:rPr>
                <w:t>Firearms Act 2024</w:t>
              </w:r>
              <w:r>
                <w:rPr>
                  <w:iCs/>
                  <w:snapToGrid w:val="0"/>
                </w:rPr>
                <w:t xml:space="preserve"> Pt. 17 Div. 3 Subdiv. 15</w:t>
              </w:r>
            </w:ins>
          </w:p>
        </w:tc>
        <w:tc>
          <w:tcPr>
            <w:tcW w:w="1134" w:type="dxa"/>
            <w:tcBorders>
              <w:top w:val="nil"/>
              <w:left w:val="nil"/>
              <w:bottom w:val="single" w:sz="4" w:space="0" w:color="auto"/>
              <w:right w:val="nil"/>
            </w:tcBorders>
            <w:shd w:val="clear" w:color="auto" w:fill="auto"/>
          </w:tcPr>
          <w:p>
            <w:pPr>
              <w:pStyle w:val="nTable"/>
              <w:spacing w:after="40"/>
              <w:rPr>
                <w:ins w:id="163" w:author="Master Repository Process" w:date="2025-06-06T13:37:00Z"/>
                <w:snapToGrid w:val="0"/>
              </w:rPr>
            </w:pPr>
            <w:ins w:id="164" w:author="Master Repository Process" w:date="2025-06-06T13:37:00Z">
              <w:r>
                <w:rPr>
                  <w:snapToGrid w:val="0"/>
                </w:rPr>
                <w:t>23 of 2024</w:t>
              </w:r>
            </w:ins>
          </w:p>
        </w:tc>
        <w:tc>
          <w:tcPr>
            <w:tcW w:w="1134" w:type="dxa"/>
            <w:tcBorders>
              <w:top w:val="nil"/>
              <w:left w:val="nil"/>
              <w:bottom w:val="single" w:sz="4" w:space="0" w:color="auto"/>
              <w:right w:val="nil"/>
            </w:tcBorders>
            <w:shd w:val="clear" w:color="auto" w:fill="auto"/>
          </w:tcPr>
          <w:p>
            <w:pPr>
              <w:pStyle w:val="nTable"/>
              <w:spacing w:after="40"/>
              <w:rPr>
                <w:ins w:id="165" w:author="Master Repository Process" w:date="2025-06-06T13:37:00Z"/>
              </w:rPr>
            </w:pPr>
            <w:ins w:id="166" w:author="Master Repository Process" w:date="2025-06-06T13:37:00Z">
              <w:r>
                <w:t>27 Jun 2024</w:t>
              </w:r>
            </w:ins>
          </w:p>
        </w:tc>
        <w:tc>
          <w:tcPr>
            <w:tcW w:w="2551" w:type="dxa"/>
            <w:tcBorders>
              <w:top w:val="nil"/>
              <w:left w:val="nil"/>
              <w:bottom w:val="single" w:sz="4" w:space="0" w:color="auto"/>
            </w:tcBorders>
            <w:shd w:val="clear" w:color="auto" w:fill="auto"/>
          </w:tcPr>
          <w:p>
            <w:pPr>
              <w:pStyle w:val="nTable"/>
              <w:spacing w:after="40"/>
              <w:rPr>
                <w:ins w:id="167" w:author="Master Repository Process" w:date="2025-06-06T13:37:00Z"/>
                <w:snapToGrid w:val="0"/>
              </w:rPr>
            </w:pPr>
            <w:ins w:id="168" w:author="Master Repository Process" w:date="2025-06-06T13:37:00Z">
              <w:r>
                <w:rPr>
                  <w:snapToGrid w:val="0"/>
                </w:rPr>
                <w:t>31 Mar 2025 (see s. 2(d) and SL 2024/289 cl. 2)</w:t>
              </w:r>
            </w:ins>
          </w:p>
        </w:tc>
      </w:tr>
    </w:tbl>
    <w:p>
      <w:pPr>
        <w:rPr>
          <w:ins w:id="169" w:author="Master Repository Process" w:date="2025-06-06T13:37:00Z"/>
        </w:rPr>
      </w:pPr>
    </w:p>
    <w:p>
      <w:pPr>
        <w:rPr>
          <w:ins w:id="170" w:author="Master Repository Process" w:date="2025-06-06T13:37:00Z"/>
        </w:rPr>
        <w:sectPr>
          <w:headerReference w:type="even" r:id="rId25"/>
          <w:headerReference w:type="default" r:id="rId26"/>
          <w:pgSz w:w="11907" w:h="16840" w:code="9"/>
          <w:pgMar w:top="2376" w:right="2405" w:bottom="3542" w:left="2405" w:header="706" w:footer="3544" w:gutter="0"/>
          <w:cols w:space="720"/>
          <w:noEndnote/>
          <w:docGrid w:linePitch="326"/>
        </w:sectPr>
      </w:pPr>
    </w:p>
    <w:p>
      <w:ins w:id="172" w:author="Master Repository Process" w:date="2025-06-06T13:37: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3" w:author="Master Repository Process" w:date="2025-06-06T13:37:00Z"/>
                                  <w:sz w:val="16"/>
                                </w:rPr>
                              </w:pPr>
                              <w:ins w:id="174" w:author="Master Repository Process" w:date="2025-06-06T13: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75" w:author="Master Repository Process" w:date="2025-06-06T13:37:00Z"/>
                                  <w:sz w:val="16"/>
                                </w:rPr>
                              </w:pPr>
                              <w:ins w:id="176" w:author="Master Repository Process" w:date="2025-06-06T13: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7" w:author="Master Repository Process" w:date="2025-06-06T13:37:00Z"/>
                                  <w:sz w:val="16"/>
                                </w:rPr>
                              </w:pPr>
                              <w:ins w:id="178" w:author="Master Repository Process" w:date="2025-06-06T13: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79" w:author="Master Repository Process" w:date="2025-06-06T13:37:00Z"/>
                                  <w:rFonts w:ascii="Arial" w:hAnsi="Arial" w:cs="Arial"/>
                                  <w:sz w:val="12"/>
                                </w:rPr>
                              </w:pPr>
                              <w:ins w:id="180" w:author="Master Repository Process" w:date="2025-06-06T13: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81" w:author="Master Repository Process" w:date="2025-06-06T13:37:00Z"/>
                            <w:sz w:val="16"/>
                          </w:rPr>
                        </w:pPr>
                        <w:ins w:id="182" w:author="Master Repository Process" w:date="2025-06-06T13: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83" w:author="Master Repository Process" w:date="2025-06-06T13:37:00Z"/>
                            <w:sz w:val="16"/>
                          </w:rPr>
                        </w:pPr>
                        <w:ins w:id="184" w:author="Master Repository Process" w:date="2025-06-06T13: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5" w:author="Master Repository Process" w:date="2025-06-06T13:37:00Z"/>
                            <w:sz w:val="16"/>
                          </w:rPr>
                        </w:pPr>
                        <w:ins w:id="186" w:author="Master Repository Process" w:date="2025-06-06T13: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87" w:author="Master Repository Process" w:date="2025-06-06T13:37:00Z"/>
                            <w:rFonts w:ascii="Arial" w:hAnsi="Arial" w:cs="Arial"/>
                            <w:sz w:val="12"/>
                          </w:rPr>
                        </w:pPr>
                        <w:ins w:id="188" w:author="Master Repository Process" w:date="2025-06-06T13: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42917"/>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 w:name="WAFER_202205191411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09_GUID" w:val="ab0d5d92-1596-458f-9dbd-c823f9e2ae42"/>
    <w:docVar w:name="WAFER_2022111513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34532_GUID" w:val="cbb52080-eda2-4dea-a102-27fb119c742f"/>
    <w:docVar w:name="WAFER_20240627091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7091327_GUID" w:val="bbd22ee2-12cd-4bbb-b597-125971c81d63"/>
    <w:docVar w:name="WAFER_20241218142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42917_GUID" w:val="216add36-60cb-4387-b2b0-b5420108c4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6756</Words>
  <Characters>31485</Characters>
  <Application>Microsoft Office Word</Application>
  <DocSecurity>0</DocSecurity>
  <Lines>899</Lines>
  <Paragraphs>546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37695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01-e0-00 - 01-f0-01</dc:title>
  <dc:subject/>
  <dc:creator/>
  <cp:keywords/>
  <dc:description/>
  <cp:lastModifiedBy>Master Repository Process</cp:lastModifiedBy>
  <cp:revision>2</cp:revision>
  <cp:lastPrinted>2017-09-06T03:17:00Z</cp:lastPrinted>
  <dcterms:created xsi:type="dcterms:W3CDTF">2025-06-06T05:36:00Z</dcterms:created>
  <dcterms:modified xsi:type="dcterms:W3CDTF">2025-06-06T05:37:00Z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20240627</vt:lpwstr>
  </property>
  <property fmtid="{D5CDD505-2E9C-101B-9397-08002B2CF9AE}" pid="9" name="CommencementAsAt">
    <vt:filetime>2024-06-26T16:00:00Z</vt:filetime>
  </property>
  <property fmtid="{D5CDD505-2E9C-101B-9397-08002B2CF9AE}" pid="10" name="CommencementYear">
    <vt:lpwstr>2024</vt:lpwstr>
  </property>
  <property fmtid="{D5CDD505-2E9C-101B-9397-08002B2CF9AE}" pid="11" name="FromSuffix">
    <vt:lpwstr>01-e0-00</vt:lpwstr>
  </property>
  <property fmtid="{D5CDD505-2E9C-101B-9397-08002B2CF9AE}" pid="12" name="FromAsAtDate">
    <vt:lpwstr>19 Nov 2022</vt:lpwstr>
  </property>
  <property fmtid="{D5CDD505-2E9C-101B-9397-08002B2CF9AE}" pid="13" name="ToSuffix">
    <vt:lpwstr>01-f0-01</vt:lpwstr>
  </property>
  <property fmtid="{D5CDD505-2E9C-101B-9397-08002B2CF9AE}" pid="14" name="ToAsAtDate">
    <vt:lpwstr>27 Jun 2024</vt:lpwstr>
  </property>
</Properties>
</file>