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May 2024</w:t>
      </w:r>
      <w:r>
        <w:fldChar w:fldCharType="end"/>
      </w:r>
      <w:r>
        <w:t xml:space="preserve">, </w:t>
      </w:r>
      <w:r>
        <w:fldChar w:fldCharType="begin"/>
      </w:r>
      <w:r>
        <w:instrText xml:space="preserve"> DocProperty FromSuffix </w:instrText>
      </w:r>
      <w:r>
        <w:fldChar w:fldCharType="separate"/>
      </w:r>
      <w:r>
        <w:t>06-r0-01</w:t>
      </w:r>
      <w:r>
        <w:fldChar w:fldCharType="end"/>
      </w:r>
      <w:r>
        <w:t>] and [</w:t>
      </w:r>
      <w:r>
        <w:fldChar w:fldCharType="begin"/>
      </w:r>
      <w:r>
        <w:instrText xml:space="preserve"> DocProperty ToAsAtDate</w:instrText>
      </w:r>
      <w:r>
        <w:fldChar w:fldCharType="separate"/>
      </w:r>
      <w:r>
        <w:t>29 Jul 2024</w:t>
      </w:r>
      <w:r>
        <w:fldChar w:fldCharType="end"/>
      </w:r>
      <w:r>
        <w:t xml:space="preserve">, </w:t>
      </w:r>
      <w:r>
        <w:fldChar w:fldCharType="begin"/>
      </w:r>
      <w:r>
        <w:instrText xml:space="preserve"> DocProperty ToSuffix</w:instrText>
      </w:r>
      <w:r>
        <w:fldChar w:fldCharType="separate"/>
      </w:r>
      <w:r>
        <w:t>06-s0-00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1</w:t>
      </w:r>
      <w:r>
        <w:rPr>
          <w:snapToGrid w:val="0"/>
        </w:rPr>
        <w:t xml:space="preserve">, and for connected purposes. </w:t>
      </w:r>
    </w:p>
    <w:p>
      <w:pPr>
        <w:pStyle w:val="Footnotelongtitle"/>
      </w:pPr>
      <w:r>
        <w:tab/>
        <w:t xml:space="preserve">[Long title amended: No. 60 of 2011 s. 4.] </w:t>
      </w:r>
    </w:p>
    <w:p>
      <w:pPr>
        <w:pStyle w:val="Heading2"/>
      </w:pPr>
      <w:bookmarkStart w:id="1" w:name="_Toc171673910"/>
      <w:bookmarkStart w:id="2" w:name="_Toc171680476"/>
      <w:bookmarkStart w:id="3" w:name="_Toc171680742"/>
      <w:bookmarkStart w:id="4" w:name="_Toc171681293"/>
      <w:bookmarkStart w:id="5" w:name="_Toc171681709"/>
      <w:bookmarkStart w:id="6" w:name="_Toc171681974"/>
      <w:bookmarkStart w:id="7" w:name="_Toc171694223"/>
      <w:bookmarkStart w:id="8" w:name="_Toc171089771"/>
      <w:bookmarkStart w:id="9" w:name="_Toc171338218"/>
      <w:bookmarkStart w:id="10" w:name="_Toc17133902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171694224"/>
      <w:bookmarkStart w:id="12" w:name="_Toc171339022"/>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w:t>
      </w:r>
    </w:p>
    <w:p>
      <w:pPr>
        <w:pStyle w:val="Heading5"/>
        <w:rPr>
          <w:snapToGrid w:val="0"/>
        </w:rPr>
      </w:pPr>
      <w:bookmarkStart w:id="13" w:name="_Toc171694225"/>
      <w:bookmarkStart w:id="14" w:name="_Toc171339023"/>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5" w:name="_Toc171694226"/>
      <w:bookmarkStart w:id="16" w:name="_Toc171339024"/>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approved form</w:t>
      </w:r>
      <w:r>
        <w:t xml:space="preserve"> means a form approved under section 88C;</w:t>
      </w:r>
    </w:p>
    <w:p>
      <w:pPr>
        <w:pStyle w:val="Defstart"/>
      </w:pPr>
      <w:r>
        <w:tab/>
      </w:r>
      <w:r>
        <w:rPr>
          <w:rStyle w:val="CharDefText"/>
        </w:rPr>
        <w:t>assistance animal</w:t>
      </w:r>
      <w:r>
        <w:t xml:space="preserve"> means — </w:t>
      </w:r>
    </w:p>
    <w:p>
      <w:pPr>
        <w:pStyle w:val="Defpara"/>
      </w:pPr>
      <w:r>
        <w:tab/>
        <w:t>(a)</w:t>
      </w:r>
      <w:r>
        <w:tab/>
        <w:t xml:space="preserve">an assistance dog as defined in the </w:t>
      </w:r>
      <w:r>
        <w:rPr>
          <w:i/>
        </w:rPr>
        <w:t>Dog Act 1976</w:t>
      </w:r>
      <w:r>
        <w:t xml:space="preserve"> section 8(1); or</w:t>
      </w:r>
    </w:p>
    <w:p>
      <w:pPr>
        <w:pStyle w:val="Defpara"/>
      </w:pPr>
      <w:r>
        <w:tab/>
        <w:t>(b)</w:t>
      </w:r>
      <w:r>
        <w:tab/>
        <w:t>an animal accredited, under a law of a State or Territory or by an animal training organisation, to assist a person with disability in relation to the person’s disability; or</w:t>
      </w:r>
    </w:p>
    <w:p>
      <w:pPr>
        <w:pStyle w:val="Defpara"/>
      </w:pPr>
      <w:r>
        <w:tab/>
        <w:t>(c)</w:t>
      </w:r>
      <w:r>
        <w:tab/>
        <w:t xml:space="preserve">an animal trained — </w:t>
      </w:r>
    </w:p>
    <w:p>
      <w:pPr>
        <w:pStyle w:val="Defsubpara"/>
      </w:pPr>
      <w:r>
        <w:tab/>
        <w:t>(i)</w:t>
      </w:r>
      <w:r>
        <w:tab/>
        <w:t>to assist a person with disability in relation to the person’s disability; and</w:t>
      </w:r>
    </w:p>
    <w:p>
      <w:pPr>
        <w:pStyle w:val="Defsubpara"/>
      </w:pPr>
      <w:r>
        <w:tab/>
        <w:t>(ii)</w:t>
      </w:r>
      <w:r>
        <w:tab/>
        <w:t>to meet standards of hygiene and behaviour that are appropriate for an animal in a public place;</w:t>
      </w:r>
    </w:p>
    <w:p>
      <w:pPr>
        <w:pStyle w:val="Defstart"/>
      </w:pPr>
      <w:r>
        <w:tab/>
      </w:r>
      <w:r>
        <w:rPr>
          <w:rStyle w:val="CharDefText"/>
        </w:rPr>
        <w:t>bond</w:t>
      </w:r>
      <w:r>
        <w:t xml:space="preserve"> 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tab/>
      </w:r>
      <w:r>
        <w:rPr>
          <w:rStyle w:val="CharDefText"/>
        </w:rPr>
        <w:t>common area</w:t>
      </w:r>
      <w:r>
        <w:t xml:space="preserve"> — </w:t>
      </w:r>
    </w:p>
    <w:p>
      <w:pPr>
        <w:pStyle w:val="Defpara"/>
      </w:pPr>
      <w:r>
        <w:tab/>
        <w:t>(a)</w:t>
      </w:r>
      <w:r>
        <w:tab/>
        <w:t>means an area accessible to, or provided for the common use of, tenants; and</w:t>
      </w:r>
    </w:p>
    <w:p>
      <w:pPr>
        <w:pStyle w:val="Defpara"/>
      </w:pPr>
      <w:r>
        <w:lastRenderedPageBreak/>
        <w:tab/>
        <w:t>(b)</w:t>
      </w:r>
      <w:r>
        <w:tab/>
        <w:t xml:space="preserve">includes common property (as defined in the </w:t>
      </w:r>
      <w:r>
        <w:rPr>
          <w:i/>
        </w:rPr>
        <w:t>Strata Titles Act 1985</w:t>
      </w:r>
      <w:r>
        <w:t xml:space="preserve"> section 3) of a strata scheme or survey strata scheme;</w:t>
      </w:r>
    </w:p>
    <w:p>
      <w:pPr>
        <w:pStyle w:val="Defstart"/>
      </w:pPr>
      <w:r>
        <w:tab/>
      </w:r>
      <w:r>
        <w:rPr>
          <w:rStyle w:val="CharDefText"/>
        </w:rPr>
        <w:t>community titles scheme</w:t>
      </w:r>
      <w:r>
        <w:t xml:space="preserve"> has the meaning given in the </w:t>
      </w:r>
      <w:r>
        <w:rPr>
          <w:i/>
        </w:rPr>
        <w:t>Community Titles Act 2018</w:t>
      </w:r>
      <w:r>
        <w:t> section 3(1);</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Defstart"/>
      </w:pPr>
      <w:r>
        <w:tab/>
      </w:r>
      <w:r>
        <w:rPr>
          <w:rStyle w:val="CharDefText"/>
        </w:rPr>
        <w:t>disputed tenancy matter</w:t>
      </w:r>
      <w:r>
        <w:t xml:space="preserve"> has the meaning given in section 11E(1);</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furniture safety modification</w:t>
      </w:r>
      <w:r>
        <w:rPr>
          <w:bCs/>
          <w:iCs/>
        </w:rPr>
        <w:t xml:space="preserve"> </w:t>
      </w:r>
      <w:r>
        <w:t>has the meaning given in section 50J(2);</w:t>
      </w:r>
    </w:p>
    <w:p>
      <w:pPr>
        <w:pStyle w:val="Defstart"/>
      </w:pPr>
      <w:r>
        <w:tab/>
      </w:r>
      <w:r>
        <w:rPr>
          <w:rStyle w:val="CharDefText"/>
        </w:rPr>
        <w:t>Housing Authority</w:t>
      </w:r>
      <w:r>
        <w:t xml:space="preserve"> has the meaning given in section 71A;</w:t>
      </w:r>
    </w:p>
    <w:p>
      <w:pPr>
        <w:pStyle w:val="Defstart"/>
      </w:pPr>
      <w:r>
        <w:tab/>
      </w:r>
      <w:r>
        <w:rPr>
          <w:rStyle w:val="CharDefText"/>
        </w:rPr>
        <w:t>known party</w:t>
      </w:r>
      <w:r>
        <w:t>, for Part 5A Division 3, has the meaning given in section 81P;</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keepNext/>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tab/>
      </w:r>
      <w:r>
        <w:rPr>
          <w:rStyle w:val="CharDefText"/>
        </w:rPr>
        <w:t>major modification</w:t>
      </w:r>
      <w:r>
        <w:t>, in relation to premises, has the meaning given in section 50W(1);</w:t>
      </w:r>
    </w:p>
    <w:p>
      <w:pPr>
        <w:pStyle w:val="Defstart"/>
      </w:pPr>
      <w:r>
        <w:tab/>
      </w:r>
      <w:r>
        <w:rPr>
          <w:rStyle w:val="CharDefText"/>
        </w:rPr>
        <w:t>minor modification</w:t>
      </w:r>
      <w:r>
        <w:t>, in relation to premises, means a modification to the premises of a minor nature prescribed for this definition;</w:t>
      </w:r>
    </w:p>
    <w:p>
      <w:pPr>
        <w:pStyle w:val="Defstart"/>
      </w:pPr>
      <w:r>
        <w:tab/>
      </w:r>
      <w:r>
        <w:rPr>
          <w:rStyle w:val="CharDefText"/>
        </w:rPr>
        <w:t>modification</w:t>
      </w:r>
      <w:r>
        <w:t xml:space="preserve">, in relation to residential premises, includes — </w:t>
      </w:r>
    </w:p>
    <w:p>
      <w:pPr>
        <w:pStyle w:val="Defpara"/>
      </w:pPr>
      <w:r>
        <w:tab/>
        <w:t>(a)</w:t>
      </w:r>
      <w:r>
        <w:tab/>
        <w:t>an alteration or renovation of, or addition to, the premises; and</w:t>
      </w:r>
    </w:p>
    <w:p>
      <w:pPr>
        <w:pStyle w:val="Defpara"/>
      </w:pPr>
      <w:r>
        <w:tab/>
        <w:t>(b)</w:t>
      </w:r>
      <w:r>
        <w:tab/>
        <w:t>attaching a thing to the premises;</w:t>
      </w:r>
    </w:p>
    <w:p>
      <w:pPr>
        <w:pStyle w:val="Defstart"/>
      </w:pPr>
      <w:r>
        <w:tab/>
      </w:r>
      <w:r>
        <w:rPr>
          <w:rStyle w:val="CharDefText"/>
        </w:rPr>
        <w:t>notice of dispute</w:t>
      </w:r>
      <w:r>
        <w:t>, of a security bond release application, has the meaning given in section 81H(2);</w:t>
      </w:r>
    </w:p>
    <w:p>
      <w:pPr>
        <w:pStyle w:val="Defstart"/>
      </w:pPr>
      <w:r>
        <w:tab/>
      </w:r>
      <w:r>
        <w:rPr>
          <w:rStyle w:val="CharDefText"/>
        </w:rPr>
        <w:t>notice period</w:t>
      </w:r>
      <w:r>
        <w:t>, in relation to a security bond release application, has the meaning given in section 81F(4);</w:t>
      </w:r>
    </w:p>
    <w:p>
      <w:pPr>
        <w:pStyle w:val="Defstart"/>
      </w:pPr>
      <w:r>
        <w:tab/>
      </w:r>
      <w:r>
        <w:rPr>
          <w:rStyle w:val="CharDefText"/>
        </w:rPr>
        <w:t>original condition</w:t>
      </w:r>
      <w:r>
        <w:t xml:space="preserve"> means — </w:t>
      </w:r>
    </w:p>
    <w:p>
      <w:pPr>
        <w:pStyle w:val="Defpara"/>
      </w:pPr>
      <w:r>
        <w:tab/>
        <w:t>(a)</w:t>
      </w:r>
      <w:r>
        <w:tab/>
        <w:t>in relation to residential premises that have been modified — the condition of the premises before the modification was made, fair wear and tear excepted; or</w:t>
      </w:r>
    </w:p>
    <w:p>
      <w:pPr>
        <w:pStyle w:val="Defpara"/>
      </w:pPr>
      <w:r>
        <w:tab/>
        <w:t>(b)</w:t>
      </w:r>
      <w:r>
        <w:tab/>
        <w:t>in relation to residential premises that have been damaged — the condition of the premises before the damage occurred, fair wear and tear excepted;</w:t>
      </w:r>
    </w:p>
    <w:p>
      <w:pPr>
        <w:pStyle w:val="Defstart"/>
        <w:keepNext/>
      </w:pPr>
      <w:r>
        <w:tab/>
      </w:r>
      <w:r>
        <w:rPr>
          <w:rStyle w:val="CharDefText"/>
        </w:rPr>
        <w:t>party</w:t>
      </w:r>
      <w:r>
        <w:t xml:space="preserve"> — </w:t>
      </w:r>
    </w:p>
    <w:p>
      <w:pPr>
        <w:pStyle w:val="Defpara"/>
      </w:pPr>
      <w:r>
        <w:tab/>
        <w:t>(a)</w:t>
      </w:r>
      <w:r>
        <w:tab/>
        <w:t xml:space="preserve">in relation to a residential tenancy agreement — means each of the following — </w:t>
      </w:r>
    </w:p>
    <w:p>
      <w:pPr>
        <w:pStyle w:val="Defsubpara"/>
      </w:pPr>
      <w:r>
        <w:tab/>
        <w:t>(i)</w:t>
      </w:r>
      <w:r>
        <w:tab/>
        <w:t>the lessor under the agreement;</w:t>
      </w:r>
    </w:p>
    <w:p>
      <w:pPr>
        <w:pStyle w:val="Defsubpara"/>
      </w:pPr>
      <w:r>
        <w:tab/>
        <w:t>(ii)</w:t>
      </w:r>
      <w:r>
        <w:tab/>
        <w:t>if there is 1 tenant under the agreement — the tenant under the agreement;</w:t>
      </w:r>
    </w:p>
    <w:p>
      <w:pPr>
        <w:pStyle w:val="Defsubpara"/>
      </w:pPr>
      <w:r>
        <w:tab/>
        <w:t>(iii)</w:t>
      </w:r>
      <w:r>
        <w:tab/>
        <w:t>if there are 2 or more co</w:t>
      </w:r>
      <w:r>
        <w:noBreakHyphen/>
        <w:t>tenants under the agreement — each co</w:t>
      </w:r>
      <w:r>
        <w:noBreakHyphen/>
        <w:t>tenant under the agreement;</w:t>
      </w:r>
    </w:p>
    <w:p>
      <w:pPr>
        <w:pStyle w:val="Defpara"/>
      </w:pPr>
      <w:r>
        <w:tab/>
      </w:r>
      <w:r>
        <w:tab/>
        <w:t>or</w:t>
      </w:r>
    </w:p>
    <w:p>
      <w:pPr>
        <w:pStyle w:val="Defpara"/>
      </w:pPr>
      <w:r>
        <w:tab/>
        <w:t>(b)</w:t>
      </w:r>
      <w:r>
        <w:tab/>
        <w:t>in relation to an application to which Part III Division 1 applies — has the meaning given in section 11D;</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pet</w:t>
      </w:r>
      <w:r>
        <w:t xml:space="preserve"> means an animal other than an assistance animal;</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prescribed</w:t>
      </w:r>
      <w:r>
        <w:t xml:space="preserve"> means prescribed in the regulations;</w:t>
      </w:r>
    </w:p>
    <w:p>
      <w:pPr>
        <w:pStyle w:val="Defstart"/>
      </w:pPr>
      <w:r>
        <w:tab/>
      </w:r>
      <w:r>
        <w:rPr>
          <w:rStyle w:val="CharDefText"/>
        </w:rPr>
        <w:t>property manager</w:t>
      </w:r>
      <w:r>
        <w:t xml:space="preserve"> means a person who is — </w:t>
      </w:r>
    </w:p>
    <w:p>
      <w:pPr>
        <w:pStyle w:val="Defpara"/>
      </w:pPr>
      <w:r>
        <w:tab/>
        <w:t>(a)</w:t>
      </w:r>
      <w:r>
        <w:tab/>
        <w:t xml:space="preserve">licensed or registered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keepNex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the tenancy period or part of the tenancy period;</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tab/>
      </w:r>
      <w:r>
        <w:rPr>
          <w:rStyle w:val="CharDefText"/>
        </w:rPr>
        <w:t>retaliatory action</w:t>
      </w:r>
      <w:r>
        <w:t xml:space="preserve"> has the meaning given in section 26A;</w:t>
      </w:r>
    </w:p>
    <w:p>
      <w:pPr>
        <w:pStyle w:val="Defstart"/>
      </w:pPr>
      <w:r>
        <w:tab/>
      </w:r>
      <w:r>
        <w:rPr>
          <w:rStyle w:val="CharDefText"/>
        </w:rPr>
        <w:t>scheme by</w:t>
      </w:r>
      <w:r>
        <w:rPr>
          <w:rStyle w:val="CharDefText"/>
        </w:rPr>
        <w:noBreakHyphen/>
        <w:t>laws</w:t>
      </w:r>
      <w:r>
        <w:t xml:space="preserve"> — </w:t>
      </w:r>
    </w:p>
    <w:p>
      <w:pPr>
        <w:pStyle w:val="Defpara"/>
      </w:pPr>
      <w:r>
        <w:tab/>
        <w:t>(a)</w:t>
      </w:r>
      <w:r>
        <w:tab/>
        <w:t xml:space="preserve">in the case of a community titles scheme — has the meaning given in the </w:t>
      </w:r>
      <w:r>
        <w:rPr>
          <w:i/>
        </w:rPr>
        <w:t>Community Titles Act 2018</w:t>
      </w:r>
      <w:r>
        <w:t> section 3(1); or</w:t>
      </w:r>
    </w:p>
    <w:p>
      <w:pPr>
        <w:pStyle w:val="Defpara"/>
      </w:pPr>
      <w:r>
        <w:tab/>
        <w:t>(b)</w:t>
      </w:r>
      <w:r>
        <w:tab/>
        <w:t xml:space="preserve">in the case of a strata titles scheme — has the meaning given in the </w:t>
      </w:r>
      <w:r>
        <w:rPr>
          <w:i/>
        </w:rPr>
        <w:t>Strata Titles Act </w:t>
      </w:r>
      <w:r>
        <w:rPr>
          <w:i/>
          <w:iCs/>
        </w:rPr>
        <w:t>1985</w:t>
      </w:r>
      <w:r>
        <w:t> section 3(1);</w:t>
      </w:r>
    </w:p>
    <w:p>
      <w:pPr>
        <w:pStyle w:val="Defstart"/>
      </w:pPr>
      <w:r>
        <w:rPr>
          <w:b/>
        </w:rPr>
        <w:tab/>
      </w:r>
      <w:r>
        <w:rPr>
          <w:rStyle w:val="CharDefText"/>
        </w:rPr>
        <w:t>security bond</w:t>
      </w:r>
      <w:r>
        <w:t xml:space="preserve"> means an amount paid or payable by a tenant as security for the performance of the tenant’s obligations under a residential tenancy agreement, including an amount referred to in section 29(1)(b)(ii);</w:t>
      </w:r>
    </w:p>
    <w:p>
      <w:pPr>
        <w:pStyle w:val="Defstart"/>
      </w:pPr>
      <w:r>
        <w:tab/>
      </w:r>
      <w:r>
        <w:rPr>
          <w:rStyle w:val="CharDefText"/>
        </w:rPr>
        <w:t>security bond release application</w:t>
      </w:r>
      <w:r>
        <w:t xml:space="preserve"> has the meaning given in section 81C(1);</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tab/>
      </w:r>
      <w:r>
        <w:rPr>
          <w:rStyle w:val="CharDefText"/>
        </w:rPr>
        <w:t>State Register of Heritage Places</w:t>
      </w:r>
      <w:r>
        <w:t xml:space="preserve"> means the register established and maintained under the </w:t>
      </w:r>
      <w:r>
        <w:rPr>
          <w:i/>
        </w:rPr>
        <w:t>Heritage Act 2018</w:t>
      </w:r>
      <w:r>
        <w:t xml:space="preserve"> section 35;</w:t>
      </w:r>
    </w:p>
    <w:p>
      <w:pPr>
        <w:pStyle w:val="Defstart"/>
      </w:pPr>
      <w:r>
        <w:tab/>
      </w:r>
      <w:r>
        <w:rPr>
          <w:rStyle w:val="CharDefText"/>
        </w:rPr>
        <w:t>strata company</w:t>
      </w:r>
      <w:r>
        <w:t xml:space="preserve"> has the meaning given in the </w:t>
      </w:r>
      <w:r>
        <w:rPr>
          <w:i/>
        </w:rPr>
        <w:t>Strata Titles Act </w:t>
      </w:r>
      <w:r>
        <w:rPr>
          <w:i/>
          <w:iCs/>
        </w:rPr>
        <w:t>1985</w:t>
      </w:r>
      <w:r>
        <w:t xml:space="preserve"> section 3(1);</w:t>
      </w:r>
    </w:p>
    <w:p>
      <w:pPr>
        <w:pStyle w:val="Defstart"/>
      </w:pPr>
      <w:r>
        <w:tab/>
      </w:r>
      <w:r>
        <w:rPr>
          <w:rStyle w:val="CharDefText"/>
        </w:rPr>
        <w:t>strata titles scheme</w:t>
      </w:r>
      <w:r>
        <w:t xml:space="preserve"> has the meaning given in the </w:t>
      </w:r>
      <w:r>
        <w:rPr>
          <w:i/>
        </w:rPr>
        <w:t>Strata Titles Act </w:t>
      </w:r>
      <w:r>
        <w:rPr>
          <w:i/>
          <w:iCs/>
        </w:rPr>
        <w:t>1985</w:t>
      </w:r>
      <w:r>
        <w:t xml:space="preserve"> section 3(1);</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No. 50 of 1988 s. 4; No. 57 of 1997 s. 39(10); No. 59 of 2004 s. 118; No. 28 of 2006 s. 133; No. 60 of 2011 s. 5 and 90; No. 23 of 2014 s. 87; No. 3 of 2019 s. 4; No. 25 of 2019 s. 64; No. 11 of 2024 s. 4.] </w:t>
      </w:r>
    </w:p>
    <w:p>
      <w:pPr>
        <w:pStyle w:val="Heading5"/>
      </w:pPr>
      <w:bookmarkStart w:id="17" w:name="_Toc171694227"/>
      <w:bookmarkStart w:id="18" w:name="_Toc171339025"/>
      <w:r>
        <w:rPr>
          <w:rStyle w:val="CharSectno"/>
        </w:rPr>
        <w:t>3A</w:t>
      </w:r>
      <w:r>
        <w:t>.</w:t>
      </w:r>
      <w:r>
        <w:tab/>
        <w:t>References to residential premises or premises</w:t>
      </w:r>
      <w:bookmarkEnd w:id="17"/>
      <w:bookmarkEnd w:id="18"/>
    </w:p>
    <w:p>
      <w:pPr>
        <w:pStyle w:val="Subsection"/>
      </w:pPr>
      <w:r>
        <w:tab/>
        <w:t>(1)</w:t>
      </w:r>
      <w:r>
        <w:tab/>
        <w:t>In a provision of this Act that relates to a residential tenancy agreement, a reference to the residential premises, or the premises, is taken to be a reference to the residential premises for which a right to occupy is granted under the agreement.</w:t>
      </w:r>
    </w:p>
    <w:p>
      <w:pPr>
        <w:pStyle w:val="Subsection"/>
      </w:pPr>
      <w:r>
        <w:tab/>
        <w:t>(2)</w:t>
      </w:r>
      <w:r>
        <w:tab/>
        <w:t>For the purposes of subsection (1), a provision of this Act that refers to a lessor or a tenant is taken to be a provision that relates to the residential tenancy agreement to which the lessor or the tenant is a party.</w:t>
      </w:r>
    </w:p>
    <w:p>
      <w:pPr>
        <w:pStyle w:val="Footnotesection"/>
      </w:pPr>
      <w:r>
        <w:tab/>
        <w:t xml:space="preserve">[Section 3A inserted: No. 11 of 2024 s. 5.] </w:t>
      </w:r>
    </w:p>
    <w:p>
      <w:pPr>
        <w:pStyle w:val="Heading5"/>
        <w:rPr>
          <w:snapToGrid w:val="0"/>
        </w:rPr>
      </w:pPr>
      <w:bookmarkStart w:id="19" w:name="_Toc171694228"/>
      <w:bookmarkStart w:id="20" w:name="_Toc171339026"/>
      <w:r>
        <w:rPr>
          <w:rStyle w:val="CharSectno"/>
        </w:rPr>
        <w:t>4</w:t>
      </w:r>
      <w:r>
        <w:rPr>
          <w:snapToGrid w:val="0"/>
        </w:rPr>
        <w:t>.</w:t>
      </w:r>
      <w:r>
        <w:rPr>
          <w:snapToGrid w:val="0"/>
        </w:rPr>
        <w:tab/>
        <w:t>Position of Crown</w:t>
      </w:r>
      <w:bookmarkEnd w:id="19"/>
      <w:bookmarkEnd w:id="20"/>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21" w:name="_Toc171694229"/>
      <w:bookmarkStart w:id="22" w:name="_Toc171339027"/>
      <w:r>
        <w:rPr>
          <w:rStyle w:val="CharSectno"/>
        </w:rPr>
        <w:t>5</w:t>
      </w:r>
      <w:r>
        <w:rPr>
          <w:snapToGrid w:val="0"/>
        </w:rPr>
        <w:t>.</w:t>
      </w:r>
      <w:r>
        <w:rPr>
          <w:snapToGrid w:val="0"/>
        </w:rPr>
        <w:tab/>
        <w:t>Application of Act</w:t>
      </w:r>
      <w:bookmarkEnd w:id="21"/>
      <w:bookmarkEnd w:id="22"/>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pPr>
      <w:r>
        <w:tab/>
        <w:t>(1A)</w:t>
      </w:r>
      <w:r>
        <w:tab/>
        <w:t xml:space="preserve">This Act does not apply to a residential tenancy agreement that is a strata lease, within the meaning of the </w:t>
      </w:r>
      <w:r>
        <w:rPr>
          <w:i/>
          <w:snapToGrid w:val="0"/>
        </w:rPr>
        <w:t>Strata Titles Act 1985</w:t>
      </w:r>
      <w:r>
        <w:t>.</w:t>
      </w:r>
    </w:p>
    <w:p>
      <w:pPr>
        <w:pStyle w:val="PermNoteHeading"/>
      </w:pPr>
      <w:r>
        <w:tab/>
        <w:t>Note for this subsection:</w:t>
      </w:r>
    </w:p>
    <w:p>
      <w:pPr>
        <w:pStyle w:val="PermNoteText"/>
      </w:pPr>
      <w:r>
        <w:tab/>
      </w:r>
      <w:r>
        <w:tab/>
        <w:t>This subsection does not affect the application of this Act to a residential tenancy agreement that is a sublease of a strata lease.</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6; No. 30 of 2018 s. 182.]</w:t>
      </w:r>
    </w:p>
    <w:p>
      <w:pPr>
        <w:pStyle w:val="Heading5"/>
        <w:rPr>
          <w:snapToGrid w:val="0"/>
        </w:rPr>
      </w:pPr>
      <w:bookmarkStart w:id="23" w:name="_Toc171694230"/>
      <w:bookmarkStart w:id="24" w:name="_Toc171339028"/>
      <w:r>
        <w:rPr>
          <w:rStyle w:val="CharSectno"/>
        </w:rPr>
        <w:t>6</w:t>
      </w:r>
      <w:r>
        <w:rPr>
          <w:snapToGrid w:val="0"/>
        </w:rPr>
        <w:t>.</w:t>
      </w:r>
      <w:r>
        <w:rPr>
          <w:snapToGrid w:val="0"/>
        </w:rPr>
        <w:tab/>
        <w:t>Modification of application of Act by regulation</w:t>
      </w:r>
      <w:bookmarkEnd w:id="23"/>
      <w:bookmarkEnd w:id="24"/>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25" w:name="_Toc171694231"/>
      <w:bookmarkStart w:id="26" w:name="_Toc171339029"/>
      <w:r>
        <w:rPr>
          <w:rStyle w:val="CharSectno"/>
        </w:rPr>
        <w:t>7</w:t>
      </w:r>
      <w:r>
        <w:rPr>
          <w:snapToGrid w:val="0"/>
        </w:rPr>
        <w:t>.</w:t>
      </w:r>
      <w:r>
        <w:rPr>
          <w:snapToGrid w:val="0"/>
        </w:rPr>
        <w:tab/>
      </w:r>
      <w:r>
        <w:rPr>
          <w:bCs/>
        </w:rPr>
        <w:t>Transitional provisions relating to commencement of this Act</w:t>
      </w:r>
      <w:bookmarkEnd w:id="25"/>
      <w:bookmarkEnd w:id="2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27" w:name="_Toc171673919"/>
      <w:bookmarkStart w:id="28" w:name="_Toc171680485"/>
      <w:bookmarkStart w:id="29" w:name="_Toc171680751"/>
      <w:bookmarkStart w:id="30" w:name="_Toc171681302"/>
      <w:bookmarkStart w:id="31" w:name="_Toc171681718"/>
      <w:bookmarkStart w:id="32" w:name="_Toc171681983"/>
      <w:bookmarkStart w:id="33" w:name="_Toc171694232"/>
      <w:bookmarkStart w:id="34" w:name="_Toc171089780"/>
      <w:bookmarkStart w:id="35" w:name="_Toc171338227"/>
      <w:bookmarkStart w:id="36" w:name="_Toc171339030"/>
      <w:r>
        <w:rPr>
          <w:rStyle w:val="CharPartNo"/>
        </w:rPr>
        <w:t>Part II</w:t>
      </w:r>
      <w:r>
        <w:rPr>
          <w:rStyle w:val="CharDivNo"/>
        </w:rPr>
        <w:t> </w:t>
      </w:r>
      <w:r>
        <w:t>—</w:t>
      </w:r>
      <w:r>
        <w:rPr>
          <w:rStyle w:val="CharDivText"/>
        </w:rPr>
        <w:t> </w:t>
      </w:r>
      <w:r>
        <w:rPr>
          <w:rStyle w:val="CharPartText"/>
        </w:rPr>
        <w:t>Administration</w:t>
      </w:r>
      <w:bookmarkEnd w:id="27"/>
      <w:bookmarkEnd w:id="28"/>
      <w:bookmarkEnd w:id="29"/>
      <w:bookmarkEnd w:id="30"/>
      <w:bookmarkEnd w:id="31"/>
      <w:bookmarkEnd w:id="32"/>
      <w:bookmarkEnd w:id="33"/>
      <w:bookmarkEnd w:id="34"/>
      <w:bookmarkEnd w:id="35"/>
      <w:bookmarkEnd w:id="36"/>
    </w:p>
    <w:p>
      <w:pPr>
        <w:pStyle w:val="Heading5"/>
      </w:pPr>
      <w:bookmarkStart w:id="37" w:name="_Toc171694233"/>
      <w:bookmarkStart w:id="38" w:name="_Toc171339031"/>
      <w:r>
        <w:rPr>
          <w:rStyle w:val="CharSectno"/>
        </w:rPr>
        <w:t>7A</w:t>
      </w:r>
      <w:r>
        <w:t>.</w:t>
      </w:r>
      <w:r>
        <w:tab/>
        <w:t>Commissioner</w:t>
      </w:r>
      <w:bookmarkEnd w:id="37"/>
      <w:bookmarkEnd w:id="38"/>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39" w:name="_Toc171694234"/>
      <w:bookmarkStart w:id="40" w:name="_Toc171339032"/>
      <w:r>
        <w:rPr>
          <w:rStyle w:val="CharSectno"/>
        </w:rPr>
        <w:t>8</w:t>
      </w:r>
      <w:r>
        <w:rPr>
          <w:snapToGrid w:val="0"/>
        </w:rPr>
        <w:t>.</w:t>
      </w:r>
      <w:r>
        <w:rPr>
          <w:snapToGrid w:val="0"/>
        </w:rPr>
        <w:tab/>
        <w:t>Functions of Commissioner</w:t>
      </w:r>
      <w:bookmarkEnd w:id="39"/>
      <w:bookmarkEnd w:id="40"/>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 xml:space="preserve">the publication of reports </w:t>
      </w:r>
      <w:r>
        <w:t>and guidelines</w:t>
      </w:r>
      <w:r>
        <w:rPr>
          <w:snapToGrid w:val="0"/>
        </w:rPr>
        <w:t xml:space="preserve">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keepNext/>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w:t>
      </w:r>
      <w:r>
        <w:t>not;</w:t>
      </w:r>
    </w:p>
    <w:p>
      <w:pPr>
        <w:pStyle w:val="Indenta"/>
      </w:pPr>
      <w:r>
        <w:tab/>
        <w:t>(f)</w:t>
      </w:r>
      <w:r>
        <w:tab/>
        <w:t>another function conferred or imposed on the Commissioner by this Act;</w:t>
      </w:r>
    </w:p>
    <w:p>
      <w:pPr>
        <w:pStyle w:val="Indenta"/>
      </w:pPr>
      <w:r>
        <w:tab/>
        <w:t>(g)</w:t>
      </w:r>
      <w:r>
        <w:tab/>
        <w:t>another function prescribed for the Commissioner.</w:t>
      </w:r>
    </w:p>
    <w:p>
      <w:pPr>
        <w:pStyle w:val="Ednotesubsection"/>
      </w:pPr>
      <w:r>
        <w:tab/>
        <w:t>[(2)</w:t>
      </w:r>
      <w:r>
        <w:tab/>
        <w:t>deleted]</w:t>
      </w:r>
    </w:p>
    <w:p>
      <w:pPr>
        <w:pStyle w:val="Footnotesection"/>
      </w:pPr>
      <w:r>
        <w:tab/>
        <w:t>[Section 8 amended: No. 28 of 2006 s. 135; No. 11 of 2024 s. 6.]</w:t>
      </w:r>
    </w:p>
    <w:p>
      <w:pPr>
        <w:pStyle w:val="Heading5"/>
        <w:rPr>
          <w:snapToGrid w:val="0"/>
        </w:rPr>
      </w:pPr>
      <w:bookmarkStart w:id="41" w:name="_Toc171694235"/>
      <w:bookmarkStart w:id="42" w:name="_Toc171339033"/>
      <w:r>
        <w:rPr>
          <w:rStyle w:val="CharSectno"/>
        </w:rPr>
        <w:t>9</w:t>
      </w:r>
      <w:r>
        <w:rPr>
          <w:snapToGrid w:val="0"/>
        </w:rPr>
        <w:t>.</w:t>
      </w:r>
      <w:r>
        <w:rPr>
          <w:snapToGrid w:val="0"/>
        </w:rPr>
        <w:tab/>
        <w:t>Commissioner may institute or defend proceedings for party</w:t>
      </w:r>
      <w:bookmarkEnd w:id="41"/>
      <w:bookmarkEnd w:id="42"/>
      <w:r>
        <w:rPr>
          <w:snapToGrid w:val="0"/>
        </w:rPr>
        <w:t xml:space="preserve"> </w:t>
      </w:r>
    </w:p>
    <w:p>
      <w:pPr>
        <w:pStyle w:val="Ednotesubsection"/>
      </w:pPr>
      <w:r>
        <w:tab/>
        <w:t>[(1A)</w:t>
      </w:r>
      <w:r>
        <w:tab/>
        <w:t>deleted]</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keepNext/>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keepNext/>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No. 50 of 1988 s. 18; No. 6 of 1993 s. 11; No. 59 of 1995 s. 56; No. 59 of 2004 s. 121; No. 77 of 2006 s. 4; No. 60 of 2011 s. 8; No. 11 of 2024 s. 7.] </w:t>
      </w:r>
    </w:p>
    <w:p>
      <w:pPr>
        <w:pStyle w:val="Heading5"/>
      </w:pPr>
      <w:bookmarkStart w:id="43" w:name="_Toc171694236"/>
      <w:bookmarkStart w:id="44" w:name="_Toc171339034"/>
      <w:r>
        <w:rPr>
          <w:rStyle w:val="CharSectno"/>
        </w:rPr>
        <w:t>10</w:t>
      </w:r>
      <w:r>
        <w:t>.</w:t>
      </w:r>
      <w:r>
        <w:tab/>
        <w:t>Delegation</w:t>
      </w:r>
      <w:bookmarkEnd w:id="43"/>
      <w:bookmarkEnd w:id="44"/>
    </w:p>
    <w:p>
      <w:pPr>
        <w:pStyle w:val="Subsection"/>
      </w:pPr>
      <w:r>
        <w:tab/>
        <w:t>(1)</w:t>
      </w:r>
      <w:r>
        <w:tab/>
        <w:t>The Commissioner may delegate any power or duty of the Commissioner under another provision of this Act to another employee of the Department.</w:t>
      </w:r>
    </w:p>
    <w:p>
      <w:pPr>
        <w:pStyle w:val="Subsection"/>
      </w:pPr>
      <w:r>
        <w:tab/>
        <w:t>(2)</w:t>
      </w:r>
      <w:r>
        <w:tab/>
        <w:t>The bond administrator may delegate any power or duty of the bond administrator under another provision of this Act to another employee of the Department.</w:t>
      </w:r>
    </w:p>
    <w:p>
      <w:pPr>
        <w:pStyle w:val="Subsection"/>
      </w:pPr>
      <w:r>
        <w:tab/>
        <w:t>(3)</w:t>
      </w:r>
      <w:r>
        <w:tab/>
        <w:t>The delegation must be in writing signed by the Commissioner or bond administrator, as the case requires.</w:t>
      </w:r>
    </w:p>
    <w:p>
      <w:pPr>
        <w:pStyle w:val="Subsection"/>
      </w:pPr>
      <w:r>
        <w:tab/>
        <w:t>(4)</w:t>
      </w:r>
      <w:r>
        <w:tab/>
        <w:t>A person to whom a power or duty has been delegated under this section cannot delegate that power or duty.</w:t>
      </w:r>
    </w:p>
    <w:p>
      <w:pPr>
        <w:pStyle w:val="Subsection"/>
      </w:pPr>
      <w:r>
        <w:tab/>
        <w:t>(5)</w:t>
      </w:r>
      <w:r>
        <w:tab/>
        <w:t>A person exercising a power or performing a duty that has been delegated to the person under this section is taken to do so in accordance with the terms of the delegation unless the contrary is shown.</w:t>
      </w:r>
    </w:p>
    <w:p>
      <w:pPr>
        <w:pStyle w:val="Subsection"/>
      </w:pPr>
      <w:r>
        <w:tab/>
        <w:t>(6)</w:t>
      </w:r>
      <w:r>
        <w:tab/>
        <w:t>Nothing in this section limits the ability of the Commissioner or the bond administrator to perform a power or duty through an officer or agent.</w:t>
      </w:r>
    </w:p>
    <w:p>
      <w:pPr>
        <w:pStyle w:val="Footnotesection"/>
      </w:pPr>
      <w:r>
        <w:tab/>
        <w:t xml:space="preserve">[Section 10 inserted: No. 11 of 2024 s. 8.] </w:t>
      </w:r>
    </w:p>
    <w:p>
      <w:pPr>
        <w:pStyle w:val="Heading5"/>
      </w:pPr>
      <w:bookmarkStart w:id="45" w:name="_Toc171694237"/>
      <w:bookmarkStart w:id="46" w:name="_Toc171339035"/>
      <w:r>
        <w:rPr>
          <w:rStyle w:val="CharSectno"/>
        </w:rPr>
        <w:t>11</w:t>
      </w:r>
      <w:r>
        <w:t>.</w:t>
      </w:r>
      <w:r>
        <w:tab/>
        <w:t>Protection from liability</w:t>
      </w:r>
      <w:bookmarkEnd w:id="45"/>
      <w:bookmarkEnd w:id="46"/>
    </w:p>
    <w:p>
      <w:pPr>
        <w:pStyle w:val="Subsection"/>
      </w:pPr>
      <w:r>
        <w:tab/>
        <w:t>(1)</w:t>
      </w:r>
      <w:r>
        <w:tab/>
        <w:t>A person is not liable for anything that the person has done, in good faith, in the performance or purported performance of a function under this Act.</w:t>
      </w:r>
    </w:p>
    <w:p>
      <w:pPr>
        <w:pStyle w:val="Subsection"/>
      </w:pPr>
      <w:r>
        <w:tab/>
        <w:t>(2)</w:t>
      </w:r>
      <w:r>
        <w:tab/>
        <w:t>The State is also relieved of any liability that it might have had for another person having done anything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doing a thing includes a reference to omitting to do the thing.</w:t>
      </w:r>
    </w:p>
    <w:p>
      <w:pPr>
        <w:pStyle w:val="Footnotesection"/>
      </w:pPr>
      <w:r>
        <w:tab/>
        <w:t xml:space="preserve">[Section 11 inserted: No. 11 of 2024 s. 8.] </w:t>
      </w:r>
    </w:p>
    <w:p>
      <w:pPr>
        <w:pStyle w:val="Heading5"/>
      </w:pPr>
      <w:bookmarkStart w:id="47" w:name="_Toc171694238"/>
      <w:bookmarkStart w:id="48" w:name="_Toc171339036"/>
      <w:r>
        <w:rPr>
          <w:rStyle w:val="CharSectno"/>
        </w:rPr>
        <w:t>11AA</w:t>
      </w:r>
      <w:r>
        <w:t>.</w:t>
      </w:r>
      <w:r>
        <w:tab/>
        <w:t>Disclosure of bond information</w:t>
      </w:r>
      <w:bookmarkEnd w:id="47"/>
      <w:bookmarkEnd w:id="48"/>
    </w:p>
    <w:p>
      <w:pPr>
        <w:pStyle w:val="Subsection"/>
      </w:pPr>
      <w:r>
        <w:tab/>
        <w:t>(1)</w:t>
      </w:r>
      <w:r>
        <w:tab/>
        <w:t xml:space="preserve">In this section — </w:t>
      </w:r>
    </w:p>
    <w:p>
      <w:pPr>
        <w:pStyle w:val="Defstart"/>
      </w:pPr>
      <w:r>
        <w:tab/>
      </w:r>
      <w:r>
        <w:rPr>
          <w:rStyle w:val="CharDefText"/>
        </w:rPr>
        <w:t>bond information</w:t>
      </w:r>
      <w:r>
        <w:t xml:space="preserve"> means information held by, or on behalf of, the bond administrator relating to, or arising from, the payment to the bond administrator of — </w:t>
      </w:r>
    </w:p>
    <w:p>
      <w:pPr>
        <w:pStyle w:val="Defpara"/>
      </w:pPr>
      <w:r>
        <w:tab/>
        <w:t>(a)</w:t>
      </w:r>
      <w:r>
        <w:tab/>
        <w:t xml:space="preserve">the security bond for a residential tenancy agreement; or </w:t>
      </w:r>
    </w:p>
    <w:p>
      <w:pPr>
        <w:pStyle w:val="Defpara"/>
      </w:pPr>
      <w:r>
        <w:tab/>
        <w:t>(b)</w:t>
      </w:r>
      <w:r>
        <w:tab/>
        <w:t>a tenant compensation bond payable under a tenant compensation order;</w:t>
      </w:r>
    </w:p>
    <w:p>
      <w:pPr>
        <w:pStyle w:val="Defstart"/>
      </w:pPr>
      <w:r>
        <w:tab/>
      </w:r>
      <w:r>
        <w:rPr>
          <w:rStyle w:val="CharDefText"/>
        </w:rPr>
        <w:t>relevant entity</w:t>
      </w:r>
      <w:r>
        <w:t xml:space="preserve"> means each of the following — </w:t>
      </w:r>
    </w:p>
    <w:p>
      <w:pPr>
        <w:pStyle w:val="Defpara"/>
      </w:pPr>
      <w:r>
        <w:tab/>
        <w:t>(a)</w:t>
      </w:r>
      <w:r>
        <w:tab/>
        <w:t>the chief executive officer of the Department;</w:t>
      </w:r>
    </w:p>
    <w:p>
      <w:pPr>
        <w:pStyle w:val="Defpara"/>
      </w:pPr>
      <w:r>
        <w:tab/>
        <w:t>(b)</w:t>
      </w:r>
      <w:r>
        <w:tab/>
        <w:t>the Commissioner;</w:t>
      </w:r>
    </w:p>
    <w:p>
      <w:pPr>
        <w:pStyle w:val="Defpara"/>
      </w:pPr>
      <w:r>
        <w:tab/>
        <w:t>(c)</w:t>
      </w:r>
      <w:r>
        <w:tab/>
        <w:t>the Housing Authority;</w:t>
      </w:r>
    </w:p>
    <w:p>
      <w:pPr>
        <w:pStyle w:val="Defpara"/>
      </w:pPr>
      <w:r>
        <w:tab/>
        <w:t>(d)</w:t>
      </w:r>
      <w:r>
        <w:tab/>
        <w:t>the Magistrates Court.</w:t>
      </w:r>
    </w:p>
    <w:p>
      <w:pPr>
        <w:pStyle w:val="Subsection"/>
      </w:pPr>
      <w:r>
        <w:tab/>
        <w:t>(2)</w:t>
      </w:r>
      <w:r>
        <w:tab/>
        <w:t>The bond administrator may disclose bond information, including personal information, to a relevant entity to the extent the information is required by the relevant entity in the course of the entity’s duties or functions.</w:t>
      </w:r>
    </w:p>
    <w:p>
      <w:pPr>
        <w:pStyle w:val="Subsection"/>
      </w:pPr>
      <w:r>
        <w:tab/>
        <w:t>(3)</w:t>
      </w:r>
      <w:r>
        <w:tab/>
        <w:t>The bond administrator may enter into an arrangement with a relevant entity for the purposes of facilitating the disclosure of information under subsection (2).</w:t>
      </w:r>
    </w:p>
    <w:p>
      <w:pPr>
        <w:pStyle w:val="Footnotesection"/>
      </w:pPr>
      <w:r>
        <w:tab/>
        <w:t>[Section 11AA inserted: No. 11 of 2024 s. 9.]</w:t>
      </w:r>
    </w:p>
    <w:p>
      <w:pPr>
        <w:pStyle w:val="Heading5"/>
      </w:pPr>
      <w:bookmarkStart w:id="49" w:name="_Toc171694239"/>
      <w:bookmarkStart w:id="50" w:name="_Toc171339037"/>
      <w:r>
        <w:rPr>
          <w:rStyle w:val="CharSectno"/>
        </w:rPr>
        <w:t>11A</w:t>
      </w:r>
      <w:r>
        <w:t>.</w:t>
      </w:r>
      <w:r>
        <w:tab/>
        <w:t>Information officially obtained to be confidential</w:t>
      </w:r>
      <w:bookmarkEnd w:id="49"/>
      <w:bookmarkEnd w:id="50"/>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as required or allowed under this Act or another written law;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10; No. 3 of 2019 s. 25; No. 11 of 2024 s. 10.]</w:t>
      </w:r>
    </w:p>
    <w:p>
      <w:pPr>
        <w:pStyle w:val="Heading5"/>
      </w:pPr>
      <w:bookmarkStart w:id="51" w:name="_Toc171694240"/>
      <w:bookmarkStart w:id="52" w:name="_Toc171339038"/>
      <w:r>
        <w:rPr>
          <w:rStyle w:val="CharSectno"/>
        </w:rPr>
        <w:t>11B</w:t>
      </w:r>
      <w:r>
        <w:t>.</w:t>
      </w:r>
      <w:r>
        <w:tab/>
        <w:t>Powers of investigation</w:t>
      </w:r>
      <w:bookmarkEnd w:id="51"/>
      <w:bookmarkEnd w:id="52"/>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53" w:name="_Toc171673928"/>
      <w:bookmarkStart w:id="54" w:name="_Toc171680494"/>
      <w:bookmarkStart w:id="55" w:name="_Toc171680760"/>
      <w:bookmarkStart w:id="56" w:name="_Toc171681311"/>
      <w:bookmarkStart w:id="57" w:name="_Toc171681727"/>
      <w:bookmarkStart w:id="58" w:name="_Toc171681992"/>
      <w:bookmarkStart w:id="59" w:name="_Toc171694241"/>
      <w:bookmarkStart w:id="60" w:name="_Toc171089789"/>
      <w:bookmarkStart w:id="61" w:name="_Toc171338236"/>
      <w:bookmarkStart w:id="62" w:name="_Toc171339039"/>
      <w:r>
        <w:rPr>
          <w:rStyle w:val="CharPartNo"/>
        </w:rPr>
        <w:t>Part III </w:t>
      </w:r>
      <w:r>
        <w:t>—</w:t>
      </w:r>
      <w:r>
        <w:rPr>
          <w:rStyle w:val="CharPartText"/>
        </w:rPr>
        <w:t> Determination of disputes</w:t>
      </w:r>
      <w:bookmarkEnd w:id="53"/>
      <w:bookmarkEnd w:id="54"/>
      <w:bookmarkEnd w:id="55"/>
      <w:bookmarkEnd w:id="56"/>
      <w:bookmarkEnd w:id="57"/>
      <w:bookmarkEnd w:id="58"/>
      <w:bookmarkEnd w:id="59"/>
      <w:bookmarkEnd w:id="60"/>
      <w:bookmarkEnd w:id="61"/>
      <w:bookmarkEnd w:id="62"/>
      <w:del w:id="63" w:author="Master Repository Process" w:date="2025-06-25T10:45:00Z">
        <w:r>
          <w:rPr>
            <w:rStyle w:val="CharPartText"/>
          </w:rPr>
          <w:delText xml:space="preserve"> </w:delText>
        </w:r>
      </w:del>
    </w:p>
    <w:p>
      <w:pPr>
        <w:pStyle w:val="Heading3"/>
        <w:rPr>
          <w:ins w:id="64" w:author="Master Repository Process" w:date="2025-06-25T10:45:00Z"/>
        </w:rPr>
      </w:pPr>
      <w:bookmarkStart w:id="65" w:name="_Toc171681312"/>
      <w:bookmarkStart w:id="66" w:name="_Toc171681728"/>
      <w:bookmarkStart w:id="67" w:name="_Toc171694242"/>
      <w:ins w:id="68" w:author="Master Repository Process" w:date="2025-06-25T10:45:00Z">
        <w:r>
          <w:rPr>
            <w:rStyle w:val="CharDivNo"/>
            <w:sz w:val="24"/>
          </w:rPr>
          <w:t>Division 1</w:t>
        </w:r>
        <w:r>
          <w:t> — </w:t>
        </w:r>
        <w:r>
          <w:rPr>
            <w:rStyle w:val="CharDivText"/>
            <w:sz w:val="24"/>
          </w:rPr>
          <w:t>Provisions relating to applications made or referred to Commissioner</w:t>
        </w:r>
        <w:bookmarkEnd w:id="65"/>
        <w:bookmarkEnd w:id="66"/>
        <w:bookmarkEnd w:id="67"/>
      </w:ins>
    </w:p>
    <w:p>
      <w:pPr>
        <w:pStyle w:val="Footnoteheading"/>
        <w:rPr>
          <w:ins w:id="69" w:author="Master Repository Process" w:date="2025-06-25T10:45:00Z"/>
        </w:rPr>
      </w:pPr>
      <w:ins w:id="70" w:author="Master Repository Process" w:date="2025-06-25T10:45:00Z">
        <w:r>
          <w:tab/>
          <w:t>[Heading inserted: No. 11 of 2024 s. 11.]</w:t>
        </w:r>
      </w:ins>
    </w:p>
    <w:p>
      <w:pPr>
        <w:pStyle w:val="Heading5"/>
        <w:rPr>
          <w:ins w:id="71" w:author="Master Repository Process" w:date="2025-06-25T10:45:00Z"/>
        </w:rPr>
      </w:pPr>
      <w:bookmarkStart w:id="72" w:name="_Toc164778251"/>
      <w:bookmarkStart w:id="73" w:name="_Toc171694243"/>
      <w:ins w:id="74" w:author="Master Repository Process" w:date="2025-06-25T10:45:00Z">
        <w:r>
          <w:rPr>
            <w:rStyle w:val="CharSectno"/>
          </w:rPr>
          <w:t>11C</w:t>
        </w:r>
        <w:r>
          <w:t>.</w:t>
        </w:r>
        <w:r>
          <w:tab/>
          <w:t>Application of Division</w:t>
        </w:r>
        <w:bookmarkEnd w:id="72"/>
        <w:bookmarkEnd w:id="73"/>
      </w:ins>
    </w:p>
    <w:p>
      <w:pPr>
        <w:pStyle w:val="Subsection"/>
        <w:rPr>
          <w:ins w:id="75" w:author="Master Repository Process" w:date="2025-06-25T10:45:00Z"/>
        </w:rPr>
      </w:pPr>
      <w:ins w:id="76" w:author="Master Repository Process" w:date="2025-06-25T10:45:00Z">
        <w:r>
          <w:tab/>
        </w:r>
        <w:r>
          <w:tab/>
          <w:t xml:space="preserve">This Division applies in relation to — </w:t>
        </w:r>
      </w:ins>
    </w:p>
    <w:p>
      <w:pPr>
        <w:pStyle w:val="Indenta"/>
        <w:rPr>
          <w:ins w:id="77" w:author="Master Repository Process" w:date="2025-06-25T10:45:00Z"/>
        </w:rPr>
      </w:pPr>
      <w:ins w:id="78" w:author="Master Repository Process" w:date="2025-06-25T10:45:00Z">
        <w:r>
          <w:tab/>
          <w:t>(a)</w:t>
        </w:r>
        <w:r>
          <w:tab/>
          <w:t xml:space="preserve">any of the following applications made or referred to the Commissioner — </w:t>
        </w:r>
      </w:ins>
    </w:p>
    <w:p>
      <w:pPr>
        <w:pStyle w:val="Indenti"/>
        <w:rPr>
          <w:ins w:id="79" w:author="Master Repository Process" w:date="2025-06-25T10:45:00Z"/>
        </w:rPr>
      </w:pPr>
      <w:ins w:id="80" w:author="Master Repository Process" w:date="2025-06-25T10:45:00Z">
        <w:r>
          <w:tab/>
          <w:t>(i)</w:t>
        </w:r>
        <w:r>
          <w:tab/>
          <w:t>a lessor’s application under section 50E, 50F, 50S or 50T;</w:t>
        </w:r>
      </w:ins>
    </w:p>
    <w:p>
      <w:pPr>
        <w:pStyle w:val="Indenti"/>
        <w:rPr>
          <w:ins w:id="81" w:author="Master Repository Process" w:date="2025-06-25T10:45:00Z"/>
        </w:rPr>
      </w:pPr>
      <w:ins w:id="82" w:author="Master Repository Process" w:date="2025-06-25T10:45:00Z">
        <w:r>
          <w:tab/>
          <w:t>(ii)</w:t>
        </w:r>
        <w:r>
          <w:tab/>
          <w:t>a tenant’s application under section 50G, 50H, 50U or 50V;</w:t>
        </w:r>
      </w:ins>
    </w:p>
    <w:p>
      <w:pPr>
        <w:pStyle w:val="Indenti"/>
        <w:rPr>
          <w:ins w:id="83" w:author="Master Repository Process" w:date="2025-06-25T10:45:00Z"/>
        </w:rPr>
      </w:pPr>
      <w:ins w:id="84" w:author="Master Repository Process" w:date="2025-06-25T10:45:00Z">
        <w:r>
          <w:tab/>
          <w:t>(iii)</w:t>
        </w:r>
        <w:r>
          <w:tab/>
          <w:t>a security bond release application referred by the bond administrator under section 81I;</w:t>
        </w:r>
      </w:ins>
    </w:p>
    <w:p>
      <w:pPr>
        <w:pStyle w:val="Indenta"/>
        <w:rPr>
          <w:ins w:id="85" w:author="Master Repository Process" w:date="2025-06-25T10:45:00Z"/>
        </w:rPr>
      </w:pPr>
      <w:ins w:id="86" w:author="Master Repository Process" w:date="2025-06-25T10:45:00Z">
        <w:r>
          <w:tab/>
        </w:r>
        <w:r>
          <w:tab/>
          <w:t>or</w:t>
        </w:r>
      </w:ins>
    </w:p>
    <w:p>
      <w:pPr>
        <w:pStyle w:val="Indenta"/>
        <w:rPr>
          <w:ins w:id="87" w:author="Master Repository Process" w:date="2025-06-25T10:45:00Z"/>
        </w:rPr>
      </w:pPr>
      <w:ins w:id="88" w:author="Master Repository Process" w:date="2025-06-25T10:45:00Z">
        <w:r>
          <w:tab/>
          <w:t>(b)</w:t>
        </w:r>
        <w:r>
          <w:tab/>
          <w:t>an application made to the Commissioner in relation to a disputed tenancy matter.</w:t>
        </w:r>
      </w:ins>
    </w:p>
    <w:p>
      <w:pPr>
        <w:pStyle w:val="Footnotesection"/>
        <w:rPr>
          <w:ins w:id="89" w:author="Master Repository Process" w:date="2025-06-25T10:45:00Z"/>
        </w:rPr>
      </w:pPr>
      <w:ins w:id="90" w:author="Master Repository Process" w:date="2025-06-25T10:45:00Z">
        <w:r>
          <w:tab/>
          <w:t>[Section 11C inserted: No. 11 of 2024 s. 11.]</w:t>
        </w:r>
      </w:ins>
    </w:p>
    <w:p>
      <w:pPr>
        <w:pStyle w:val="Heading5"/>
        <w:rPr>
          <w:ins w:id="91" w:author="Master Repository Process" w:date="2025-06-25T10:45:00Z"/>
        </w:rPr>
      </w:pPr>
      <w:bookmarkStart w:id="92" w:name="_Toc164778252"/>
      <w:bookmarkStart w:id="93" w:name="_Toc171694244"/>
      <w:ins w:id="94" w:author="Master Repository Process" w:date="2025-06-25T10:45:00Z">
        <w:r>
          <w:rPr>
            <w:rStyle w:val="CharSectno"/>
          </w:rPr>
          <w:t>11D</w:t>
        </w:r>
        <w:r>
          <w:t>.</w:t>
        </w:r>
        <w:r>
          <w:tab/>
          <w:t>Parties to application</w:t>
        </w:r>
        <w:bookmarkEnd w:id="92"/>
        <w:bookmarkEnd w:id="93"/>
      </w:ins>
    </w:p>
    <w:p>
      <w:pPr>
        <w:pStyle w:val="Subsection"/>
        <w:rPr>
          <w:ins w:id="95" w:author="Master Repository Process" w:date="2025-06-25T10:45:00Z"/>
        </w:rPr>
      </w:pPr>
      <w:ins w:id="96" w:author="Master Repository Process" w:date="2025-06-25T10:45:00Z">
        <w:r>
          <w:tab/>
        </w:r>
        <w:r>
          <w:tab/>
          <w:t xml:space="preserve">In this Division, a </w:t>
        </w:r>
        <w:r>
          <w:rPr>
            <w:rStyle w:val="CharDefText"/>
          </w:rPr>
          <w:t>party</w:t>
        </w:r>
        <w:r>
          <w:t xml:space="preserve"> to an application made in relation to a residential tenancy agreement is — </w:t>
        </w:r>
      </w:ins>
    </w:p>
    <w:p>
      <w:pPr>
        <w:pStyle w:val="Indenta"/>
        <w:rPr>
          <w:ins w:id="97" w:author="Master Repository Process" w:date="2025-06-25T10:45:00Z"/>
        </w:rPr>
      </w:pPr>
      <w:ins w:id="98" w:author="Master Repository Process" w:date="2025-06-25T10:45:00Z">
        <w:r>
          <w:tab/>
          <w:t>(a)</w:t>
        </w:r>
        <w:r>
          <w:tab/>
          <w:t>each party to the agreement who made the application; and</w:t>
        </w:r>
      </w:ins>
    </w:p>
    <w:p>
      <w:pPr>
        <w:pStyle w:val="Indenta"/>
        <w:rPr>
          <w:ins w:id="99" w:author="Master Repository Process" w:date="2025-06-25T10:45:00Z"/>
        </w:rPr>
      </w:pPr>
      <w:ins w:id="100" w:author="Master Repository Process" w:date="2025-06-25T10:45:00Z">
        <w:r>
          <w:tab/>
          <w:t>(b)</w:t>
        </w:r>
        <w:r>
          <w:tab/>
          <w:t xml:space="preserve">each other person who is — </w:t>
        </w:r>
      </w:ins>
    </w:p>
    <w:p>
      <w:pPr>
        <w:pStyle w:val="Indenti"/>
        <w:rPr>
          <w:ins w:id="101" w:author="Master Repository Process" w:date="2025-06-25T10:45:00Z"/>
        </w:rPr>
      </w:pPr>
      <w:ins w:id="102" w:author="Master Repository Process" w:date="2025-06-25T10:45:00Z">
        <w:r>
          <w:tab/>
          <w:t>(i)</w:t>
        </w:r>
        <w:r>
          <w:tab/>
          <w:t>for a security bond release application — given notice of the application by the bond administrator under section 81F(2); or</w:t>
        </w:r>
      </w:ins>
    </w:p>
    <w:p>
      <w:pPr>
        <w:pStyle w:val="Indenti"/>
        <w:rPr>
          <w:ins w:id="103" w:author="Master Repository Process" w:date="2025-06-25T10:45:00Z"/>
        </w:rPr>
      </w:pPr>
      <w:ins w:id="104" w:author="Master Repository Process" w:date="2025-06-25T10:45:00Z">
        <w:r>
          <w:tab/>
          <w:t>(ii)</w:t>
        </w:r>
        <w:r>
          <w:tab/>
          <w:t>otherwise — known to the Commissioner as a lessor, tenant or co</w:t>
        </w:r>
        <w:r>
          <w:noBreakHyphen/>
          <w:t>tenant under the residential tenancy agreement.</w:t>
        </w:r>
      </w:ins>
    </w:p>
    <w:p>
      <w:pPr>
        <w:pStyle w:val="Footnotesection"/>
        <w:rPr>
          <w:ins w:id="105" w:author="Master Repository Process" w:date="2025-06-25T10:45:00Z"/>
        </w:rPr>
      </w:pPr>
      <w:ins w:id="106" w:author="Master Repository Process" w:date="2025-06-25T10:45:00Z">
        <w:r>
          <w:tab/>
          <w:t>[Section 11D inserted: No. 11 of 2024 s. 11.]</w:t>
        </w:r>
      </w:ins>
    </w:p>
    <w:p>
      <w:pPr>
        <w:pStyle w:val="Heading5"/>
        <w:rPr>
          <w:ins w:id="107" w:author="Master Repository Process" w:date="2025-06-25T10:45:00Z"/>
        </w:rPr>
      </w:pPr>
      <w:bookmarkStart w:id="108" w:name="_Toc164778253"/>
      <w:bookmarkStart w:id="109" w:name="_Toc171694245"/>
      <w:ins w:id="110" w:author="Master Repository Process" w:date="2025-06-25T10:45:00Z">
        <w:r>
          <w:rPr>
            <w:rStyle w:val="CharSectno"/>
          </w:rPr>
          <w:t>11E</w:t>
        </w:r>
        <w:r>
          <w:t>.</w:t>
        </w:r>
        <w:r>
          <w:tab/>
          <w:t>Disputed tenancy matters</w:t>
        </w:r>
        <w:bookmarkEnd w:id="108"/>
        <w:bookmarkEnd w:id="109"/>
      </w:ins>
    </w:p>
    <w:p>
      <w:pPr>
        <w:pStyle w:val="Subsection"/>
        <w:rPr>
          <w:ins w:id="111" w:author="Master Repository Process" w:date="2025-06-25T10:45:00Z"/>
        </w:rPr>
      </w:pPr>
      <w:ins w:id="112" w:author="Master Repository Process" w:date="2025-06-25T10:45:00Z">
        <w:r>
          <w:tab/>
          <w:t>(1)</w:t>
        </w:r>
        <w:r>
          <w:tab/>
          <w:t xml:space="preserve">A regulation may prescribe a matter (a </w:t>
        </w:r>
        <w:r>
          <w:rPr>
            <w:rStyle w:val="CharDefText"/>
          </w:rPr>
          <w:t>disputed tenancy matter</w:t>
        </w:r>
        <w:r>
          <w:t>) relating to the rights and obligations of the parties to a residential tenancy agreement as a matter about which the Commissioner may make decisions if the parties to a residential tenancy agreement are in dispute about the matter.</w:t>
        </w:r>
      </w:ins>
    </w:p>
    <w:p>
      <w:pPr>
        <w:pStyle w:val="Subsection"/>
        <w:rPr>
          <w:ins w:id="113" w:author="Master Repository Process" w:date="2025-06-25T10:45:00Z"/>
        </w:rPr>
      </w:pPr>
      <w:ins w:id="114" w:author="Master Repository Process" w:date="2025-06-25T10:45:00Z">
        <w:r>
          <w:tab/>
          <w:t>(2)</w:t>
        </w:r>
        <w:r>
          <w:tab/>
          <w:t>A party to a residential tenancy agreement may apply to the Commissioner to make an order stated in the application in relation to a disputed tenancy matter.</w:t>
        </w:r>
      </w:ins>
    </w:p>
    <w:p>
      <w:pPr>
        <w:pStyle w:val="Footnotesection"/>
        <w:rPr>
          <w:ins w:id="115" w:author="Master Repository Process" w:date="2025-06-25T10:45:00Z"/>
        </w:rPr>
      </w:pPr>
      <w:ins w:id="116" w:author="Master Repository Process" w:date="2025-06-25T10:45:00Z">
        <w:r>
          <w:tab/>
          <w:t>[Section 11E inserted: No. 11 of 2024 s. 11.]</w:t>
        </w:r>
      </w:ins>
    </w:p>
    <w:p>
      <w:pPr>
        <w:pStyle w:val="Heading5"/>
        <w:rPr>
          <w:ins w:id="117" w:author="Master Repository Process" w:date="2025-06-25T10:45:00Z"/>
        </w:rPr>
      </w:pPr>
      <w:bookmarkStart w:id="118" w:name="_Toc164778254"/>
      <w:bookmarkStart w:id="119" w:name="_Toc171694246"/>
      <w:ins w:id="120" w:author="Master Repository Process" w:date="2025-06-25T10:45:00Z">
        <w:r>
          <w:rPr>
            <w:rStyle w:val="CharSectno"/>
          </w:rPr>
          <w:t>11F</w:t>
        </w:r>
        <w:r>
          <w:t>.</w:t>
        </w:r>
        <w:r>
          <w:tab/>
          <w:t>Notice of application and invitation to make submissions</w:t>
        </w:r>
        <w:bookmarkEnd w:id="118"/>
        <w:bookmarkEnd w:id="119"/>
        <w:r>
          <w:t xml:space="preserve"> </w:t>
        </w:r>
      </w:ins>
    </w:p>
    <w:p>
      <w:pPr>
        <w:pStyle w:val="Subsection"/>
        <w:rPr>
          <w:ins w:id="121" w:author="Master Repository Process" w:date="2025-06-25T10:45:00Z"/>
        </w:rPr>
      </w:pPr>
      <w:ins w:id="122" w:author="Master Repository Process" w:date="2025-06-25T10:45:00Z">
        <w:r>
          <w:tab/>
          <w:t>(1)</w:t>
        </w:r>
        <w:r>
          <w:tab/>
          <w:t>This section applies to an application other than a security bond release application.</w:t>
        </w:r>
      </w:ins>
    </w:p>
    <w:p>
      <w:pPr>
        <w:pStyle w:val="PermNoteHeading"/>
        <w:rPr>
          <w:ins w:id="123" w:author="Master Repository Process" w:date="2025-06-25T10:45:00Z"/>
        </w:rPr>
      </w:pPr>
      <w:ins w:id="124" w:author="Master Repository Process" w:date="2025-06-25T10:45:00Z">
        <w:r>
          <w:tab/>
          <w:t>Note for this subsection:</w:t>
        </w:r>
      </w:ins>
    </w:p>
    <w:p>
      <w:pPr>
        <w:pStyle w:val="PermNoteText"/>
        <w:rPr>
          <w:ins w:id="125" w:author="Master Repository Process" w:date="2025-06-25T10:45:00Z"/>
        </w:rPr>
      </w:pPr>
      <w:ins w:id="126" w:author="Master Repository Process" w:date="2025-06-25T10:45:00Z">
        <w:r>
          <w:tab/>
        </w:r>
        <w:r>
          <w:tab/>
          <w:t>See section 81Q in relation to the Commissioner giving notice of receipt of a security bond release application and inviting submissions.</w:t>
        </w:r>
      </w:ins>
    </w:p>
    <w:p>
      <w:pPr>
        <w:pStyle w:val="Subsection"/>
        <w:rPr>
          <w:ins w:id="127" w:author="Master Repository Process" w:date="2025-06-25T10:45:00Z"/>
        </w:rPr>
      </w:pPr>
      <w:ins w:id="128" w:author="Master Repository Process" w:date="2025-06-25T10:45:00Z">
        <w:r>
          <w:tab/>
          <w:t>(2)</w:t>
        </w:r>
        <w:r>
          <w:tab/>
          <w:t>The Commissioner must give written notice of the receipt of the application to each party to the application.</w:t>
        </w:r>
      </w:ins>
    </w:p>
    <w:p>
      <w:pPr>
        <w:pStyle w:val="Subsection"/>
        <w:rPr>
          <w:ins w:id="129" w:author="Master Repository Process" w:date="2025-06-25T10:45:00Z"/>
        </w:rPr>
      </w:pPr>
      <w:ins w:id="130" w:author="Master Repository Process" w:date="2025-06-25T10:45:00Z">
        <w:r>
          <w:tab/>
          <w:t>(3)</w:t>
        </w:r>
        <w:r>
          <w:tab/>
          <w:t xml:space="preserve">The notice must state that — </w:t>
        </w:r>
      </w:ins>
    </w:p>
    <w:p>
      <w:pPr>
        <w:pStyle w:val="Indenta"/>
        <w:rPr>
          <w:ins w:id="131" w:author="Master Repository Process" w:date="2025-06-25T10:45:00Z"/>
        </w:rPr>
      </w:pPr>
      <w:ins w:id="132" w:author="Master Repository Process" w:date="2025-06-25T10:45:00Z">
        <w:r>
          <w:tab/>
          <w:t>(a)</w:t>
        </w:r>
        <w:r>
          <w:tab/>
          <w:t>the party may make a submission to the Commissioner about the application; and</w:t>
        </w:r>
      </w:ins>
    </w:p>
    <w:p>
      <w:pPr>
        <w:pStyle w:val="Indenta"/>
        <w:rPr>
          <w:ins w:id="133" w:author="Master Repository Process" w:date="2025-06-25T10:45:00Z"/>
        </w:rPr>
      </w:pPr>
      <w:ins w:id="134" w:author="Master Repository Process" w:date="2025-06-25T10:45:00Z">
        <w:r>
          <w:tab/>
          <w:t>(b)</w:t>
        </w:r>
        <w:r>
          <w:tab/>
          <w:t>if the party makes a submission to the Commissioner by the day stated in the notice, the Commissioner will consider the party’s submission in deciding the application.</w:t>
        </w:r>
      </w:ins>
    </w:p>
    <w:p>
      <w:pPr>
        <w:pStyle w:val="Footnotesection"/>
        <w:rPr>
          <w:ins w:id="135" w:author="Master Repository Process" w:date="2025-06-25T10:45:00Z"/>
        </w:rPr>
      </w:pPr>
      <w:ins w:id="136" w:author="Master Repository Process" w:date="2025-06-25T10:45:00Z">
        <w:r>
          <w:tab/>
          <w:t>[Section 11F inserted: No. 11 of 2024 s. 11.]</w:t>
        </w:r>
      </w:ins>
    </w:p>
    <w:p>
      <w:pPr>
        <w:pStyle w:val="Heading5"/>
        <w:rPr>
          <w:ins w:id="137" w:author="Master Repository Process" w:date="2025-06-25T10:45:00Z"/>
        </w:rPr>
      </w:pPr>
      <w:bookmarkStart w:id="138" w:name="_Toc164778255"/>
      <w:bookmarkStart w:id="139" w:name="_Toc171694247"/>
      <w:ins w:id="140" w:author="Master Repository Process" w:date="2025-06-25T10:45:00Z">
        <w:r>
          <w:rPr>
            <w:rStyle w:val="CharSectno"/>
          </w:rPr>
          <w:t>11G</w:t>
        </w:r>
        <w:r>
          <w:t>.</w:t>
        </w:r>
        <w:r>
          <w:tab/>
          <w:t>Commissioner may require further information</w:t>
        </w:r>
        <w:bookmarkEnd w:id="138"/>
        <w:bookmarkEnd w:id="139"/>
        <w:r>
          <w:t xml:space="preserve"> </w:t>
        </w:r>
      </w:ins>
    </w:p>
    <w:p>
      <w:pPr>
        <w:pStyle w:val="Subsection"/>
        <w:rPr>
          <w:ins w:id="141" w:author="Master Repository Process" w:date="2025-06-25T10:45:00Z"/>
        </w:rPr>
      </w:pPr>
      <w:ins w:id="142" w:author="Master Repository Process" w:date="2025-06-25T10:45:00Z">
        <w:r>
          <w:tab/>
          <w:t>(1)</w:t>
        </w:r>
        <w:r>
          <w:tab/>
          <w:t xml:space="preserve">The Commissioner may give a party to an application a notice requiring the party to give the Commissioner the information stated in the notice. </w:t>
        </w:r>
      </w:ins>
    </w:p>
    <w:p>
      <w:pPr>
        <w:pStyle w:val="Subsection"/>
        <w:rPr>
          <w:ins w:id="143" w:author="Master Repository Process" w:date="2025-06-25T10:45:00Z"/>
        </w:rPr>
      </w:pPr>
      <w:ins w:id="144" w:author="Master Repository Process" w:date="2025-06-25T10:45:00Z">
        <w:r>
          <w:tab/>
          <w:t>(2)</w:t>
        </w:r>
        <w:r>
          <w:tab/>
          <w:t xml:space="preserve">The Commissioner may, in the notice, require the person to do either or both of the following by the day stated in the notice — </w:t>
        </w:r>
      </w:ins>
    </w:p>
    <w:p>
      <w:pPr>
        <w:pStyle w:val="Indenta"/>
        <w:rPr>
          <w:ins w:id="145" w:author="Master Repository Process" w:date="2025-06-25T10:45:00Z"/>
        </w:rPr>
      </w:pPr>
      <w:ins w:id="146" w:author="Master Repository Process" w:date="2025-06-25T10:45:00Z">
        <w:r>
          <w:tab/>
          <w:t>(a)</w:t>
        </w:r>
        <w:r>
          <w:tab/>
          <w:t>provide evidence to support a claim made by the person; or</w:t>
        </w:r>
      </w:ins>
    </w:p>
    <w:p>
      <w:pPr>
        <w:pStyle w:val="Indenta"/>
        <w:rPr>
          <w:ins w:id="147" w:author="Master Repository Process" w:date="2025-06-25T10:45:00Z"/>
        </w:rPr>
      </w:pPr>
      <w:ins w:id="148" w:author="Master Repository Process" w:date="2025-06-25T10:45:00Z">
        <w:r>
          <w:tab/>
          <w:t>(b)</w:t>
        </w:r>
        <w:r>
          <w:tab/>
          <w:t>verify the information or evidence the person gives to the Commissioner by statutory declaration or in another way.</w:t>
        </w:r>
      </w:ins>
    </w:p>
    <w:p>
      <w:pPr>
        <w:pStyle w:val="Subsection"/>
        <w:rPr>
          <w:ins w:id="149" w:author="Master Repository Process" w:date="2025-06-25T10:45:00Z"/>
        </w:rPr>
      </w:pPr>
      <w:ins w:id="150" w:author="Master Repository Process" w:date="2025-06-25T10:45:00Z">
        <w:r>
          <w:tab/>
          <w:t>(3)</w:t>
        </w:r>
        <w:r>
          <w:tab/>
          <w:t>If the party does not comply with the requirement by the stated day, the Commissioner may decide the application without the person’s information and the notice given to the party under subsection (2) must state that fact.</w:t>
        </w:r>
      </w:ins>
    </w:p>
    <w:p>
      <w:pPr>
        <w:pStyle w:val="Subsection"/>
        <w:rPr>
          <w:ins w:id="151" w:author="Master Repository Process" w:date="2025-06-25T10:45:00Z"/>
        </w:rPr>
      </w:pPr>
      <w:ins w:id="152" w:author="Master Repository Process" w:date="2025-06-25T10:45:00Z">
        <w:r>
          <w:tab/>
          <w:t>(4)</w:t>
        </w:r>
        <w:r>
          <w:tab/>
          <w:t>The Commissioner may, in writing, extend the period stated in the notice.</w:t>
        </w:r>
      </w:ins>
    </w:p>
    <w:p>
      <w:pPr>
        <w:pStyle w:val="Footnotesection"/>
        <w:rPr>
          <w:ins w:id="153" w:author="Master Repository Process" w:date="2025-06-25T10:45:00Z"/>
        </w:rPr>
      </w:pPr>
      <w:ins w:id="154" w:author="Master Repository Process" w:date="2025-06-25T10:45:00Z">
        <w:r>
          <w:tab/>
          <w:t>[Section 11G inserted: No. 11 of 2024 s. 11.]</w:t>
        </w:r>
      </w:ins>
    </w:p>
    <w:p>
      <w:pPr>
        <w:pStyle w:val="Heading5"/>
        <w:rPr>
          <w:ins w:id="155" w:author="Master Repository Process" w:date="2025-06-25T10:45:00Z"/>
        </w:rPr>
      </w:pPr>
      <w:bookmarkStart w:id="156" w:name="_Toc164778256"/>
      <w:bookmarkStart w:id="157" w:name="_Toc171694248"/>
      <w:ins w:id="158" w:author="Master Repository Process" w:date="2025-06-25T10:45:00Z">
        <w:r>
          <w:rPr>
            <w:rStyle w:val="CharSectno"/>
          </w:rPr>
          <w:t>11H</w:t>
        </w:r>
        <w:r>
          <w:t>.</w:t>
        </w:r>
        <w:r>
          <w:tab/>
          <w:t>False or misleading information</w:t>
        </w:r>
        <w:bookmarkEnd w:id="156"/>
        <w:bookmarkEnd w:id="157"/>
      </w:ins>
    </w:p>
    <w:p>
      <w:pPr>
        <w:pStyle w:val="Subsection"/>
        <w:rPr>
          <w:ins w:id="159" w:author="Master Repository Process" w:date="2025-06-25T10:45:00Z"/>
        </w:rPr>
      </w:pPr>
      <w:ins w:id="160" w:author="Master Repository Process" w:date="2025-06-25T10:45:00Z">
        <w:r>
          <w:tab/>
          <w:t>(1)</w:t>
        </w:r>
        <w:r>
          <w:tab/>
          <w:t>A person must not give the Commissioner information in relation to the application that the person knows, or ought reasonably to know, is false or misleading in a material particular.</w:t>
        </w:r>
      </w:ins>
    </w:p>
    <w:p>
      <w:pPr>
        <w:pStyle w:val="Penstart"/>
        <w:rPr>
          <w:ins w:id="161" w:author="Master Repository Process" w:date="2025-06-25T10:45:00Z"/>
        </w:rPr>
      </w:pPr>
      <w:ins w:id="162" w:author="Master Repository Process" w:date="2025-06-25T10:45:00Z">
        <w:r>
          <w:tab/>
          <w:t>Penalty for this subsection: a fine of $10 000.</w:t>
        </w:r>
      </w:ins>
    </w:p>
    <w:p>
      <w:pPr>
        <w:pStyle w:val="Subsection"/>
        <w:rPr>
          <w:ins w:id="163" w:author="Master Repository Process" w:date="2025-06-25T10:45:00Z"/>
        </w:rPr>
      </w:pPr>
      <w:ins w:id="164" w:author="Master Repository Process" w:date="2025-06-25T10:45:00Z">
        <w:r>
          <w:tab/>
          <w:t>(2)</w:t>
        </w:r>
        <w:r>
          <w:tab/>
          <w:t>For subsection (1), it is immaterial whether the information was given in response to a requirement under section 11G or for another reason.</w:t>
        </w:r>
      </w:ins>
    </w:p>
    <w:p>
      <w:pPr>
        <w:pStyle w:val="Footnotesection"/>
        <w:rPr>
          <w:ins w:id="165" w:author="Master Repository Process" w:date="2025-06-25T10:45:00Z"/>
        </w:rPr>
      </w:pPr>
      <w:ins w:id="166" w:author="Master Repository Process" w:date="2025-06-25T10:45:00Z">
        <w:r>
          <w:tab/>
          <w:t>[Section 11H inserted: No. 11 of 2024 s. 11.]</w:t>
        </w:r>
      </w:ins>
    </w:p>
    <w:p>
      <w:pPr>
        <w:pStyle w:val="Heading5"/>
        <w:rPr>
          <w:ins w:id="167" w:author="Master Repository Process" w:date="2025-06-25T10:45:00Z"/>
        </w:rPr>
      </w:pPr>
      <w:bookmarkStart w:id="168" w:name="_Toc164778257"/>
      <w:bookmarkStart w:id="169" w:name="_Toc171694249"/>
      <w:ins w:id="170" w:author="Master Repository Process" w:date="2025-06-25T10:45:00Z">
        <w:r>
          <w:rPr>
            <w:rStyle w:val="CharSectno"/>
          </w:rPr>
          <w:t>11I</w:t>
        </w:r>
        <w:r>
          <w:t>.</w:t>
        </w:r>
        <w:r>
          <w:tab/>
          <w:t>Deciding application</w:t>
        </w:r>
        <w:bookmarkEnd w:id="168"/>
        <w:bookmarkEnd w:id="169"/>
      </w:ins>
    </w:p>
    <w:p>
      <w:pPr>
        <w:pStyle w:val="Subsection"/>
        <w:rPr>
          <w:ins w:id="171" w:author="Master Repository Process" w:date="2025-06-25T10:45:00Z"/>
        </w:rPr>
      </w:pPr>
      <w:ins w:id="172" w:author="Master Repository Process" w:date="2025-06-25T10:45:00Z">
        <w:r>
          <w:tab/>
          <w:t>(1)</w:t>
        </w:r>
        <w:r>
          <w:tab/>
          <w:t>The Commissioner must decide an application on the information available to the Commissioner.</w:t>
        </w:r>
      </w:ins>
    </w:p>
    <w:p>
      <w:pPr>
        <w:pStyle w:val="Subsection"/>
        <w:rPr>
          <w:ins w:id="173" w:author="Master Repository Process" w:date="2025-06-25T10:45:00Z"/>
        </w:rPr>
      </w:pPr>
      <w:ins w:id="174" w:author="Master Repository Process" w:date="2025-06-25T10:45:00Z">
        <w:r>
          <w:tab/>
          <w:t>(2)</w:t>
        </w:r>
        <w:r>
          <w:tab/>
          <w:t>Subsection (1) does not limit another provision of this Act that provides for matters the Commissioner must consider or be satisfied of in deciding the application.</w:t>
        </w:r>
      </w:ins>
    </w:p>
    <w:p>
      <w:pPr>
        <w:pStyle w:val="Subsection"/>
        <w:rPr>
          <w:ins w:id="175" w:author="Master Repository Process" w:date="2025-06-25T10:45:00Z"/>
        </w:rPr>
      </w:pPr>
      <w:ins w:id="176" w:author="Master Repository Process" w:date="2025-06-25T10:45:00Z">
        <w:r>
          <w:tab/>
          <w:t>(3)</w:t>
        </w:r>
        <w:r>
          <w:tab/>
          <w:t xml:space="preserve">The Commissioner cannot decide the application before the later of the following days — </w:t>
        </w:r>
      </w:ins>
    </w:p>
    <w:p>
      <w:pPr>
        <w:pStyle w:val="Indenta"/>
        <w:rPr>
          <w:ins w:id="177" w:author="Master Repository Process" w:date="2025-06-25T10:45:00Z"/>
        </w:rPr>
      </w:pPr>
      <w:ins w:id="178" w:author="Master Repository Process" w:date="2025-06-25T10:45:00Z">
        <w:r>
          <w:tab/>
          <w:t>(a)</w:t>
        </w:r>
        <w:r>
          <w:tab/>
          <w:t>the day stated in a notice given to any party to the application under section 11F or 81Q as the day by which a submission must be given to the Commissioner to be considered in deciding the application;</w:t>
        </w:r>
      </w:ins>
    </w:p>
    <w:p>
      <w:pPr>
        <w:pStyle w:val="Indenta"/>
        <w:rPr>
          <w:ins w:id="179" w:author="Master Repository Process" w:date="2025-06-25T10:45:00Z"/>
        </w:rPr>
      </w:pPr>
      <w:ins w:id="180" w:author="Master Repository Process" w:date="2025-06-25T10:45:00Z">
        <w:r>
          <w:tab/>
          <w:t>(b)</w:t>
        </w:r>
        <w:r>
          <w:tab/>
          <w:t>the day stated in a notice given to any party to the application under section 11G as the day by which the requirement under the notice must be complied with.</w:t>
        </w:r>
      </w:ins>
    </w:p>
    <w:p>
      <w:pPr>
        <w:pStyle w:val="Subsection"/>
        <w:rPr>
          <w:ins w:id="181" w:author="Master Repository Process" w:date="2025-06-25T10:45:00Z"/>
        </w:rPr>
      </w:pPr>
      <w:ins w:id="182" w:author="Master Repository Process" w:date="2025-06-25T10:45:00Z">
        <w:r>
          <w:tab/>
          <w:t>(4)</w:t>
        </w:r>
        <w:r>
          <w:tab/>
          <w:t>The powers of the Commissioner under section 11B do not apply for the purposes of deciding the application.</w:t>
        </w:r>
      </w:ins>
    </w:p>
    <w:p>
      <w:pPr>
        <w:pStyle w:val="Subsection"/>
        <w:rPr>
          <w:ins w:id="183" w:author="Master Repository Process" w:date="2025-06-25T10:45:00Z"/>
        </w:rPr>
      </w:pPr>
      <w:ins w:id="184" w:author="Master Repository Process" w:date="2025-06-25T10:45:00Z">
        <w:r>
          <w:tab/>
          <w:t>(5)</w:t>
        </w:r>
        <w:r>
          <w:tab/>
          <w:t>This section does not apply if the Commissioner declines to decide the application under section 11L.</w:t>
        </w:r>
      </w:ins>
    </w:p>
    <w:p>
      <w:pPr>
        <w:pStyle w:val="Footnotesection"/>
        <w:rPr>
          <w:ins w:id="185" w:author="Master Repository Process" w:date="2025-06-25T10:45:00Z"/>
        </w:rPr>
      </w:pPr>
      <w:ins w:id="186" w:author="Master Repository Process" w:date="2025-06-25T10:45:00Z">
        <w:r>
          <w:tab/>
          <w:t>[Section 11I inserted: No. 11 of 2024 s. 11.]</w:t>
        </w:r>
      </w:ins>
    </w:p>
    <w:p>
      <w:pPr>
        <w:pStyle w:val="Heading5"/>
        <w:rPr>
          <w:ins w:id="187" w:author="Master Repository Process" w:date="2025-06-25T10:45:00Z"/>
        </w:rPr>
      </w:pPr>
      <w:bookmarkStart w:id="188" w:name="_Toc164778258"/>
      <w:bookmarkStart w:id="189" w:name="_Toc171694250"/>
      <w:ins w:id="190" w:author="Master Repository Process" w:date="2025-06-25T10:45:00Z">
        <w:r>
          <w:rPr>
            <w:rStyle w:val="CharSectno"/>
          </w:rPr>
          <w:t>11J</w:t>
        </w:r>
        <w:r>
          <w:t>.</w:t>
        </w:r>
        <w:r>
          <w:tab/>
          <w:t>Notice of Commissioner’s decision</w:t>
        </w:r>
        <w:bookmarkEnd w:id="188"/>
        <w:bookmarkEnd w:id="189"/>
      </w:ins>
    </w:p>
    <w:p>
      <w:pPr>
        <w:pStyle w:val="Subsection"/>
        <w:rPr>
          <w:ins w:id="191" w:author="Master Repository Process" w:date="2025-06-25T10:45:00Z"/>
        </w:rPr>
      </w:pPr>
      <w:ins w:id="192" w:author="Master Repository Process" w:date="2025-06-25T10:45:00Z">
        <w:r>
          <w:tab/>
          <w:t>(1)</w:t>
        </w:r>
        <w:r>
          <w:tab/>
          <w:t>The Commissioner must give notice of the Commissioner’s decision on an application to each party to the application.</w:t>
        </w:r>
      </w:ins>
    </w:p>
    <w:p>
      <w:pPr>
        <w:pStyle w:val="Subsection"/>
        <w:rPr>
          <w:ins w:id="193" w:author="Master Repository Process" w:date="2025-06-25T10:45:00Z"/>
        </w:rPr>
      </w:pPr>
      <w:ins w:id="194" w:author="Master Repository Process" w:date="2025-06-25T10:45:00Z">
        <w:r>
          <w:tab/>
          <w:t>(2)</w:t>
        </w:r>
        <w:r>
          <w:tab/>
          <w:t xml:space="preserve">The notice must state — </w:t>
        </w:r>
      </w:ins>
    </w:p>
    <w:p>
      <w:pPr>
        <w:pStyle w:val="Indenta"/>
        <w:rPr>
          <w:ins w:id="195" w:author="Master Repository Process" w:date="2025-06-25T10:45:00Z"/>
        </w:rPr>
      </w:pPr>
      <w:ins w:id="196" w:author="Master Repository Process" w:date="2025-06-25T10:45:00Z">
        <w:r>
          <w:tab/>
          <w:t>(a)</w:t>
        </w:r>
        <w:r>
          <w:tab/>
          <w:t xml:space="preserve">the decision; and </w:t>
        </w:r>
      </w:ins>
    </w:p>
    <w:p>
      <w:pPr>
        <w:pStyle w:val="Indenta"/>
        <w:rPr>
          <w:ins w:id="197" w:author="Master Repository Process" w:date="2025-06-25T10:45:00Z"/>
        </w:rPr>
      </w:pPr>
      <w:ins w:id="198" w:author="Master Repository Process" w:date="2025-06-25T10:45:00Z">
        <w:r>
          <w:tab/>
          <w:t>(b)</w:t>
        </w:r>
        <w:r>
          <w:tab/>
          <w:t>the Commissioner’s reasons for the decision; and</w:t>
        </w:r>
      </w:ins>
    </w:p>
    <w:p>
      <w:pPr>
        <w:pStyle w:val="Indenta"/>
        <w:rPr>
          <w:ins w:id="199" w:author="Master Repository Process" w:date="2025-06-25T10:45:00Z"/>
        </w:rPr>
      </w:pPr>
      <w:ins w:id="200" w:author="Master Repository Process" w:date="2025-06-25T10:45:00Z">
        <w:r>
          <w:tab/>
          <w:t>(c)</w:t>
        </w:r>
        <w:r>
          <w:tab/>
          <w:t>that, if the party is dissatisfied with the decision, the party may appeal the decision to the Magistrates Court within 7 days after the day on which the notice is given and how the party may start an appeal.</w:t>
        </w:r>
      </w:ins>
    </w:p>
    <w:p>
      <w:pPr>
        <w:pStyle w:val="Subsection"/>
        <w:rPr>
          <w:ins w:id="201" w:author="Master Repository Process" w:date="2025-06-25T10:45:00Z"/>
        </w:rPr>
      </w:pPr>
      <w:ins w:id="202" w:author="Master Repository Process" w:date="2025-06-25T10:45:00Z">
        <w:r>
          <w:tab/>
          <w:t>(3)</w:t>
        </w:r>
        <w:r>
          <w:tab/>
          <w:t>If the application is a security bond release application, the Commissioner must give a copy of the notice to the bond administrator.</w:t>
        </w:r>
      </w:ins>
    </w:p>
    <w:p>
      <w:pPr>
        <w:pStyle w:val="Footnotesection"/>
        <w:rPr>
          <w:ins w:id="203" w:author="Master Repository Process" w:date="2025-06-25T10:45:00Z"/>
        </w:rPr>
      </w:pPr>
      <w:ins w:id="204" w:author="Master Repository Process" w:date="2025-06-25T10:45:00Z">
        <w:r>
          <w:tab/>
          <w:t>[Section 11J inserted: No. 11 of 2024 s. 11.]</w:t>
        </w:r>
      </w:ins>
    </w:p>
    <w:p>
      <w:pPr>
        <w:pStyle w:val="Heading5"/>
        <w:rPr>
          <w:ins w:id="205" w:author="Master Repository Process" w:date="2025-06-25T10:45:00Z"/>
        </w:rPr>
      </w:pPr>
      <w:bookmarkStart w:id="206" w:name="_Toc164778259"/>
      <w:bookmarkStart w:id="207" w:name="_Toc171694251"/>
      <w:ins w:id="208" w:author="Master Repository Process" w:date="2025-06-25T10:45:00Z">
        <w:r>
          <w:rPr>
            <w:rStyle w:val="CharSectno"/>
          </w:rPr>
          <w:t>11K</w:t>
        </w:r>
        <w:r>
          <w:t>.</w:t>
        </w:r>
        <w:r>
          <w:tab/>
          <w:t>Commissioner may publish decision and reasons</w:t>
        </w:r>
        <w:bookmarkEnd w:id="206"/>
        <w:bookmarkEnd w:id="207"/>
      </w:ins>
    </w:p>
    <w:p>
      <w:pPr>
        <w:pStyle w:val="Subsection"/>
        <w:rPr>
          <w:ins w:id="209" w:author="Master Repository Process" w:date="2025-06-25T10:45:00Z"/>
        </w:rPr>
      </w:pPr>
      <w:ins w:id="210" w:author="Master Repository Process" w:date="2025-06-25T10:45:00Z">
        <w:r>
          <w:tab/>
          <w:t>(1)</w:t>
        </w:r>
        <w:r>
          <w:tab/>
          <w:t xml:space="preserve">The Commissioner may publish — </w:t>
        </w:r>
      </w:ins>
    </w:p>
    <w:p>
      <w:pPr>
        <w:pStyle w:val="Indenta"/>
        <w:rPr>
          <w:ins w:id="211" w:author="Master Repository Process" w:date="2025-06-25T10:45:00Z"/>
        </w:rPr>
      </w:pPr>
      <w:ins w:id="212" w:author="Master Repository Process" w:date="2025-06-25T10:45:00Z">
        <w:r>
          <w:tab/>
          <w:t>(a)</w:t>
        </w:r>
        <w:r>
          <w:tab/>
          <w:t>the Commissioner’s decision on an application; and</w:t>
        </w:r>
      </w:ins>
    </w:p>
    <w:p>
      <w:pPr>
        <w:pStyle w:val="Indenta"/>
        <w:rPr>
          <w:ins w:id="213" w:author="Master Repository Process" w:date="2025-06-25T10:45:00Z"/>
        </w:rPr>
      </w:pPr>
      <w:ins w:id="214" w:author="Master Repository Process" w:date="2025-06-25T10:45:00Z">
        <w:r>
          <w:tab/>
          <w:t>(b)</w:t>
        </w:r>
        <w:r>
          <w:tab/>
          <w:t>the Commissioner’s reasons for the decision.</w:t>
        </w:r>
      </w:ins>
    </w:p>
    <w:p>
      <w:pPr>
        <w:pStyle w:val="Subsection"/>
        <w:rPr>
          <w:ins w:id="215" w:author="Master Repository Process" w:date="2025-06-25T10:45:00Z"/>
        </w:rPr>
      </w:pPr>
      <w:ins w:id="216" w:author="Master Repository Process" w:date="2025-06-25T10:45:00Z">
        <w:r>
          <w:tab/>
          <w:t>(2)</w:t>
        </w:r>
        <w:r>
          <w:tab/>
          <w:t xml:space="preserve">However, a decision or reasons published under subsection (1) must not include information that could identify or lead to the identification of — </w:t>
        </w:r>
      </w:ins>
    </w:p>
    <w:p>
      <w:pPr>
        <w:pStyle w:val="Indenta"/>
        <w:rPr>
          <w:ins w:id="217" w:author="Master Repository Process" w:date="2025-06-25T10:45:00Z"/>
        </w:rPr>
      </w:pPr>
      <w:ins w:id="218" w:author="Master Repository Process" w:date="2025-06-25T10:45:00Z">
        <w:r>
          <w:tab/>
          <w:t>(a)</w:t>
        </w:r>
        <w:r>
          <w:tab/>
          <w:t>a party to the application; or</w:t>
        </w:r>
      </w:ins>
    </w:p>
    <w:p>
      <w:pPr>
        <w:pStyle w:val="Indenta"/>
        <w:rPr>
          <w:ins w:id="219" w:author="Master Repository Process" w:date="2025-06-25T10:45:00Z"/>
        </w:rPr>
      </w:pPr>
      <w:ins w:id="220" w:author="Master Repository Process" w:date="2025-06-25T10:45:00Z">
        <w:r>
          <w:tab/>
          <w:t>(b)</w:t>
        </w:r>
        <w:r>
          <w:tab/>
          <w:t>another individual; or</w:t>
        </w:r>
      </w:ins>
    </w:p>
    <w:p>
      <w:pPr>
        <w:pStyle w:val="Indenta"/>
        <w:rPr>
          <w:ins w:id="221" w:author="Master Repository Process" w:date="2025-06-25T10:45:00Z"/>
        </w:rPr>
      </w:pPr>
      <w:ins w:id="222" w:author="Master Repository Process" w:date="2025-06-25T10:45:00Z">
        <w:r>
          <w:tab/>
          <w:t>(c)</w:t>
        </w:r>
        <w:r>
          <w:tab/>
          <w:t>the residential premises the subject of the application.</w:t>
        </w:r>
      </w:ins>
    </w:p>
    <w:p>
      <w:pPr>
        <w:pStyle w:val="Footnotesection"/>
        <w:rPr>
          <w:ins w:id="223" w:author="Master Repository Process" w:date="2025-06-25T10:45:00Z"/>
        </w:rPr>
      </w:pPr>
      <w:ins w:id="224" w:author="Master Repository Process" w:date="2025-06-25T10:45:00Z">
        <w:r>
          <w:tab/>
          <w:t>[Section 11K inserted: No. 11 of 2024 s. 11.]</w:t>
        </w:r>
      </w:ins>
    </w:p>
    <w:p>
      <w:pPr>
        <w:pStyle w:val="Heading5"/>
        <w:rPr>
          <w:ins w:id="225" w:author="Master Repository Process" w:date="2025-06-25T10:45:00Z"/>
        </w:rPr>
      </w:pPr>
      <w:bookmarkStart w:id="226" w:name="_Toc164778260"/>
      <w:bookmarkStart w:id="227" w:name="_Toc171694252"/>
      <w:ins w:id="228" w:author="Master Repository Process" w:date="2025-06-25T10:45:00Z">
        <w:r>
          <w:rPr>
            <w:rStyle w:val="CharSectno"/>
          </w:rPr>
          <w:t>11L</w:t>
        </w:r>
        <w:r>
          <w:t>.</w:t>
        </w:r>
        <w:r>
          <w:tab/>
          <w:t>Commissioner may decline to decide application and refer parties to Magistrates Court</w:t>
        </w:r>
        <w:bookmarkEnd w:id="226"/>
        <w:bookmarkEnd w:id="227"/>
      </w:ins>
    </w:p>
    <w:p>
      <w:pPr>
        <w:pStyle w:val="Subsection"/>
        <w:rPr>
          <w:ins w:id="229" w:author="Master Repository Process" w:date="2025-06-25T10:45:00Z"/>
        </w:rPr>
      </w:pPr>
      <w:ins w:id="230" w:author="Master Repository Process" w:date="2025-06-25T10:45:00Z">
        <w:r>
          <w:tab/>
          <w:t>(1)</w:t>
        </w:r>
        <w:r>
          <w:tab/>
          <w:t xml:space="preserve">The Commissioner may decline to decide an application if the Commissioner — </w:t>
        </w:r>
      </w:ins>
    </w:p>
    <w:p>
      <w:pPr>
        <w:pStyle w:val="Indenta"/>
        <w:rPr>
          <w:ins w:id="231" w:author="Master Repository Process" w:date="2025-06-25T10:45:00Z"/>
        </w:rPr>
      </w:pPr>
      <w:ins w:id="232" w:author="Master Repository Process" w:date="2025-06-25T10:45:00Z">
        <w:r>
          <w:tab/>
          <w:t>(a)</w:t>
        </w:r>
        <w:r>
          <w:tab/>
          <w:t xml:space="preserve">considers the application cannot be decided on the information available to the Commissioner; or </w:t>
        </w:r>
      </w:ins>
    </w:p>
    <w:p>
      <w:pPr>
        <w:pStyle w:val="Indenta"/>
        <w:rPr>
          <w:ins w:id="233" w:author="Master Repository Process" w:date="2025-06-25T10:45:00Z"/>
        </w:rPr>
      </w:pPr>
      <w:ins w:id="234" w:author="Master Repository Process" w:date="2025-06-25T10:45:00Z">
        <w:r>
          <w:tab/>
          <w:t>(b)</w:t>
        </w:r>
        <w:r>
          <w:tab/>
          <w:t>is aware that another dispute relating to the residential tenancy agreement is before the Magistrates Court; or</w:t>
        </w:r>
      </w:ins>
    </w:p>
    <w:p>
      <w:pPr>
        <w:pStyle w:val="Indenta"/>
        <w:rPr>
          <w:ins w:id="235" w:author="Master Repository Process" w:date="2025-06-25T10:45:00Z"/>
        </w:rPr>
      </w:pPr>
      <w:ins w:id="236" w:author="Master Repository Process" w:date="2025-06-25T10:45:00Z">
        <w:r>
          <w:tab/>
          <w:t>(c)</w:t>
        </w:r>
        <w:r>
          <w:tab/>
          <w:t xml:space="preserve">for a security bond release application — </w:t>
        </w:r>
      </w:ins>
    </w:p>
    <w:p>
      <w:pPr>
        <w:pStyle w:val="Indenti"/>
        <w:rPr>
          <w:ins w:id="237" w:author="Master Repository Process" w:date="2025-06-25T10:45:00Z"/>
        </w:rPr>
      </w:pPr>
      <w:ins w:id="238" w:author="Master Repository Process" w:date="2025-06-25T10:45:00Z">
        <w:r>
          <w:tab/>
          <w:t>(i)</w:t>
        </w:r>
        <w:r>
          <w:tab/>
          <w:t>does not have current contact details for 1 or more of the parties to the application; or</w:t>
        </w:r>
      </w:ins>
    </w:p>
    <w:p>
      <w:pPr>
        <w:pStyle w:val="Indenti"/>
        <w:rPr>
          <w:ins w:id="239" w:author="Master Repository Process" w:date="2025-06-25T10:45:00Z"/>
        </w:rPr>
      </w:pPr>
      <w:ins w:id="240" w:author="Master Repository Process" w:date="2025-06-25T10:45:00Z">
        <w:r>
          <w:tab/>
          <w:t>(ii)</w:t>
        </w:r>
        <w:r>
          <w:tab/>
          <w:t>considers the amount in dispute is more than the amount of the security bond;</w:t>
        </w:r>
      </w:ins>
    </w:p>
    <w:p>
      <w:pPr>
        <w:pStyle w:val="Indenta"/>
        <w:rPr>
          <w:ins w:id="241" w:author="Master Repository Process" w:date="2025-06-25T10:45:00Z"/>
        </w:rPr>
      </w:pPr>
      <w:ins w:id="242" w:author="Master Repository Process" w:date="2025-06-25T10:45:00Z">
        <w:r>
          <w:tab/>
        </w:r>
        <w:r>
          <w:tab/>
          <w:t>or</w:t>
        </w:r>
      </w:ins>
    </w:p>
    <w:p>
      <w:pPr>
        <w:pStyle w:val="Indenta"/>
        <w:rPr>
          <w:ins w:id="243" w:author="Master Repository Process" w:date="2025-06-25T10:45:00Z"/>
        </w:rPr>
      </w:pPr>
      <w:ins w:id="244" w:author="Master Repository Process" w:date="2025-06-25T10:45:00Z">
        <w:r>
          <w:tab/>
          <w:t>(d)</w:t>
        </w:r>
        <w:r>
          <w:tab/>
          <w:t>otherwise considers it is appropriate in all of the circumstances to refer the application to the Magistrates Court.</w:t>
        </w:r>
      </w:ins>
    </w:p>
    <w:p>
      <w:pPr>
        <w:pStyle w:val="Subsection"/>
        <w:rPr>
          <w:ins w:id="245" w:author="Master Repository Process" w:date="2025-06-25T10:45:00Z"/>
        </w:rPr>
      </w:pPr>
      <w:ins w:id="246" w:author="Master Repository Process" w:date="2025-06-25T10:45:00Z">
        <w:r>
          <w:tab/>
          <w:t>(2)</w:t>
        </w:r>
        <w:r>
          <w:tab/>
          <w:t xml:space="preserve">If the Commissioner declines to decide an application, the Commissioner must give each party to the application a notice that states — </w:t>
        </w:r>
      </w:ins>
    </w:p>
    <w:p>
      <w:pPr>
        <w:pStyle w:val="Indenta"/>
        <w:rPr>
          <w:ins w:id="247" w:author="Master Repository Process" w:date="2025-06-25T10:45:00Z"/>
        </w:rPr>
      </w:pPr>
      <w:ins w:id="248" w:author="Master Repository Process" w:date="2025-06-25T10:45:00Z">
        <w:r>
          <w:tab/>
          <w:t>(a)</w:t>
        </w:r>
        <w:r>
          <w:tab/>
          <w:t>the Commissioner declines to decide the application; and</w:t>
        </w:r>
      </w:ins>
    </w:p>
    <w:p>
      <w:pPr>
        <w:pStyle w:val="Indenta"/>
        <w:rPr>
          <w:ins w:id="249" w:author="Master Repository Process" w:date="2025-06-25T10:45:00Z"/>
        </w:rPr>
      </w:pPr>
      <w:ins w:id="250" w:author="Master Repository Process" w:date="2025-06-25T10:45:00Z">
        <w:r>
          <w:tab/>
          <w:t>(b)</w:t>
        </w:r>
        <w:r>
          <w:tab/>
          <w:t>the Commissioner’s reasons for declining; and</w:t>
        </w:r>
      </w:ins>
    </w:p>
    <w:p>
      <w:pPr>
        <w:pStyle w:val="Indenta"/>
        <w:rPr>
          <w:ins w:id="251" w:author="Master Repository Process" w:date="2025-06-25T10:45:00Z"/>
        </w:rPr>
      </w:pPr>
      <w:ins w:id="252" w:author="Master Repository Process" w:date="2025-06-25T10:45:00Z">
        <w:r>
          <w:tab/>
          <w:t>(c)</w:t>
        </w:r>
        <w:r>
          <w:tab/>
          <w:t>that the party may apply to the Magistrates Court under section 15(1A) for relief in relation to the matter the subject of the application.</w:t>
        </w:r>
      </w:ins>
    </w:p>
    <w:p>
      <w:pPr>
        <w:pStyle w:val="PermNoteHeading"/>
        <w:rPr>
          <w:ins w:id="253" w:author="Master Repository Process" w:date="2025-06-25T10:45:00Z"/>
        </w:rPr>
      </w:pPr>
      <w:ins w:id="254" w:author="Master Repository Process" w:date="2025-06-25T10:45:00Z">
        <w:r>
          <w:tab/>
          <w:t>Note for this section:</w:t>
        </w:r>
      </w:ins>
    </w:p>
    <w:p>
      <w:pPr>
        <w:pStyle w:val="PermNoteText"/>
        <w:rPr>
          <w:ins w:id="255" w:author="Master Repository Process" w:date="2025-06-25T10:45:00Z"/>
        </w:rPr>
      </w:pPr>
      <w:ins w:id="256" w:author="Master Repository Process" w:date="2025-06-25T10:45:00Z">
        <w:r>
          <w:tab/>
        </w:r>
        <w:r>
          <w:tab/>
          <w:t>See section 12A in relation to the jurisdiction of the Magistrates Court to hear and determine the application.</w:t>
        </w:r>
      </w:ins>
    </w:p>
    <w:p>
      <w:pPr>
        <w:pStyle w:val="Footnotesection"/>
        <w:rPr>
          <w:ins w:id="257" w:author="Master Repository Process" w:date="2025-06-25T10:45:00Z"/>
        </w:rPr>
      </w:pPr>
      <w:ins w:id="258" w:author="Master Repository Process" w:date="2025-06-25T10:45:00Z">
        <w:r>
          <w:tab/>
          <w:t>[Section 11L inserted: No. 11 of 2024 s. 11.]</w:t>
        </w:r>
      </w:ins>
    </w:p>
    <w:p>
      <w:pPr>
        <w:pStyle w:val="Heading3"/>
        <w:rPr>
          <w:ins w:id="259" w:author="Master Repository Process" w:date="2025-06-25T10:45:00Z"/>
          <w:sz w:val="24"/>
        </w:rPr>
      </w:pPr>
      <w:bookmarkStart w:id="260" w:name="_Toc171694253"/>
      <w:ins w:id="261" w:author="Master Repository Process" w:date="2025-06-25T10:45:00Z">
        <w:r>
          <w:rPr>
            <w:rStyle w:val="CharDivNo"/>
            <w:bCs/>
          </w:rPr>
          <w:t>Division 2</w:t>
        </w:r>
        <w:r>
          <w:t> — </w:t>
        </w:r>
        <w:r>
          <w:rPr>
            <w:rStyle w:val="CharDivText"/>
            <w:bCs/>
          </w:rPr>
          <w:t>Disputes determined by the Magistrates Court</w:t>
        </w:r>
        <w:bookmarkEnd w:id="260"/>
      </w:ins>
    </w:p>
    <w:p>
      <w:pPr>
        <w:pStyle w:val="Footnoteheading"/>
        <w:rPr>
          <w:ins w:id="262" w:author="Master Repository Process" w:date="2025-06-25T10:45:00Z"/>
        </w:rPr>
      </w:pPr>
      <w:ins w:id="263" w:author="Master Repository Process" w:date="2025-06-25T10:45:00Z">
        <w:r>
          <w:tab/>
          <w:t>[Heading inserted: No. 11 of 2024 s. 12.]</w:t>
        </w:r>
      </w:ins>
    </w:p>
    <w:p>
      <w:pPr>
        <w:pStyle w:val="Heading5"/>
      </w:pPr>
      <w:bookmarkStart w:id="264" w:name="_Toc171694254"/>
      <w:bookmarkStart w:id="265" w:name="_Toc171339040"/>
      <w:r>
        <w:rPr>
          <w:rStyle w:val="CharSectno"/>
        </w:rPr>
        <w:t>12</w:t>
      </w:r>
      <w:r>
        <w:t>.</w:t>
      </w:r>
      <w:r>
        <w:tab/>
        <w:t>Terms used</w:t>
      </w:r>
      <w:bookmarkEnd w:id="264"/>
      <w:bookmarkEnd w:id="265"/>
    </w:p>
    <w:p>
      <w:pPr>
        <w:pStyle w:val="Subsection"/>
        <w:spacing w:before="120"/>
      </w:pPr>
      <w:r>
        <w:tab/>
      </w:r>
      <w:r>
        <w:tab/>
        <w:t xml:space="preserve">In this </w:t>
      </w:r>
      <w:del w:id="266" w:author="Master Repository Process" w:date="2025-06-25T10:45:00Z">
        <w:r>
          <w:delText xml:space="preserve">Part </w:delText>
        </w:r>
      </w:del>
      <w:ins w:id="267" w:author="Master Repository Process" w:date="2025-06-25T10:45:00Z">
        <w:r>
          <w:t>Division </w:t>
        </w:r>
      </w:ins>
      <w:r>
        <w:t xml:space="preserve">—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[Section 12 inserted: No. 59 of 2004 s. </w:t>
      </w:r>
      <w:del w:id="268" w:author="Master Repository Process" w:date="2025-06-25T10:45:00Z">
        <w:r>
          <w:delText>119.]</w:delText>
        </w:r>
      </w:del>
      <w:ins w:id="269" w:author="Master Repository Process" w:date="2025-06-25T10:45:00Z">
        <w:r>
          <w:t>119; amended: No. 11 of 2024 s. 13(1).]</w:t>
        </w:r>
      </w:ins>
      <w:r>
        <w:t xml:space="preserve"> </w:t>
      </w:r>
    </w:p>
    <w:p>
      <w:pPr>
        <w:pStyle w:val="Heading5"/>
      </w:pPr>
      <w:bookmarkStart w:id="270" w:name="_Toc171694255"/>
      <w:bookmarkStart w:id="271" w:name="_Toc171339041"/>
      <w:r>
        <w:rPr>
          <w:rStyle w:val="CharSectno"/>
        </w:rPr>
        <w:t>12A</w:t>
      </w:r>
      <w:r>
        <w:t>.</w:t>
      </w:r>
      <w:r>
        <w:tab/>
      </w:r>
      <w:r>
        <w:rPr>
          <w:snapToGrid w:val="0"/>
        </w:rPr>
        <w:t>Jurisdiction</w:t>
      </w:r>
      <w:r>
        <w:t xml:space="preserve"> over </w:t>
      </w:r>
      <w:r>
        <w:rPr>
          <w:snapToGrid w:val="0"/>
        </w:rPr>
        <w:t>prescribed</w:t>
      </w:r>
      <w:r>
        <w:t xml:space="preserve"> disputes</w:t>
      </w:r>
      <w:bookmarkEnd w:id="270"/>
      <w:bookmarkEnd w:id="271"/>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272" w:name="_Toc171694256"/>
      <w:bookmarkStart w:id="273" w:name="_Toc171339042"/>
      <w:r>
        <w:rPr>
          <w:rStyle w:val="CharSectno"/>
        </w:rPr>
        <w:t>13</w:t>
      </w:r>
      <w:r>
        <w:t>.</w:t>
      </w:r>
      <w:r>
        <w:tab/>
        <w:t>Jurisdiction over other disputes</w:t>
      </w:r>
      <w:bookmarkEnd w:id="272"/>
      <w:bookmarkEnd w:id="273"/>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274" w:name="_Toc171694257"/>
      <w:bookmarkStart w:id="275" w:name="_Toc171339043"/>
      <w:r>
        <w:rPr>
          <w:rStyle w:val="CharSectno"/>
        </w:rPr>
        <w:t>13A</w:t>
      </w:r>
      <w:r>
        <w:t>.</w:t>
      </w:r>
      <w:r>
        <w:tab/>
      </w:r>
      <w:r>
        <w:rPr>
          <w:snapToGrid w:val="0"/>
        </w:rPr>
        <w:t>Magistrates</w:t>
      </w:r>
      <w:r>
        <w:t xml:space="preserve"> Court’s jurisdiction</w:t>
      </w:r>
      <w:bookmarkEnd w:id="274"/>
      <w:bookmarkEnd w:id="275"/>
      <w:r>
        <w:t xml:space="preserve"> </w:t>
      </w:r>
    </w:p>
    <w:p>
      <w:pPr>
        <w:pStyle w:val="Subsection"/>
      </w:pPr>
      <w:r>
        <w:tab/>
        <w:t>(1)</w:t>
      </w:r>
      <w:r>
        <w:tab/>
        <w:t>For the purpose of exercising the jurisdiction conferred by section 12A and 13, the Magistrates Court is to be constituted by a magistrate.</w:t>
      </w:r>
    </w:p>
    <w:p>
      <w:pPr>
        <w:pStyle w:val="Subsection"/>
        <w:keepNext/>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w:t>
      </w:r>
    </w:p>
    <w:p>
      <w:pPr>
        <w:pStyle w:val="Subsection"/>
      </w:pPr>
      <w:r>
        <w:tab/>
        <w:t>(4)</w:t>
      </w:r>
      <w:r>
        <w:tab/>
        <w:t xml:space="preserve">Subsection (3) does not prevent the Magistrates Court from making an order under the </w:t>
      </w:r>
      <w:r>
        <w:rPr>
          <w:i/>
          <w:iCs/>
        </w:rPr>
        <w:t>Magistrates Court (Civil Proceedings) Act 2004</w:t>
      </w:r>
      <w:r>
        <w:t xml:space="preserve"> section 22 that proceedings under this Act are to be conducted at another place in the State.</w:t>
      </w:r>
    </w:p>
    <w:p>
      <w:pPr>
        <w:pStyle w:val="Footnotesection"/>
      </w:pPr>
      <w:r>
        <w:tab/>
        <w:t xml:space="preserve">[Section 13A inserted: No. 59 of 2004 s. 119; amended: No. 60 of 2011 s. 12.] </w:t>
      </w:r>
    </w:p>
    <w:p>
      <w:pPr>
        <w:pStyle w:val="Heading5"/>
      </w:pPr>
      <w:bookmarkStart w:id="276" w:name="_Toc171694258"/>
      <w:bookmarkStart w:id="277" w:name="_Toc171339044"/>
      <w:r>
        <w:rPr>
          <w:rStyle w:val="CharSectno"/>
        </w:rPr>
        <w:t>13B</w:t>
      </w:r>
      <w:r>
        <w:t>.</w:t>
      </w:r>
      <w:r>
        <w:tab/>
        <w:t>Appeals from decisions of registrar</w:t>
      </w:r>
      <w:bookmarkEnd w:id="276"/>
      <w:bookmarkEnd w:id="277"/>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No. 69 of 2006 s. 29.]</w:t>
      </w:r>
    </w:p>
    <w:p>
      <w:pPr>
        <w:pStyle w:val="Heading5"/>
        <w:rPr>
          <w:ins w:id="278" w:author="Master Repository Process" w:date="2025-06-25T10:45:00Z"/>
        </w:rPr>
      </w:pPr>
      <w:bookmarkStart w:id="279" w:name="_Toc164778265"/>
      <w:bookmarkStart w:id="280" w:name="_Toc171694259"/>
      <w:ins w:id="281" w:author="Master Repository Process" w:date="2025-06-25T10:45:00Z">
        <w:r>
          <w:rPr>
            <w:rStyle w:val="CharSectno"/>
          </w:rPr>
          <w:t>13C</w:t>
        </w:r>
        <w:r>
          <w:t>.</w:t>
        </w:r>
        <w:r>
          <w:tab/>
          <w:t>Appeals from decisions of Commissioner</w:t>
        </w:r>
        <w:bookmarkEnd w:id="279"/>
        <w:bookmarkEnd w:id="280"/>
      </w:ins>
    </w:p>
    <w:p>
      <w:pPr>
        <w:pStyle w:val="Subsection"/>
        <w:rPr>
          <w:ins w:id="282" w:author="Master Repository Process" w:date="2025-06-25T10:45:00Z"/>
        </w:rPr>
      </w:pPr>
      <w:ins w:id="283" w:author="Master Repository Process" w:date="2025-06-25T10:45:00Z">
        <w:r>
          <w:tab/>
          <w:t>(1)</w:t>
        </w:r>
        <w:r>
          <w:tab/>
          <w:t>A person who is dissatisfied with the Commissioner’s decision on an application under section 11I may appeal the decision to the Magistrates Court.</w:t>
        </w:r>
      </w:ins>
    </w:p>
    <w:p>
      <w:pPr>
        <w:pStyle w:val="Subsection"/>
        <w:rPr>
          <w:ins w:id="284" w:author="Master Repository Process" w:date="2025-06-25T10:45:00Z"/>
        </w:rPr>
      </w:pPr>
      <w:ins w:id="285" w:author="Master Repository Process" w:date="2025-06-25T10:45:00Z">
        <w:r>
          <w:tab/>
          <w:t>(2)</w:t>
        </w:r>
        <w:r>
          <w:tab/>
          <w:t>A person may appeal against a decision of the Commissioner on a security bond release application even if the security bond the subject of the application has been paid to 1 or more of the parties to the application under Part 5A Division 2.</w:t>
        </w:r>
      </w:ins>
    </w:p>
    <w:p>
      <w:pPr>
        <w:pStyle w:val="Subsection"/>
        <w:rPr>
          <w:ins w:id="286" w:author="Master Repository Process" w:date="2025-06-25T10:45:00Z"/>
        </w:rPr>
      </w:pPr>
      <w:ins w:id="287" w:author="Master Repository Process" w:date="2025-06-25T10:45:00Z">
        <w:r>
          <w:tab/>
          <w:t>(3)</w:t>
        </w:r>
        <w:r>
          <w:tab/>
          <w:t>The appeal must be started within 7 days after the day on which notice of the Commissioner’s decision was given to the parties to the application.</w:t>
        </w:r>
      </w:ins>
    </w:p>
    <w:p>
      <w:pPr>
        <w:pStyle w:val="Subsection"/>
        <w:rPr>
          <w:ins w:id="288" w:author="Master Repository Process" w:date="2025-06-25T10:45:00Z"/>
        </w:rPr>
      </w:pPr>
      <w:ins w:id="289" w:author="Master Repository Process" w:date="2025-06-25T10:45:00Z">
        <w:r>
          <w:tab/>
          <w:t>(4)</w:t>
        </w:r>
        <w:r>
          <w:tab/>
          <w:t>A magistrate may extend the period mentioned in subsection (3) and may do so even if the time has elapsed.</w:t>
        </w:r>
      </w:ins>
    </w:p>
    <w:p>
      <w:pPr>
        <w:pStyle w:val="Subsection"/>
        <w:rPr>
          <w:ins w:id="290" w:author="Master Repository Process" w:date="2025-06-25T10:45:00Z"/>
        </w:rPr>
      </w:pPr>
      <w:ins w:id="291" w:author="Master Repository Process" w:date="2025-06-25T10:45:00Z">
        <w:r>
          <w:tab/>
          <w:t>(5)</w:t>
        </w:r>
        <w:r>
          <w:tab/>
          <w:t>The appeal is to be by way of rehearing of the matter the subject of the Commissioner’s decision.</w:t>
        </w:r>
      </w:ins>
    </w:p>
    <w:p>
      <w:pPr>
        <w:pStyle w:val="Subsection"/>
        <w:rPr>
          <w:ins w:id="292" w:author="Master Repository Process" w:date="2025-06-25T10:45:00Z"/>
        </w:rPr>
      </w:pPr>
      <w:ins w:id="293" w:author="Master Repository Process" w:date="2025-06-25T10:45:00Z">
        <w:r>
          <w:tab/>
          <w:t>(6)</w:t>
        </w:r>
        <w:r>
          <w:tab/>
          <w:t xml:space="preserve">The rules of the Magistrates Court apply to the appeal as if the appeal were an appeal of a decision of a registrar under the </w:t>
        </w:r>
        <w:r>
          <w:rPr>
            <w:i/>
          </w:rPr>
          <w:t>Magistrates Court Act 2004</w:t>
        </w:r>
        <w:r>
          <w:t xml:space="preserve"> section 29.</w:t>
        </w:r>
      </w:ins>
    </w:p>
    <w:p>
      <w:pPr>
        <w:pStyle w:val="Footnotesection"/>
        <w:rPr>
          <w:ins w:id="294" w:author="Master Repository Process" w:date="2025-06-25T10:45:00Z"/>
        </w:rPr>
      </w:pPr>
      <w:ins w:id="295" w:author="Master Repository Process" w:date="2025-06-25T10:45:00Z">
        <w:r>
          <w:tab/>
          <w:t>[Section 13C inserted: No. 11 of 2024 s. 14.]</w:t>
        </w:r>
      </w:ins>
    </w:p>
    <w:p>
      <w:pPr>
        <w:pStyle w:val="Heading5"/>
        <w:rPr>
          <w:snapToGrid w:val="0"/>
        </w:rPr>
      </w:pPr>
      <w:bookmarkStart w:id="296" w:name="_Toc171694260"/>
      <w:bookmarkStart w:id="297" w:name="_Toc171339045"/>
      <w:r>
        <w:rPr>
          <w:rStyle w:val="CharSectno"/>
        </w:rPr>
        <w:t>14</w:t>
      </w:r>
      <w:r>
        <w:rPr>
          <w:snapToGrid w:val="0"/>
        </w:rPr>
        <w:t>.</w:t>
      </w:r>
      <w:r>
        <w:rPr>
          <w:snapToGrid w:val="0"/>
        </w:rPr>
        <w:tab/>
        <w:t>Time for determination of proceedings</w:t>
      </w:r>
      <w:bookmarkEnd w:id="296"/>
      <w:bookmarkEnd w:id="297"/>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298" w:name="_Toc171694261"/>
      <w:bookmarkStart w:id="299" w:name="_Toc171339046"/>
      <w:r>
        <w:rPr>
          <w:rStyle w:val="CharSectno"/>
        </w:rPr>
        <w:t>15</w:t>
      </w:r>
      <w:r>
        <w:rPr>
          <w:snapToGrid w:val="0"/>
        </w:rPr>
        <w:t>.</w:t>
      </w:r>
      <w:r>
        <w:rPr>
          <w:snapToGrid w:val="0"/>
        </w:rPr>
        <w:tab/>
        <w:t>Applications for relief and orders that may be made</w:t>
      </w:r>
      <w:bookmarkEnd w:id="298"/>
      <w:bookmarkEnd w:id="299"/>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rPr>
          <w:ins w:id="300" w:author="Master Repository Process" w:date="2025-06-25T10:45:00Z"/>
        </w:rPr>
      </w:pPr>
      <w:ins w:id="301" w:author="Master Repository Process" w:date="2025-06-25T10:45:00Z">
        <w:r>
          <w:tab/>
          <w:t>(1A)</w:t>
        </w:r>
        <w:r>
          <w:tab/>
          <w:t>A lessor or tenant under a residential tenancy agreement who is given a notice under section 11L may apply to the Magistrates Court for relief in relation to the matter the subject of the application to the Commissioner referred to in the notice.</w:t>
        </w:r>
      </w:ins>
    </w:p>
    <w:p>
      <w:pPr>
        <w:pStyle w:val="PermNoteHeading"/>
        <w:rPr>
          <w:ins w:id="302" w:author="Master Repository Process" w:date="2025-06-25T10:45:00Z"/>
        </w:rPr>
      </w:pPr>
      <w:ins w:id="303" w:author="Master Repository Process" w:date="2025-06-25T10:45:00Z">
        <w:r>
          <w:tab/>
          <w:t>Note for this subsection:</w:t>
        </w:r>
      </w:ins>
    </w:p>
    <w:p>
      <w:pPr>
        <w:pStyle w:val="PermNoteText"/>
        <w:rPr>
          <w:ins w:id="304" w:author="Master Repository Process" w:date="2025-06-25T10:45:00Z"/>
        </w:rPr>
      </w:pPr>
      <w:ins w:id="305" w:author="Master Repository Process" w:date="2025-06-25T10:45:00Z">
        <w:r>
          <w:tab/>
        </w:r>
        <w:r>
          <w:tab/>
          <w:t>The Commissioner may decline to decide an application made to the Commissioner under Part III Division 1 and advise the parties that they may apply to the Magistrates Court for relief. See section 11L.</w:t>
        </w:r>
      </w:ins>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[Section 15 amended: No. 50 of 1988 s. 8 and 18; No. 59 of 2004 s. 120 and 121; No. 60 of 2011 s. 13 and 89; No. 17 of 2014 s. </w:t>
      </w:r>
      <w:del w:id="306" w:author="Master Repository Process" w:date="2025-06-25T10:45:00Z">
        <w:r>
          <w:delText xml:space="preserve">5.] </w:delText>
        </w:r>
      </w:del>
      <w:ins w:id="307" w:author="Master Repository Process" w:date="2025-06-25T10:45:00Z">
        <w:r>
          <w:t>5; No. 11 of 2024 s. 15(1).]</w:t>
        </w:r>
      </w:ins>
    </w:p>
    <w:p>
      <w:pPr>
        <w:pStyle w:val="Heading5"/>
        <w:rPr>
          <w:snapToGrid w:val="0"/>
        </w:rPr>
      </w:pPr>
      <w:bookmarkStart w:id="308" w:name="_Toc171694262"/>
      <w:bookmarkStart w:id="309" w:name="_Toc171339047"/>
      <w:r>
        <w:rPr>
          <w:rStyle w:val="CharSectno"/>
        </w:rPr>
        <w:t>16</w:t>
      </w:r>
      <w:r>
        <w:rPr>
          <w:snapToGrid w:val="0"/>
        </w:rPr>
        <w:t>.</w:t>
      </w:r>
      <w:r>
        <w:rPr>
          <w:snapToGrid w:val="0"/>
        </w:rPr>
        <w:tab/>
        <w:t>Enforcement</w:t>
      </w:r>
      <w:bookmarkEnd w:id="308"/>
      <w:bookmarkEnd w:id="309"/>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for this subsection: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No. 50 of 1988 s. 9; No. 59 of 2004 s. 121; No. 60 of 2011 s. 14; No. 3 of 2019 s. 25.] </w:t>
      </w:r>
    </w:p>
    <w:p>
      <w:pPr>
        <w:pStyle w:val="Heading5"/>
      </w:pPr>
      <w:bookmarkStart w:id="310" w:name="_Toc171694263"/>
      <w:bookmarkStart w:id="311" w:name="_Toc171339048"/>
      <w:r>
        <w:rPr>
          <w:rStyle w:val="CharSectno"/>
        </w:rPr>
        <w:t>17A</w:t>
      </w:r>
      <w:r>
        <w:t>.</w:t>
      </w:r>
      <w:r>
        <w:tab/>
        <w:t>Disputes between tenants</w:t>
      </w:r>
      <w:bookmarkEnd w:id="310"/>
      <w:bookmarkEnd w:id="311"/>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No. 60 of 2011 s. 15.] </w:t>
      </w:r>
    </w:p>
    <w:p>
      <w:pPr>
        <w:pStyle w:val="Heading5"/>
      </w:pPr>
      <w:bookmarkStart w:id="312" w:name="_Toc171694264"/>
      <w:bookmarkStart w:id="313" w:name="_Toc171339049"/>
      <w:r>
        <w:rPr>
          <w:rStyle w:val="CharSectno"/>
        </w:rPr>
        <w:t>17B</w:t>
      </w:r>
      <w:r>
        <w:t>.</w:t>
      </w:r>
      <w:r>
        <w:tab/>
        <w:t>Determination of rights and liabilities after termination of tenant’s interest on grounds of family violence</w:t>
      </w:r>
      <w:bookmarkEnd w:id="312"/>
      <w:bookmarkEnd w:id="313"/>
    </w:p>
    <w:p>
      <w:pPr>
        <w:pStyle w:val="Subsection"/>
      </w:pPr>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p>
    <w:p>
      <w:pPr>
        <w:pStyle w:val="Subsection"/>
      </w:pPr>
      <w:r>
        <w:tab/>
        <w:t>(2)</w:t>
      </w:r>
      <w:r>
        <w:tab/>
        <w:t xml:space="preserve">When hearing an application under subsection (1) or section 71AE(3), the court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other than personal injury, relating to the termination.</w:t>
      </w:r>
    </w:p>
    <w:p>
      <w:pPr>
        <w:pStyle w:val="Subsection"/>
      </w:pPr>
      <w:r>
        <w:tab/>
        <w:t>(3)</w:t>
      </w:r>
      <w:r>
        <w:tab/>
        <w:t>Without limiting subsection (2), a determination or order under that provision may apportion the disposal of a security bond to the lessor and each tenant or former tenant as appropriate having regard to subsection (4).</w:t>
      </w:r>
    </w:p>
    <w:p>
      <w:pPr>
        <w:pStyle w:val="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pPr>
        <w:pStyle w:val="Subsection"/>
        <w:keepNext/>
      </w:pPr>
      <w:r>
        <w:tab/>
        <w:t>(5)</w:t>
      </w:r>
      <w:r>
        <w:tab/>
        <w:t>In making a determination or order under subsection (2), the court must have regard to all of the following principles —</w:t>
      </w:r>
    </w:p>
    <w:p>
      <w:pPr>
        <w:pStyle w:val="Indenta"/>
      </w:pPr>
      <w:r>
        <w:tab/>
        <w:t>(a)</w:t>
      </w:r>
      <w:r>
        <w:tab/>
        <w:t xml:space="preserve">that family violence is a fundamental violation of human rights and is unacceptable in any form; </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court to order compensation for early termination of a residential tenancy agreement.</w:t>
      </w:r>
    </w:p>
    <w:p>
      <w:pPr>
        <w:pStyle w:val="Footnotesection"/>
      </w:pPr>
      <w:r>
        <w:tab/>
        <w:t xml:space="preserve">[Section 17B inserted: No. 3 of 2019 s. 5.] </w:t>
      </w:r>
    </w:p>
    <w:p>
      <w:pPr>
        <w:pStyle w:val="Heading5"/>
        <w:rPr>
          <w:snapToGrid w:val="0"/>
        </w:rPr>
      </w:pPr>
      <w:bookmarkStart w:id="314" w:name="_Toc171694265"/>
      <w:bookmarkStart w:id="315" w:name="_Toc171339050"/>
      <w:r>
        <w:rPr>
          <w:rStyle w:val="CharSectno"/>
        </w:rPr>
        <w:t>17</w:t>
      </w:r>
      <w:r>
        <w:rPr>
          <w:snapToGrid w:val="0"/>
        </w:rPr>
        <w:t>.</w:t>
      </w:r>
      <w:r>
        <w:rPr>
          <w:snapToGrid w:val="0"/>
        </w:rPr>
        <w:tab/>
        <w:t>Application to vary or set aside order</w:t>
      </w:r>
      <w:bookmarkEnd w:id="314"/>
      <w:bookmarkEnd w:id="315"/>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keepNext/>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316" w:name="_Toc171694266"/>
      <w:bookmarkStart w:id="317" w:name="_Toc171339051"/>
      <w:r>
        <w:rPr>
          <w:rStyle w:val="CharSectno"/>
        </w:rPr>
        <w:t>18</w:t>
      </w:r>
      <w:r>
        <w:rPr>
          <w:snapToGrid w:val="0"/>
        </w:rPr>
        <w:t>.</w:t>
      </w:r>
      <w:r>
        <w:rPr>
          <w:snapToGrid w:val="0"/>
        </w:rPr>
        <w:tab/>
        <w:t>Form of applications and notice of hearing</w:t>
      </w:r>
      <w:bookmarkEnd w:id="316"/>
      <w:bookmarkEnd w:id="317"/>
      <w:r>
        <w:rPr>
          <w:snapToGrid w:val="0"/>
        </w:rPr>
        <w:t xml:space="preserve"> </w:t>
      </w:r>
    </w:p>
    <w:p>
      <w:pPr>
        <w:pStyle w:val="Subsection"/>
        <w:keepNext/>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keepNext/>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rPr>
          <w:snapToGrid w:val="0"/>
        </w:rPr>
      </w:pPr>
      <w:bookmarkStart w:id="318" w:name="_Toc171694267"/>
      <w:bookmarkStart w:id="319" w:name="_Toc171339052"/>
      <w:r>
        <w:rPr>
          <w:rStyle w:val="CharSectno"/>
        </w:rPr>
        <w:t>19</w:t>
      </w:r>
      <w:r>
        <w:rPr>
          <w:snapToGrid w:val="0"/>
        </w:rPr>
        <w:t>.</w:t>
      </w:r>
      <w:r>
        <w:rPr>
          <w:snapToGrid w:val="0"/>
        </w:rPr>
        <w:tab/>
        <w:t>Witnesses and inspection of documents</w:t>
      </w:r>
      <w:bookmarkEnd w:id="318"/>
      <w:bookmarkEnd w:id="319"/>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keepNext/>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for this subsection: a fine of $10 000.</w:t>
      </w:r>
    </w:p>
    <w:p>
      <w:pPr>
        <w:pStyle w:val="Footnotesection"/>
      </w:pPr>
      <w:r>
        <w:tab/>
        <w:t xml:space="preserve">[Section 19 amended: No. 50 of 1988 s. 11 and 18; No. 59 of 2004 s. 120(2) and 121; No. 60 of 2011 s. 17; No. 3 of 2019 s. 25.] </w:t>
      </w:r>
    </w:p>
    <w:p>
      <w:pPr>
        <w:pStyle w:val="Heading5"/>
        <w:rPr>
          <w:snapToGrid w:val="0"/>
        </w:rPr>
      </w:pPr>
      <w:bookmarkStart w:id="320" w:name="_Toc171694268"/>
      <w:bookmarkStart w:id="321" w:name="_Toc171339053"/>
      <w:r>
        <w:rPr>
          <w:rStyle w:val="CharSectno"/>
        </w:rPr>
        <w:t>20</w:t>
      </w:r>
      <w:r>
        <w:rPr>
          <w:snapToGrid w:val="0"/>
        </w:rPr>
        <w:t>.</w:t>
      </w:r>
      <w:r>
        <w:rPr>
          <w:snapToGrid w:val="0"/>
        </w:rPr>
        <w:tab/>
        <w:t>General powers in proceedings</w:t>
      </w:r>
      <w:bookmarkEnd w:id="320"/>
      <w:bookmarkEnd w:id="321"/>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322" w:name="_Toc171694269"/>
      <w:bookmarkStart w:id="323" w:name="_Toc171339054"/>
      <w:r>
        <w:rPr>
          <w:rStyle w:val="CharSectno"/>
        </w:rPr>
        <w:t>21</w:t>
      </w:r>
      <w:r>
        <w:t>.</w:t>
      </w:r>
      <w:r>
        <w:tab/>
        <w:t>Evidence</w:t>
      </w:r>
      <w:bookmarkEnd w:id="322"/>
      <w:bookmarkEnd w:id="323"/>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324" w:name="_Toc171694270"/>
      <w:bookmarkStart w:id="325" w:name="_Toc171339055"/>
      <w:r>
        <w:rPr>
          <w:rStyle w:val="CharSectno"/>
        </w:rPr>
        <w:t>22</w:t>
      </w:r>
      <w:r>
        <w:rPr>
          <w:snapToGrid w:val="0"/>
        </w:rPr>
        <w:t>.</w:t>
      </w:r>
      <w:r>
        <w:rPr>
          <w:snapToGrid w:val="0"/>
        </w:rPr>
        <w:tab/>
        <w:t>Presentation of cases</w:t>
      </w:r>
      <w:bookmarkEnd w:id="324"/>
      <w:bookmarkEnd w:id="325"/>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keepNext/>
      </w:pPr>
      <w:r>
        <w:tab/>
        <w:t>(2)</w:t>
      </w:r>
      <w:r>
        <w:tab/>
        <w:t xml:space="preserve">A party to any proceedings may be represented or assisted by an agent in the presentation of the party’s case if — </w:t>
      </w:r>
    </w:p>
    <w:p>
      <w:pPr>
        <w:pStyle w:val="Indenta"/>
      </w:pPr>
      <w:r>
        <w:tab/>
        <w:t>(a)</w:t>
      </w:r>
      <w:r>
        <w:tab/>
        <w:t xml:space="preserve">the agent is authorised by the party to do so and is — </w:t>
      </w:r>
    </w:p>
    <w:p>
      <w:pPr>
        <w:pStyle w:val="Indenti"/>
      </w:pPr>
      <w:r>
        <w:tab/>
        <w:t>(i)</w:t>
      </w:r>
      <w:r>
        <w:tab/>
        <w:t>the property manager of the premises the subject of the proceedings; or</w:t>
      </w:r>
    </w:p>
    <w:p>
      <w:pPr>
        <w:pStyle w:val="Indenti"/>
      </w:pPr>
      <w:r>
        <w:tab/>
        <w:t>(ii)</w:t>
      </w:r>
      <w:r>
        <w:tab/>
        <w:t>employed or engaged by a non</w:t>
      </w:r>
      <w:r>
        <w:noBreakHyphen/>
        <w:t>profit association or similar body to act as an advocate for tenants or lessors in proceedings;</w:t>
      </w:r>
    </w:p>
    <w:p>
      <w:pPr>
        <w:pStyle w:val="Indenta"/>
      </w:pPr>
      <w:r>
        <w:tab/>
      </w:r>
      <w:r>
        <w:tab/>
        <w:t>or</w:t>
      </w:r>
    </w:p>
    <w:p>
      <w:pPr>
        <w:pStyle w:val="Indenta"/>
      </w:pPr>
      <w:r>
        <w:tab/>
        <w:t>(b)</w:t>
      </w:r>
      <w:r>
        <w:tab/>
        <w:t>the court makes an order under subsection (3C).</w:t>
      </w:r>
    </w:p>
    <w:p>
      <w:pPr>
        <w:pStyle w:val="Subsection"/>
      </w:pPr>
      <w:r>
        <w:tab/>
        <w:t>(3A)</w:t>
      </w:r>
      <w:r>
        <w:tab/>
        <w:t xml:space="preserve">The authorisation mentioned in subsection (2)(a)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pPr>
      <w:r>
        <w:tab/>
        <w:t>(3B)</w:t>
      </w:r>
      <w:r>
        <w:tab/>
        <w:t xml:space="preserve">Without limiting how an agent representing or assisting a party under subsection (2)(a) may represent or assist the party, the agent may initiate proceedings on behalf of the party. </w:t>
      </w:r>
    </w:p>
    <w:p>
      <w:pPr>
        <w:pStyle w:val="Subsection"/>
        <w:keepNext/>
      </w:pPr>
      <w:r>
        <w:tab/>
        <w:t>(3C)</w:t>
      </w:r>
      <w:r>
        <w:tab/>
        <w:t xml:space="preserve">The court may order that a party to proceedings may be represented or assisted by an agent in the presentation of the party’s case if the court hearing the proceeding is satisfied that — </w:t>
      </w:r>
    </w:p>
    <w:p>
      <w:pPr>
        <w:pStyle w:val="Indenta"/>
      </w:pPr>
      <w:r>
        <w:tab/>
        <w:t>(a)</w:t>
      </w:r>
      <w:r>
        <w:tab/>
        <w:t>the party is unable to appear personally or conduct the proceedings on the party’s own behalf; and</w:t>
      </w:r>
    </w:p>
    <w:p>
      <w:pPr>
        <w:pStyle w:val="Indenta"/>
      </w:pPr>
      <w:r>
        <w:tab/>
        <w:t>(b)</w:t>
      </w:r>
      <w:r>
        <w:tab/>
        <w:t>another party to the proceedings will not be disadvantaged by the party being represented by, or assisted by, the agent.</w:t>
      </w:r>
    </w:p>
    <w:p>
      <w:pPr>
        <w:pStyle w:val="Subsection"/>
        <w:keepNext/>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keepNext/>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for this subsection: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pPr>
      <w:r>
        <w:tab/>
      </w:r>
      <w:r>
        <w:rPr>
          <w:rStyle w:val="CharDefText"/>
        </w:rPr>
        <w:t>legally qualified person</w:t>
      </w:r>
      <w:r>
        <w:t xml:space="preserve"> means a lawyer or a person who holds or has held legal qualifications under the laws of this State or any other place.</w:t>
      </w:r>
    </w:p>
    <w:p>
      <w:pPr>
        <w:pStyle w:val="Footnotesection"/>
      </w:pPr>
      <w:r>
        <w:tab/>
        <w:t xml:space="preserve">[Section 22 amended: No. 50 of 1988 s. 18; No. 65 of 2003 s. 61; No. 59 of 2004 s. 120(3); No. 21 of 2008 s. 698; No. 60 of 2011 s. 19; No. 3 of 2019 s. 25; No. 25 of 2019 s. 65; No. 9 of 2022 s. 424.] </w:t>
      </w:r>
    </w:p>
    <w:p>
      <w:pPr>
        <w:pStyle w:val="Heading5"/>
        <w:rPr>
          <w:snapToGrid w:val="0"/>
        </w:rPr>
      </w:pPr>
      <w:bookmarkStart w:id="326" w:name="_Toc171694271"/>
      <w:bookmarkStart w:id="327" w:name="_Toc171339056"/>
      <w:r>
        <w:rPr>
          <w:rStyle w:val="CharSectno"/>
        </w:rPr>
        <w:t>23</w:t>
      </w:r>
      <w:r>
        <w:rPr>
          <w:snapToGrid w:val="0"/>
        </w:rPr>
        <w:t>.</w:t>
      </w:r>
      <w:r>
        <w:rPr>
          <w:snapToGrid w:val="0"/>
        </w:rPr>
        <w:tab/>
        <w:t>Settlement by conciliation</w:t>
      </w:r>
      <w:bookmarkEnd w:id="326"/>
      <w:bookmarkEnd w:id="327"/>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No. 50 of 1988 s. 18; No. 59 of 2004 s. 120(2) and (3) and 121; No. 60 of 2011 s. 20.] </w:t>
      </w:r>
    </w:p>
    <w:p>
      <w:pPr>
        <w:pStyle w:val="Heading5"/>
        <w:rPr>
          <w:snapToGrid w:val="0"/>
        </w:rPr>
      </w:pPr>
      <w:bookmarkStart w:id="328" w:name="_Toc171694272"/>
      <w:bookmarkStart w:id="329" w:name="_Toc171339057"/>
      <w:r>
        <w:rPr>
          <w:rStyle w:val="CharSectno"/>
        </w:rPr>
        <w:t>24</w:t>
      </w:r>
      <w:r>
        <w:rPr>
          <w:snapToGrid w:val="0"/>
        </w:rPr>
        <w:t>.</w:t>
      </w:r>
      <w:r>
        <w:rPr>
          <w:snapToGrid w:val="0"/>
        </w:rPr>
        <w:tab/>
        <w:t>Costs</w:t>
      </w:r>
      <w:bookmarkEnd w:id="328"/>
      <w:bookmarkEnd w:id="329"/>
      <w:r>
        <w:rPr>
          <w:snapToGrid w:val="0"/>
        </w:rPr>
        <w:t xml:space="preserve"> </w:t>
      </w:r>
    </w:p>
    <w:p>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 xml:space="preserve">all parties to the proceedings were represented by </w:t>
      </w:r>
      <w:r>
        <w:t>legal practitioners</w:t>
      </w:r>
      <w:r>
        <w:rPr>
          <w:snapToGrid w:val="0"/>
        </w:rPr>
        <w:t>;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No. 50 of 1988 s. 18; No. 59 of 1995 s. 45; No. 59 of 2004 s. 120(2) and (3) and 121; No. 9 of 2022 s. 424.] </w:t>
      </w:r>
    </w:p>
    <w:p>
      <w:pPr>
        <w:pStyle w:val="Heading5"/>
        <w:rPr>
          <w:snapToGrid w:val="0"/>
        </w:rPr>
      </w:pPr>
      <w:bookmarkStart w:id="330" w:name="_Toc171694273"/>
      <w:bookmarkStart w:id="331" w:name="_Toc171339058"/>
      <w:r>
        <w:rPr>
          <w:rStyle w:val="CharSectno"/>
        </w:rPr>
        <w:t>25</w:t>
      </w:r>
      <w:r>
        <w:rPr>
          <w:snapToGrid w:val="0"/>
        </w:rPr>
        <w:t>.</w:t>
      </w:r>
      <w:r>
        <w:rPr>
          <w:snapToGrid w:val="0"/>
        </w:rPr>
        <w:tab/>
        <w:t>Reservation of question of law</w:t>
      </w:r>
      <w:bookmarkEnd w:id="330"/>
      <w:bookmarkEnd w:id="33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keepLines/>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No. 50 of 1988 s. 18; No. 6 of 1993 s. 11; No. 59 of 1995 s. 56; No. 59 of 2004 s. 121; No. 77 of 2006 s. 4.] </w:t>
      </w:r>
    </w:p>
    <w:p>
      <w:pPr>
        <w:pStyle w:val="Heading5"/>
        <w:rPr>
          <w:snapToGrid w:val="0"/>
        </w:rPr>
      </w:pPr>
      <w:bookmarkStart w:id="332" w:name="_Toc171694274"/>
      <w:bookmarkStart w:id="333" w:name="_Toc171339059"/>
      <w:r>
        <w:rPr>
          <w:rStyle w:val="CharSectno"/>
        </w:rPr>
        <w:t>26</w:t>
      </w:r>
      <w:r>
        <w:rPr>
          <w:snapToGrid w:val="0"/>
        </w:rPr>
        <w:t>.</w:t>
      </w:r>
      <w:r>
        <w:rPr>
          <w:snapToGrid w:val="0"/>
        </w:rPr>
        <w:tab/>
        <w:t>Finality of proceedings</w:t>
      </w:r>
      <w:bookmarkEnd w:id="332"/>
      <w:bookmarkEnd w:id="333"/>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No. 50 of 1988 s. 13; No. 59 of 2004 s. 120(3) and 121; No. 69 of 2006 s. 30.] </w:t>
      </w:r>
    </w:p>
    <w:p>
      <w:pPr>
        <w:pStyle w:val="Heading3"/>
      </w:pPr>
      <w:bookmarkStart w:id="334" w:name="_Toc171673949"/>
      <w:bookmarkStart w:id="335" w:name="_Toc171680528"/>
      <w:bookmarkStart w:id="336" w:name="_Toc171680793"/>
      <w:bookmarkStart w:id="337" w:name="_Toc171681344"/>
      <w:bookmarkStart w:id="338" w:name="_Toc171681760"/>
      <w:bookmarkStart w:id="339" w:name="_Toc171682024"/>
      <w:bookmarkStart w:id="340" w:name="_Toc171694275"/>
      <w:bookmarkStart w:id="341" w:name="_Toc171089810"/>
      <w:bookmarkStart w:id="342" w:name="_Toc171338257"/>
      <w:bookmarkStart w:id="343" w:name="_Toc171339060"/>
      <w:r>
        <w:rPr>
          <w:rStyle w:val="CharDivNo"/>
        </w:rPr>
        <w:t>Division 3</w:t>
      </w:r>
      <w:r>
        <w:t> — </w:t>
      </w:r>
      <w:r>
        <w:rPr>
          <w:rStyle w:val="CharDivText"/>
        </w:rPr>
        <w:t>Retaliatory action taken by lessor</w:t>
      </w:r>
      <w:bookmarkEnd w:id="334"/>
      <w:bookmarkEnd w:id="335"/>
      <w:bookmarkEnd w:id="336"/>
      <w:bookmarkEnd w:id="337"/>
      <w:bookmarkEnd w:id="338"/>
      <w:bookmarkEnd w:id="339"/>
      <w:bookmarkEnd w:id="340"/>
      <w:bookmarkEnd w:id="341"/>
      <w:bookmarkEnd w:id="342"/>
      <w:bookmarkEnd w:id="343"/>
    </w:p>
    <w:p>
      <w:pPr>
        <w:pStyle w:val="Footnoteheading"/>
        <w:keepNext/>
      </w:pPr>
      <w:r>
        <w:tab/>
        <w:t>[Heading inserted: No. 11 of 2024 s. 17.]</w:t>
      </w:r>
    </w:p>
    <w:p>
      <w:pPr>
        <w:pStyle w:val="Heading5"/>
      </w:pPr>
      <w:bookmarkStart w:id="344" w:name="_Toc171694276"/>
      <w:bookmarkStart w:id="345" w:name="_Toc171339061"/>
      <w:r>
        <w:rPr>
          <w:rStyle w:val="CharSectno"/>
        </w:rPr>
        <w:t>26A</w:t>
      </w:r>
      <w:r>
        <w:t>.</w:t>
      </w:r>
      <w:r>
        <w:tab/>
        <w:t>Retaliatory action</w:t>
      </w:r>
      <w:bookmarkEnd w:id="344"/>
      <w:bookmarkEnd w:id="345"/>
    </w:p>
    <w:p>
      <w:pPr>
        <w:pStyle w:val="Subsection"/>
        <w:keepNext/>
      </w:pPr>
      <w:r>
        <w:tab/>
      </w:r>
      <w:r>
        <w:tab/>
        <w:t xml:space="preserve">A lessor takes </w:t>
      </w:r>
      <w:r>
        <w:rPr>
          <w:rStyle w:val="CharDefText"/>
        </w:rPr>
        <w:t>retaliatory action</w:t>
      </w:r>
      <w:r>
        <w:t xml:space="preserve"> against a tenant in relation to a matter referred to in section 26B(2)(a), (b) or (c) if the lessor — </w:t>
      </w:r>
    </w:p>
    <w:p>
      <w:pPr>
        <w:pStyle w:val="Indenta"/>
        <w:keepNext/>
      </w:pPr>
      <w:r>
        <w:tab/>
        <w:t>(a)</w:t>
      </w:r>
      <w:r>
        <w:tab/>
        <w:t xml:space="preserve">takes any of the following action — </w:t>
      </w:r>
    </w:p>
    <w:p>
      <w:pPr>
        <w:pStyle w:val="Indenti"/>
      </w:pPr>
      <w:r>
        <w:tab/>
        <w:t>(i)</w:t>
      </w:r>
      <w:r>
        <w:tab/>
        <w:t>gives the tenant a notice claiming the tenant has breached the residential tenancy agreement, other than by failing to pay rent, and requiring the tenant to remedy the breach;</w:t>
      </w:r>
    </w:p>
    <w:p>
      <w:pPr>
        <w:pStyle w:val="Indenti"/>
      </w:pPr>
      <w:r>
        <w:tab/>
        <w:t>(ii)</w:t>
      </w:r>
      <w:r>
        <w:tab/>
        <w:t>increases the rent payable under the residential tenancy agreement;</w:t>
      </w:r>
    </w:p>
    <w:p>
      <w:pPr>
        <w:pStyle w:val="Indenti"/>
      </w:pPr>
      <w:r>
        <w:tab/>
        <w:t>(iii)</w:t>
      </w:r>
      <w:r>
        <w:tab/>
        <w:t>takes action to terminate the residential tenancy agreement;</w:t>
      </w:r>
    </w:p>
    <w:p>
      <w:pPr>
        <w:pStyle w:val="Indenti"/>
      </w:pPr>
      <w:r>
        <w:tab/>
        <w:t>(iv)</w:t>
      </w:r>
      <w:r>
        <w:tab/>
        <w:t>at the end of the current residential tenancy agreement, refuses to enter into a further residential tenancy agreement with the tenant;</w:t>
      </w:r>
    </w:p>
    <w:p>
      <w:pPr>
        <w:pStyle w:val="Indenta"/>
      </w:pPr>
      <w:r>
        <w:tab/>
      </w:r>
      <w:r>
        <w:tab/>
        <w:t>and</w:t>
      </w:r>
    </w:p>
    <w:p>
      <w:pPr>
        <w:pStyle w:val="Indenta"/>
      </w:pPr>
      <w:r>
        <w:tab/>
        <w:t>(b)</w:t>
      </w:r>
      <w:r>
        <w:tab/>
        <w:t>is motivated to take the action, wholly or partly, by the matter arising.</w:t>
      </w:r>
    </w:p>
    <w:p>
      <w:pPr>
        <w:pStyle w:val="Footnotesection"/>
      </w:pPr>
      <w:r>
        <w:tab/>
        <w:t xml:space="preserve">[Section 26A inserted: No. 11 of 2024 s. 17.] </w:t>
      </w:r>
    </w:p>
    <w:p>
      <w:pPr>
        <w:pStyle w:val="Heading5"/>
      </w:pPr>
      <w:bookmarkStart w:id="346" w:name="_Toc171694277"/>
      <w:bookmarkStart w:id="347" w:name="_Toc171339062"/>
      <w:r>
        <w:rPr>
          <w:rStyle w:val="CharSectno"/>
        </w:rPr>
        <w:t>26B</w:t>
      </w:r>
      <w:r>
        <w:t>.</w:t>
      </w:r>
      <w:r>
        <w:tab/>
        <w:t>Retaliatory action taken by lessor</w:t>
      </w:r>
      <w:bookmarkEnd w:id="346"/>
      <w:bookmarkEnd w:id="347"/>
    </w:p>
    <w:p>
      <w:pPr>
        <w:pStyle w:val="Subsection"/>
      </w:pPr>
      <w:r>
        <w:tab/>
        <w:t>(1)</w:t>
      </w:r>
      <w:r>
        <w:tab/>
        <w:t xml:space="preserve">In this section — </w:t>
      </w:r>
    </w:p>
    <w:p>
      <w:pPr>
        <w:pStyle w:val="Defstart"/>
      </w:pPr>
      <w:r>
        <w:tab/>
      </w:r>
      <w:r>
        <w:rPr>
          <w:rStyle w:val="CharDefText"/>
        </w:rPr>
        <w:t>representative entity</w:t>
      </w:r>
      <w:r>
        <w:t xml:space="preserve"> means an entity that has a purpose of providing advice or support to tenants.</w:t>
      </w:r>
    </w:p>
    <w:p>
      <w:pPr>
        <w:pStyle w:val="Subsection"/>
        <w:keepNext/>
      </w:pPr>
      <w:r>
        <w:tab/>
        <w:t>(2)</w:t>
      </w:r>
      <w:r>
        <w:tab/>
        <w:t xml:space="preserve">This section applies if a tenant reasonably believes the lessor took retaliatory action against the tenant after any of the following matters arose — </w:t>
      </w:r>
    </w:p>
    <w:p>
      <w:pPr>
        <w:pStyle w:val="Indenta"/>
        <w:keepNext/>
      </w:pPr>
      <w:r>
        <w:tab/>
        <w:t>(a)</w:t>
      </w:r>
      <w:r>
        <w:tab/>
        <w:t xml:space="preserve">the tenant, or a representative entity, takes action to enforce the tenant’s rights, including, for example, by — </w:t>
      </w:r>
    </w:p>
    <w:p>
      <w:pPr>
        <w:pStyle w:val="Indenti"/>
      </w:pPr>
      <w:r>
        <w:tab/>
        <w:t>(i)</w:t>
      </w:r>
      <w:r>
        <w:tab/>
        <w:t>asking for repairs or maintenance to the premises; or</w:t>
      </w:r>
    </w:p>
    <w:p>
      <w:pPr>
        <w:pStyle w:val="Indenti"/>
      </w:pPr>
      <w:r>
        <w:tab/>
        <w:t>(ii)</w:t>
      </w:r>
      <w:r>
        <w:tab/>
        <w:t>giving the lessor a notice claiming the lessor has breached the residential tenancy agreement and requiring the lessor to remedy the breach; or</w:t>
      </w:r>
    </w:p>
    <w:p>
      <w:pPr>
        <w:pStyle w:val="Indenti"/>
      </w:pPr>
      <w:r>
        <w:tab/>
        <w:t>(iii)</w:t>
      </w:r>
      <w:r>
        <w:tab/>
        <w:t>requiring the lessor to reimburse the tenant for a reasonable expense properly incurred by the tenant for urgent repairs; or</w:t>
      </w:r>
    </w:p>
    <w:p>
      <w:pPr>
        <w:pStyle w:val="Indenti"/>
      </w:pPr>
      <w:r>
        <w:tab/>
        <w:t>(iv)</w:t>
      </w:r>
      <w:r>
        <w:tab/>
        <w:t>applying to a competent court for an order under this Act;</w:t>
      </w:r>
    </w:p>
    <w:p>
      <w:pPr>
        <w:pStyle w:val="Indenta"/>
      </w:pPr>
      <w:r>
        <w:tab/>
        <w:t>(b)</w:t>
      </w:r>
      <w:r>
        <w:tab/>
        <w:t>the lessor or lessor’s agent knows that the tenant or a representative entity has complained to the Commissioner or another government entity about an act or omission of the lessor that adversely affected the tenant;</w:t>
      </w:r>
    </w:p>
    <w:p>
      <w:pPr>
        <w:pStyle w:val="Indenta"/>
      </w:pPr>
      <w:r>
        <w:tab/>
        <w:t>(c)</w:t>
      </w:r>
      <w:r>
        <w:tab/>
        <w:t>an order of a competent court is in force in relation to the lessor and tenant.</w:t>
      </w:r>
    </w:p>
    <w:p>
      <w:pPr>
        <w:pStyle w:val="Subsection"/>
      </w:pPr>
      <w:r>
        <w:tab/>
        <w:t>(3)</w:t>
      </w:r>
      <w:r>
        <w:tab/>
        <w:t>The tenant may apply to a competent court for relief in relation to the lessor’s action alleged by the tenant to be retaliatory action.</w:t>
      </w:r>
    </w:p>
    <w:p>
      <w:pPr>
        <w:pStyle w:val="Subsection"/>
      </w:pPr>
      <w:r>
        <w:tab/>
        <w:t>(4)</w:t>
      </w:r>
      <w:r>
        <w:tab/>
        <w:t xml:space="preserve">The court hearing the application may, if the court is satisfied the lessor’s action was likely to have been retaliatory action for a matter mentioned in subsection (2)(a), (b) or (c), make any order the court considers appropriate, including, for example — </w:t>
      </w:r>
    </w:p>
    <w:p>
      <w:pPr>
        <w:pStyle w:val="Indenta"/>
      </w:pPr>
      <w:r>
        <w:tab/>
        <w:t>(a)</w:t>
      </w:r>
      <w:r>
        <w:tab/>
        <w:t>an order setting aside the lessor’s action; and</w:t>
      </w:r>
    </w:p>
    <w:p>
      <w:pPr>
        <w:pStyle w:val="Indenta"/>
        <w:keepNext/>
      </w:pPr>
      <w:r>
        <w:tab/>
        <w:t>(b)</w:t>
      </w:r>
      <w:r>
        <w:tab/>
        <w:t>an order that the lessor pay compensation to the tenant for loss or injury, other than personal injury, caused by the lessor’s action.</w:t>
      </w:r>
    </w:p>
    <w:p>
      <w:pPr>
        <w:pStyle w:val="Footnotesection"/>
      </w:pPr>
      <w:r>
        <w:tab/>
        <w:t xml:space="preserve">[Section 26B inserted: No. 11 of 2024 s. 17.] </w:t>
      </w:r>
    </w:p>
    <w:p>
      <w:pPr>
        <w:pStyle w:val="Heading2"/>
      </w:pPr>
      <w:bookmarkStart w:id="348" w:name="_Toc171673952"/>
      <w:bookmarkStart w:id="349" w:name="_Toc171680531"/>
      <w:bookmarkStart w:id="350" w:name="_Toc171680796"/>
      <w:bookmarkStart w:id="351" w:name="_Toc171681347"/>
      <w:bookmarkStart w:id="352" w:name="_Toc171681763"/>
      <w:bookmarkStart w:id="353" w:name="_Toc171682027"/>
      <w:bookmarkStart w:id="354" w:name="_Toc171694278"/>
      <w:bookmarkStart w:id="355" w:name="_Toc171089813"/>
      <w:bookmarkStart w:id="356" w:name="_Toc171338260"/>
      <w:bookmarkStart w:id="357" w:name="_Toc171339063"/>
      <w:r>
        <w:rPr>
          <w:rStyle w:val="CharPartNo"/>
        </w:rPr>
        <w:t>Part IV</w:t>
      </w:r>
      <w:r>
        <w:t> — </w:t>
      </w:r>
      <w:r>
        <w:rPr>
          <w:rStyle w:val="CharPartText"/>
        </w:rPr>
        <w:t>Residential tenancy agreements</w:t>
      </w:r>
      <w:bookmarkEnd w:id="348"/>
      <w:bookmarkEnd w:id="349"/>
      <w:bookmarkEnd w:id="350"/>
      <w:bookmarkEnd w:id="351"/>
      <w:bookmarkEnd w:id="352"/>
      <w:bookmarkEnd w:id="353"/>
      <w:bookmarkEnd w:id="354"/>
      <w:bookmarkEnd w:id="355"/>
      <w:bookmarkEnd w:id="356"/>
      <w:bookmarkEnd w:id="357"/>
    </w:p>
    <w:p>
      <w:pPr>
        <w:pStyle w:val="Footnoteheading"/>
      </w:pPr>
      <w:r>
        <w:tab/>
        <w:t>[Heading inserted: No. 60 of 2011 s. 21.]</w:t>
      </w:r>
    </w:p>
    <w:p>
      <w:pPr>
        <w:pStyle w:val="Heading3"/>
      </w:pPr>
      <w:bookmarkStart w:id="358" w:name="_Toc171673953"/>
      <w:bookmarkStart w:id="359" w:name="_Toc171680532"/>
      <w:bookmarkStart w:id="360" w:name="_Toc171680797"/>
      <w:bookmarkStart w:id="361" w:name="_Toc171681348"/>
      <w:bookmarkStart w:id="362" w:name="_Toc171681764"/>
      <w:bookmarkStart w:id="363" w:name="_Toc171682028"/>
      <w:bookmarkStart w:id="364" w:name="_Toc171694279"/>
      <w:bookmarkStart w:id="365" w:name="_Toc171089814"/>
      <w:bookmarkStart w:id="366" w:name="_Toc171338261"/>
      <w:bookmarkStart w:id="367" w:name="_Toc171339064"/>
      <w:r>
        <w:rPr>
          <w:rStyle w:val="CharDivNo"/>
        </w:rPr>
        <w:t>Division 1A</w:t>
      </w:r>
      <w:r>
        <w:t> — </w:t>
      </w:r>
      <w:r>
        <w:rPr>
          <w:rStyle w:val="CharDivText"/>
        </w:rPr>
        <w:t>Form of residential tenancy agreement and associated documents</w:t>
      </w:r>
      <w:bookmarkEnd w:id="358"/>
      <w:bookmarkEnd w:id="359"/>
      <w:bookmarkEnd w:id="360"/>
      <w:bookmarkEnd w:id="361"/>
      <w:bookmarkEnd w:id="362"/>
      <w:bookmarkEnd w:id="363"/>
      <w:bookmarkEnd w:id="364"/>
      <w:bookmarkEnd w:id="365"/>
      <w:bookmarkEnd w:id="366"/>
      <w:bookmarkEnd w:id="367"/>
    </w:p>
    <w:p>
      <w:pPr>
        <w:pStyle w:val="Footnoteheading"/>
      </w:pPr>
      <w:r>
        <w:tab/>
        <w:t>[Heading inserted: No. 60 of 2011 s. 22.]</w:t>
      </w:r>
    </w:p>
    <w:p>
      <w:pPr>
        <w:pStyle w:val="Heading5"/>
      </w:pPr>
      <w:bookmarkStart w:id="368" w:name="_Toc164778274"/>
      <w:bookmarkStart w:id="369" w:name="_Toc171694280"/>
      <w:bookmarkStart w:id="370" w:name="_Toc171339065"/>
      <w:r>
        <w:rPr>
          <w:rStyle w:val="CharSectno"/>
        </w:rPr>
        <w:t>27A</w:t>
      </w:r>
      <w:r>
        <w:t>.</w:t>
      </w:r>
      <w:r>
        <w:tab/>
        <w:t xml:space="preserve">Written residential tenancy agreement to be in </w:t>
      </w:r>
      <w:del w:id="371" w:author="Master Repository Process" w:date="2025-06-25T10:45:00Z">
        <w:r>
          <w:delText>prescribed</w:delText>
        </w:r>
      </w:del>
      <w:ins w:id="372" w:author="Master Repository Process" w:date="2025-06-25T10:45:00Z">
        <w:r>
          <w:t>approved</w:t>
        </w:r>
      </w:ins>
      <w:r>
        <w:t xml:space="preserve"> form</w:t>
      </w:r>
      <w:bookmarkEnd w:id="368"/>
      <w:bookmarkEnd w:id="369"/>
      <w:bookmarkEnd w:id="370"/>
    </w:p>
    <w:p>
      <w:pPr>
        <w:pStyle w:val="Subsection"/>
      </w:pPr>
      <w:r>
        <w:tab/>
      </w:r>
      <w:r>
        <w:tab/>
        <w:t xml:space="preserve">A lessor </w:t>
      </w:r>
      <w:ins w:id="373" w:author="Master Repository Process" w:date="2025-06-25T10:45:00Z">
        <w:r>
          <w:t xml:space="preserve">or property manager </w:t>
        </w:r>
      </w:ins>
      <w:r>
        <w:t xml:space="preserve">must </w:t>
      </w:r>
      <w:del w:id="374" w:author="Master Repository Process" w:date="2025-06-25T10:45:00Z">
        <w:r>
          <w:delText xml:space="preserve">not enter into </w:delText>
        </w:r>
      </w:del>
      <w:ins w:id="375" w:author="Master Repository Process" w:date="2025-06-25T10:45:00Z">
        <w:r>
          <w:t xml:space="preserve">ensure </w:t>
        </w:r>
      </w:ins>
      <w:r>
        <w:t xml:space="preserve">a written residential tenancy agreement </w:t>
      </w:r>
      <w:del w:id="376" w:author="Master Repository Process" w:date="2025-06-25T10:45:00Z">
        <w:r>
          <w:delText>except</w:delText>
        </w:r>
      </w:del>
      <w:ins w:id="377" w:author="Master Repository Process" w:date="2025-06-25T10:45:00Z">
        <w:r>
          <w:t>entered into by the lessor is</w:t>
        </w:r>
      </w:ins>
      <w:r>
        <w:t xml:space="preserve"> in the </w:t>
      </w:r>
      <w:del w:id="378" w:author="Master Repository Process" w:date="2025-06-25T10:45:00Z">
        <w:r>
          <w:delText>prescribed</w:delText>
        </w:r>
      </w:del>
      <w:ins w:id="379" w:author="Master Repository Process" w:date="2025-06-25T10:45:00Z">
        <w:r>
          <w:t>approved</w:t>
        </w:r>
      </w:ins>
      <w:r>
        <w:t xml:space="preserve"> form.</w:t>
      </w:r>
    </w:p>
    <w:p>
      <w:pPr>
        <w:pStyle w:val="Penstart"/>
      </w:pPr>
      <w:r>
        <w:tab/>
        <w:t>Penalty: a fine of $5 000.</w:t>
      </w:r>
    </w:p>
    <w:p>
      <w:pPr>
        <w:pStyle w:val="Footnotesection"/>
      </w:pPr>
      <w:r>
        <w:tab/>
        <w:t>[Section 27A inserted: No. </w:t>
      </w:r>
      <w:del w:id="380" w:author="Master Repository Process" w:date="2025-06-25T10:45:00Z">
        <w:r>
          <w:delText>60</w:delText>
        </w:r>
      </w:del>
      <w:ins w:id="381" w:author="Master Repository Process" w:date="2025-06-25T10:45:00Z">
        <w:r>
          <w:t>11</w:t>
        </w:r>
      </w:ins>
      <w:r>
        <w:t xml:space="preserve"> of </w:t>
      </w:r>
      <w:del w:id="382" w:author="Master Repository Process" w:date="2025-06-25T10:45:00Z">
        <w:r>
          <w:delText>2011</w:delText>
        </w:r>
      </w:del>
      <w:ins w:id="383" w:author="Master Repository Process" w:date="2025-06-25T10:45:00Z">
        <w:r>
          <w:t>2024</w:t>
        </w:r>
      </w:ins>
      <w:r>
        <w:t xml:space="preserve"> s. </w:t>
      </w:r>
      <w:del w:id="384" w:author="Master Repository Process" w:date="2025-06-25T10:45:00Z">
        <w:r>
          <w:delText xml:space="preserve">22.] </w:delText>
        </w:r>
      </w:del>
      <w:ins w:id="385" w:author="Master Repository Process" w:date="2025-06-25T10:45:00Z">
        <w:r>
          <w:t>18.]</w:t>
        </w:r>
      </w:ins>
    </w:p>
    <w:p>
      <w:pPr>
        <w:pStyle w:val="Heading5"/>
      </w:pPr>
      <w:bookmarkStart w:id="386" w:name="_Toc171694281"/>
      <w:bookmarkStart w:id="387" w:name="_Toc171339066"/>
      <w:r>
        <w:rPr>
          <w:rStyle w:val="CharSectno"/>
        </w:rPr>
        <w:t>27B</w:t>
      </w:r>
      <w:r>
        <w:t>.</w:t>
      </w:r>
      <w:r>
        <w:tab/>
        <w:t>Information to be given to tenant by lessor</w:t>
      </w:r>
      <w:bookmarkEnd w:id="386"/>
      <w:bookmarkEnd w:id="387"/>
    </w:p>
    <w:p>
      <w:pPr>
        <w:pStyle w:val="Subsection"/>
      </w:pPr>
      <w:r>
        <w:tab/>
      </w:r>
      <w:r>
        <w:tab/>
        <w:t>A lessor or property manager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No. 60 of 2011 s. 22; amended: No. 11 of 2024 s. 19.] </w:t>
      </w:r>
    </w:p>
    <w:p>
      <w:pPr>
        <w:pStyle w:val="Heading5"/>
      </w:pPr>
      <w:bookmarkStart w:id="388" w:name="_Toc171694282"/>
      <w:bookmarkStart w:id="389" w:name="_Toc171339067"/>
      <w:r>
        <w:rPr>
          <w:rStyle w:val="CharSectno"/>
        </w:rPr>
        <w:t>27C</w:t>
      </w:r>
      <w:r>
        <w:t>.</w:t>
      </w:r>
      <w:r>
        <w:tab/>
      </w:r>
      <w:r>
        <w:rPr>
          <w:snapToGrid w:val="0"/>
        </w:rPr>
        <w:t>Property condition report at start and end of tenancy</w:t>
      </w:r>
      <w:bookmarkEnd w:id="388"/>
      <w:bookmarkEnd w:id="389"/>
    </w:p>
    <w:p>
      <w:pPr>
        <w:pStyle w:val="Subsection"/>
        <w:keepNext/>
      </w:pPr>
      <w:r>
        <w:tab/>
        <w:t>(1)</w:t>
      </w:r>
      <w:r>
        <w:tab/>
      </w:r>
      <w:r>
        <w:rPr>
          <w:snapToGrid w:val="0"/>
        </w:rPr>
        <w:t xml:space="preserve">A lessor </w:t>
      </w:r>
      <w:r>
        <w:t>or property manager</w:t>
      </w:r>
      <w:r>
        <w:rPr>
          <w:snapToGrid w:val="0"/>
        </w:rPr>
        <w:t xml:space="preserve">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r>
      <w:r>
        <w:t>Penalty for this subsection:</w:t>
      </w:r>
      <w:r>
        <w:rPr>
          <w:snapToGrid w:val="0"/>
        </w:rPr>
        <w:t xml:space="preserve">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 or property manager, as the case requires.</w:t>
      </w:r>
    </w:p>
    <w:p>
      <w:pPr>
        <w:pStyle w:val="Subsection"/>
      </w:pPr>
      <w:r>
        <w:tab/>
        <w:t>(3)</w:t>
      </w:r>
      <w:r>
        <w:tab/>
        <w:t>If the tenant does not give a copy of the report back to the lessor or property manager under subsection (2), the tenant is to be taken to accept the report as a true and accurate description of the condition of the residential premises.</w:t>
      </w:r>
    </w:p>
    <w:p>
      <w:pPr>
        <w:pStyle w:val="Subsection"/>
      </w:pPr>
      <w:r>
        <w:tab/>
        <w:t>(4)</w:t>
      </w:r>
      <w:r>
        <w:tab/>
      </w:r>
      <w:r>
        <w:rPr>
          <w:snapToGrid w:val="0"/>
        </w:rPr>
        <w:t xml:space="preserve">A lessor </w:t>
      </w:r>
      <w:r>
        <w:t>or property manager</w:t>
      </w:r>
      <w:r>
        <w:rPr>
          <w:snapToGrid w:val="0"/>
        </w:rPr>
        <w:t xml:space="preserve"> must,</w:t>
      </w:r>
      <w:r>
        <w:t xml:space="preserve"> </w:t>
      </w:r>
      <w:r>
        <w:rPr>
          <w:snapToGrid w:val="0"/>
        </w:rPr>
        <w:t xml:space="preserve">as soon as practicable, and in any event within 14 days, after the termination of a </w:t>
      </w:r>
      <w:r>
        <w:t>tenancy or tenant’s interest in a residential tenancy agreement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r>
      <w:r>
        <w:t>Penalty for this subsection:</w:t>
      </w:r>
      <w:r>
        <w:rPr>
          <w:snapToGrid w:val="0"/>
        </w:rPr>
        <w:t xml:space="preserve"> a fine of </w:t>
      </w:r>
      <w:r>
        <w:t>$5 000.</w:t>
      </w:r>
    </w:p>
    <w:p>
      <w:pPr>
        <w:pStyle w:val="Subsection"/>
      </w:pPr>
      <w:r>
        <w:tab/>
        <w:t>(4A)</w:t>
      </w:r>
      <w:r>
        <w:tab/>
        <w:t xml:space="preserve">A lessor or property manager is taken to comply with subsection (4) if, before the termination of a tenant’s interest, the lessor or property manager — </w:t>
      </w:r>
    </w:p>
    <w:p>
      <w:pPr>
        <w:pStyle w:val="Indenta"/>
      </w:pPr>
      <w:r>
        <w:tab/>
        <w:t>(a)</w:t>
      </w:r>
      <w:r>
        <w:tab/>
        <w:t>enters residential premises under section 46(6B); and</w:t>
      </w:r>
    </w:p>
    <w:p>
      <w:pPr>
        <w:pStyle w:val="Indenta"/>
      </w:pPr>
      <w:r>
        <w:tab/>
        <w:t>(b)</w:t>
      </w:r>
      <w:r>
        <w:tab/>
        <w:t xml:space="preserve">in relation to that entry — </w:t>
      </w:r>
    </w:p>
    <w:p>
      <w:pPr>
        <w:pStyle w:val="Indenti"/>
      </w:pPr>
      <w:r>
        <w:tab/>
        <w:t>(i)</w:t>
      </w:r>
      <w:r>
        <w:tab/>
        <w:t xml:space="preserve">conducts an inspection of the premises; and </w:t>
      </w:r>
    </w:p>
    <w:p>
      <w:pPr>
        <w:pStyle w:val="Indenti"/>
      </w:pPr>
      <w:r>
        <w:tab/>
        <w:t>(ii)</w:t>
      </w:r>
      <w:r>
        <w:tab/>
        <w:t xml:space="preserve">prepares a report describing the condition of the premises; and </w:t>
      </w:r>
    </w:p>
    <w:p>
      <w:pPr>
        <w:pStyle w:val="Indenti"/>
      </w:pPr>
      <w:r>
        <w:tab/>
        <w:t>(iii)</w:t>
      </w:r>
      <w:r>
        <w:tab/>
        <w:t>provides a copy of the report to the tenant.</w:t>
      </w:r>
    </w:p>
    <w:p>
      <w:pPr>
        <w:pStyle w:val="Subsection"/>
      </w:pPr>
      <w:r>
        <w:tab/>
        <w:t>(5)</w:t>
      </w:r>
      <w:r>
        <w:tab/>
        <w:t>The tenant is to be given a reasonable opportunity to be present at the inspection conducted under subsection (4)(a) or (4A)(a).</w:t>
      </w:r>
    </w:p>
    <w:p>
      <w:pPr>
        <w:pStyle w:val="Subsection"/>
        <w:keepNext/>
      </w:pPr>
      <w:r>
        <w:tab/>
        <w:t>(6)</w:t>
      </w:r>
      <w:r>
        <w:tab/>
        <w:t>The regulations may prescribe information that must be included in a property condition report.</w:t>
      </w:r>
    </w:p>
    <w:p>
      <w:pPr>
        <w:pStyle w:val="Footnotesection"/>
      </w:pPr>
      <w:r>
        <w:tab/>
        <w:t xml:space="preserve">[Section 27C inserted: No. 60 of 2011 s. 22; amended: No. 3 of 2019 s. 6 and 25; No. 11 of 2024 s. 20.] </w:t>
      </w:r>
    </w:p>
    <w:p>
      <w:pPr>
        <w:pStyle w:val="Heading3"/>
        <w:rPr>
          <w:snapToGrid w:val="0"/>
        </w:rPr>
      </w:pPr>
      <w:bookmarkStart w:id="390" w:name="_Toc171673957"/>
      <w:bookmarkStart w:id="391" w:name="_Toc171680536"/>
      <w:bookmarkStart w:id="392" w:name="_Toc171680801"/>
      <w:bookmarkStart w:id="393" w:name="_Toc171681352"/>
      <w:bookmarkStart w:id="394" w:name="_Toc171681768"/>
      <w:bookmarkStart w:id="395" w:name="_Toc171682032"/>
      <w:bookmarkStart w:id="396" w:name="_Toc171694283"/>
      <w:bookmarkStart w:id="397" w:name="_Toc171089818"/>
      <w:bookmarkStart w:id="398" w:name="_Toc171338265"/>
      <w:bookmarkStart w:id="399" w:name="_Toc171339068"/>
      <w:r>
        <w:rPr>
          <w:rStyle w:val="CharDivNo"/>
        </w:rPr>
        <w:t>Division 1</w:t>
      </w:r>
      <w:r>
        <w:rPr>
          <w:snapToGrid w:val="0"/>
        </w:rPr>
        <w:t> — </w:t>
      </w:r>
      <w:r>
        <w:rPr>
          <w:rStyle w:val="CharDivText"/>
        </w:rPr>
        <w:t>Rent and security bonds</w:t>
      </w:r>
      <w:bookmarkEnd w:id="390"/>
      <w:bookmarkEnd w:id="391"/>
      <w:bookmarkEnd w:id="392"/>
      <w:bookmarkEnd w:id="393"/>
      <w:bookmarkEnd w:id="394"/>
      <w:bookmarkEnd w:id="395"/>
      <w:bookmarkEnd w:id="396"/>
      <w:bookmarkEnd w:id="397"/>
      <w:bookmarkEnd w:id="398"/>
      <w:bookmarkEnd w:id="399"/>
    </w:p>
    <w:p>
      <w:pPr>
        <w:pStyle w:val="Heading5"/>
        <w:spacing w:before="160"/>
        <w:rPr>
          <w:snapToGrid w:val="0"/>
        </w:rPr>
      </w:pPr>
      <w:bookmarkStart w:id="400" w:name="_Toc171694284"/>
      <w:bookmarkStart w:id="401" w:name="_Toc171339069"/>
      <w:r>
        <w:rPr>
          <w:rStyle w:val="CharSectno"/>
        </w:rPr>
        <w:t>27</w:t>
      </w:r>
      <w:r>
        <w:rPr>
          <w:snapToGrid w:val="0"/>
        </w:rPr>
        <w:t>.</w:t>
      </w:r>
      <w:r>
        <w:rPr>
          <w:snapToGrid w:val="0"/>
        </w:rPr>
        <w:tab/>
        <w:t>Restriction on consideration for tenancy agreement</w:t>
      </w:r>
      <w:bookmarkEnd w:id="400"/>
      <w:bookmarkEnd w:id="401"/>
      <w:r>
        <w:rPr>
          <w:snapToGrid w:val="0"/>
        </w:rPr>
        <w:t xml:space="preserve"> </w:t>
      </w:r>
    </w:p>
    <w:p>
      <w:pPr>
        <w:pStyle w:val="Subsection"/>
        <w:rPr>
          <w:snapToGrid w:val="0"/>
        </w:rPr>
      </w:pPr>
      <w:r>
        <w:rPr>
          <w:snapToGrid w:val="0"/>
        </w:rPr>
        <w:tab/>
        <w:t>(1)</w:t>
      </w:r>
      <w:r>
        <w:rPr>
          <w:snapToGrid w:val="0"/>
        </w:rPr>
        <w:tab/>
      </w:r>
      <w:r>
        <w:t>A person must</w:t>
      </w:r>
      <w:r>
        <w:rPr>
          <w:snapToGrid w:val="0"/>
        </w:rPr>
        <w:t xml:space="preserve"> not require or receive from a tenant any monetary </w:t>
      </w:r>
      <w:r>
        <w:t>amount for or in relation to</w:t>
      </w:r>
      <w:r>
        <w:rPr>
          <w:snapToGrid w:val="0"/>
        </w:rPr>
        <w:t xml:space="preserve"> a residential tenancy agreement other than rent and a security bond.</w:t>
      </w:r>
    </w:p>
    <w:p>
      <w:pPr>
        <w:pStyle w:val="Penstart"/>
      </w:pPr>
      <w:r>
        <w:tab/>
        <w:t>Penalty for this subsection: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No. 59 of 1995 s. 46 and 55; No. 60 of 2011 s. 23 and 89; No. 3 of 2019 s. 25; No. 11 of 2024 s. 21.] </w:t>
      </w:r>
    </w:p>
    <w:p>
      <w:pPr>
        <w:pStyle w:val="Heading5"/>
      </w:pPr>
      <w:bookmarkStart w:id="402" w:name="_Toc171694285"/>
      <w:bookmarkStart w:id="403" w:name="_Toc171339070"/>
      <w:r>
        <w:rPr>
          <w:rStyle w:val="CharSectno"/>
        </w:rPr>
        <w:t>27AA</w:t>
      </w:r>
      <w:r>
        <w:t>.</w:t>
      </w:r>
      <w:r>
        <w:tab/>
        <w:t>Residential tenancy must be offered for rent at fixed amount</w:t>
      </w:r>
      <w:bookmarkEnd w:id="402"/>
      <w:bookmarkEnd w:id="403"/>
    </w:p>
    <w:p>
      <w:pPr>
        <w:pStyle w:val="Subsection"/>
      </w:pPr>
      <w:r>
        <w:tab/>
        <w:t>(1)</w:t>
      </w:r>
      <w:r>
        <w:tab/>
        <w:t xml:space="preserve">A person must not advertise or otherwise offer a tenancy for residential premises unless — </w:t>
      </w:r>
    </w:p>
    <w:p>
      <w:pPr>
        <w:pStyle w:val="Indenta"/>
      </w:pPr>
      <w:r>
        <w:tab/>
        <w:t>(a)</w:t>
      </w:r>
      <w:r>
        <w:tab/>
        <w:t>the amount of rent stated in the advertisement or offer is a fixed amount; or</w:t>
      </w:r>
    </w:p>
    <w:p>
      <w:pPr>
        <w:pStyle w:val="Indenta"/>
      </w:pPr>
      <w:r>
        <w:tab/>
        <w:t>(b)</w:t>
      </w:r>
      <w:r>
        <w:tab/>
        <w:t>the advertisement or offer states that the amount of rent is calculated by reference to the tenant’s income.</w:t>
      </w:r>
    </w:p>
    <w:p>
      <w:pPr>
        <w:pStyle w:val="Penstart"/>
      </w:pPr>
      <w:r>
        <w:tab/>
        <w:t>Penalty for this subsection: a fine of $10 000.</w:t>
      </w:r>
    </w:p>
    <w:p>
      <w:pPr>
        <w:pStyle w:val="Subsection"/>
      </w:pPr>
      <w:r>
        <w:tab/>
        <w:t>(2)</w:t>
      </w:r>
      <w:r>
        <w:tab/>
        <w:t>A person does not commit an offence against subsection (1) if the person places a sign advertising or offering residential premises for rent at or near the premises and the sign does not state an amount of rent for the premises.</w:t>
      </w:r>
    </w:p>
    <w:p>
      <w:pPr>
        <w:pStyle w:val="Subsection"/>
      </w:pPr>
      <w:r>
        <w:tab/>
        <w:t>(3)</w:t>
      </w:r>
      <w:r>
        <w:tab/>
        <w:t>A person must not solicit or otherwise invite a person to make an offer to become a tenant of residential premises at a rent higher than the amount advertised as the rent for the premises.</w:t>
      </w:r>
    </w:p>
    <w:p>
      <w:pPr>
        <w:pStyle w:val="Penstart"/>
      </w:pPr>
      <w:r>
        <w:tab/>
        <w:t>Penalty for this subsection: a fine of $10 000.</w:t>
      </w:r>
    </w:p>
    <w:p>
      <w:pPr>
        <w:pStyle w:val="Footnotesection"/>
      </w:pPr>
      <w:r>
        <w:tab/>
        <w:t>[Section 27AA inserted: No. 11 of 2024 s. 22.]</w:t>
      </w:r>
    </w:p>
    <w:p>
      <w:pPr>
        <w:pStyle w:val="Heading5"/>
        <w:rPr>
          <w:snapToGrid w:val="0"/>
        </w:rPr>
      </w:pPr>
      <w:bookmarkStart w:id="404" w:name="_Toc171694286"/>
      <w:bookmarkStart w:id="405" w:name="_Toc171339071"/>
      <w:r>
        <w:rPr>
          <w:rStyle w:val="CharSectno"/>
        </w:rPr>
        <w:t>28</w:t>
      </w:r>
      <w:r>
        <w:rPr>
          <w:snapToGrid w:val="0"/>
        </w:rPr>
        <w:t>.</w:t>
      </w:r>
      <w:r>
        <w:rPr>
          <w:snapToGrid w:val="0"/>
        </w:rPr>
        <w:tab/>
        <w:t>Rent in advance</w:t>
      </w:r>
      <w:bookmarkEnd w:id="404"/>
      <w:bookmarkEnd w:id="405"/>
      <w:r>
        <w:rPr>
          <w:snapToGrid w:val="0"/>
        </w:rPr>
        <w:t xml:space="preserve"> </w:t>
      </w:r>
    </w:p>
    <w:p>
      <w:pPr>
        <w:pStyle w:val="Subsection"/>
        <w:rPr>
          <w:snapToGrid w:val="0"/>
        </w:rPr>
      </w:pPr>
      <w:r>
        <w:rPr>
          <w:snapToGrid w:val="0"/>
        </w:rPr>
        <w:tab/>
        <w:t>(1)</w:t>
      </w:r>
      <w:r>
        <w:rPr>
          <w:snapToGrid w:val="0"/>
        </w:rPr>
        <w:tab/>
        <w:t xml:space="preserve">A person </w:t>
      </w:r>
      <w:r>
        <w:t>must</w:t>
      </w:r>
      <w:r>
        <w:rPr>
          <w:snapToGrid w:val="0"/>
        </w:rPr>
        <w:t xml:space="preserve">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for this subsection: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for this subsection: a fine of $5 000.</w:t>
      </w:r>
    </w:p>
    <w:p>
      <w:pPr>
        <w:pStyle w:val="Footnotesection"/>
      </w:pPr>
      <w:r>
        <w:tab/>
        <w:t xml:space="preserve">[Section 28 amended: No. 59 of 1995 s. 55; No. 60 of 2011 s. 24; No. 3 of 2019 s. 25; No. 11 of 2024 s. 23.] </w:t>
      </w:r>
    </w:p>
    <w:p>
      <w:pPr>
        <w:pStyle w:val="Heading5"/>
        <w:rPr>
          <w:snapToGrid w:val="0"/>
        </w:rPr>
      </w:pPr>
      <w:bookmarkStart w:id="406" w:name="_Toc171694287"/>
      <w:bookmarkStart w:id="407" w:name="_Toc171339072"/>
      <w:r>
        <w:rPr>
          <w:rStyle w:val="CharSectno"/>
        </w:rPr>
        <w:t>29</w:t>
      </w:r>
      <w:r>
        <w:rPr>
          <w:snapToGrid w:val="0"/>
        </w:rPr>
        <w:t>.</w:t>
      </w:r>
      <w:r>
        <w:rPr>
          <w:snapToGrid w:val="0"/>
        </w:rPr>
        <w:tab/>
        <w:t>Security bonds</w:t>
      </w:r>
      <w:bookmarkEnd w:id="406"/>
      <w:bookmarkEnd w:id="407"/>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for this subsection: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for this subsection: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for this subsection: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for this subsection: a fine of $5 000.</w:t>
      </w:r>
    </w:p>
    <w:p>
      <w:pPr>
        <w:pStyle w:val="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pPr>
        <w:pStyle w:val="Footnotesection"/>
      </w:pPr>
      <w:r>
        <w:tab/>
        <w:t xml:space="preserve">[Section 29 amended: No. 59 of 1995 s. 47 and 55; No. 69 of 2006 s. 31; No. 60 of 2011 s. 25; No. 18 of 2013 s. 62; No. 3 of 2019 .s 7 and 25; No. 11 of 2024 s. 24(1).] </w:t>
      </w:r>
    </w:p>
    <w:p>
      <w:pPr>
        <w:pStyle w:val="Ednotesection"/>
      </w:pPr>
      <w:r>
        <w:t>[</w:t>
      </w:r>
      <w:r>
        <w:rPr>
          <w:b/>
        </w:rPr>
        <w:t>29A.</w:t>
      </w:r>
      <w:r>
        <w:tab/>
        <w:t>Deleted: No. 60 of 2011 s. 26.]</w:t>
      </w:r>
    </w:p>
    <w:p>
      <w:pPr>
        <w:pStyle w:val="Heading5"/>
        <w:rPr>
          <w:snapToGrid w:val="0"/>
        </w:rPr>
      </w:pPr>
      <w:bookmarkStart w:id="408" w:name="_Toc171694288"/>
      <w:bookmarkStart w:id="409" w:name="_Toc171339073"/>
      <w:r>
        <w:rPr>
          <w:rStyle w:val="CharSectno"/>
        </w:rPr>
        <w:t>30</w:t>
      </w:r>
      <w:r>
        <w:rPr>
          <w:snapToGrid w:val="0"/>
        </w:rPr>
        <w:t>.</w:t>
      </w:r>
      <w:r>
        <w:rPr>
          <w:snapToGrid w:val="0"/>
        </w:rPr>
        <w:tab/>
        <w:t>Variation of rent (except where calculated by reference to tenant’s income)</w:t>
      </w:r>
      <w:bookmarkEnd w:id="408"/>
      <w:bookmarkEnd w:id="409"/>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w:t>
      </w:r>
      <w:del w:id="410" w:author="Master Repository Process" w:date="2025-06-25T10:45:00Z">
        <w:r>
          <w:delText>a form</w:delText>
        </w:r>
      </w:del>
      <w:ins w:id="411" w:author="Master Repository Process" w:date="2025-06-25T10:45:00Z">
        <w:r>
          <w:t>the</w:t>
        </w:r>
      </w:ins>
      <w:r>
        <w:t xml:space="preserve"> approved </w:t>
      </w:r>
      <w:del w:id="412" w:author="Master Repository Process" w:date="2025-06-25T10:45:00Z">
        <w:r>
          <w:delText>by the Minister</w:delText>
        </w:r>
      </w:del>
      <w:ins w:id="413" w:author="Master Repository Process" w:date="2025-06-25T10:45:00Z">
        <w:r>
          <w:t>form</w:t>
        </w:r>
      </w:ins>
      <w:r>
        <w:t xml:space="preserve">,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 xml:space="preserve">not less than </w:t>
      </w:r>
      <w:del w:id="414" w:author="Master Repository Process" w:date="2025-06-25T10:45:00Z">
        <w:r>
          <w:rPr>
            <w:snapToGrid w:val="0"/>
          </w:rPr>
          <w:delText>6</w:delText>
        </w:r>
      </w:del>
      <w:ins w:id="415" w:author="Master Repository Process" w:date="2025-06-25T10:45:00Z">
        <w:r>
          <w:t>12</w:t>
        </w:r>
      </w:ins>
      <w:r>
        <w:t> months</w:t>
      </w:r>
      <w:r>
        <w:rPr>
          <w:snapToGrid w:val="0"/>
        </w:rPr>
        <w:t xml:space="preserve">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[Section 30 amended: No. 60 of 2011 s. 27, 88 and 89</w:t>
      </w:r>
      <w:del w:id="416" w:author="Master Repository Process" w:date="2025-06-25T10:45:00Z">
        <w:r>
          <w:delText>.]</w:delText>
        </w:r>
      </w:del>
      <w:ins w:id="417" w:author="Master Repository Process" w:date="2025-06-25T10:45:00Z">
        <w:r>
          <w:t>; No. 11 of 2024 s. 25.]</w:t>
        </w:r>
      </w:ins>
      <w:r>
        <w:t xml:space="preserve"> </w:t>
      </w:r>
    </w:p>
    <w:p>
      <w:pPr>
        <w:pStyle w:val="Heading5"/>
      </w:pPr>
      <w:bookmarkStart w:id="418" w:name="_Toc171694289"/>
      <w:bookmarkStart w:id="419" w:name="_Toc171339074"/>
      <w:r>
        <w:rPr>
          <w:rStyle w:val="CharSectno"/>
        </w:rPr>
        <w:t>31A</w:t>
      </w:r>
      <w:r>
        <w:t>.</w:t>
      </w:r>
      <w:r>
        <w:tab/>
        <w:t>Variation of rent where calculated by reference to tenant’s income</w:t>
      </w:r>
      <w:bookmarkEnd w:id="418"/>
      <w:bookmarkEnd w:id="419"/>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w:t>
      </w:r>
      <w:del w:id="420" w:author="Master Repository Process" w:date="2025-06-25T10:45:00Z">
        <w:r>
          <w:rPr>
            <w:snapToGrid w:val="0"/>
          </w:rPr>
          <w:delText>a form</w:delText>
        </w:r>
      </w:del>
      <w:ins w:id="421" w:author="Master Repository Process" w:date="2025-06-25T10:45:00Z">
        <w:r>
          <w:rPr>
            <w:snapToGrid w:val="0"/>
          </w:rPr>
          <w:t>the</w:t>
        </w:r>
      </w:ins>
      <w:r>
        <w:rPr>
          <w:snapToGrid w:val="0"/>
        </w:rPr>
        <w:t xml:space="preserve"> approved </w:t>
      </w:r>
      <w:del w:id="422" w:author="Master Repository Process" w:date="2025-06-25T10:45:00Z">
        <w:r>
          <w:rPr>
            <w:snapToGrid w:val="0"/>
          </w:rPr>
          <w:delText>by the Minister</w:delText>
        </w:r>
      </w:del>
      <w:ins w:id="423" w:author="Master Repository Process" w:date="2025-06-25T10:45:00Z">
        <w:r>
          <w:rPr>
            <w:snapToGrid w:val="0"/>
          </w:rPr>
          <w:t>form</w:t>
        </w:r>
      </w:ins>
      <w:r>
        <w:rPr>
          <w:snapToGrid w:val="0"/>
        </w:rPr>
        <w:t xml:space="preserve">,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 xml:space="preserve">not less than </w:t>
      </w:r>
      <w:del w:id="424" w:author="Master Repository Process" w:date="2025-06-25T10:45:00Z">
        <w:r>
          <w:delText>6</w:delText>
        </w:r>
      </w:del>
      <w:ins w:id="425" w:author="Master Repository Process" w:date="2025-06-25T10:45:00Z">
        <w:r>
          <w:t>12</w:t>
        </w:r>
      </w:ins>
      <w:r>
        <w:t> months after the day on which the tenancy commenced, or, if the means of calculating rent has been changed under this section, the day on which it was last so changed.</w:t>
      </w:r>
    </w:p>
    <w:p>
      <w:pPr>
        <w:pStyle w:val="Footnotesection"/>
      </w:pPr>
      <w:r>
        <w:tab/>
        <w:t>[Section 31A inserted: No. 60 of 2011 s. </w:t>
      </w:r>
      <w:del w:id="426" w:author="Master Repository Process" w:date="2025-06-25T10:45:00Z">
        <w:r>
          <w:delText xml:space="preserve">28.] </w:delText>
        </w:r>
      </w:del>
      <w:ins w:id="427" w:author="Master Repository Process" w:date="2025-06-25T10:45:00Z">
        <w:r>
          <w:t>28; amended: No. 11 of 2024 s. 26.]</w:t>
        </w:r>
      </w:ins>
    </w:p>
    <w:p>
      <w:pPr>
        <w:pStyle w:val="Heading5"/>
        <w:rPr>
          <w:del w:id="428" w:author="Master Repository Process" w:date="2025-06-25T10:45:00Z"/>
        </w:rPr>
      </w:pPr>
      <w:bookmarkStart w:id="429" w:name="_Toc171339075"/>
      <w:del w:id="430" w:author="Master Repository Process" w:date="2025-06-25T10:45:00Z">
        <w:r>
          <w:rPr>
            <w:rStyle w:val="CharSectno"/>
          </w:rPr>
          <w:delText>31B</w:delText>
        </w:r>
        <w:r>
          <w:delText>.</w:delText>
        </w:r>
        <w:r>
          <w:tab/>
          <w:delText>Increase in rent after renegotiating lease</w:delText>
        </w:r>
        <w:bookmarkEnd w:id="429"/>
      </w:del>
    </w:p>
    <w:p>
      <w:pPr>
        <w:pStyle w:val="Heading5"/>
        <w:rPr>
          <w:ins w:id="431" w:author="Master Repository Process" w:date="2025-06-25T10:45:00Z"/>
        </w:rPr>
      </w:pPr>
      <w:bookmarkStart w:id="432" w:name="_Toc171694290"/>
      <w:ins w:id="433" w:author="Master Repository Process" w:date="2025-06-25T10:45:00Z">
        <w:r>
          <w:rPr>
            <w:rStyle w:val="CharSectno"/>
          </w:rPr>
          <w:t>31B</w:t>
        </w:r>
        <w:r>
          <w:t>.</w:t>
        </w:r>
        <w:r>
          <w:tab/>
          <w:t>When residential tenancy agreement is continuation of existing residential tenancy agreement</w:t>
        </w:r>
        <w:bookmarkEnd w:id="432"/>
      </w:ins>
    </w:p>
    <w:p>
      <w:pPr>
        <w:pStyle w:val="Subsection"/>
      </w:pPr>
      <w:r>
        <w:tab/>
        <w:t>(1)</w:t>
      </w:r>
      <w:r>
        <w:tab/>
      </w:r>
      <w:del w:id="434" w:author="Master Repository Process" w:date="2025-06-25T10:45:00Z">
        <w:r>
          <w:delText>Subsection (2) has effect if —</w:delText>
        </w:r>
      </w:del>
      <w:ins w:id="435" w:author="Master Repository Process" w:date="2025-06-25T10:45:00Z">
        <w:r>
          <w:t>This section applies for the purposes of working out —</w:t>
        </w:r>
      </w:ins>
      <w:r>
        <w:t xml:space="preserve"> </w:t>
      </w:r>
    </w:p>
    <w:p>
      <w:pPr>
        <w:pStyle w:val="Indenta"/>
      </w:pPr>
      <w:r>
        <w:tab/>
        <w:t>(a)</w:t>
      </w:r>
      <w:r>
        <w:tab/>
      </w:r>
      <w:ins w:id="436" w:author="Master Repository Process" w:date="2025-06-25T10:45:00Z">
        <w:r>
          <w:t xml:space="preserve">when the rent payable under </w:t>
        </w:r>
      </w:ins>
      <w:r>
        <w:t xml:space="preserve">a residential tenancy agreement </w:t>
      </w:r>
      <w:del w:id="437" w:author="Master Repository Process" w:date="2025-06-25T10:45:00Z">
        <w:r>
          <w:delText xml:space="preserve">creates a tenancy for a fixed term (the </w:delText>
        </w:r>
        <w:r>
          <w:rPr>
            <w:rStyle w:val="CharDefText"/>
          </w:rPr>
          <w:delText>former agreement</w:delText>
        </w:r>
        <w:r>
          <w:delText>); and</w:delText>
        </w:r>
      </w:del>
      <w:ins w:id="438" w:author="Master Repository Process" w:date="2025-06-25T10:45:00Z">
        <w:r>
          <w:t>was last increased under section 30; or</w:t>
        </w:r>
      </w:ins>
    </w:p>
    <w:p>
      <w:pPr>
        <w:pStyle w:val="Indenta"/>
        <w:rPr>
          <w:ins w:id="439" w:author="Master Repository Process" w:date="2025-06-25T10:45:00Z"/>
        </w:rPr>
      </w:pPr>
      <w:r>
        <w:tab/>
        <w:t>(b)</w:t>
      </w:r>
      <w:r>
        <w:tab/>
      </w:r>
      <w:ins w:id="440" w:author="Master Repository Process" w:date="2025-06-25T10:45:00Z">
        <w:r>
          <w:t xml:space="preserve">when </w:t>
        </w:r>
      </w:ins>
      <w:r>
        <w:t xml:space="preserve">the </w:t>
      </w:r>
      <w:del w:id="441" w:author="Master Repository Process" w:date="2025-06-25T10:45:00Z">
        <w:r>
          <w:delText>parties enter into a new</w:delText>
        </w:r>
      </w:del>
      <w:ins w:id="442" w:author="Master Repository Process" w:date="2025-06-25T10:45:00Z">
        <w:r>
          <w:t>means of calculating rent under a</w:t>
        </w:r>
      </w:ins>
      <w:r>
        <w:t xml:space="preserve"> residential tenancy agreement </w:t>
      </w:r>
      <w:del w:id="443" w:author="Master Repository Process" w:date="2025-06-25T10:45:00Z">
        <w:r>
          <w:delText>in relation</w:delText>
        </w:r>
      </w:del>
      <w:ins w:id="444" w:author="Master Repository Process" w:date="2025-06-25T10:45:00Z">
        <w:r>
          <w:t>was last changed under section 31A.</w:t>
        </w:r>
      </w:ins>
    </w:p>
    <w:p>
      <w:pPr>
        <w:pStyle w:val="Subsection"/>
        <w:rPr>
          <w:ins w:id="445" w:author="Master Repository Process" w:date="2025-06-25T10:45:00Z"/>
        </w:rPr>
      </w:pPr>
      <w:ins w:id="446" w:author="Master Repository Process" w:date="2025-06-25T10:45:00Z">
        <w:r>
          <w:tab/>
          <w:t>(2)</w:t>
        </w:r>
        <w:r>
          <w:tab/>
          <w:t xml:space="preserve">A residential tenancy agreement (the </w:t>
        </w:r>
        <w:r>
          <w:rPr>
            <w:rStyle w:val="CharDefText"/>
          </w:rPr>
          <w:t>continuing agreement</w:t>
        </w:r>
        <w:r>
          <w:t>) is taken</w:t>
        </w:r>
      </w:ins>
      <w:r>
        <w:t xml:space="preserve"> to </w:t>
      </w:r>
      <w:ins w:id="447" w:author="Master Repository Process" w:date="2025-06-25T10:45:00Z">
        <w:r>
          <w:t xml:space="preserve">be a continuation of another residential tenancy agreement (the </w:t>
        </w:r>
        <w:r>
          <w:rPr>
            <w:rStyle w:val="CharDefText"/>
          </w:rPr>
          <w:t>existing agreement</w:t>
        </w:r>
        <w:r>
          <w:t xml:space="preserve">) if the continuing agreement — </w:t>
        </w:r>
      </w:ins>
    </w:p>
    <w:p>
      <w:pPr>
        <w:pStyle w:val="Indenta"/>
        <w:rPr>
          <w:ins w:id="448" w:author="Master Repository Process" w:date="2025-06-25T10:45:00Z"/>
        </w:rPr>
      </w:pPr>
      <w:ins w:id="449" w:author="Master Repository Process" w:date="2025-06-25T10:45:00Z">
        <w:r>
          <w:tab/>
          <w:t>(a)</w:t>
        </w:r>
        <w:r>
          <w:tab/>
          <w:t xml:space="preserve">is between </w:t>
        </w:r>
      </w:ins>
      <w:r>
        <w:t xml:space="preserve">the same </w:t>
      </w:r>
      <w:ins w:id="450" w:author="Master Repository Process" w:date="2025-06-25T10:45:00Z">
        <w:r>
          <w:t>parties as the existing agreement; and</w:t>
        </w:r>
      </w:ins>
    </w:p>
    <w:p>
      <w:pPr>
        <w:pStyle w:val="Indenta"/>
        <w:rPr>
          <w:ins w:id="451" w:author="Master Repository Process" w:date="2025-06-25T10:45:00Z"/>
        </w:rPr>
      </w:pPr>
      <w:ins w:id="452" w:author="Master Repository Process" w:date="2025-06-25T10:45:00Z">
        <w:r>
          <w:tab/>
          <w:t>(b)</w:t>
        </w:r>
        <w:r>
          <w:tab/>
          <w:t xml:space="preserve">is for the same residential </w:t>
        </w:r>
      </w:ins>
      <w:r>
        <w:t xml:space="preserve">premises </w:t>
      </w:r>
      <w:del w:id="453" w:author="Master Repository Process" w:date="2025-06-25T10:45:00Z">
        <w:r>
          <w:delText>(</w:delText>
        </w:r>
      </w:del>
      <w:ins w:id="454" w:author="Master Repository Process" w:date="2025-06-25T10:45:00Z">
        <w:r>
          <w:t xml:space="preserve">as </w:t>
        </w:r>
      </w:ins>
      <w:r>
        <w:t xml:space="preserve">the </w:t>
      </w:r>
      <w:del w:id="455" w:author="Master Repository Process" w:date="2025-06-25T10:45:00Z">
        <w:r>
          <w:rPr>
            <w:rStyle w:val="CharDefText"/>
          </w:rPr>
          <w:delText>new</w:delText>
        </w:r>
      </w:del>
      <w:ins w:id="456" w:author="Master Repository Process" w:date="2025-06-25T10:45:00Z">
        <w:r>
          <w:t>existing</w:t>
        </w:r>
      </w:ins>
      <w:r>
        <w:t xml:space="preserve"> agreement</w:t>
      </w:r>
      <w:del w:id="457" w:author="Master Repository Process" w:date="2025-06-25T10:45:00Z">
        <w:r>
          <w:delText>) that is to commence</w:delText>
        </w:r>
      </w:del>
      <w:ins w:id="458" w:author="Master Repository Process" w:date="2025-06-25T10:45:00Z">
        <w:r>
          <w:t>; and</w:t>
        </w:r>
      </w:ins>
    </w:p>
    <w:p>
      <w:pPr>
        <w:pStyle w:val="Indenta"/>
      </w:pPr>
      <w:ins w:id="459" w:author="Master Repository Process" w:date="2025-06-25T10:45:00Z">
        <w:r>
          <w:tab/>
          <w:t>(c)</w:t>
        </w:r>
        <w:r>
          <w:tab/>
          <w:t>starts</w:t>
        </w:r>
      </w:ins>
      <w:r>
        <w:t xml:space="preserve"> immediately after the end of the term of the </w:t>
      </w:r>
      <w:del w:id="460" w:author="Master Repository Process" w:date="2025-06-25T10:45:00Z">
        <w:r>
          <w:delText>former agreement, whether under the terms of the agreement or under section 76C</w:delText>
        </w:r>
      </w:del>
      <w:ins w:id="461" w:author="Master Repository Process" w:date="2025-06-25T10:45:00Z">
        <w:r>
          <w:t>existing agreement</w:t>
        </w:r>
      </w:ins>
      <w:r>
        <w:t>.</w:t>
      </w:r>
    </w:p>
    <w:p>
      <w:pPr>
        <w:pStyle w:val="PermNoteHeading"/>
        <w:rPr>
          <w:ins w:id="462" w:author="Master Repository Process" w:date="2025-06-25T10:45:00Z"/>
        </w:rPr>
      </w:pPr>
      <w:r>
        <w:tab/>
      </w:r>
      <w:del w:id="463" w:author="Master Repository Process" w:date="2025-06-25T10:45:00Z">
        <w:r>
          <w:delText>(2)</w:delText>
        </w:r>
        <w:r>
          <w:tab/>
          <w:delText xml:space="preserve">The tenant cannot be required under </w:delText>
        </w:r>
      </w:del>
      <w:ins w:id="464" w:author="Master Repository Process" w:date="2025-06-25T10:45:00Z">
        <w:r>
          <w:t>Note for this subsection:</w:t>
        </w:r>
      </w:ins>
    </w:p>
    <w:p>
      <w:pPr>
        <w:pStyle w:val="PermNoteText"/>
        <w:rPr>
          <w:ins w:id="465" w:author="Master Repository Process" w:date="2025-06-25T10:45:00Z"/>
        </w:rPr>
      </w:pPr>
      <w:ins w:id="466" w:author="Master Repository Process" w:date="2025-06-25T10:45:00Z">
        <w:r>
          <w:tab/>
        </w:r>
        <w:r>
          <w:tab/>
          <w:t xml:space="preserve">See also section 76C for </w:t>
        </w:r>
      </w:ins>
      <w:r>
        <w:t xml:space="preserve">the </w:t>
      </w:r>
      <w:del w:id="467" w:author="Master Repository Process" w:date="2025-06-25T10:45:00Z">
        <w:r>
          <w:delText>new</w:delText>
        </w:r>
      </w:del>
      <w:ins w:id="468" w:author="Master Repository Process" w:date="2025-06-25T10:45:00Z">
        <w:r>
          <w:t>circumstances in which a residential tenancy</w:t>
        </w:r>
      </w:ins>
      <w:r>
        <w:t xml:space="preserve"> agreement </w:t>
      </w:r>
      <w:del w:id="469" w:author="Master Repository Process" w:date="2025-06-25T10:45:00Z">
        <w:r>
          <w:delText>to pay an amount of rent, in respect of</w:delText>
        </w:r>
      </w:del>
      <w:ins w:id="470" w:author="Master Repository Process" w:date="2025-06-25T10:45:00Z">
        <w:r>
          <w:t>that creates a tenancy for a fixed term continues as a periodic tenancy.</w:t>
        </w:r>
      </w:ins>
    </w:p>
    <w:p>
      <w:pPr>
        <w:pStyle w:val="Subsection"/>
        <w:rPr>
          <w:ins w:id="471" w:author="Master Repository Process" w:date="2025-06-25T10:45:00Z"/>
        </w:rPr>
      </w:pPr>
      <w:ins w:id="472" w:author="Master Repository Process" w:date="2025-06-25T10:45:00Z">
        <w:r>
          <w:tab/>
          <w:t>(3)</w:t>
        </w:r>
        <w:r>
          <w:tab/>
          <w:t>For subsection (2)(a),</w:t>
        </w:r>
      </w:ins>
      <w:r>
        <w:t xml:space="preserve"> the </w:t>
      </w:r>
      <w:del w:id="473" w:author="Master Repository Process" w:date="2025-06-25T10:45:00Z">
        <w:r>
          <w:delText>first 30 days of the new</w:delText>
        </w:r>
      </w:del>
      <w:ins w:id="474" w:author="Master Repository Process" w:date="2025-06-25T10:45:00Z">
        <w:r>
          <w:t>existing</w:t>
        </w:r>
      </w:ins>
      <w:r>
        <w:t xml:space="preserve"> agreement</w:t>
      </w:r>
      <w:del w:id="475" w:author="Master Repository Process" w:date="2025-06-25T10:45:00Z">
        <w:r>
          <w:delText>, that is more than the amount that would have been payable under the former</w:delText>
        </w:r>
      </w:del>
      <w:ins w:id="476" w:author="Master Repository Process" w:date="2025-06-25T10:45:00Z">
        <w:r>
          <w:t xml:space="preserve"> and the continuing</w:t>
        </w:r>
      </w:ins>
      <w:r>
        <w:t xml:space="preserve"> agreement </w:t>
      </w:r>
      <w:ins w:id="477" w:author="Master Repository Process" w:date="2025-06-25T10:45:00Z">
        <w:r>
          <w:t xml:space="preserve">are between the same parties </w:t>
        </w:r>
      </w:ins>
      <w:r>
        <w:t>if</w:t>
      </w:r>
      <w:del w:id="478" w:author="Master Repository Process" w:date="2025-06-25T10:45:00Z">
        <w:r>
          <w:delText xml:space="preserve"> </w:delText>
        </w:r>
      </w:del>
      <w:ins w:id="479" w:author="Master Repository Process" w:date="2025-06-25T10:45:00Z">
        <w:r>
          <w:t xml:space="preserve"> — </w:t>
        </w:r>
      </w:ins>
    </w:p>
    <w:p>
      <w:pPr>
        <w:pStyle w:val="Indenta"/>
        <w:rPr>
          <w:ins w:id="480" w:author="Master Repository Process" w:date="2025-06-25T10:45:00Z"/>
        </w:rPr>
      </w:pPr>
      <w:ins w:id="481" w:author="Master Repository Process" w:date="2025-06-25T10:45:00Z">
        <w:r>
          <w:tab/>
          <w:t>(a)</w:t>
        </w:r>
        <w:r>
          <w:tab/>
          <w:t xml:space="preserve">the lessor is </w:t>
        </w:r>
      </w:ins>
      <w:r>
        <w:t xml:space="preserve">the </w:t>
      </w:r>
      <w:del w:id="482" w:author="Master Repository Process" w:date="2025-06-25T10:45:00Z">
        <w:r>
          <w:delText>former agreement had continued to have effect during that period</w:delText>
        </w:r>
      </w:del>
      <w:ins w:id="483" w:author="Master Repository Process" w:date="2025-06-25T10:45:00Z">
        <w:r>
          <w:t>same under both agreements; and</w:t>
        </w:r>
      </w:ins>
    </w:p>
    <w:p>
      <w:pPr>
        <w:pStyle w:val="Indenta"/>
      </w:pPr>
      <w:ins w:id="484" w:author="Master Repository Process" w:date="2025-06-25T10:45:00Z">
        <w:r>
          <w:tab/>
          <w:t>(b)</w:t>
        </w:r>
        <w:r>
          <w:tab/>
          <w:t>the tenant, or at least 1 co</w:t>
        </w:r>
        <w:r>
          <w:noBreakHyphen/>
          <w:t>tenant, is the same under both agreements</w:t>
        </w:r>
      </w:ins>
      <w:r>
        <w:t>.</w:t>
      </w:r>
    </w:p>
    <w:p>
      <w:pPr>
        <w:pStyle w:val="Footnotesection"/>
        <w:rPr>
          <w:ins w:id="485" w:author="Master Repository Process" w:date="2025-06-25T10:45:00Z"/>
        </w:rPr>
      </w:pPr>
      <w:r>
        <w:tab/>
        <w:t>[Section 31B inserted: No. </w:t>
      </w:r>
      <w:del w:id="486" w:author="Master Repository Process" w:date="2025-06-25T10:45:00Z">
        <w:r>
          <w:delText>23</w:delText>
        </w:r>
      </w:del>
      <w:ins w:id="487" w:author="Master Repository Process" w:date="2025-06-25T10:45:00Z">
        <w:r>
          <w:t>11</w:t>
        </w:r>
      </w:ins>
      <w:r>
        <w:t xml:space="preserve"> of </w:t>
      </w:r>
      <w:del w:id="488" w:author="Master Repository Process" w:date="2025-06-25T10:45:00Z">
        <w:r>
          <w:delText>2014</w:delText>
        </w:r>
      </w:del>
      <w:ins w:id="489" w:author="Master Repository Process" w:date="2025-06-25T10:45:00Z">
        <w:r>
          <w:t>2024</w:t>
        </w:r>
      </w:ins>
      <w:r>
        <w:t xml:space="preserve"> s. </w:t>
      </w:r>
      <w:del w:id="490" w:author="Master Repository Process" w:date="2025-06-25T10:45:00Z">
        <w:r>
          <w:delText>88.]</w:delText>
        </w:r>
      </w:del>
      <w:ins w:id="491" w:author="Master Repository Process" w:date="2025-06-25T10:45:00Z">
        <w:r>
          <w:t>27.]</w:t>
        </w:r>
      </w:ins>
    </w:p>
    <w:p>
      <w:pPr>
        <w:pStyle w:val="Footnotesection"/>
      </w:pPr>
      <w:ins w:id="492" w:author="Master Repository Process" w:date="2025-06-25T10:45:00Z">
        <w:r>
          <w:tab/>
        </w:r>
      </w:ins>
      <w:r>
        <w:t xml:space="preserve"> </w:t>
      </w:r>
    </w:p>
    <w:p>
      <w:pPr>
        <w:pStyle w:val="Heading5"/>
        <w:rPr>
          <w:snapToGrid w:val="0"/>
        </w:rPr>
      </w:pPr>
      <w:bookmarkStart w:id="493" w:name="_Toc171694291"/>
      <w:bookmarkStart w:id="494" w:name="_Toc171339076"/>
      <w:r>
        <w:rPr>
          <w:rStyle w:val="CharSectno"/>
        </w:rPr>
        <w:t>31</w:t>
      </w:r>
      <w:r>
        <w:rPr>
          <w:snapToGrid w:val="0"/>
        </w:rPr>
        <w:t>.</w:t>
      </w:r>
      <w:r>
        <w:rPr>
          <w:snapToGrid w:val="0"/>
        </w:rPr>
        <w:tab/>
        <w:t>Increase in security bond</w:t>
      </w:r>
      <w:bookmarkEnd w:id="493"/>
      <w:bookmarkEnd w:id="494"/>
      <w:r>
        <w:rPr>
          <w:snapToGrid w:val="0"/>
        </w:rPr>
        <w:t xml:space="preserve"> </w:t>
      </w:r>
    </w:p>
    <w:p>
      <w:pPr>
        <w:pStyle w:val="Subsection"/>
        <w:rPr>
          <w:ins w:id="495" w:author="Master Repository Process" w:date="2025-06-25T10:45:00Z"/>
        </w:rPr>
      </w:pPr>
      <w:r>
        <w:tab/>
        <w:t>(1)</w:t>
      </w:r>
      <w:r>
        <w:tab/>
      </w:r>
      <w:del w:id="496" w:author="Master Repository Process" w:date="2025-06-25T10:45:00Z">
        <w:r>
          <w:rPr>
            <w:snapToGrid w:val="0"/>
          </w:rPr>
          <w:delText>Where the</w:delText>
        </w:r>
      </w:del>
      <w:ins w:id="497" w:author="Master Repository Process" w:date="2025-06-25T10:45:00Z">
        <w:r>
          <w:t>The</w:t>
        </w:r>
      </w:ins>
      <w:r>
        <w:t xml:space="preserve"> amount of the </w:t>
      </w:r>
      <w:del w:id="498" w:author="Master Repository Process" w:date="2025-06-25T10:45:00Z">
        <w:r>
          <w:rPr>
            <w:snapToGrid w:val="0"/>
          </w:rPr>
          <w:delText>rent payable under</w:delText>
        </w:r>
      </w:del>
      <w:ins w:id="499" w:author="Master Repository Process" w:date="2025-06-25T10:45:00Z">
        <w:r>
          <w:t>security bond for</w:t>
        </w:r>
      </w:ins>
      <w:r>
        <w:t xml:space="preserve"> a residential tenancy agreement </w:t>
      </w:r>
      <w:del w:id="500" w:author="Master Repository Process" w:date="2025-06-25T10:45:00Z">
        <w:r>
          <w:rPr>
            <w:snapToGrid w:val="0"/>
          </w:rPr>
          <w:delText>has been</w:delText>
        </w:r>
      </w:del>
      <w:ins w:id="501" w:author="Master Repository Process" w:date="2025-06-25T10:45:00Z">
        <w:r>
          <w:t>can only be</w:t>
        </w:r>
      </w:ins>
      <w:r>
        <w:t xml:space="preserve"> increased</w:t>
      </w:r>
      <w:ins w:id="502" w:author="Master Repository Process" w:date="2025-06-25T10:45:00Z">
        <w:r>
          <w:t xml:space="preserve"> in accordance with this section.</w:t>
        </w:r>
      </w:ins>
    </w:p>
    <w:p>
      <w:pPr>
        <w:pStyle w:val="Subsection"/>
        <w:rPr>
          <w:ins w:id="503" w:author="Master Repository Process" w:date="2025-06-25T10:45:00Z"/>
        </w:rPr>
      </w:pPr>
      <w:ins w:id="504" w:author="Master Repository Process" w:date="2025-06-25T10:45:00Z">
        <w:r>
          <w:tab/>
          <w:t>(1A)</w:t>
        </w:r>
        <w:r>
          <w:tab/>
          <w:t>If a notice of increase in rent is given</w:t>
        </w:r>
      </w:ins>
      <w:r>
        <w:t xml:space="preserve"> under section 30 or</w:t>
      </w:r>
      <w:del w:id="505" w:author="Master Repository Process" w:date="2025-06-25T10:45:00Z">
        <w:r>
          <w:delText xml:space="preserve"> </w:delText>
        </w:r>
      </w:del>
      <w:ins w:id="506" w:author="Master Repository Process" w:date="2025-06-25T10:45:00Z">
        <w:r>
          <w:t> </w:t>
        </w:r>
      </w:ins>
      <w:r>
        <w:t>31A</w:t>
      </w:r>
      <w:ins w:id="507" w:author="Master Repository Process" w:date="2025-06-25T10:45:00Z">
        <w:r>
          <w:t xml:space="preserve"> in relation to a residential tenancy agreement</w:t>
        </w:r>
      </w:ins>
      <w:r>
        <w:t xml:space="preserve">, the </w:t>
      </w:r>
      <w:ins w:id="508" w:author="Master Repository Process" w:date="2025-06-25T10:45:00Z">
        <w:r>
          <w:t xml:space="preserve">lessor may increase the </w:t>
        </w:r>
      </w:ins>
      <w:r>
        <w:t xml:space="preserve">amount of the security bond </w:t>
      </w:r>
      <w:ins w:id="509" w:author="Master Repository Process" w:date="2025-06-25T10:45:00Z">
        <w:r>
          <w:t xml:space="preserve">for the agreement by giving the tenant a written notice that states — </w:t>
        </w:r>
      </w:ins>
    </w:p>
    <w:p>
      <w:pPr>
        <w:pStyle w:val="Indenta"/>
        <w:rPr>
          <w:ins w:id="510" w:author="Master Repository Process" w:date="2025-06-25T10:45:00Z"/>
        </w:rPr>
      </w:pPr>
      <w:ins w:id="511" w:author="Master Repository Process" w:date="2025-06-25T10:45:00Z">
        <w:r>
          <w:tab/>
          <w:t>(a)</w:t>
        </w:r>
        <w:r>
          <w:tab/>
          <w:t xml:space="preserve">the amount by which the security bond is increased (the </w:t>
        </w:r>
        <w:r>
          <w:rPr>
            <w:rStyle w:val="CharDefText"/>
          </w:rPr>
          <w:t>additional amount</w:t>
        </w:r>
        <w:r>
          <w:t>); and</w:t>
        </w:r>
      </w:ins>
    </w:p>
    <w:p>
      <w:pPr>
        <w:pStyle w:val="Indenta"/>
        <w:rPr>
          <w:ins w:id="512" w:author="Master Repository Process" w:date="2025-06-25T10:45:00Z"/>
        </w:rPr>
      </w:pPr>
      <w:ins w:id="513" w:author="Master Repository Process" w:date="2025-06-25T10:45:00Z">
        <w:r>
          <w:tab/>
          <w:t>(b)</w:t>
        </w:r>
        <w:r>
          <w:tab/>
          <w:t>the day on which the additional amount is payable.</w:t>
        </w:r>
      </w:ins>
    </w:p>
    <w:p>
      <w:pPr>
        <w:pStyle w:val="Subsection"/>
      </w:pPr>
      <w:ins w:id="514" w:author="Master Repository Process" w:date="2025-06-25T10:45:00Z">
        <w:r>
          <w:tab/>
          <w:t>(1B)</w:t>
        </w:r>
        <w:r>
          <w:tab/>
          <w:t xml:space="preserve">For the purposes of subsection (1A)(b), the day on which the additional amount is </w:t>
        </w:r>
      </w:ins>
      <w:r>
        <w:t xml:space="preserve">payable </w:t>
      </w:r>
      <w:del w:id="515" w:author="Master Repository Process" w:date="2025-06-25T10:45:00Z">
        <w:r>
          <w:rPr>
            <w:snapToGrid w:val="0"/>
          </w:rPr>
          <w:delText xml:space="preserve">under the agreement may be increased by </w:delText>
        </w:r>
        <w:r>
          <w:delText>the lessor</w:delText>
        </w:r>
        <w:r>
          <w:rPr>
            <w:snapToGrid w:val="0"/>
          </w:rPr>
          <w:delText xml:space="preserve"> by notice in writing to the tenant specifying the amount of the increase and the day on which it is payable, being a day — </w:delText>
        </w:r>
      </w:del>
      <w:ins w:id="516" w:author="Master Repository Process" w:date="2025-06-25T10:45:00Z">
        <w:r>
          <w:t xml:space="preserve">cannot be a day — </w:t>
        </w:r>
      </w:ins>
    </w:p>
    <w:p>
      <w:pPr>
        <w:pStyle w:val="Indenta"/>
      </w:pPr>
      <w:r>
        <w:tab/>
        <w:t>(a)</w:t>
      </w:r>
      <w:r>
        <w:tab/>
      </w:r>
      <w:del w:id="517" w:author="Master Repository Process" w:date="2025-06-25T10:45:00Z">
        <w:r>
          <w:rPr>
            <w:snapToGrid w:val="0"/>
          </w:rPr>
          <w:delText>not less</w:delText>
        </w:r>
      </w:del>
      <w:ins w:id="518" w:author="Master Repository Process" w:date="2025-06-25T10:45:00Z">
        <w:r>
          <w:t>earlier</w:t>
        </w:r>
      </w:ins>
      <w:r>
        <w:t xml:space="preserve"> than 60 days after the day on which the notice </w:t>
      </w:r>
      <w:ins w:id="519" w:author="Master Repository Process" w:date="2025-06-25T10:45:00Z">
        <w:r>
          <w:t xml:space="preserve">under subsection (1A) </w:t>
        </w:r>
      </w:ins>
      <w:r>
        <w:t xml:space="preserve">is given; </w:t>
      </w:r>
      <w:del w:id="520" w:author="Master Repository Process" w:date="2025-06-25T10:45:00Z">
        <w:r>
          <w:rPr>
            <w:snapToGrid w:val="0"/>
          </w:rPr>
          <w:delText>and</w:delText>
        </w:r>
      </w:del>
      <w:ins w:id="521" w:author="Master Repository Process" w:date="2025-06-25T10:45:00Z">
        <w:r>
          <w:t>or</w:t>
        </w:r>
      </w:ins>
    </w:p>
    <w:p>
      <w:pPr>
        <w:pStyle w:val="Indenta"/>
        <w:rPr>
          <w:ins w:id="522" w:author="Master Repository Process" w:date="2025-06-25T10:45:00Z"/>
        </w:rPr>
      </w:pPr>
      <w:r>
        <w:tab/>
        <w:t>(b)</w:t>
      </w:r>
      <w:r>
        <w:tab/>
      </w:r>
      <w:ins w:id="523" w:author="Master Repository Process" w:date="2025-06-25T10:45:00Z">
        <w:r>
          <w:t>before the rent increase the subject of the notice given under section 30 or 31A takes effect.</w:t>
        </w:r>
      </w:ins>
    </w:p>
    <w:p>
      <w:pPr>
        <w:pStyle w:val="Subsection"/>
      </w:pPr>
      <w:ins w:id="524" w:author="Master Repository Process" w:date="2025-06-25T10:45:00Z">
        <w:r>
          <w:tab/>
          <w:t>(1C)</w:t>
        </w:r>
        <w:r>
          <w:tab/>
          <w:t xml:space="preserve">Despite section 29(1)(b), a person may receive, but may </w:t>
        </w:r>
      </w:ins>
      <w:r>
        <w:t xml:space="preserve">not </w:t>
      </w:r>
      <w:del w:id="525" w:author="Master Repository Process" w:date="2025-06-25T10:45:00Z">
        <w:r>
          <w:rPr>
            <w:snapToGrid w:val="0"/>
          </w:rPr>
          <w:delText xml:space="preserve">less than </w:delText>
        </w:r>
        <w:r>
          <w:delText>6 months</w:delText>
        </w:r>
        <w:r>
          <w:rPr>
            <w:snapToGrid w:val="0"/>
          </w:rPr>
          <w:delText xml:space="preserve"> after</w:delText>
        </w:r>
      </w:del>
      <w:ins w:id="526" w:author="Master Repository Process" w:date="2025-06-25T10:45:00Z">
        <w:r>
          <w:t>require, the payment of the additional amount before</w:t>
        </w:r>
      </w:ins>
      <w:r>
        <w:t xml:space="preserve"> the day on which the </w:t>
      </w:r>
      <w:del w:id="527" w:author="Master Repository Process" w:date="2025-06-25T10:45:00Z">
        <w:r>
          <w:rPr>
            <w:snapToGrid w:val="0"/>
          </w:rPr>
          <w:delText>tenancy commenced, or, if the amount of the security bond has been increased under this section, the day on which it was last so increased,</w:delText>
        </w:r>
      </w:del>
      <w:ins w:id="528" w:author="Master Repository Process" w:date="2025-06-25T10:45:00Z">
        <w:r>
          <w:t xml:space="preserve">additional amount is payable. </w:t>
        </w:r>
      </w:ins>
    </w:p>
    <w:p>
      <w:pPr>
        <w:pStyle w:val="Subsection"/>
        <w:spacing w:before="120"/>
        <w:rPr>
          <w:del w:id="529" w:author="Master Repository Process" w:date="2025-06-25T10:45:00Z"/>
          <w:snapToGrid w:val="0"/>
        </w:rPr>
      </w:pPr>
      <w:del w:id="530" w:author="Master Repository Process" w:date="2025-06-25T10:45:00Z">
        <w:r>
          <w:rPr>
            <w:snapToGrid w:val="0"/>
          </w:rPr>
          <w:tab/>
        </w:r>
        <w:r>
          <w:rPr>
            <w:snapToGrid w:val="0"/>
          </w:rPr>
          <w:tab/>
          <w:delText>but otherwise the amount of the security bond shall not increase or be increased.</w:delText>
        </w:r>
      </w:del>
    </w:p>
    <w:p>
      <w:pPr>
        <w:pStyle w:val="Subsection"/>
        <w:keepNext/>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 xml:space="preserve">Section 29(4) </w:t>
      </w:r>
      <w:del w:id="531" w:author="Master Repository Process" w:date="2025-06-25T10:45:00Z">
        <w:r>
          <w:rPr>
            <w:snapToGrid w:val="0"/>
          </w:rPr>
          <w:delText>applies</w:delText>
        </w:r>
      </w:del>
      <w:ins w:id="532" w:author="Master Repository Process" w:date="2025-06-25T10:45:00Z">
        <w:r>
          <w:t>and (5) apply</w:t>
        </w:r>
      </w:ins>
      <w:r>
        <w:rPr>
          <w:snapToGrid w:val="0"/>
        </w:rPr>
        <w:t xml:space="preserve"> to an amount paid under this section.</w:t>
      </w:r>
    </w:p>
    <w:p>
      <w:pPr>
        <w:pStyle w:val="Footnotesection"/>
      </w:pPr>
      <w:r>
        <w:tab/>
        <w:t>[Section 31 amended: No. 60 of 2011 s. 29 and 89; No. 23 of 2014 s. </w:t>
      </w:r>
      <w:del w:id="533" w:author="Master Repository Process" w:date="2025-06-25T10:45:00Z">
        <w:r>
          <w:delText>89</w:delText>
        </w:r>
      </w:del>
      <w:ins w:id="534" w:author="Master Repository Process" w:date="2025-06-25T10:45:00Z">
        <w:r>
          <w:t>89; No. 11 of 2024 s. 28</w:t>
        </w:r>
      </w:ins>
      <w:r>
        <w:t xml:space="preserve">.] </w:t>
      </w:r>
    </w:p>
    <w:p>
      <w:pPr>
        <w:pStyle w:val="Heading5"/>
        <w:rPr>
          <w:snapToGrid w:val="0"/>
        </w:rPr>
      </w:pPr>
      <w:bookmarkStart w:id="535" w:name="_Toc171694292"/>
      <w:bookmarkStart w:id="536" w:name="_Toc171339077"/>
      <w:r>
        <w:rPr>
          <w:rStyle w:val="CharSectno"/>
        </w:rPr>
        <w:t>32</w:t>
      </w:r>
      <w:r>
        <w:rPr>
          <w:snapToGrid w:val="0"/>
        </w:rPr>
        <w:t>.</w:t>
      </w:r>
      <w:r>
        <w:rPr>
          <w:snapToGrid w:val="0"/>
        </w:rPr>
        <w:tab/>
        <w:t>Limitation of excessive rents in certain circumstances</w:t>
      </w:r>
      <w:bookmarkEnd w:id="535"/>
      <w:bookmarkEnd w:id="536"/>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for this subsection: a fine of $5 000.</w:t>
      </w:r>
    </w:p>
    <w:p>
      <w:pPr>
        <w:pStyle w:val="Footnotesection"/>
      </w:pPr>
      <w:r>
        <w:tab/>
        <w:t xml:space="preserve">[Section 32 amended: No. 50 of 1988 s. 18; No. 59 of 2004 s. 120 and 121; No. 60 of 2011 s. 30 and 89; No. 3 of 2019 s. 25.] </w:t>
      </w:r>
    </w:p>
    <w:p>
      <w:pPr>
        <w:pStyle w:val="Heading5"/>
        <w:rPr>
          <w:snapToGrid w:val="0"/>
        </w:rPr>
      </w:pPr>
      <w:bookmarkStart w:id="537" w:name="_Toc171694293"/>
      <w:bookmarkStart w:id="538" w:name="_Toc171339078"/>
      <w:r>
        <w:rPr>
          <w:rStyle w:val="CharSectno"/>
        </w:rPr>
        <w:t>33</w:t>
      </w:r>
      <w:r>
        <w:rPr>
          <w:snapToGrid w:val="0"/>
        </w:rPr>
        <w:t>.</w:t>
      </w:r>
      <w:r>
        <w:rPr>
          <w:snapToGrid w:val="0"/>
        </w:rPr>
        <w:tab/>
        <w:t>Duty to give receipt for rent</w:t>
      </w:r>
      <w:bookmarkEnd w:id="537"/>
      <w:bookmarkEnd w:id="538"/>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for this subsection: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No. 59 of 1995 s. 55; No. 26 of 1999 s. 100(2); No. 60 of 2011 s. 31, 88 and 89; No. 3 of 2019 s. 25.] </w:t>
      </w:r>
    </w:p>
    <w:p>
      <w:pPr>
        <w:pStyle w:val="Heading5"/>
      </w:pPr>
      <w:bookmarkStart w:id="539" w:name="_Toc171694294"/>
      <w:bookmarkStart w:id="540" w:name="_Toc171339079"/>
      <w:r>
        <w:rPr>
          <w:rStyle w:val="CharSectno"/>
        </w:rPr>
        <w:t>34A</w:t>
      </w:r>
      <w:r>
        <w:t>.</w:t>
      </w:r>
      <w:r>
        <w:tab/>
        <w:t>Manner of payment of rent</w:t>
      </w:r>
      <w:bookmarkEnd w:id="539"/>
      <w:bookmarkEnd w:id="540"/>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541" w:name="_Toc171694295"/>
      <w:bookmarkStart w:id="542" w:name="_Toc171339080"/>
      <w:r>
        <w:rPr>
          <w:rStyle w:val="CharSectno"/>
        </w:rPr>
        <w:t>34</w:t>
      </w:r>
      <w:r>
        <w:rPr>
          <w:snapToGrid w:val="0"/>
        </w:rPr>
        <w:t>.</w:t>
      </w:r>
      <w:r>
        <w:rPr>
          <w:snapToGrid w:val="0"/>
        </w:rPr>
        <w:tab/>
        <w:t>Proper records of rent to be kept</w:t>
      </w:r>
      <w:bookmarkEnd w:id="541"/>
      <w:bookmarkEnd w:id="542"/>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for this subsection: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keepNext/>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for this subsection: a fine of $5 000.</w:t>
      </w:r>
    </w:p>
    <w:p>
      <w:pPr>
        <w:pStyle w:val="Footnotesection"/>
      </w:pPr>
      <w:r>
        <w:tab/>
        <w:t xml:space="preserve">[Section 34 amended: No. 59 of 1995 s. 55; No. 60 of 2011 s. 33 and 89; No. 3 of 2019 s. 25.] </w:t>
      </w:r>
    </w:p>
    <w:p>
      <w:pPr>
        <w:pStyle w:val="Heading5"/>
        <w:rPr>
          <w:snapToGrid w:val="0"/>
        </w:rPr>
      </w:pPr>
      <w:bookmarkStart w:id="543" w:name="_Toc171694296"/>
      <w:bookmarkStart w:id="544" w:name="_Toc171339081"/>
      <w:r>
        <w:rPr>
          <w:rStyle w:val="CharSectno"/>
        </w:rPr>
        <w:t>35</w:t>
      </w:r>
      <w:r>
        <w:rPr>
          <w:snapToGrid w:val="0"/>
        </w:rPr>
        <w:t>.</w:t>
      </w:r>
      <w:r>
        <w:rPr>
          <w:snapToGrid w:val="0"/>
        </w:rPr>
        <w:tab/>
        <w:t>Payment of rent by post</w:t>
      </w:r>
      <w:r>
        <w:rPr>
          <w:snapToGrid w:val="0"/>
        </w:rPr>
        <w:noBreakHyphen/>
        <w:t>dated cheques etc. prohibited</w:t>
      </w:r>
      <w:bookmarkEnd w:id="543"/>
      <w:bookmarkEnd w:id="544"/>
    </w:p>
    <w:p>
      <w:pPr>
        <w:pStyle w:val="Subsection"/>
        <w:keepNext/>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keepNext/>
      </w:pPr>
      <w:r>
        <w:tab/>
        <w:t>Penalty: a fine of $5 000.</w:t>
      </w:r>
    </w:p>
    <w:p>
      <w:pPr>
        <w:pStyle w:val="Footnotesection"/>
      </w:pPr>
      <w:r>
        <w:tab/>
        <w:t xml:space="preserve">[Section 35 amended: No. 59 of 1995 s. 55; No. 60 of 2011 s. 34.] </w:t>
      </w:r>
    </w:p>
    <w:p>
      <w:pPr>
        <w:pStyle w:val="Heading5"/>
        <w:rPr>
          <w:snapToGrid w:val="0"/>
        </w:rPr>
      </w:pPr>
      <w:bookmarkStart w:id="545" w:name="_Toc171694297"/>
      <w:bookmarkStart w:id="546" w:name="_Toc171339082"/>
      <w:r>
        <w:rPr>
          <w:rStyle w:val="CharSectno"/>
        </w:rPr>
        <w:t>36</w:t>
      </w:r>
      <w:r>
        <w:rPr>
          <w:snapToGrid w:val="0"/>
        </w:rPr>
        <w:t>.</w:t>
      </w:r>
      <w:r>
        <w:rPr>
          <w:snapToGrid w:val="0"/>
        </w:rPr>
        <w:tab/>
        <w:t>Apportionment of rent</w:t>
      </w:r>
      <w:bookmarkEnd w:id="545"/>
      <w:bookmarkEnd w:id="546"/>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547" w:name="_Toc171673972"/>
      <w:bookmarkStart w:id="548" w:name="_Toc171680551"/>
      <w:bookmarkStart w:id="549" w:name="_Toc171680816"/>
      <w:bookmarkStart w:id="550" w:name="_Toc171681367"/>
      <w:bookmarkStart w:id="551" w:name="_Toc171681783"/>
      <w:bookmarkStart w:id="552" w:name="_Toc171682047"/>
      <w:bookmarkStart w:id="553" w:name="_Toc171694298"/>
      <w:bookmarkStart w:id="554" w:name="_Toc171089833"/>
      <w:bookmarkStart w:id="555" w:name="_Toc171338280"/>
      <w:bookmarkStart w:id="556" w:name="_Toc171339083"/>
      <w:r>
        <w:rPr>
          <w:rStyle w:val="CharDivNo"/>
        </w:rPr>
        <w:t>Division 2</w:t>
      </w:r>
      <w:r>
        <w:rPr>
          <w:snapToGrid w:val="0"/>
        </w:rPr>
        <w:t> — </w:t>
      </w:r>
      <w:del w:id="557" w:author="Master Repository Process" w:date="2025-06-25T10:45:00Z">
        <w:r>
          <w:rPr>
            <w:rStyle w:val="CharDivText"/>
          </w:rPr>
          <w:delText>Standard</w:delText>
        </w:r>
      </w:del>
      <w:ins w:id="558" w:author="Master Repository Process" w:date="2025-06-25T10:45:00Z">
        <w:r>
          <w:rPr>
            <w:rStyle w:val="CharDivText"/>
          </w:rPr>
          <w:t>General standard</w:t>
        </w:r>
      </w:ins>
      <w:r>
        <w:rPr>
          <w:rStyle w:val="CharDivText"/>
        </w:rPr>
        <w:t xml:space="preserve"> terms</w:t>
      </w:r>
      <w:bookmarkEnd w:id="547"/>
      <w:bookmarkEnd w:id="548"/>
      <w:bookmarkEnd w:id="549"/>
      <w:bookmarkEnd w:id="550"/>
      <w:bookmarkEnd w:id="551"/>
      <w:bookmarkEnd w:id="552"/>
      <w:bookmarkEnd w:id="553"/>
      <w:bookmarkEnd w:id="554"/>
      <w:bookmarkEnd w:id="555"/>
      <w:bookmarkEnd w:id="556"/>
    </w:p>
    <w:p>
      <w:pPr>
        <w:pStyle w:val="Footnoteheading"/>
        <w:keepNext/>
      </w:pPr>
      <w:r>
        <w:tab/>
        <w:t>[Heading amended: No. 60 of 2011 s. </w:t>
      </w:r>
      <w:del w:id="559" w:author="Master Repository Process" w:date="2025-06-25T10:45:00Z">
        <w:r>
          <w:delText>35</w:delText>
        </w:r>
      </w:del>
      <w:ins w:id="560" w:author="Master Repository Process" w:date="2025-06-25T10:45:00Z">
        <w:r>
          <w:t>35; No. 11 of 2024 s. 29</w:t>
        </w:r>
      </w:ins>
      <w:r>
        <w:t>.]</w:t>
      </w:r>
    </w:p>
    <w:p>
      <w:pPr>
        <w:pStyle w:val="Ednotesection"/>
        <w:keepNext/>
      </w:pPr>
      <w:r>
        <w:t>[</w:t>
      </w:r>
      <w:r>
        <w:rPr>
          <w:b/>
        </w:rPr>
        <w:t>37.</w:t>
      </w:r>
      <w:r>
        <w:tab/>
        <w:t>Deleted: No. 60 of 2011 s. 36.]</w:t>
      </w:r>
    </w:p>
    <w:p>
      <w:pPr>
        <w:pStyle w:val="Heading5"/>
        <w:rPr>
          <w:snapToGrid w:val="0"/>
        </w:rPr>
      </w:pPr>
      <w:bookmarkStart w:id="561" w:name="_Toc171694299"/>
      <w:bookmarkStart w:id="562" w:name="_Toc171339084"/>
      <w:r>
        <w:rPr>
          <w:rStyle w:val="CharSectno"/>
        </w:rPr>
        <w:t>38</w:t>
      </w:r>
      <w:r>
        <w:rPr>
          <w:snapToGrid w:val="0"/>
        </w:rPr>
        <w:t>.</w:t>
      </w:r>
      <w:r>
        <w:rPr>
          <w:snapToGrid w:val="0"/>
        </w:rPr>
        <w:tab/>
        <w:t>Tenant’s responsibility for cleanliness and damage</w:t>
      </w:r>
      <w:bookmarkEnd w:id="561"/>
      <w:bookmarkEnd w:id="562"/>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keepNext/>
        <w:rPr>
          <w:snapToGrid w:val="0"/>
        </w:rPr>
      </w:pPr>
      <w:r>
        <w:rPr>
          <w:snapToGrid w:val="0"/>
        </w:rPr>
        <w:tab/>
        <w:t>(c)</w:t>
      </w:r>
      <w:r>
        <w:rPr>
          <w:snapToGrid w:val="0"/>
        </w:rPr>
        <w:tab/>
        <w:t xml:space="preserve">shall not intentionally or negligently cause or permit damage to the premises or, where relevant, a </w:t>
      </w:r>
      <w:r>
        <w:t>common area or chattels in the common area.</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 60 of 2011 s. 37 and 89; No. 25 of 2019 s. 66.]</w:t>
      </w:r>
    </w:p>
    <w:p>
      <w:pPr>
        <w:pStyle w:val="Heading5"/>
        <w:rPr>
          <w:snapToGrid w:val="0"/>
        </w:rPr>
      </w:pPr>
      <w:bookmarkStart w:id="563" w:name="_Toc171694300"/>
      <w:bookmarkStart w:id="564" w:name="_Toc171339085"/>
      <w:r>
        <w:rPr>
          <w:rStyle w:val="CharSectno"/>
        </w:rPr>
        <w:t>39</w:t>
      </w:r>
      <w:r>
        <w:rPr>
          <w:snapToGrid w:val="0"/>
        </w:rPr>
        <w:t>.</w:t>
      </w:r>
      <w:r>
        <w:rPr>
          <w:snapToGrid w:val="0"/>
        </w:rPr>
        <w:tab/>
        <w:t>Tenant’s conduct on premises</w:t>
      </w:r>
      <w:bookmarkEnd w:id="563"/>
      <w:bookmarkEnd w:id="564"/>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 60 of 2011 s. 38.]</w:t>
      </w:r>
    </w:p>
    <w:p>
      <w:pPr>
        <w:pStyle w:val="Heading5"/>
      </w:pPr>
      <w:bookmarkStart w:id="565" w:name="_Toc171694301"/>
      <w:bookmarkStart w:id="566" w:name="_Toc171339086"/>
      <w:r>
        <w:rPr>
          <w:rStyle w:val="CharSectno"/>
        </w:rPr>
        <w:t>40</w:t>
      </w:r>
      <w:r>
        <w:t>.</w:t>
      </w:r>
      <w:r>
        <w:tab/>
        <w:t>Vacant possession</w:t>
      </w:r>
      <w:bookmarkEnd w:id="565"/>
      <w:bookmarkEnd w:id="566"/>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 60 of 2011 s. 39.]</w:t>
      </w:r>
    </w:p>
    <w:p>
      <w:pPr>
        <w:pStyle w:val="Heading5"/>
        <w:rPr>
          <w:snapToGrid w:val="0"/>
        </w:rPr>
      </w:pPr>
      <w:bookmarkStart w:id="567" w:name="_Toc171694302"/>
      <w:bookmarkStart w:id="568" w:name="_Toc171339087"/>
      <w:r>
        <w:rPr>
          <w:rStyle w:val="CharSectno"/>
        </w:rPr>
        <w:t>41</w:t>
      </w:r>
      <w:r>
        <w:rPr>
          <w:snapToGrid w:val="0"/>
        </w:rPr>
        <w:t>.</w:t>
      </w:r>
      <w:r>
        <w:rPr>
          <w:snapToGrid w:val="0"/>
        </w:rPr>
        <w:tab/>
        <w:t>Legal impediments to occupation as residence</w:t>
      </w:r>
      <w:bookmarkEnd w:id="567"/>
      <w:bookmarkEnd w:id="568"/>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r>
        <w:t>tenancy period.</w:t>
      </w:r>
    </w:p>
    <w:p>
      <w:pPr>
        <w:pStyle w:val="Footnotesection"/>
      </w:pPr>
      <w:r>
        <w:tab/>
        <w:t>[Section 41 amended: No. 60 of 2011 s. 40 and 89; No. 3 of 2019 s. 8.]</w:t>
      </w:r>
    </w:p>
    <w:p>
      <w:pPr>
        <w:pStyle w:val="Heading5"/>
      </w:pPr>
      <w:bookmarkStart w:id="569" w:name="_Toc171694303"/>
      <w:bookmarkStart w:id="570" w:name="_Toc171339088"/>
      <w:r>
        <w:rPr>
          <w:rStyle w:val="CharSectno"/>
        </w:rPr>
        <w:t>42</w:t>
      </w:r>
      <w:r>
        <w:t>.</w:t>
      </w:r>
      <w:r>
        <w:tab/>
        <w:t>Lessor’s responsibility for cleanliness and repairs</w:t>
      </w:r>
      <w:bookmarkEnd w:id="569"/>
      <w:bookmarkEnd w:id="570"/>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 60 of 2011 s. 41.]</w:t>
      </w:r>
    </w:p>
    <w:p>
      <w:pPr>
        <w:pStyle w:val="Heading5"/>
      </w:pPr>
      <w:bookmarkStart w:id="571" w:name="_Toc171694304"/>
      <w:bookmarkStart w:id="572" w:name="_Toc171339089"/>
      <w:r>
        <w:rPr>
          <w:rStyle w:val="CharSectno"/>
        </w:rPr>
        <w:t>43</w:t>
      </w:r>
      <w:r>
        <w:t>.</w:t>
      </w:r>
      <w:r>
        <w:tab/>
        <w:t>Urgent repairs</w:t>
      </w:r>
      <w:bookmarkEnd w:id="571"/>
      <w:bookmarkEnd w:id="572"/>
    </w:p>
    <w:p>
      <w:pPr>
        <w:pStyle w:val="Subsection"/>
        <w:keepNext/>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as an essential service — 24 hours; or</w:t>
      </w:r>
    </w:p>
    <w:p>
      <w:pPr>
        <w:pStyle w:val="Defpara"/>
      </w:pPr>
      <w:r>
        <w:tab/>
        <w:t>(b)</w:t>
      </w:r>
      <w:r>
        <w:tab/>
        <w:t>in relation to any other urgent repairs — 48 hours or any prescribed longer period;</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keepNext/>
        <w:keepLines/>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 60 of 2011 s. 41; amended: No. 3 of 2019 s. 9.]</w:t>
      </w:r>
    </w:p>
    <w:p>
      <w:pPr>
        <w:pStyle w:val="Heading5"/>
      </w:pPr>
      <w:bookmarkStart w:id="573" w:name="_Toc171694305"/>
      <w:bookmarkStart w:id="574" w:name="_Toc171339090"/>
      <w:r>
        <w:rPr>
          <w:rStyle w:val="CharSectno"/>
        </w:rPr>
        <w:t>44</w:t>
      </w:r>
      <w:r>
        <w:t>.</w:t>
      </w:r>
      <w:r>
        <w:tab/>
        <w:t>Quiet enjoyment</w:t>
      </w:r>
      <w:bookmarkEnd w:id="573"/>
      <w:bookmarkEnd w:id="574"/>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 60 of 2011 s. 41.]</w:t>
      </w:r>
    </w:p>
    <w:p>
      <w:pPr>
        <w:pStyle w:val="Heading5"/>
      </w:pPr>
      <w:bookmarkStart w:id="575" w:name="_Toc171694306"/>
      <w:bookmarkStart w:id="576" w:name="_Toc171339091"/>
      <w:r>
        <w:rPr>
          <w:rStyle w:val="CharSectno"/>
        </w:rPr>
        <w:t>45</w:t>
      </w:r>
      <w:r>
        <w:t>.</w:t>
      </w:r>
      <w:r>
        <w:tab/>
        <w:t>Securing premises</w:t>
      </w:r>
      <w:bookmarkEnd w:id="575"/>
      <w:bookmarkEnd w:id="576"/>
    </w:p>
    <w:p>
      <w:pPr>
        <w:pStyle w:val="Subsection"/>
        <w:keepNext/>
      </w:pPr>
      <w:r>
        <w:tab/>
        <w:t>(1)</w:t>
      </w:r>
      <w:r>
        <w:tab/>
        <w:t xml:space="preserve">It is a term of every residential tenancy agreement — </w:t>
      </w:r>
    </w:p>
    <w:p>
      <w:pPr>
        <w:pStyle w:val="Indenta"/>
        <w:spacing w:before="70"/>
      </w:pPr>
      <w:r>
        <w:tab/>
        <w:t>(a)</w:t>
      </w:r>
      <w:r>
        <w:tab/>
      </w:r>
      <w:r>
        <w:rPr>
          <w:snapToGrid w:val="0"/>
        </w:rPr>
        <w:t xml:space="preserve">that the lessor must provide and maintain such means to ensure that the residential premises are reasonably secure as are </w:t>
      </w:r>
      <w:r>
        <w:t>prescribed;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except as provided in subsection (2), the lessor or the tenant must not unreasonably withhold the consent referred to in paragraph (b).</w:t>
      </w:r>
    </w:p>
    <w:p>
      <w:pPr>
        <w:pStyle w:val="Subsection"/>
      </w:pPr>
      <w:r>
        <w:tab/>
        <w:t>(2)</w:t>
      </w:r>
      <w:r>
        <w:tab/>
        <w:t xml:space="preserve">It is a term of every residential tenancy agreement — </w:t>
      </w:r>
    </w:p>
    <w:p>
      <w:pPr>
        <w:pStyle w:val="Indenta"/>
      </w:pPr>
      <w:r>
        <w:tab/>
        <w:t>(a)</w:t>
      </w:r>
      <w:r>
        <w:tab/>
        <w:t xml:space="preserve">that a tenant may alter or add any lock or other means of securing the residential premises — </w:t>
      </w:r>
    </w:p>
    <w:p>
      <w:pPr>
        <w:pStyle w:val="Indenti"/>
      </w:pPr>
      <w:r>
        <w:tab/>
        <w:t>(i)</w:t>
      </w:r>
      <w:r>
        <w:tab/>
        <w:t>after the termination of a person’s interest in a residential tenancy agreement under section 60(1)(bc);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pPr>
        <w:pStyle w:val="Indenta"/>
        <w:keepNext/>
      </w:pPr>
      <w:r>
        <w:tab/>
        <w:t>(c)</w:t>
      </w:r>
      <w:r>
        <w:tab/>
        <w:t xml:space="preserve">that the lessor must not give a copy of a key referred to in paragraph (b) — </w:t>
      </w:r>
    </w:p>
    <w:p>
      <w:pPr>
        <w:pStyle w:val="Indenti"/>
      </w:pPr>
      <w:r>
        <w:tab/>
        <w:t>(i)</w:t>
      </w:r>
      <w:r>
        <w:tab/>
        <w:t>to a person whose interest in the residential tenancy agreement has been terminated under section 60(1)(bc); or</w:t>
      </w:r>
    </w:p>
    <w:p>
      <w:pPr>
        <w:pStyle w:val="Indenti"/>
      </w:pPr>
      <w:r>
        <w:tab/>
        <w:t>(ii)</w:t>
      </w:r>
      <w:r>
        <w:tab/>
        <w:t>in any event, to a person who the tenant has instructed the lessor in writing not to give the copy of the key.</w:t>
      </w:r>
    </w:p>
    <w:p>
      <w:pPr>
        <w:pStyle w:val="Subsection"/>
      </w:pPr>
      <w:r>
        <w:tab/>
        <w:t>(3)</w:t>
      </w:r>
      <w:r>
        <w:tab/>
        <w:t>A tenant who breaches a term referred to in subsection (2)(b) without reasonable excuse, in addition to any civil liability that the tenant might incur, commits an offence.</w:t>
      </w:r>
    </w:p>
    <w:p>
      <w:pPr>
        <w:pStyle w:val="Penstart"/>
      </w:pPr>
      <w:r>
        <w:tab/>
        <w:t>Penalty for this subsection: a fine of $5 000.</w:t>
      </w:r>
    </w:p>
    <w:p>
      <w:pPr>
        <w:pStyle w:val="Subsection"/>
      </w:pPr>
      <w:r>
        <w:tab/>
        <w:t>(4)</w:t>
      </w:r>
      <w:r>
        <w:tab/>
        <w:t>Subsection (2)(b) does not apply if the lessor is a person reasonably suspected of being likely to commit the family violence referred to in subsection (2)(a)(ii).</w:t>
      </w:r>
    </w:p>
    <w:p>
      <w:pPr>
        <w:pStyle w:val="Footnotesection"/>
        <w:spacing w:before="100"/>
      </w:pPr>
      <w:r>
        <w:tab/>
        <w:t>[Section 45 inserted: No. 60 of 2011 s. 41; application modified: Residential Tenancies Regulations 1989 r. 7A; amended: No. 3 of 2019 s. 10.]</w:t>
      </w:r>
    </w:p>
    <w:p>
      <w:pPr>
        <w:pStyle w:val="Heading5"/>
      </w:pPr>
      <w:bookmarkStart w:id="577" w:name="_Toc171694307"/>
      <w:bookmarkStart w:id="578" w:name="_Toc171339092"/>
      <w:r>
        <w:rPr>
          <w:rStyle w:val="CharSectno"/>
        </w:rPr>
        <w:t>46</w:t>
      </w:r>
      <w:r>
        <w:t>.</w:t>
      </w:r>
      <w:r>
        <w:tab/>
        <w:t>Lessor’s right of entry</w:t>
      </w:r>
      <w:bookmarkEnd w:id="577"/>
      <w:bookmarkEnd w:id="578"/>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w:t>
      </w:r>
      <w:del w:id="579" w:author="Master Repository Process" w:date="2025-06-25T10:45:00Z">
        <w:r>
          <w:delText>a form</w:delText>
        </w:r>
      </w:del>
      <w:ins w:id="580" w:author="Master Repository Process" w:date="2025-06-25T10:45:00Z">
        <w:r>
          <w:t>the</w:t>
        </w:r>
      </w:ins>
      <w:r>
        <w:t xml:space="preserve"> approved </w:t>
      </w:r>
      <w:del w:id="581" w:author="Master Repository Process" w:date="2025-06-25T10:45:00Z">
        <w:r>
          <w:delText>by the Commissioner</w:delText>
        </w:r>
      </w:del>
      <w:ins w:id="582" w:author="Master Repository Process" w:date="2025-06-25T10:45:00Z">
        <w:r>
          <w:t>form</w:t>
        </w:r>
      </w:ins>
      <w:r>
        <w:t>;</w:t>
      </w:r>
    </w:p>
    <w:p>
      <w:pPr>
        <w:pStyle w:val="Defstart"/>
      </w:pPr>
      <w:r>
        <w:tab/>
      </w:r>
      <w:r>
        <w:rPr>
          <w:rStyle w:val="CharDefText"/>
        </w:rPr>
        <w:t>premises</w:t>
      </w:r>
      <w:r>
        <w:t xml:space="preserve"> means any part of the premises in respect of which the tenant has a right of exclusive occupation;</w:t>
      </w:r>
    </w:p>
    <w:p>
      <w:pPr>
        <w:pStyle w:val="Defstart"/>
        <w:keepNex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keepNext/>
      </w:pPr>
      <w:r>
        <w:tab/>
        <w:t>(ga)</w:t>
      </w:r>
      <w:r>
        <w:tab/>
        <w:t xml:space="preserve">for the purpose of inspecting the premises and assessing any damage after the termination of a tenant’s interest under — </w:t>
      </w:r>
    </w:p>
    <w:p>
      <w:pPr>
        <w:pStyle w:val="Indenti"/>
      </w:pPr>
      <w:r>
        <w:tab/>
        <w:t>(i)</w:t>
      </w:r>
      <w:r>
        <w:tab/>
        <w:t>section 60(1)(ba) or (bb); or</w:t>
      </w:r>
    </w:p>
    <w:p>
      <w:pPr>
        <w:pStyle w:val="Indenti"/>
      </w:pPr>
      <w:r>
        <w:tab/>
        <w:t>(ii)</w:t>
      </w:r>
      <w:r>
        <w:tab/>
        <w:t>section 60(1)(bc);</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(6A)</w:t>
      </w:r>
      <w:r>
        <w:tab/>
        <w:t xml:space="preserve">It is a term of every residential tenancy agreement that the lessor may enter the premises under subsection (2)(ga)(i) — </w:t>
      </w:r>
    </w:p>
    <w:p>
      <w:pPr>
        <w:pStyle w:val="Indenta"/>
      </w:pPr>
      <w:r>
        <w:tab/>
        <w:t>(a)</w:t>
      </w:r>
      <w:r>
        <w:tab/>
        <w:t xml:space="preserve">not more than 7 days after receiving notice under section 71AB(1) or 71AD(4); and </w:t>
      </w:r>
    </w:p>
    <w:p>
      <w:pPr>
        <w:pStyle w:val="Indenta"/>
      </w:pPr>
      <w:r>
        <w:tab/>
        <w:t>(b)</w:t>
      </w:r>
      <w:r>
        <w:tab/>
        <w:t>not less than 3 days after giving notice to each tenant of the lessor’s intention to enter the premises.</w:t>
      </w:r>
    </w:p>
    <w:p>
      <w:pPr>
        <w:pStyle w:val="Subsection"/>
      </w:pPr>
      <w:r>
        <w:tab/>
        <w:t>(6B)</w:t>
      </w:r>
      <w:r>
        <w:tab/>
        <w:t xml:space="preserve">It is a term of every residential tenancy agreement that the lessor may enter the premises under subsection (2)(ga)(ii) — </w:t>
      </w:r>
    </w:p>
    <w:p>
      <w:pPr>
        <w:pStyle w:val="Indenta"/>
      </w:pPr>
      <w:r>
        <w:tab/>
        <w:t>(a)</w:t>
      </w:r>
      <w:r>
        <w:tab/>
        <w:t xml:space="preserve">not more than 10 days before the hearing of the application under section 71AE; and </w:t>
      </w:r>
    </w:p>
    <w:p>
      <w:pPr>
        <w:pStyle w:val="Indenta"/>
      </w:pPr>
      <w:r>
        <w:tab/>
        <w:t>(b)</w:t>
      </w:r>
      <w:r>
        <w:tab/>
        <w:t>not less than 3 days after giving notice to each tenant of the lessor’s intention to enter the premises.</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 60 of 2011 s. 41; amended: No. 42 of 2016 s. 4; No. 3 of 2019 s. </w:t>
      </w:r>
      <w:del w:id="583" w:author="Master Repository Process" w:date="2025-06-25T10:45:00Z">
        <w:r>
          <w:delText>11</w:delText>
        </w:r>
      </w:del>
      <w:ins w:id="584" w:author="Master Repository Process" w:date="2025-06-25T10:45:00Z">
        <w:r>
          <w:t>11; No. 11 of 2024 s. 30</w:t>
        </w:r>
      </w:ins>
      <w:r>
        <w:t>.]</w:t>
      </w:r>
    </w:p>
    <w:p>
      <w:pPr>
        <w:pStyle w:val="Heading5"/>
        <w:rPr>
          <w:del w:id="585" w:author="Master Repository Process" w:date="2025-06-25T10:45:00Z"/>
        </w:rPr>
      </w:pPr>
      <w:ins w:id="586" w:author="Master Repository Process" w:date="2025-06-25T10:45:00Z">
        <w:r>
          <w:t>[</w:t>
        </w:r>
      </w:ins>
      <w:bookmarkStart w:id="587" w:name="_Toc171339093"/>
      <w:r>
        <w:t>47.</w:t>
      </w:r>
      <w:r>
        <w:tab/>
      </w:r>
      <w:del w:id="588" w:author="Master Repository Process" w:date="2025-06-25T10:45:00Z">
        <w:r>
          <w:delText>Right of tenant to affix and remove fixtures etc.</w:delText>
        </w:r>
        <w:bookmarkEnd w:id="587"/>
      </w:del>
    </w:p>
    <w:p>
      <w:pPr>
        <w:pStyle w:val="Subsection"/>
        <w:rPr>
          <w:del w:id="589" w:author="Master Repository Process" w:date="2025-06-25T10:45:00Z"/>
        </w:rPr>
      </w:pPr>
      <w:del w:id="590" w:author="Master Repository Process" w:date="2025-06-25T10:45:00Z">
        <w:r>
          <w:tab/>
          <w:delText>(1A)</w:delText>
        </w:r>
        <w:r>
          <w:tab/>
          <w:delText xml:space="preserve">In this section — </w:delText>
        </w:r>
      </w:del>
    </w:p>
    <w:p>
      <w:pPr>
        <w:pStyle w:val="Defstart"/>
        <w:rPr>
          <w:del w:id="591" w:author="Master Repository Process" w:date="2025-06-25T10:45:00Z"/>
        </w:rPr>
      </w:pPr>
      <w:del w:id="592" w:author="Master Repository Process" w:date="2025-06-25T10:45:00Z">
        <w:r>
          <w:tab/>
        </w:r>
        <w:r>
          <w:rPr>
            <w:rStyle w:val="CharDefText"/>
          </w:rPr>
          <w:delText>disability</w:delText>
        </w:r>
        <w:r>
          <w:delText xml:space="preserve"> means a disability — </w:delText>
        </w:r>
      </w:del>
    </w:p>
    <w:p>
      <w:pPr>
        <w:pStyle w:val="Defpara"/>
        <w:rPr>
          <w:del w:id="593" w:author="Master Repository Process" w:date="2025-06-25T10:45:00Z"/>
        </w:rPr>
      </w:pPr>
      <w:del w:id="594" w:author="Master Repository Process" w:date="2025-06-25T10:45:00Z">
        <w:r>
          <w:tab/>
          <w:delText>(a)</w:delText>
        </w:r>
        <w:r>
          <w:tab/>
          <w:delText>which is attributable to an intellectual, psychiatric, cognitive, neurological, sensory, or physical impairment or a combination of those impairments; and</w:delText>
        </w:r>
      </w:del>
    </w:p>
    <w:p>
      <w:pPr>
        <w:pStyle w:val="Defpara"/>
        <w:rPr>
          <w:del w:id="595" w:author="Master Repository Process" w:date="2025-06-25T10:45:00Z"/>
        </w:rPr>
      </w:pPr>
      <w:del w:id="596" w:author="Master Repository Process" w:date="2025-06-25T10:45:00Z">
        <w:r>
          <w:tab/>
          <w:delText>(b)</w:delText>
        </w:r>
        <w:r>
          <w:tab/>
          <w:delText>which is permanent or likely to be permanent; and</w:delText>
        </w:r>
      </w:del>
    </w:p>
    <w:p>
      <w:pPr>
        <w:pStyle w:val="Defpara"/>
        <w:rPr>
          <w:del w:id="597" w:author="Master Repository Process" w:date="2025-06-25T10:45:00Z"/>
        </w:rPr>
      </w:pPr>
      <w:del w:id="598" w:author="Master Repository Process" w:date="2025-06-25T10:45:00Z">
        <w:r>
          <w:tab/>
          <w:delText>(c)</w:delText>
        </w:r>
        <w:r>
          <w:tab/>
          <w:delText>which may or may not be of a chronic or episodic nature; and</w:delText>
        </w:r>
      </w:del>
    </w:p>
    <w:p>
      <w:pPr>
        <w:pStyle w:val="Defpara"/>
        <w:rPr>
          <w:del w:id="599" w:author="Master Repository Process" w:date="2025-06-25T10:45:00Z"/>
        </w:rPr>
      </w:pPr>
      <w:del w:id="600" w:author="Master Repository Process" w:date="2025-06-25T10:45:00Z">
        <w:r>
          <w:tab/>
          <w:delText>(d)</w:delText>
        </w:r>
        <w:r>
          <w:tab/>
          <w:delText>which results in a substantially reduced capacity of the person for communication, social interaction, learning or mobility.</w:delText>
        </w:r>
      </w:del>
    </w:p>
    <w:p>
      <w:pPr>
        <w:pStyle w:val="Subsection"/>
        <w:rPr>
          <w:del w:id="601" w:author="Master Repository Process" w:date="2025-06-25T10:45:00Z"/>
          <w:snapToGrid w:val="0"/>
        </w:rPr>
      </w:pPr>
      <w:del w:id="602" w:author="Master Repository Process" w:date="2025-06-25T10:45:00Z">
        <w:r>
          <w:rPr>
            <w:snapToGrid w:val="0"/>
          </w:rPr>
          <w:tab/>
          <w:delText>(1)</w:delText>
        </w:r>
        <w:r>
          <w:rPr>
            <w:snapToGrid w:val="0"/>
          </w:rPr>
          <w:tab/>
        </w:r>
        <w:r>
          <w:delText>Except as provided in subsections (2A) and (4), a residential tenancy agreement</w:delText>
        </w:r>
        <w:r>
          <w:rPr>
            <w:snapToGrid w:val="0"/>
          </w:rPr>
          <w:delText xml:space="preserve"> may provide that the tenant — </w:delText>
        </w:r>
      </w:del>
    </w:p>
    <w:p>
      <w:pPr>
        <w:pStyle w:val="Indenta"/>
        <w:rPr>
          <w:del w:id="603" w:author="Master Repository Process" w:date="2025-06-25T10:45:00Z"/>
          <w:snapToGrid w:val="0"/>
        </w:rPr>
      </w:pPr>
      <w:del w:id="604" w:author="Master Repository Process" w:date="2025-06-25T10:45:00Z">
        <w:r>
          <w:rPr>
            <w:snapToGrid w:val="0"/>
          </w:rPr>
          <w:tab/>
          <w:delText>(a)</w:delText>
        </w:r>
        <w:r>
          <w:rPr>
            <w:snapToGrid w:val="0"/>
          </w:rPr>
          <w:tab/>
          <w:delText>shall not affix any fixture or make any renovation, alteration or addition to the premises; or</w:delText>
        </w:r>
      </w:del>
    </w:p>
    <w:p>
      <w:pPr>
        <w:pStyle w:val="Indenta"/>
        <w:rPr>
          <w:del w:id="605" w:author="Master Repository Process" w:date="2025-06-25T10:45:00Z"/>
          <w:snapToGrid w:val="0"/>
        </w:rPr>
      </w:pPr>
      <w:del w:id="606" w:author="Master Repository Process" w:date="2025-06-25T10:45:00Z">
        <w:r>
          <w:rPr>
            <w:snapToGrid w:val="0"/>
          </w:rPr>
          <w:tab/>
          <w:delText>(b)</w:delText>
        </w:r>
        <w:r>
          <w:rPr>
            <w:snapToGrid w:val="0"/>
          </w:rPr>
          <w:tab/>
          <w:delText xml:space="preserve">may affix any fixture or make any renovation, alteration or addition to the premises, but only with the </w:delText>
        </w:r>
        <w:r>
          <w:delText>lessor’s</w:delText>
        </w:r>
        <w:r>
          <w:rPr>
            <w:snapToGrid w:val="0"/>
          </w:rPr>
          <w:delText xml:space="preserve"> consent.</w:delText>
        </w:r>
      </w:del>
    </w:p>
    <w:p>
      <w:pPr>
        <w:pStyle w:val="Subsection"/>
        <w:rPr>
          <w:del w:id="607" w:author="Master Repository Process" w:date="2025-06-25T10:45:00Z"/>
          <w:snapToGrid w:val="0"/>
        </w:rPr>
      </w:pPr>
      <w:del w:id="608" w:author="Master Repository Process" w:date="2025-06-25T10:45:00Z">
        <w:r>
          <w:rPr>
            <w:snapToGrid w:val="0"/>
          </w:rPr>
          <w:tab/>
          <w:delText>(2)</w:delText>
        </w:r>
        <w:r>
          <w:rPr>
            <w:snapToGrid w:val="0"/>
          </w:rPr>
          <w:tab/>
          <w:delText xml:space="preserve">Where </w:delText>
        </w:r>
        <w:r>
          <w:delText>a residential tenancy agreement</w:delText>
        </w:r>
        <w:r>
          <w:rPr>
            <w:snapToGrid w:val="0"/>
          </w:rPr>
          <w:delText xml:space="preserve"> makes the provision described in subsection (1)(b) it is a term of the agreement that — </w:delText>
        </w:r>
      </w:del>
    </w:p>
    <w:p>
      <w:pPr>
        <w:pStyle w:val="Indenta"/>
        <w:rPr>
          <w:del w:id="609" w:author="Master Repository Process" w:date="2025-06-25T10:45:00Z"/>
          <w:snapToGrid w:val="0"/>
        </w:rPr>
      </w:pPr>
      <w:del w:id="610" w:author="Master Repository Process" w:date="2025-06-25T10:45:00Z">
        <w:r>
          <w:rPr>
            <w:snapToGrid w:val="0"/>
          </w:rPr>
          <w:tab/>
          <w:delText>(a)</w:delText>
        </w:r>
        <w:r>
          <w:rPr>
            <w:snapToGrid w:val="0"/>
          </w:rPr>
          <w:tab/>
        </w:r>
        <w:r>
          <w:delText>the lessor</w:delText>
        </w:r>
        <w:r>
          <w:rPr>
            <w:snapToGrid w:val="0"/>
          </w:rPr>
          <w:delText xml:space="preserve"> shall not unreasonably withhold such consent; and</w:delText>
        </w:r>
      </w:del>
    </w:p>
    <w:p>
      <w:pPr>
        <w:pStyle w:val="Indenta"/>
        <w:rPr>
          <w:del w:id="611" w:author="Master Repository Process" w:date="2025-06-25T10:45:00Z"/>
          <w:snapToGrid w:val="0"/>
        </w:rPr>
      </w:pPr>
      <w:del w:id="612" w:author="Master Repository Process" w:date="2025-06-25T10:45:00Z">
        <w:r>
          <w:rPr>
            <w:snapToGrid w:val="0"/>
          </w:rPr>
          <w:tab/>
          <w:delText>(b)</w:delText>
        </w:r>
        <w:r>
          <w:rPr>
            <w:snapToGrid w:val="0"/>
          </w:rPr>
          <w:tab/>
          <w:delText xml:space="preserve">the tenant may remove any fixture that </w:delText>
        </w:r>
        <w:r>
          <w:delText>the tenant</w:delText>
        </w:r>
        <w:r>
          <w:rPr>
            <w:snapToGrid w:val="0"/>
          </w:rPr>
          <w:delText xml:space="preserve"> has affixed to the premises, with the </w:delText>
        </w:r>
        <w:r>
          <w:delText>lessor’s</w:delText>
        </w:r>
        <w:r>
          <w:rPr>
            <w:snapToGrid w:val="0"/>
          </w:rPr>
          <w:delText xml:space="preserve"> consent, during the period that </w:delText>
        </w:r>
        <w:r>
          <w:delText>the tenant</w:delText>
        </w:r>
        <w:r>
          <w:rPr>
            <w:snapToGrid w:val="0"/>
          </w:rPr>
          <w:delText xml:space="preserve"> has continued in possession of the premises under the agreement, unless the removal of the fixture would cause irreparable damage to the premises; and</w:delText>
        </w:r>
      </w:del>
    </w:p>
    <w:p>
      <w:pPr>
        <w:pStyle w:val="Indenta"/>
        <w:rPr>
          <w:del w:id="613" w:author="Master Repository Process" w:date="2025-06-25T10:45:00Z"/>
          <w:snapToGrid w:val="0"/>
        </w:rPr>
      </w:pPr>
      <w:del w:id="614" w:author="Master Repository Process" w:date="2025-06-25T10:45:00Z">
        <w:r>
          <w:rPr>
            <w:snapToGrid w:val="0"/>
          </w:rPr>
          <w:tab/>
          <w:delText>(c)</w:delText>
        </w:r>
        <w:r>
          <w:rPr>
            <w:snapToGrid w:val="0"/>
          </w:rPr>
          <w:tab/>
          <w:delText xml:space="preserve">where the tenant causes any damage to the premises by removing any fixture, </w:delText>
        </w:r>
        <w:r>
          <w:delText>the tenant</w:delText>
        </w:r>
        <w:r>
          <w:rPr>
            <w:snapToGrid w:val="0"/>
          </w:rPr>
          <w:delText xml:space="preserve"> shall notify </w:delText>
        </w:r>
        <w:r>
          <w:delText>the lessor</w:delText>
        </w:r>
        <w:r>
          <w:rPr>
            <w:snapToGrid w:val="0"/>
          </w:rPr>
          <w:delText xml:space="preserve"> and, at the option of the lessor, repair the damage or compensate the lessor for any reasonable expenses incurred by the lessor in repairing the damage.</w:delText>
        </w:r>
      </w:del>
    </w:p>
    <w:p>
      <w:pPr>
        <w:pStyle w:val="Subsection"/>
        <w:rPr>
          <w:del w:id="615" w:author="Master Repository Process" w:date="2025-06-25T10:45:00Z"/>
        </w:rPr>
      </w:pPr>
      <w:del w:id="616" w:author="Master Repository Process" w:date="2025-06-25T10:45:00Z">
        <w:r>
          <w:tab/>
          <w:delText>(2A)</w:delText>
        </w:r>
        <w:r>
          <w:tab/>
          <w:delText>It is a term of every residential tenancy agreement that —</w:delText>
        </w:r>
      </w:del>
    </w:p>
    <w:p>
      <w:pPr>
        <w:pStyle w:val="Indenta"/>
        <w:rPr>
          <w:del w:id="617" w:author="Master Repository Process" w:date="2025-06-25T10:45:00Z"/>
        </w:rPr>
      </w:pPr>
      <w:del w:id="618" w:author="Master Repository Process" w:date="2025-06-25T10:45:00Z">
        <w:r>
          <w:tab/>
          <w:delText>(a)</w:delText>
        </w:r>
        <w:r>
          <w:tab/>
          <w:delText>a tenant may affix either or both of the following items to a wall of premises the subject of the agreement for the purpose of ensuring the safety of a child or a person with a disability, but only with the lessor’s consent —</w:delText>
        </w:r>
      </w:del>
    </w:p>
    <w:p>
      <w:pPr>
        <w:pStyle w:val="Indenti"/>
        <w:rPr>
          <w:del w:id="619" w:author="Master Repository Process" w:date="2025-06-25T10:45:00Z"/>
        </w:rPr>
      </w:pPr>
      <w:del w:id="620" w:author="Master Repository Process" w:date="2025-06-25T10:45:00Z">
        <w:r>
          <w:tab/>
          <w:delText>(i)</w:delText>
        </w:r>
        <w:r>
          <w:tab/>
          <w:delText xml:space="preserve">furniture; </w:delText>
        </w:r>
      </w:del>
    </w:p>
    <w:p>
      <w:pPr>
        <w:pStyle w:val="Indenti"/>
        <w:rPr>
          <w:del w:id="621" w:author="Master Repository Process" w:date="2025-06-25T10:45:00Z"/>
        </w:rPr>
      </w:pPr>
      <w:del w:id="622" w:author="Master Repository Process" w:date="2025-06-25T10:45:00Z">
        <w:r>
          <w:tab/>
          <w:delText>(ii)</w:delText>
        </w:r>
        <w:r>
          <w:tab/>
          <w:delText>a thing to affix the furniture to the wall;</w:delText>
        </w:r>
      </w:del>
    </w:p>
    <w:p>
      <w:pPr>
        <w:pStyle w:val="Indenta"/>
        <w:rPr>
          <w:del w:id="623" w:author="Master Repository Process" w:date="2025-06-25T10:45:00Z"/>
        </w:rPr>
      </w:pPr>
      <w:del w:id="624" w:author="Master Repository Process" w:date="2025-06-25T10:45:00Z">
        <w:r>
          <w:tab/>
        </w:r>
        <w:r>
          <w:tab/>
          <w:delText>and</w:delText>
        </w:r>
      </w:del>
    </w:p>
    <w:p>
      <w:pPr>
        <w:pStyle w:val="Indenta"/>
        <w:keepNext/>
        <w:rPr>
          <w:del w:id="625" w:author="Master Repository Process" w:date="2025-06-25T10:45:00Z"/>
        </w:rPr>
      </w:pPr>
      <w:del w:id="626" w:author="Master Repository Process" w:date="2025-06-25T10:45:00Z">
        <w:r>
          <w:tab/>
          <w:delText>(b)</w:delText>
        </w:r>
        <w:r>
          <w:tab/>
          <w:delText xml:space="preserve">the lessor may only refuse consent — </w:delText>
        </w:r>
      </w:del>
    </w:p>
    <w:p>
      <w:pPr>
        <w:pStyle w:val="Indenti"/>
        <w:rPr>
          <w:del w:id="627" w:author="Master Repository Process" w:date="2025-06-25T10:45:00Z"/>
        </w:rPr>
      </w:pPr>
      <w:del w:id="628" w:author="Master Repository Process" w:date="2025-06-25T10:45:00Z">
        <w:r>
          <w:tab/>
          <w:delText>(i)</w:delText>
        </w:r>
        <w:r>
          <w:tab/>
          <w:delText>if affixing the item to the wall would disturb material containing asbestos; or</w:delText>
        </w:r>
      </w:del>
    </w:p>
    <w:p>
      <w:pPr>
        <w:pStyle w:val="Indenti"/>
        <w:rPr>
          <w:del w:id="629" w:author="Master Repository Process" w:date="2025-06-25T10:45:00Z"/>
        </w:rPr>
      </w:pPr>
      <w:del w:id="630" w:author="Master Repository Process" w:date="2025-06-25T10:45:00Z">
        <w:r>
          <w:tab/>
          <w:delText>(ii)</w:delText>
        </w:r>
        <w:r>
          <w:tab/>
          <w:delText xml:space="preserve">if the premises are entered in the Register of Heritage Places compiled under the </w:delText>
        </w:r>
        <w:r>
          <w:rPr>
            <w:i/>
          </w:rPr>
          <w:delText>Heritage of Western Australia Act 1990</w:delText>
        </w:r>
        <w:r>
          <w:delText xml:space="preserve"> section 46; or</w:delText>
        </w:r>
      </w:del>
    </w:p>
    <w:p>
      <w:pPr>
        <w:pStyle w:val="Indenti"/>
        <w:rPr>
          <w:del w:id="631" w:author="Master Repository Process" w:date="2025-06-25T10:45:00Z"/>
        </w:rPr>
      </w:pPr>
      <w:del w:id="632" w:author="Master Repository Process" w:date="2025-06-25T10:45:00Z">
        <w:r>
          <w:tab/>
          <w:delText>(iii)</w:delText>
        </w:r>
        <w:r>
          <w:tab/>
          <w:delText xml:space="preserve">if the premises is a lot in a scheme under the </w:delText>
        </w:r>
        <w:r>
          <w:rPr>
            <w:i/>
          </w:rPr>
          <w:delText>Strata Titles Act 1985</w:delText>
        </w:r>
        <w:r>
          <w:delText>, the by</w:delText>
        </w:r>
        <w:r>
          <w:noBreakHyphen/>
          <w:delText>laws for the scheme prohibit affixing the item to the wall of the premises; or</w:delText>
        </w:r>
      </w:del>
    </w:p>
    <w:p>
      <w:pPr>
        <w:pStyle w:val="Indenti"/>
        <w:rPr>
          <w:del w:id="633" w:author="Master Repository Process" w:date="2025-06-25T10:45:00Z"/>
        </w:rPr>
      </w:pPr>
      <w:del w:id="634" w:author="Master Repository Process" w:date="2025-06-25T10:45:00Z">
        <w:r>
          <w:tab/>
          <w:delText>(iv)</w:delText>
        </w:r>
        <w:r>
          <w:tab/>
          <w:delText>for a prescribed reason;</w:delText>
        </w:r>
      </w:del>
    </w:p>
    <w:p>
      <w:pPr>
        <w:pStyle w:val="Indenta"/>
        <w:rPr>
          <w:del w:id="635" w:author="Master Repository Process" w:date="2025-06-25T10:45:00Z"/>
        </w:rPr>
      </w:pPr>
      <w:del w:id="636" w:author="Master Repository Process" w:date="2025-06-25T10:45:00Z">
        <w:r>
          <w:tab/>
        </w:r>
        <w:r>
          <w:tab/>
          <w:delText>and</w:delText>
        </w:r>
      </w:del>
    </w:p>
    <w:p>
      <w:pPr>
        <w:pStyle w:val="Indenta"/>
        <w:rPr>
          <w:del w:id="637" w:author="Master Repository Process" w:date="2025-06-25T10:45:00Z"/>
        </w:rPr>
      </w:pPr>
      <w:del w:id="638" w:author="Master Repository Process" w:date="2025-06-25T10:45:00Z">
        <w:r>
          <w:tab/>
          <w:delText>(c)</w:delText>
        </w:r>
        <w:r>
          <w:tab/>
          <w:delText xml:space="preserve">unless the lessor agrees otherwise in writing, the tenant must remove the item from the wall when the tenant vacates the premises and either — </w:delText>
        </w:r>
      </w:del>
    </w:p>
    <w:p>
      <w:pPr>
        <w:pStyle w:val="Indenti"/>
        <w:rPr>
          <w:del w:id="639" w:author="Master Repository Process" w:date="2025-06-25T10:45:00Z"/>
        </w:rPr>
      </w:pPr>
      <w:del w:id="640" w:author="Master Repository Process" w:date="2025-06-25T10:45:00Z">
        <w:r>
          <w:tab/>
          <w:delText>(i)</w:delText>
        </w:r>
        <w:r>
          <w:tab/>
          <w:delText>restore the wall to its original condition; or</w:delText>
        </w:r>
      </w:del>
    </w:p>
    <w:p>
      <w:pPr>
        <w:pStyle w:val="Indenti"/>
        <w:rPr>
          <w:del w:id="641" w:author="Master Repository Process" w:date="2025-06-25T10:45:00Z"/>
        </w:rPr>
      </w:pPr>
      <w:del w:id="642" w:author="Master Repository Process" w:date="2025-06-25T10:45:00Z">
        <w:r>
          <w:tab/>
          <w:delText>(ii)</w:delText>
        </w:r>
        <w:r>
          <w:tab/>
          <w:delText>compensate the lessor for any reasonable expenses incurred by the lessor in doing that restoration;</w:delText>
        </w:r>
      </w:del>
    </w:p>
    <w:p>
      <w:pPr>
        <w:pStyle w:val="Indenta"/>
        <w:rPr>
          <w:del w:id="643" w:author="Master Repository Process" w:date="2025-06-25T10:45:00Z"/>
        </w:rPr>
      </w:pPr>
      <w:del w:id="644" w:author="Master Repository Process" w:date="2025-06-25T10:45:00Z">
        <w:r>
          <w:tab/>
        </w:r>
        <w:r>
          <w:tab/>
          <w:delText>and</w:delText>
        </w:r>
      </w:del>
    </w:p>
    <w:p>
      <w:pPr>
        <w:pStyle w:val="Indenta"/>
        <w:rPr>
          <w:del w:id="645" w:author="Master Repository Process" w:date="2025-06-25T10:45:00Z"/>
        </w:rPr>
      </w:pPr>
      <w:del w:id="646" w:author="Master Repository Process" w:date="2025-06-25T10:45:00Z">
        <w:r>
          <w:tab/>
          <w:delText>(d)</w:delText>
        </w:r>
        <w:r>
          <w:tab/>
          <w:delText>the cost of affixing the item to the wall, removing it and restoring the wall to its original condition must be borne by the tenant; and</w:delText>
        </w:r>
      </w:del>
    </w:p>
    <w:p>
      <w:pPr>
        <w:pStyle w:val="Indenta"/>
        <w:rPr>
          <w:del w:id="647" w:author="Master Repository Process" w:date="2025-06-25T10:45:00Z"/>
        </w:rPr>
      </w:pPr>
      <w:del w:id="648" w:author="Master Repository Process" w:date="2025-06-25T10:45:00Z">
        <w:r>
          <w:tab/>
          <w:delText>(e)</w:delText>
        </w:r>
        <w:r>
          <w:tab/>
          <w:delText xml:space="preserve">if the tenant causes damage to the premises when affixing or removing the item or restoring the wall to its original condition — </w:delText>
        </w:r>
      </w:del>
    </w:p>
    <w:p>
      <w:pPr>
        <w:pStyle w:val="Indenti"/>
        <w:rPr>
          <w:del w:id="649" w:author="Master Repository Process" w:date="2025-06-25T10:45:00Z"/>
        </w:rPr>
      </w:pPr>
      <w:del w:id="650" w:author="Master Repository Process" w:date="2025-06-25T10:45:00Z">
        <w:r>
          <w:tab/>
          <w:delText>(i)</w:delText>
        </w:r>
        <w:r>
          <w:tab/>
          <w:delText>the tenant must notify the lessor in writing that damage has been caused to the premises; and</w:delText>
        </w:r>
      </w:del>
    </w:p>
    <w:p>
      <w:pPr>
        <w:pStyle w:val="Indenti"/>
        <w:rPr>
          <w:del w:id="651" w:author="Master Repository Process" w:date="2025-06-25T10:45:00Z"/>
        </w:rPr>
      </w:pPr>
      <w:del w:id="652" w:author="Master Repository Process" w:date="2025-06-25T10:45:00Z">
        <w:r>
          <w:tab/>
          <w:delText>(ii)</w:delText>
        </w:r>
        <w:r>
          <w:tab/>
          <w:delText>the lessor may require the tenant to repair the damage and restore the premises to their original condition or compensate the lessor for the reasonable expenses incurred in doing the repair and restoration.</w:delText>
        </w:r>
      </w:del>
    </w:p>
    <w:p>
      <w:pPr>
        <w:pStyle w:val="Subsection"/>
        <w:rPr>
          <w:del w:id="653" w:author="Master Repository Process" w:date="2025-06-25T10:45:00Z"/>
        </w:rPr>
      </w:pPr>
      <w:del w:id="654" w:author="Master Repository Process" w:date="2025-06-25T10:45:00Z">
        <w:r>
          <w:tab/>
          <w:delText>(2B)</w:delText>
        </w:r>
        <w:r>
          <w:tab/>
          <w:delText xml:space="preserve">The lessor is taken to have consented to affixing the furniture or thing to the wall of the premises under subsection (2A)(a) if, and only if — </w:delText>
        </w:r>
      </w:del>
    </w:p>
    <w:p>
      <w:pPr>
        <w:pStyle w:val="Indenta"/>
        <w:rPr>
          <w:del w:id="655" w:author="Master Repository Process" w:date="2025-06-25T10:45:00Z"/>
        </w:rPr>
      </w:pPr>
      <w:del w:id="656" w:author="Master Repository Process" w:date="2025-06-25T10:45:00Z">
        <w:r>
          <w:tab/>
          <w:delText>(a)</w:delText>
        </w:r>
        <w:r>
          <w:tab/>
          <w:delText>the tenant has given the lessor a request, in a form approved by the Commissioner, seeking the lessor’s consent to affix the item to the wall; and</w:delText>
        </w:r>
      </w:del>
    </w:p>
    <w:p>
      <w:pPr>
        <w:pStyle w:val="Indenta"/>
        <w:rPr>
          <w:del w:id="657" w:author="Master Repository Process" w:date="2025-06-25T10:45:00Z"/>
        </w:rPr>
      </w:pPr>
      <w:del w:id="658" w:author="Master Repository Process" w:date="2025-06-25T10:45:00Z">
        <w:r>
          <w:tab/>
          <w:delText>(b)</w:delText>
        </w:r>
        <w:r>
          <w:tab/>
          <w:delText>the lessor has not refused consent under subsection (2A)(b) within 14 days after the day on which the lessor receives the request.</w:delText>
        </w:r>
      </w:del>
    </w:p>
    <w:p>
      <w:pPr>
        <w:pStyle w:val="Subsection"/>
        <w:rPr>
          <w:del w:id="659" w:author="Master Repository Process" w:date="2025-06-25T10:45:00Z"/>
        </w:rPr>
      </w:pPr>
      <w:del w:id="660" w:author="Master Repository Process" w:date="2025-06-25T10:45:00Z">
        <w:r>
          <w:tab/>
          <w:delText>(3)</w:delText>
        </w:r>
        <w:r>
          <w:tab/>
          <w:delText xml:space="preserve">It is a term of every residential tenancy agreement that — </w:delText>
        </w:r>
      </w:del>
    </w:p>
    <w:p>
      <w:pPr>
        <w:pStyle w:val="Indenta"/>
        <w:rPr>
          <w:del w:id="661" w:author="Master Repository Process" w:date="2025-06-25T10:45:00Z"/>
        </w:rPr>
      </w:pPr>
      <w:del w:id="662" w:author="Master Repository Process" w:date="2025-06-25T10:45:00Z">
        <w:r>
          <w:tab/>
          <w:delText>(a)</w:delText>
        </w:r>
        <w:r>
          <w:tab/>
          <w:delText>the lessor may affix any fixture or make any renovation, alteration or addition to the premises, but only with the tenant’s consent; and</w:delText>
        </w:r>
      </w:del>
    </w:p>
    <w:p>
      <w:pPr>
        <w:pStyle w:val="Indenta"/>
        <w:rPr>
          <w:del w:id="663" w:author="Master Repository Process" w:date="2025-06-25T10:45:00Z"/>
        </w:rPr>
      </w:pPr>
      <w:del w:id="664" w:author="Master Repository Process" w:date="2025-06-25T10:45:00Z">
        <w:r>
          <w:tab/>
          <w:delText>(b)</w:delText>
        </w:r>
        <w:r>
          <w:tab/>
          <w:delText>the tenant must not unreasonably withhold such consent.</w:delText>
        </w:r>
      </w:del>
    </w:p>
    <w:p>
      <w:pPr>
        <w:pStyle w:val="Subsection"/>
        <w:rPr>
          <w:del w:id="665" w:author="Master Repository Process" w:date="2025-06-25T10:45:00Z"/>
        </w:rPr>
      </w:pPr>
      <w:del w:id="666" w:author="Master Repository Process" w:date="2025-06-25T10:45:00Z">
        <w:r>
          <w:tab/>
          <w:delText>(4)</w:delText>
        </w:r>
        <w:r>
          <w:tab/>
          <w:delText xml:space="preserve">It is a term of every residential tenancy agreement that a tenant may affix any prescribed fixture, or make any prescribed renovation, alteration or addition to the premises (the </w:delText>
        </w:r>
        <w:r>
          <w:rPr>
            <w:rStyle w:val="CharDefText"/>
          </w:rPr>
          <w:delText>prescribed alterations</w:delText>
        </w:r>
        <w:r>
          <w:delText xml:space="preserve">), necessary to prevent entry onto the premises of a person — </w:delText>
        </w:r>
      </w:del>
    </w:p>
    <w:p>
      <w:pPr>
        <w:pStyle w:val="Indenta"/>
        <w:rPr>
          <w:del w:id="667" w:author="Master Repository Process" w:date="2025-06-25T10:45:00Z"/>
        </w:rPr>
      </w:pPr>
      <w:del w:id="668" w:author="Master Repository Process" w:date="2025-06-25T10:45:00Z">
        <w:r>
          <w:tab/>
          <w:delText>(a)</w:delText>
        </w:r>
        <w:r>
          <w:tab/>
          <w:delText>after the termination of the person’s interest in a residential tenancy agreement under section 60(1)(bc); or</w:delText>
        </w:r>
      </w:del>
    </w:p>
    <w:p>
      <w:pPr>
        <w:pStyle w:val="Indenta"/>
        <w:rPr>
          <w:del w:id="669" w:author="Master Repository Process" w:date="2025-06-25T10:45:00Z"/>
        </w:rPr>
      </w:pPr>
      <w:del w:id="670" w:author="Master Repository Process" w:date="2025-06-25T10:45:00Z">
        <w:r>
          <w:tab/>
          <w:delText>(b)</w:delText>
        </w:r>
        <w:r>
          <w:tab/>
          <w:delText>in any event, if it is necessary to prevent the commission of family violence that the tenant suspects, on reasonable grounds, is likely to be committed by the person against the tenant or a dependant of the tenant.</w:delText>
        </w:r>
      </w:del>
    </w:p>
    <w:p>
      <w:pPr>
        <w:pStyle w:val="Subsection"/>
        <w:rPr>
          <w:del w:id="671" w:author="Master Repository Process" w:date="2025-06-25T10:45:00Z"/>
        </w:rPr>
      </w:pPr>
      <w:del w:id="672" w:author="Master Repository Process" w:date="2025-06-25T10:45:00Z">
        <w:r>
          <w:tab/>
          <w:delText>(5)</w:delText>
        </w:r>
        <w:r>
          <w:tab/>
          <w:delText xml:space="preserve">For the purposes of subsection (4) — </w:delText>
        </w:r>
      </w:del>
    </w:p>
    <w:p>
      <w:pPr>
        <w:pStyle w:val="Indenta"/>
        <w:rPr>
          <w:del w:id="673" w:author="Master Repository Process" w:date="2025-06-25T10:45:00Z"/>
        </w:rPr>
      </w:pPr>
      <w:del w:id="674" w:author="Master Repository Process" w:date="2025-06-25T10:45:00Z">
        <w:r>
          <w:tab/>
          <w:delText>(a)</w:delText>
        </w:r>
        <w:r>
          <w:tab/>
          <w:delText>the cost of making the prescribed alterations must be borne by the tenant; and</w:delText>
        </w:r>
      </w:del>
    </w:p>
    <w:p>
      <w:pPr>
        <w:pStyle w:val="Indenta"/>
        <w:rPr>
          <w:del w:id="675" w:author="Master Repository Process" w:date="2025-06-25T10:45:00Z"/>
        </w:rPr>
      </w:pPr>
      <w:del w:id="676" w:author="Master Repository Process" w:date="2025-06-25T10:45:00Z">
        <w:r>
          <w:tab/>
          <w:delText>(b)</w:delText>
        </w:r>
        <w:r>
          <w:tab/>
          <w:delText>the tenant must give written notice to the lessor of the tenant’s intention to make the prescribed alterations; and</w:delText>
        </w:r>
      </w:del>
    </w:p>
    <w:p>
      <w:pPr>
        <w:pStyle w:val="Indenta"/>
        <w:rPr>
          <w:del w:id="677" w:author="Master Repository Process" w:date="2025-06-25T10:45:00Z"/>
        </w:rPr>
      </w:pPr>
      <w:del w:id="678" w:author="Master Repository Process" w:date="2025-06-25T10:45:00Z">
        <w:r>
          <w:tab/>
          <w:delText>(c)</w:delText>
        </w:r>
        <w:r>
          <w:tab/>
          <w:delText>work on the prescribed alterations must be undertaken by a qualified tradesperson, a copy of whose invoice the tenant must provide to the lessor within 14 days of the alterations being completed; and</w:delText>
        </w:r>
      </w:del>
    </w:p>
    <w:p>
      <w:pPr>
        <w:pStyle w:val="Indenta"/>
        <w:rPr>
          <w:del w:id="679" w:author="Master Repository Process" w:date="2025-06-25T10:45:00Z"/>
        </w:rPr>
      </w:pPr>
      <w:del w:id="680" w:author="Master Repository Process" w:date="2025-06-25T10:45:00Z">
        <w:r>
          <w:tab/>
          <w:delText>(d)</w:delText>
        </w:r>
        <w:r>
          <w:tab/>
          <w:delText>the prescribed alterations must be effected having regard to the age and character of the property and any applicable strata company by</w:delText>
        </w:r>
        <w:r>
          <w:noBreakHyphen/>
          <w:delText>laws; and</w:delText>
        </w:r>
      </w:del>
    </w:p>
    <w:p>
      <w:pPr>
        <w:pStyle w:val="Indenta"/>
        <w:rPr>
          <w:del w:id="681" w:author="Master Repository Process" w:date="2025-06-25T10:45:00Z"/>
        </w:rPr>
      </w:pPr>
      <w:del w:id="682" w:author="Master Repository Process" w:date="2025-06-25T10:45:00Z">
        <w:r>
          <w:tab/>
          <w:delText>(e)</w:delText>
        </w:r>
        <w:r>
          <w:tab/>
          <w:delTex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delText>
        </w:r>
      </w:del>
    </w:p>
    <w:p>
      <w:pPr>
        <w:pStyle w:val="Subsection"/>
        <w:rPr>
          <w:del w:id="683" w:author="Master Repository Process" w:date="2025-06-25T10:45:00Z"/>
        </w:rPr>
      </w:pPr>
      <w:del w:id="684" w:author="Master Repository Process" w:date="2025-06-25T10:45:00Z">
        <w:r>
          <w:tab/>
          <w:delText>(6)</w:delText>
        </w:r>
        <w:r>
          <w:tab/>
          <w:delText xml:space="preserve">Subsection (4) does not apply to premises entered into the Register as defined in the </w:delText>
        </w:r>
        <w:r>
          <w:rPr>
            <w:i/>
          </w:rPr>
          <w:delText>Heritage of Western Australia Act 1990</w:delText>
        </w:r>
        <w:r>
          <w:delText xml:space="preserve"> section 3(1) or in the register as defined in the </w:delText>
        </w:r>
        <w:r>
          <w:rPr>
            <w:i/>
          </w:rPr>
          <w:delText>Heritage Act 2018</w:delText>
        </w:r>
        <w:r>
          <w:delText xml:space="preserve"> section 4.</w:delText>
        </w:r>
      </w:del>
    </w:p>
    <w:p>
      <w:pPr>
        <w:pStyle w:val="Ednotesection"/>
      </w:pPr>
      <w:del w:id="685" w:author="Master Repository Process" w:date="2025-06-25T10:45:00Z">
        <w:r>
          <w:tab/>
          <w:delText>[Section 47 amended</w:delText>
        </w:r>
      </w:del>
      <w:ins w:id="686" w:author="Master Repository Process" w:date="2025-06-25T10:45:00Z">
        <w:r>
          <w:t>Deleted</w:t>
        </w:r>
      </w:ins>
      <w:r>
        <w:t>: No. </w:t>
      </w:r>
      <w:del w:id="687" w:author="Master Repository Process" w:date="2025-06-25T10:45:00Z">
        <w:r>
          <w:delText>60</w:delText>
        </w:r>
      </w:del>
      <w:ins w:id="688" w:author="Master Repository Process" w:date="2025-06-25T10:45:00Z">
        <w:r>
          <w:t>11</w:t>
        </w:r>
      </w:ins>
      <w:r>
        <w:t xml:space="preserve"> of </w:t>
      </w:r>
      <w:del w:id="689" w:author="Master Repository Process" w:date="2025-06-25T10:45:00Z">
        <w:r>
          <w:delText>2011</w:delText>
        </w:r>
      </w:del>
      <w:ins w:id="690" w:author="Master Repository Process" w:date="2025-06-25T10:45:00Z">
        <w:r>
          <w:t>2024</w:t>
        </w:r>
      </w:ins>
      <w:r>
        <w:t xml:space="preserve"> s. </w:t>
      </w:r>
      <w:del w:id="691" w:author="Master Repository Process" w:date="2025-06-25T10:45:00Z">
        <w:r>
          <w:delText xml:space="preserve">42, 88 and 89; No. 3 of 2019 s. 12; No. 25 of 2019 s. 67.] </w:delText>
        </w:r>
      </w:del>
      <w:ins w:id="692" w:author="Master Repository Process" w:date="2025-06-25T10:45:00Z">
        <w:r>
          <w:t>31.]</w:t>
        </w:r>
      </w:ins>
    </w:p>
    <w:p>
      <w:pPr>
        <w:pStyle w:val="Heading5"/>
        <w:rPr>
          <w:snapToGrid w:val="0"/>
        </w:rPr>
      </w:pPr>
      <w:bookmarkStart w:id="693" w:name="_Toc171694308"/>
      <w:bookmarkStart w:id="694" w:name="_Toc171339094"/>
      <w:r>
        <w:rPr>
          <w:rStyle w:val="CharSectno"/>
        </w:rPr>
        <w:t>48</w:t>
      </w:r>
      <w:r>
        <w:rPr>
          <w:snapToGrid w:val="0"/>
        </w:rPr>
        <w:t>.</w:t>
      </w:r>
      <w:r>
        <w:rPr>
          <w:snapToGrid w:val="0"/>
        </w:rPr>
        <w:tab/>
        <w:t>Lessor to bear outgoings in respect of premises</w:t>
      </w:r>
      <w:bookmarkEnd w:id="693"/>
      <w:bookmarkEnd w:id="694"/>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Footnotesection"/>
      </w:pPr>
      <w:r>
        <w:tab/>
        <w:t xml:space="preserve">[Section 48 amended: No. 73 of 1995 s. 188; No. 14 of 1996 s. 4; No. 45 of 2002 s. 21; No. 60 of 2011 s. 43 and 89; No. 32 of 2018 s. 237.] </w:t>
      </w:r>
    </w:p>
    <w:p>
      <w:pPr>
        <w:pStyle w:val="Heading5"/>
      </w:pPr>
      <w:bookmarkStart w:id="695" w:name="_Toc171694309"/>
      <w:bookmarkStart w:id="696" w:name="_Toc171339095"/>
      <w:r>
        <w:rPr>
          <w:rStyle w:val="CharSectno"/>
        </w:rPr>
        <w:t>49A</w:t>
      </w:r>
      <w:r>
        <w:t>.</w:t>
      </w:r>
      <w:r>
        <w:tab/>
        <w:t>Lessor’s and tenant’s responsibilities in respect of public utility services</w:t>
      </w:r>
      <w:bookmarkEnd w:id="695"/>
      <w:bookmarkEnd w:id="696"/>
    </w:p>
    <w:p>
      <w:pPr>
        <w:pStyle w:val="Subsection"/>
        <w:keepNext/>
      </w:pPr>
      <w:r>
        <w:tab/>
        <w:t>(1)</w:t>
      </w:r>
      <w:r>
        <w:tab/>
        <w:t xml:space="preserve">In this section — </w:t>
      </w:r>
    </w:p>
    <w:p>
      <w:pPr>
        <w:pStyle w:val="Defstart"/>
      </w:pPr>
      <w:r>
        <w:tab/>
      </w:r>
      <w:r>
        <w:rPr>
          <w:rStyle w:val="CharDefText"/>
        </w:rPr>
        <w:t>consumption</w:t>
      </w:r>
      <w:r>
        <w:t>, in relation to a public utility service, means consumption of the utility that is calculated by metered unit;</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 xml:space="preserve">It is a term of every residential tenancy agreement that subsections (3) to (5) are terms of the agreement if — </w:t>
      </w:r>
    </w:p>
    <w:p>
      <w:pPr>
        <w:pStyle w:val="Indenta"/>
      </w:pPr>
      <w:r>
        <w:tab/>
        <w:t>(a)</w:t>
      </w:r>
      <w:r>
        <w:tab/>
        <w:t xml:space="preserve">a public utility service is provided in relation to the premises the subject of the agreement; and </w:t>
      </w:r>
    </w:p>
    <w:p>
      <w:pPr>
        <w:pStyle w:val="Indenta"/>
      </w:pPr>
      <w:r>
        <w:tab/>
        <w:t>(b)</w:t>
      </w:r>
      <w:r>
        <w:tab/>
        <w:t>the public utility service is provided under a contract between the provider of the public utility service and the lessor or a strata company.</w:t>
      </w:r>
    </w:p>
    <w:p>
      <w:pPr>
        <w:pStyle w:val="Subsection"/>
      </w:pPr>
      <w:r>
        <w:tab/>
        <w:t>(3)</w:t>
      </w:r>
      <w:r>
        <w:tab/>
        <w:t xml:space="preserve">The tenant must pay a charge for the provision of the service only if — </w:t>
      </w:r>
    </w:p>
    <w:p>
      <w:pPr>
        <w:pStyle w:val="Indenta"/>
      </w:pPr>
      <w:r>
        <w:tab/>
        <w:t>(a)</w:t>
      </w:r>
      <w:r>
        <w:tab/>
        <w:t xml:space="preserve">the charge is for the tenant’s consumption of the utility at the premises; and </w:t>
      </w:r>
    </w:p>
    <w:p>
      <w:pPr>
        <w:pStyle w:val="Indenta"/>
      </w:pPr>
      <w:r>
        <w:tab/>
        <w:t>(b)</w:t>
      </w:r>
      <w:r>
        <w:tab/>
        <w:t xml:space="preserve">either — </w:t>
      </w:r>
    </w:p>
    <w:p>
      <w:pPr>
        <w:pStyle w:val="Indenti"/>
      </w:pPr>
      <w:r>
        <w:tab/>
        <w:t>(i)</w:t>
      </w:r>
      <w:r>
        <w:tab/>
        <w:t>the tenant’s consumption of the utility is separately metered; or</w:t>
      </w:r>
    </w:p>
    <w:p>
      <w:pPr>
        <w:pStyle w:val="Indenti"/>
      </w:pPr>
      <w:r>
        <w:tab/>
        <w:t>(ii)</w:t>
      </w:r>
      <w:r>
        <w:tab/>
        <w:t>although consumption at the premises is not separately metered, the charge is calculated in accordance with a method previously agreed to in writing by the lessor and the tenant;</w:t>
      </w:r>
    </w:p>
    <w:p>
      <w:pPr>
        <w:pStyle w:val="Indenta"/>
      </w:pPr>
      <w:r>
        <w:tab/>
      </w:r>
      <w:r>
        <w:tab/>
        <w:t>and</w:t>
      </w:r>
    </w:p>
    <w:p>
      <w:pPr>
        <w:pStyle w:val="Indenta"/>
      </w:pPr>
      <w:r>
        <w:tab/>
        <w:t>(c)</w:t>
      </w:r>
      <w:r>
        <w:tab/>
        <w:t xml:space="preserve">the lessor gives the tenant a written notice under subsection (4) within 30 days after the lessor receives an invoice for the public utility service. </w:t>
      </w:r>
    </w:p>
    <w:p>
      <w:pPr>
        <w:pStyle w:val="Subsection"/>
      </w:pPr>
      <w:r>
        <w:tab/>
        <w:t>(4)</w:t>
      </w:r>
      <w:r>
        <w:tab/>
        <w:t xml:space="preserve">The notice must be in writing and set out the full details of the account for the charge, including — </w:t>
      </w:r>
    </w:p>
    <w:p>
      <w:pPr>
        <w:pStyle w:val="Indenta"/>
      </w:pPr>
      <w:r>
        <w:tab/>
        <w:t>(a)</w:t>
      </w:r>
      <w:r>
        <w:tab/>
        <w:t>the total charge for the tenant’s consumption of the utility; and</w:t>
      </w:r>
    </w:p>
    <w:p>
      <w:pPr>
        <w:pStyle w:val="Indenta"/>
      </w:pPr>
      <w:r>
        <w:tab/>
        <w:t>(b)</w:t>
      </w:r>
      <w:r>
        <w:tab/>
        <w:t xml:space="preserve">if consumption at the premises is metered — </w:t>
      </w:r>
    </w:p>
    <w:p>
      <w:pPr>
        <w:pStyle w:val="Indenti"/>
      </w:pPr>
      <w:r>
        <w:tab/>
        <w:t>(i)</w:t>
      </w:r>
      <w:r>
        <w:tab/>
        <w:t xml:space="preserve">the meter readings; and </w:t>
      </w:r>
    </w:p>
    <w:p>
      <w:pPr>
        <w:pStyle w:val="Indenti"/>
      </w:pPr>
      <w:r>
        <w:tab/>
        <w:t>(ii)</w:t>
      </w:r>
      <w:r>
        <w:tab/>
        <w:t xml:space="preserve">the charge per metered unit; </w:t>
      </w:r>
    </w:p>
    <w:p>
      <w:pPr>
        <w:pStyle w:val="Indenta"/>
      </w:pPr>
      <w:r>
        <w:tab/>
      </w:r>
      <w:r>
        <w:tab/>
        <w:t xml:space="preserve">and </w:t>
      </w:r>
    </w:p>
    <w:p>
      <w:pPr>
        <w:pStyle w:val="Indenta"/>
      </w:pPr>
      <w:r>
        <w:tab/>
        <w:t>(c)</w:t>
      </w:r>
      <w:r>
        <w:tab/>
        <w:t>if consumption at the premises is not metered — the charge calculated by the method agreed to under subsection (3)(b)(ii); and</w:t>
      </w:r>
    </w:p>
    <w:p>
      <w:pPr>
        <w:pStyle w:val="Indenta"/>
      </w:pPr>
      <w:r>
        <w:tab/>
        <w:t>(d)</w:t>
      </w:r>
      <w:r>
        <w:tab/>
        <w:t>the amount of GST payable in respect of the provision of the service to the premises.</w:t>
      </w:r>
    </w:p>
    <w:p>
      <w:pPr>
        <w:pStyle w:val="Subsection"/>
      </w:pPr>
      <w:r>
        <w:tab/>
        <w:t>(5)</w:t>
      </w:r>
      <w:r>
        <w:tab/>
        <w:t xml:space="preserve">However, despite subsection (3)(c), if the tenancy ends within 30 days after the lessor receives an invoice for the public utility service, or the lessor receives the invoice after the tenancy has ended, the lessor — </w:t>
      </w:r>
    </w:p>
    <w:p>
      <w:pPr>
        <w:pStyle w:val="Indenta"/>
      </w:pPr>
      <w:r>
        <w:tab/>
        <w:t>(a)</w:t>
      </w:r>
      <w:r>
        <w:tab/>
        <w:t xml:space="preserve">is not required to give the written notice under subsection (4) within 30 days after the lessor receives the invoice; and </w:t>
      </w:r>
    </w:p>
    <w:p>
      <w:pPr>
        <w:pStyle w:val="Indenta"/>
      </w:pPr>
      <w:r>
        <w:tab/>
        <w:t>(b)</w:t>
      </w:r>
      <w:r>
        <w:tab/>
        <w:t>may give the notice to the tenant (or former tenant) as soon as practicable after the lessor receives the notice and locates the tenant.</w:t>
      </w:r>
    </w:p>
    <w:p>
      <w:pPr>
        <w:pStyle w:val="Footnotesection"/>
      </w:pPr>
      <w:r>
        <w:tab/>
        <w:t xml:space="preserve">[Section 49A inserted: No. 60 of 2011 s. 44; amended: No. 25 of 2019 s. 68; No. 11 of 2024 s. 32.] </w:t>
      </w:r>
    </w:p>
    <w:p>
      <w:pPr>
        <w:pStyle w:val="Heading5"/>
        <w:rPr>
          <w:snapToGrid w:val="0"/>
        </w:rPr>
      </w:pPr>
      <w:bookmarkStart w:id="697" w:name="_Toc171694310"/>
      <w:bookmarkStart w:id="698" w:name="_Toc171339096"/>
      <w:r>
        <w:rPr>
          <w:rStyle w:val="CharSectno"/>
        </w:rPr>
        <w:t>49</w:t>
      </w:r>
      <w:r>
        <w:rPr>
          <w:snapToGrid w:val="0"/>
        </w:rPr>
        <w:t>.</w:t>
      </w:r>
      <w:r>
        <w:rPr>
          <w:snapToGrid w:val="0"/>
        </w:rPr>
        <w:tab/>
        <w:t>Right of tenant to assign or sub</w:t>
      </w:r>
      <w:r>
        <w:rPr>
          <w:snapToGrid w:val="0"/>
        </w:rPr>
        <w:noBreakHyphen/>
        <w:t>let</w:t>
      </w:r>
      <w:bookmarkEnd w:id="697"/>
      <w:bookmarkEnd w:id="698"/>
      <w:r>
        <w:rPr>
          <w:snapToGrid w:val="0"/>
        </w:rPr>
        <w:t xml:space="preserve"> </w:t>
      </w:r>
    </w:p>
    <w:p>
      <w:pPr>
        <w:pStyle w:val="Subsection"/>
        <w:keepNext/>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keepNext/>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No. 60 of 2011 s. 45, 88 and 89.] </w:t>
      </w:r>
    </w:p>
    <w:p>
      <w:pPr>
        <w:pStyle w:val="Heading5"/>
        <w:rPr>
          <w:snapToGrid w:val="0"/>
        </w:rPr>
      </w:pPr>
      <w:bookmarkStart w:id="699" w:name="_Toc171694311"/>
      <w:bookmarkStart w:id="700" w:name="_Toc171339097"/>
      <w:r>
        <w:rPr>
          <w:rStyle w:val="CharSectno"/>
        </w:rPr>
        <w:t>50</w:t>
      </w:r>
      <w:r>
        <w:rPr>
          <w:snapToGrid w:val="0"/>
        </w:rPr>
        <w:t>.</w:t>
      </w:r>
      <w:r>
        <w:rPr>
          <w:snapToGrid w:val="0"/>
        </w:rPr>
        <w:tab/>
        <w:t>Vicarious responsibility of tenant for breach by other person lawfully on premises</w:t>
      </w:r>
      <w:bookmarkEnd w:id="699"/>
      <w:bookmarkEnd w:id="700"/>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No. 60 of 2011 s. 46.] </w:t>
      </w:r>
    </w:p>
    <w:p>
      <w:pPr>
        <w:pStyle w:val="Heading3"/>
        <w:rPr>
          <w:ins w:id="701" w:author="Master Repository Process" w:date="2025-06-25T10:45:00Z"/>
        </w:rPr>
      </w:pPr>
      <w:bookmarkStart w:id="702" w:name="_Toc164777956"/>
      <w:bookmarkStart w:id="703" w:name="_Toc164778124"/>
      <w:bookmarkStart w:id="704" w:name="_Toc164778292"/>
      <w:bookmarkStart w:id="705" w:name="_Toc171680565"/>
      <w:bookmarkStart w:id="706" w:name="_Toc171680830"/>
      <w:bookmarkStart w:id="707" w:name="_Toc171681381"/>
      <w:bookmarkStart w:id="708" w:name="_Toc171681797"/>
      <w:bookmarkStart w:id="709" w:name="_Toc171682061"/>
      <w:bookmarkStart w:id="710" w:name="_Toc171694312"/>
      <w:ins w:id="711" w:author="Master Repository Process" w:date="2025-06-25T10:45:00Z">
        <w:r>
          <w:rPr>
            <w:rStyle w:val="CharDivNo"/>
          </w:rPr>
          <w:t>Division 2A</w:t>
        </w:r>
        <w:r>
          <w:t> — </w:t>
        </w:r>
        <w:r>
          <w:rPr>
            <w:rStyle w:val="CharDivText"/>
          </w:rPr>
          <w:t>Standard terms related to keeping pets</w:t>
        </w:r>
        <w:bookmarkEnd w:id="702"/>
        <w:bookmarkEnd w:id="703"/>
        <w:bookmarkEnd w:id="704"/>
        <w:bookmarkEnd w:id="705"/>
        <w:bookmarkEnd w:id="706"/>
        <w:bookmarkEnd w:id="707"/>
        <w:bookmarkEnd w:id="708"/>
        <w:bookmarkEnd w:id="709"/>
        <w:bookmarkEnd w:id="710"/>
      </w:ins>
    </w:p>
    <w:p>
      <w:pPr>
        <w:pStyle w:val="Footnoteheading"/>
        <w:rPr>
          <w:ins w:id="712" w:author="Master Repository Process" w:date="2025-06-25T10:45:00Z"/>
        </w:rPr>
      </w:pPr>
      <w:ins w:id="713" w:author="Master Repository Process" w:date="2025-06-25T10:45:00Z">
        <w:r>
          <w:tab/>
          <w:t>[Heading inserted: No. 11 of 2024 s. 29.]</w:t>
        </w:r>
      </w:ins>
    </w:p>
    <w:p>
      <w:pPr>
        <w:pStyle w:val="Heading5"/>
        <w:rPr>
          <w:ins w:id="714" w:author="Master Repository Process" w:date="2025-06-25T10:45:00Z"/>
        </w:rPr>
      </w:pPr>
      <w:bookmarkStart w:id="715" w:name="_Toc164778293"/>
      <w:bookmarkStart w:id="716" w:name="_Toc171694313"/>
      <w:ins w:id="717" w:author="Master Repository Process" w:date="2025-06-25T10:45:00Z">
        <w:r>
          <w:rPr>
            <w:rStyle w:val="CharSectno"/>
          </w:rPr>
          <w:t>50A</w:t>
        </w:r>
        <w:r>
          <w:t>.</w:t>
        </w:r>
        <w:r>
          <w:tab/>
          <w:t>Keeping pet at residential premises</w:t>
        </w:r>
        <w:bookmarkEnd w:id="715"/>
        <w:bookmarkEnd w:id="716"/>
      </w:ins>
    </w:p>
    <w:p>
      <w:pPr>
        <w:pStyle w:val="Subsection"/>
        <w:rPr>
          <w:ins w:id="718" w:author="Master Repository Process" w:date="2025-06-25T10:45:00Z"/>
        </w:rPr>
      </w:pPr>
      <w:ins w:id="719" w:author="Master Repository Process" w:date="2025-06-25T10:45:00Z">
        <w:r>
          <w:tab/>
          <w:t>(1)</w:t>
        </w:r>
        <w:r>
          <w:tab/>
          <w:t xml:space="preserve">In this section — </w:t>
        </w:r>
      </w:ins>
    </w:p>
    <w:p>
      <w:pPr>
        <w:pStyle w:val="Defstart"/>
        <w:rPr>
          <w:ins w:id="720" w:author="Master Repository Process" w:date="2025-06-25T10:45:00Z"/>
        </w:rPr>
      </w:pPr>
      <w:ins w:id="721" w:author="Master Repository Process" w:date="2025-06-25T10:45:00Z">
        <w:r>
          <w:tab/>
        </w:r>
        <w:r>
          <w:rPr>
            <w:rStyle w:val="CharDefText"/>
          </w:rPr>
          <w:t>community corporation</w:t>
        </w:r>
        <w:r>
          <w:t xml:space="preserve"> has the meaning given in the </w:t>
        </w:r>
        <w:r>
          <w:rPr>
            <w:i/>
          </w:rPr>
          <w:t>Community Titles Act 2018</w:t>
        </w:r>
        <w:r>
          <w:t xml:space="preserve"> section 3(1).</w:t>
        </w:r>
      </w:ins>
    </w:p>
    <w:p>
      <w:pPr>
        <w:pStyle w:val="Subsection"/>
        <w:rPr>
          <w:ins w:id="722" w:author="Master Repository Process" w:date="2025-06-25T10:45:00Z"/>
        </w:rPr>
      </w:pPr>
      <w:ins w:id="723" w:author="Master Repository Process" w:date="2025-06-25T10:45:00Z">
        <w:r>
          <w:tab/>
          <w:t>(2)</w:t>
        </w:r>
        <w:r>
          <w:tab/>
          <w:t>It is a term of every residential tenancy agreement that the tenant may keep a pet at the premises, but only with the consent of the lessor.</w:t>
        </w:r>
      </w:ins>
    </w:p>
    <w:p>
      <w:pPr>
        <w:pStyle w:val="PermNoteHeading"/>
        <w:rPr>
          <w:ins w:id="724" w:author="Master Repository Process" w:date="2025-06-25T10:45:00Z"/>
        </w:rPr>
      </w:pPr>
      <w:ins w:id="725" w:author="Master Repository Process" w:date="2025-06-25T10:45:00Z">
        <w:r>
          <w:tab/>
          <w:t>Note for this subsection:</w:t>
        </w:r>
      </w:ins>
    </w:p>
    <w:p>
      <w:pPr>
        <w:pStyle w:val="PermNoteText"/>
        <w:rPr>
          <w:ins w:id="726" w:author="Master Repository Process" w:date="2025-06-25T10:45:00Z"/>
        </w:rPr>
      </w:pPr>
      <w:ins w:id="727" w:author="Master Repository Process" w:date="2025-06-25T10:45:00Z">
        <w:r>
          <w:tab/>
        </w:r>
        <w:r>
          <w:tab/>
          <w:t>See section 50D for the only grounds on which a lessor may refuse a tenant’s request for consent to keep a pet at the premises.</w:t>
        </w:r>
      </w:ins>
    </w:p>
    <w:p>
      <w:pPr>
        <w:pStyle w:val="Subsection"/>
        <w:rPr>
          <w:ins w:id="728" w:author="Master Repository Process" w:date="2025-06-25T10:45:00Z"/>
        </w:rPr>
      </w:pPr>
      <w:ins w:id="729" w:author="Master Repository Process" w:date="2025-06-25T10:45:00Z">
        <w:r>
          <w:tab/>
          <w:t>(3)</w:t>
        </w:r>
        <w:r>
          <w:tab/>
          <w:t>However, the tenant may keep an assistance animal at the premises without the lessor’s consent.</w:t>
        </w:r>
      </w:ins>
    </w:p>
    <w:p>
      <w:pPr>
        <w:pStyle w:val="Subsection"/>
        <w:rPr>
          <w:ins w:id="730" w:author="Master Repository Process" w:date="2025-06-25T10:45:00Z"/>
        </w:rPr>
      </w:pPr>
      <w:ins w:id="731" w:author="Master Repository Process" w:date="2025-06-25T10:45:00Z">
        <w:r>
          <w:tab/>
          <w:t>(4)</w:t>
        </w:r>
        <w:r>
          <w:tab/>
          <w:t xml:space="preserve">It is a term of every residential tenancy agreement that the keeping of a pet or assistance animal at the premises is subject to — </w:t>
        </w:r>
      </w:ins>
    </w:p>
    <w:p>
      <w:pPr>
        <w:pStyle w:val="Indenta"/>
        <w:rPr>
          <w:ins w:id="732" w:author="Master Repository Process" w:date="2025-06-25T10:45:00Z"/>
        </w:rPr>
      </w:pPr>
      <w:ins w:id="733" w:author="Master Repository Process" w:date="2025-06-25T10:45:00Z">
        <w:r>
          <w:tab/>
          <w:t>(a)</w:t>
        </w:r>
        <w:r>
          <w:tab/>
          <w:t xml:space="preserve">any conditions of the lessor’s consent for the tenant to keep a pet at the premises — </w:t>
        </w:r>
      </w:ins>
    </w:p>
    <w:p>
      <w:pPr>
        <w:pStyle w:val="Indenti"/>
        <w:rPr>
          <w:ins w:id="734" w:author="Master Repository Process" w:date="2025-06-25T10:45:00Z"/>
        </w:rPr>
      </w:pPr>
      <w:ins w:id="735" w:author="Master Repository Process" w:date="2025-06-25T10:45:00Z">
        <w:r>
          <w:tab/>
          <w:t>(i)</w:t>
        </w:r>
        <w:r>
          <w:tab/>
          <w:t>permitted under section 50C; or</w:t>
        </w:r>
      </w:ins>
    </w:p>
    <w:p>
      <w:pPr>
        <w:pStyle w:val="Indenti"/>
        <w:rPr>
          <w:ins w:id="736" w:author="Master Repository Process" w:date="2025-06-25T10:45:00Z"/>
        </w:rPr>
      </w:pPr>
      <w:ins w:id="737" w:author="Master Repository Process" w:date="2025-06-25T10:45:00Z">
        <w:r>
          <w:tab/>
          <w:t>(ii)</w:t>
        </w:r>
        <w:r>
          <w:tab/>
          <w:t>imposed by order of the Commissioner under section 50E(4) or 50F(4);</w:t>
        </w:r>
      </w:ins>
    </w:p>
    <w:p>
      <w:pPr>
        <w:pStyle w:val="Indenta"/>
        <w:rPr>
          <w:ins w:id="738" w:author="Master Repository Process" w:date="2025-06-25T10:45:00Z"/>
        </w:rPr>
      </w:pPr>
      <w:ins w:id="739" w:author="Master Repository Process" w:date="2025-06-25T10:45:00Z">
        <w:r>
          <w:tab/>
        </w:r>
        <w:r>
          <w:tab/>
          <w:t>and</w:t>
        </w:r>
      </w:ins>
    </w:p>
    <w:p>
      <w:pPr>
        <w:pStyle w:val="Indenta"/>
        <w:rPr>
          <w:ins w:id="740" w:author="Master Repository Process" w:date="2025-06-25T10:45:00Z"/>
        </w:rPr>
      </w:pPr>
      <w:ins w:id="741" w:author="Master Repository Process" w:date="2025-06-25T10:45:00Z">
        <w:r>
          <w:tab/>
          <w:t>(b)</w:t>
        </w:r>
        <w:r>
          <w:tab/>
          <w:t>a written law or local law relating to keeping animals at the premises; and</w:t>
        </w:r>
      </w:ins>
    </w:p>
    <w:p>
      <w:pPr>
        <w:pStyle w:val="Indenta"/>
        <w:rPr>
          <w:ins w:id="742" w:author="Master Repository Process" w:date="2025-06-25T10:45:00Z"/>
        </w:rPr>
      </w:pPr>
      <w:ins w:id="743" w:author="Master Repository Process" w:date="2025-06-25T10:45:00Z">
        <w:r>
          <w:tab/>
          <w:t>(c)</w:t>
        </w:r>
        <w:r>
          <w:tab/>
          <w:t xml:space="preserve">if the premises are a lot in a community titles scheme or strata titles scheme — </w:t>
        </w:r>
      </w:ins>
    </w:p>
    <w:p>
      <w:pPr>
        <w:pStyle w:val="Indenti"/>
        <w:rPr>
          <w:ins w:id="744" w:author="Master Repository Process" w:date="2025-06-25T10:45:00Z"/>
        </w:rPr>
      </w:pPr>
      <w:ins w:id="745" w:author="Master Repository Process" w:date="2025-06-25T10:45:00Z">
        <w:r>
          <w:tab/>
          <w:t>(i)</w:t>
        </w:r>
        <w:r>
          <w:tab/>
          <w:t>the scheme by</w:t>
        </w:r>
        <w:r>
          <w:noBreakHyphen/>
          <w:t>laws; and</w:t>
        </w:r>
      </w:ins>
    </w:p>
    <w:p>
      <w:pPr>
        <w:pStyle w:val="Indenti"/>
        <w:rPr>
          <w:ins w:id="746" w:author="Master Repository Process" w:date="2025-06-25T10:45:00Z"/>
        </w:rPr>
      </w:pPr>
      <w:ins w:id="747" w:author="Master Repository Process" w:date="2025-06-25T10:45:00Z">
        <w:r>
          <w:tab/>
          <w:t>(ii)</w:t>
        </w:r>
        <w:r>
          <w:tab/>
          <w:t>if, under the scheme by</w:t>
        </w:r>
        <w:r>
          <w:noBreakHyphen/>
          <w:t>laws, the consent of the community corporation or strata company is required to keep a pet at the premises — any conditions of the consent.</w:t>
        </w:r>
      </w:ins>
    </w:p>
    <w:p>
      <w:pPr>
        <w:pStyle w:val="PermNoteHeading"/>
        <w:rPr>
          <w:ins w:id="748" w:author="Master Repository Process" w:date="2025-06-25T10:45:00Z"/>
        </w:rPr>
      </w:pPr>
      <w:ins w:id="749" w:author="Master Repository Process" w:date="2025-06-25T10:45:00Z">
        <w:r>
          <w:tab/>
          <w:t>Examples for this subsection:</w:t>
        </w:r>
      </w:ins>
    </w:p>
    <w:p>
      <w:pPr>
        <w:pStyle w:val="PermNoteText"/>
        <w:rPr>
          <w:ins w:id="750" w:author="Master Repository Process" w:date="2025-06-25T10:45:00Z"/>
        </w:rPr>
      </w:pPr>
      <w:ins w:id="751" w:author="Master Repository Process" w:date="2025-06-25T10:45:00Z">
        <w:r>
          <w:tab/>
          <w:t>1.</w:t>
        </w:r>
        <w:r>
          <w:tab/>
          <w:t>The premises may be subject to a local law that limits the number or type of animals that may be kept at the premises.</w:t>
        </w:r>
      </w:ins>
    </w:p>
    <w:p>
      <w:pPr>
        <w:pStyle w:val="PermNoteText"/>
        <w:rPr>
          <w:ins w:id="752" w:author="Master Repository Process" w:date="2025-06-25T10:45:00Z"/>
        </w:rPr>
      </w:pPr>
      <w:ins w:id="753" w:author="Master Repository Process" w:date="2025-06-25T10:45:00Z">
        <w:r>
          <w:tab/>
          <w:t>2.</w:t>
        </w:r>
        <w:r>
          <w:tab/>
          <w:t>The premises may be subject to a scheme by</w:t>
        </w:r>
        <w:r>
          <w:noBreakHyphen/>
          <w:t>law that requires approval of the strata company to keep a pet at the premises.</w:t>
        </w:r>
      </w:ins>
    </w:p>
    <w:p>
      <w:pPr>
        <w:pStyle w:val="Footnotesection"/>
        <w:rPr>
          <w:ins w:id="754" w:author="Master Repository Process" w:date="2025-06-25T10:45:00Z"/>
        </w:rPr>
      </w:pPr>
      <w:ins w:id="755" w:author="Master Repository Process" w:date="2025-06-25T10:45:00Z">
        <w:r>
          <w:tab/>
          <w:t>[Section 50A inserted: No. 11 of 2024 s. 33.]</w:t>
        </w:r>
      </w:ins>
    </w:p>
    <w:p>
      <w:pPr>
        <w:pStyle w:val="Heading5"/>
        <w:rPr>
          <w:ins w:id="756" w:author="Master Repository Process" w:date="2025-06-25T10:45:00Z"/>
        </w:rPr>
      </w:pPr>
      <w:bookmarkStart w:id="757" w:name="_Toc164778294"/>
      <w:bookmarkStart w:id="758" w:name="_Toc171694314"/>
      <w:ins w:id="759" w:author="Master Repository Process" w:date="2025-06-25T10:45:00Z">
        <w:r>
          <w:rPr>
            <w:rStyle w:val="CharSectno"/>
          </w:rPr>
          <w:t>50B</w:t>
        </w:r>
        <w:r>
          <w:t>.</w:t>
        </w:r>
        <w:r>
          <w:tab/>
          <w:t>Request for consent to keep pet at premises</w:t>
        </w:r>
        <w:bookmarkEnd w:id="757"/>
        <w:bookmarkEnd w:id="758"/>
      </w:ins>
    </w:p>
    <w:p>
      <w:pPr>
        <w:pStyle w:val="Subsection"/>
        <w:rPr>
          <w:ins w:id="760" w:author="Master Repository Process" w:date="2025-06-25T10:45:00Z"/>
        </w:rPr>
      </w:pPr>
      <w:ins w:id="761" w:author="Master Repository Process" w:date="2025-06-25T10:45:00Z">
        <w:r>
          <w:tab/>
          <w:t>(1)</w:t>
        </w:r>
        <w:r>
          <w:tab/>
          <w:t>The tenant may ask the lessor for consent to keep a pet at the premises.</w:t>
        </w:r>
      </w:ins>
    </w:p>
    <w:p>
      <w:pPr>
        <w:pStyle w:val="Subsection"/>
        <w:rPr>
          <w:ins w:id="762" w:author="Master Repository Process" w:date="2025-06-25T10:45:00Z"/>
        </w:rPr>
      </w:pPr>
      <w:ins w:id="763" w:author="Master Repository Process" w:date="2025-06-25T10:45:00Z">
        <w:r>
          <w:tab/>
          <w:t>(2)</w:t>
        </w:r>
        <w:r>
          <w:tab/>
          <w:t>The request must be in the approved form.</w:t>
        </w:r>
      </w:ins>
    </w:p>
    <w:p>
      <w:pPr>
        <w:pStyle w:val="Subsection"/>
        <w:rPr>
          <w:ins w:id="764" w:author="Master Repository Process" w:date="2025-06-25T10:45:00Z"/>
        </w:rPr>
      </w:pPr>
      <w:ins w:id="765" w:author="Master Repository Process" w:date="2025-06-25T10:45:00Z">
        <w:r>
          <w:tab/>
          <w:t>(3)</w:t>
        </w:r>
        <w:r>
          <w:tab/>
          <w:t>The lessor must respond to the tenant’s request within 14 days after the day on which the lessor receives the request.</w:t>
        </w:r>
      </w:ins>
    </w:p>
    <w:p>
      <w:pPr>
        <w:pStyle w:val="Subsection"/>
        <w:rPr>
          <w:ins w:id="766" w:author="Master Repository Process" w:date="2025-06-25T10:45:00Z"/>
        </w:rPr>
      </w:pPr>
      <w:ins w:id="767" w:author="Master Repository Process" w:date="2025-06-25T10:45:00Z">
        <w:r>
          <w:tab/>
          <w:t>(4)</w:t>
        </w:r>
        <w:r>
          <w:tab/>
          <w:t xml:space="preserve">The lessor’s response must be in writing and state — </w:t>
        </w:r>
      </w:ins>
    </w:p>
    <w:p>
      <w:pPr>
        <w:pStyle w:val="Indenta"/>
        <w:rPr>
          <w:ins w:id="768" w:author="Master Repository Process" w:date="2025-06-25T10:45:00Z"/>
        </w:rPr>
      </w:pPr>
      <w:ins w:id="769" w:author="Master Repository Process" w:date="2025-06-25T10:45:00Z">
        <w:r>
          <w:tab/>
          <w:t>(a)</w:t>
        </w:r>
        <w:r>
          <w:tab/>
          <w:t>whether the lessor approves or refuses the tenant’s request or intends to apply to the Commissioner for approval to refuse the tenant’s request under section 50E; and</w:t>
        </w:r>
      </w:ins>
    </w:p>
    <w:p>
      <w:pPr>
        <w:pStyle w:val="Indenta"/>
        <w:rPr>
          <w:ins w:id="770" w:author="Master Repository Process" w:date="2025-06-25T10:45:00Z"/>
        </w:rPr>
      </w:pPr>
      <w:ins w:id="771" w:author="Master Repository Process" w:date="2025-06-25T10:45:00Z">
        <w:r>
          <w:tab/>
          <w:t>(b)</w:t>
        </w:r>
        <w:r>
          <w:tab/>
          <w:t>if the lessor approves the tenant’s request subject to conditions — the conditions of the consent as permitted under section 50C; and</w:t>
        </w:r>
      </w:ins>
    </w:p>
    <w:p>
      <w:pPr>
        <w:pStyle w:val="Indenta"/>
        <w:rPr>
          <w:ins w:id="772" w:author="Master Repository Process" w:date="2025-06-25T10:45:00Z"/>
        </w:rPr>
      </w:pPr>
      <w:ins w:id="773" w:author="Master Repository Process" w:date="2025-06-25T10:45:00Z">
        <w:r>
          <w:tab/>
          <w:t>(c)</w:t>
        </w:r>
        <w:r>
          <w:tab/>
          <w:t>if the lessor intends to apply to the Commissioner under section 50F for approval to impose conditions — that fact and the conditions for which the lessor intends to apply for approval; and</w:t>
        </w:r>
      </w:ins>
    </w:p>
    <w:p>
      <w:pPr>
        <w:pStyle w:val="Indenta"/>
        <w:rPr>
          <w:ins w:id="774" w:author="Master Repository Process" w:date="2025-06-25T10:45:00Z"/>
        </w:rPr>
      </w:pPr>
      <w:ins w:id="775" w:author="Master Repository Process" w:date="2025-06-25T10:45:00Z">
        <w:r>
          <w:tab/>
          <w:t>(d)</w:t>
        </w:r>
        <w:r>
          <w:tab/>
          <w:t xml:space="preserve">if the lessor refuses the tenant’s request on grounds permitted under section 50D(a) or (c) — </w:t>
        </w:r>
      </w:ins>
    </w:p>
    <w:p>
      <w:pPr>
        <w:pStyle w:val="Indenti"/>
        <w:rPr>
          <w:ins w:id="776" w:author="Master Repository Process" w:date="2025-06-25T10:45:00Z"/>
        </w:rPr>
      </w:pPr>
      <w:ins w:id="777" w:author="Master Repository Process" w:date="2025-06-25T10:45:00Z">
        <w:r>
          <w:tab/>
          <w:t>(i)</w:t>
        </w:r>
        <w:r>
          <w:tab/>
          <w:t>the grounds for the refusal; and</w:t>
        </w:r>
      </w:ins>
    </w:p>
    <w:p>
      <w:pPr>
        <w:pStyle w:val="Indenti"/>
        <w:rPr>
          <w:ins w:id="778" w:author="Master Repository Process" w:date="2025-06-25T10:45:00Z"/>
        </w:rPr>
      </w:pPr>
      <w:ins w:id="779" w:author="Master Repository Process" w:date="2025-06-25T10:45:00Z">
        <w:r>
          <w:tab/>
          <w:t>(ii)</w:t>
        </w:r>
        <w:r>
          <w:tab/>
          <w:t>the reasons the lessor believes the grounds for the refusal apply to the request.</w:t>
        </w:r>
      </w:ins>
    </w:p>
    <w:p>
      <w:pPr>
        <w:pStyle w:val="Subsection"/>
        <w:rPr>
          <w:ins w:id="780" w:author="Master Repository Process" w:date="2025-06-25T10:45:00Z"/>
        </w:rPr>
      </w:pPr>
      <w:ins w:id="781" w:author="Master Repository Process" w:date="2025-06-25T10:45:00Z">
        <w:r>
          <w:tab/>
          <w:t>(5)</w:t>
        </w:r>
        <w:r>
          <w:tab/>
          <w:t xml:space="preserve">The lessor is taken to approve the tenant’s request if the lessor — </w:t>
        </w:r>
      </w:ins>
    </w:p>
    <w:p>
      <w:pPr>
        <w:pStyle w:val="Indenta"/>
        <w:rPr>
          <w:ins w:id="782" w:author="Master Repository Process" w:date="2025-06-25T10:45:00Z"/>
        </w:rPr>
      </w:pPr>
      <w:ins w:id="783" w:author="Master Repository Process" w:date="2025-06-25T10:45:00Z">
        <w:r>
          <w:tab/>
          <w:t>(a)</w:t>
        </w:r>
        <w:r>
          <w:tab/>
          <w:t>does not comply with subsection (3); or</w:t>
        </w:r>
      </w:ins>
    </w:p>
    <w:p>
      <w:pPr>
        <w:pStyle w:val="Indenta"/>
        <w:rPr>
          <w:ins w:id="784" w:author="Master Repository Process" w:date="2025-06-25T10:45:00Z"/>
        </w:rPr>
      </w:pPr>
      <w:ins w:id="785" w:author="Master Repository Process" w:date="2025-06-25T10:45:00Z">
        <w:r>
          <w:tab/>
          <w:t>(b)</w:t>
        </w:r>
        <w:r>
          <w:tab/>
          <w:t>does not apply to the Commissioner for approval to refuse the tenant’s request within 14 days after the day on which the lessor receives the request.</w:t>
        </w:r>
      </w:ins>
    </w:p>
    <w:p>
      <w:pPr>
        <w:pStyle w:val="Footnotesection"/>
        <w:rPr>
          <w:ins w:id="786" w:author="Master Repository Process" w:date="2025-06-25T10:45:00Z"/>
        </w:rPr>
      </w:pPr>
      <w:ins w:id="787" w:author="Master Repository Process" w:date="2025-06-25T10:45:00Z">
        <w:r>
          <w:tab/>
          <w:t>[Section 50B inserted: No. 11 of 2024 s. 33.]</w:t>
        </w:r>
      </w:ins>
    </w:p>
    <w:p>
      <w:pPr>
        <w:pStyle w:val="Heading5"/>
        <w:rPr>
          <w:ins w:id="788" w:author="Master Repository Process" w:date="2025-06-25T10:45:00Z"/>
        </w:rPr>
      </w:pPr>
      <w:bookmarkStart w:id="789" w:name="_Toc164778295"/>
      <w:bookmarkStart w:id="790" w:name="_Toc171694315"/>
      <w:ins w:id="791" w:author="Master Repository Process" w:date="2025-06-25T10:45:00Z">
        <w:r>
          <w:rPr>
            <w:rStyle w:val="CharSectno"/>
          </w:rPr>
          <w:t>50C</w:t>
        </w:r>
        <w:r>
          <w:t>.</w:t>
        </w:r>
        <w:r>
          <w:tab/>
          <w:t>Conditions for approval to keep pet at premises</w:t>
        </w:r>
        <w:bookmarkEnd w:id="789"/>
        <w:bookmarkEnd w:id="790"/>
      </w:ins>
    </w:p>
    <w:p>
      <w:pPr>
        <w:pStyle w:val="Subsection"/>
        <w:rPr>
          <w:ins w:id="792" w:author="Master Repository Process" w:date="2025-06-25T10:45:00Z"/>
        </w:rPr>
      </w:pPr>
      <w:ins w:id="793" w:author="Master Repository Process" w:date="2025-06-25T10:45:00Z">
        <w:r>
          <w:tab/>
        </w:r>
        <w:r>
          <w:tab/>
          <w:t xml:space="preserve">The lessor’s consent for a tenant to keep a pet at the premises may be subject to — </w:t>
        </w:r>
      </w:ins>
    </w:p>
    <w:p>
      <w:pPr>
        <w:pStyle w:val="Indenta"/>
        <w:rPr>
          <w:ins w:id="794" w:author="Master Repository Process" w:date="2025-06-25T10:45:00Z"/>
        </w:rPr>
      </w:pPr>
      <w:ins w:id="795" w:author="Master Repository Process" w:date="2025-06-25T10:45:00Z">
        <w:r>
          <w:tab/>
          <w:t>(a)</w:t>
        </w:r>
        <w:r>
          <w:tab/>
          <w:t xml:space="preserve">a reasonable condition about — </w:t>
        </w:r>
      </w:ins>
    </w:p>
    <w:p>
      <w:pPr>
        <w:pStyle w:val="Indenti"/>
        <w:rPr>
          <w:ins w:id="796" w:author="Master Repository Process" w:date="2025-06-25T10:45:00Z"/>
        </w:rPr>
      </w:pPr>
      <w:ins w:id="797" w:author="Master Repository Process" w:date="2025-06-25T10:45:00Z">
        <w:r>
          <w:tab/>
          <w:t>(i)</w:t>
        </w:r>
        <w:r>
          <w:tab/>
          <w:t>the number of animals that may be kept at the premises; or</w:t>
        </w:r>
      </w:ins>
    </w:p>
    <w:p>
      <w:pPr>
        <w:pStyle w:val="Indenti"/>
        <w:rPr>
          <w:ins w:id="798" w:author="Master Repository Process" w:date="2025-06-25T10:45:00Z"/>
        </w:rPr>
      </w:pPr>
      <w:ins w:id="799" w:author="Master Repository Process" w:date="2025-06-25T10:45:00Z">
        <w:r>
          <w:tab/>
          <w:t>(ii)</w:t>
        </w:r>
        <w:r>
          <w:tab/>
          <w:t>the cleaning, maintenance or fumigation of the premises in relation to the keeping of the pet; or</w:t>
        </w:r>
      </w:ins>
    </w:p>
    <w:p>
      <w:pPr>
        <w:pStyle w:val="Indenti"/>
        <w:rPr>
          <w:ins w:id="800" w:author="Master Repository Process" w:date="2025-06-25T10:45:00Z"/>
        </w:rPr>
      </w:pPr>
      <w:ins w:id="801" w:author="Master Repository Process" w:date="2025-06-25T10:45:00Z">
        <w:r>
          <w:tab/>
          <w:t>(iii)</w:t>
        </w:r>
        <w:r>
          <w:tab/>
          <w:t>a prescribed matter;</w:t>
        </w:r>
      </w:ins>
    </w:p>
    <w:p>
      <w:pPr>
        <w:pStyle w:val="Indenta"/>
        <w:rPr>
          <w:ins w:id="802" w:author="Master Repository Process" w:date="2025-06-25T10:45:00Z"/>
        </w:rPr>
      </w:pPr>
      <w:ins w:id="803" w:author="Master Repository Process" w:date="2025-06-25T10:45:00Z">
        <w:r>
          <w:tab/>
        </w:r>
        <w:r>
          <w:tab/>
          <w:t>or</w:t>
        </w:r>
      </w:ins>
    </w:p>
    <w:p>
      <w:pPr>
        <w:pStyle w:val="Indenta"/>
        <w:rPr>
          <w:ins w:id="804" w:author="Master Repository Process" w:date="2025-06-25T10:45:00Z"/>
        </w:rPr>
      </w:pPr>
      <w:ins w:id="805" w:author="Master Repository Process" w:date="2025-06-25T10:45:00Z">
        <w:r>
          <w:tab/>
          <w:t>(b)</w:t>
        </w:r>
        <w:r>
          <w:tab/>
          <w:t>a condition approved by the Commissioner on the application of the lessor under section 50F.</w:t>
        </w:r>
      </w:ins>
    </w:p>
    <w:p>
      <w:pPr>
        <w:pStyle w:val="Footnotesection"/>
        <w:rPr>
          <w:ins w:id="806" w:author="Master Repository Process" w:date="2025-06-25T10:45:00Z"/>
        </w:rPr>
      </w:pPr>
      <w:ins w:id="807" w:author="Master Repository Process" w:date="2025-06-25T10:45:00Z">
        <w:r>
          <w:tab/>
          <w:t>[Section 50C inserted: No. 11 of 2024 s. 33.]</w:t>
        </w:r>
      </w:ins>
    </w:p>
    <w:p>
      <w:pPr>
        <w:pStyle w:val="Heading5"/>
        <w:rPr>
          <w:ins w:id="808" w:author="Master Repository Process" w:date="2025-06-25T10:45:00Z"/>
        </w:rPr>
      </w:pPr>
      <w:bookmarkStart w:id="809" w:name="_Toc164778296"/>
      <w:bookmarkStart w:id="810" w:name="_Toc171694316"/>
      <w:ins w:id="811" w:author="Master Repository Process" w:date="2025-06-25T10:45:00Z">
        <w:r>
          <w:rPr>
            <w:rStyle w:val="CharSectno"/>
          </w:rPr>
          <w:t>50D</w:t>
        </w:r>
        <w:r>
          <w:t>.</w:t>
        </w:r>
        <w:r>
          <w:tab/>
          <w:t>Grounds for refusing pet being kept at premises</w:t>
        </w:r>
        <w:bookmarkEnd w:id="809"/>
        <w:bookmarkEnd w:id="810"/>
      </w:ins>
    </w:p>
    <w:p>
      <w:pPr>
        <w:pStyle w:val="Subsection"/>
        <w:rPr>
          <w:ins w:id="812" w:author="Master Repository Process" w:date="2025-06-25T10:45:00Z"/>
        </w:rPr>
      </w:pPr>
      <w:ins w:id="813" w:author="Master Repository Process" w:date="2025-06-25T10:45:00Z">
        <w:r>
          <w:tab/>
        </w:r>
        <w:r>
          <w:tab/>
          <w:t xml:space="preserve">The following are the only grounds on which a lessor may refuse a tenant’s request for consent to keep a pet at the premises — </w:t>
        </w:r>
      </w:ins>
    </w:p>
    <w:p>
      <w:pPr>
        <w:pStyle w:val="Indenta"/>
        <w:rPr>
          <w:ins w:id="814" w:author="Master Repository Process" w:date="2025-06-25T10:45:00Z"/>
        </w:rPr>
      </w:pPr>
      <w:ins w:id="815" w:author="Master Repository Process" w:date="2025-06-25T10:45:00Z">
        <w:r>
          <w:tab/>
          <w:t>(a)</w:t>
        </w:r>
        <w:r>
          <w:tab/>
          <w:t>keeping the pet would contravene a written law, local law or scheme by</w:t>
        </w:r>
        <w:r>
          <w:noBreakHyphen/>
          <w:t>laws applying to the premises;</w:t>
        </w:r>
      </w:ins>
    </w:p>
    <w:p>
      <w:pPr>
        <w:pStyle w:val="Indenta"/>
        <w:rPr>
          <w:ins w:id="816" w:author="Master Repository Process" w:date="2025-06-25T10:45:00Z"/>
        </w:rPr>
      </w:pPr>
      <w:ins w:id="817" w:author="Master Repository Process" w:date="2025-06-25T10:45:00Z">
        <w:r>
          <w:tab/>
          <w:t>(b)</w:t>
        </w:r>
        <w:r>
          <w:tab/>
          <w:t>with the approval of the Commissioner;</w:t>
        </w:r>
      </w:ins>
    </w:p>
    <w:p>
      <w:pPr>
        <w:pStyle w:val="Indenta"/>
        <w:rPr>
          <w:ins w:id="818" w:author="Master Repository Process" w:date="2025-06-25T10:45:00Z"/>
        </w:rPr>
      </w:pPr>
      <w:ins w:id="819" w:author="Master Repository Process" w:date="2025-06-25T10:45:00Z">
        <w:r>
          <w:tab/>
          <w:t>(c)</w:t>
        </w:r>
        <w:r>
          <w:tab/>
          <w:t xml:space="preserve">a prescribed ground. </w:t>
        </w:r>
      </w:ins>
    </w:p>
    <w:p>
      <w:pPr>
        <w:pStyle w:val="Footnotesection"/>
        <w:rPr>
          <w:ins w:id="820" w:author="Master Repository Process" w:date="2025-06-25T10:45:00Z"/>
        </w:rPr>
      </w:pPr>
      <w:ins w:id="821" w:author="Master Repository Process" w:date="2025-06-25T10:45:00Z">
        <w:r>
          <w:tab/>
          <w:t>[Section 50D inserted: No. 11 of 2024 s. 33.]</w:t>
        </w:r>
      </w:ins>
    </w:p>
    <w:p>
      <w:pPr>
        <w:pStyle w:val="Heading5"/>
        <w:rPr>
          <w:ins w:id="822" w:author="Master Repository Process" w:date="2025-06-25T10:45:00Z"/>
        </w:rPr>
      </w:pPr>
      <w:bookmarkStart w:id="823" w:name="_Toc164778297"/>
      <w:bookmarkStart w:id="824" w:name="_Toc171694317"/>
      <w:ins w:id="825" w:author="Master Repository Process" w:date="2025-06-25T10:45:00Z">
        <w:r>
          <w:rPr>
            <w:rStyle w:val="CharSectno"/>
          </w:rPr>
          <w:t>50E</w:t>
        </w:r>
        <w:r>
          <w:t>.</w:t>
        </w:r>
        <w:r>
          <w:tab/>
          <w:t>Lessor’s application for approval to refuse consent to keep pet at premises</w:t>
        </w:r>
        <w:bookmarkEnd w:id="823"/>
        <w:bookmarkEnd w:id="824"/>
        <w:r>
          <w:t xml:space="preserve"> </w:t>
        </w:r>
      </w:ins>
    </w:p>
    <w:p>
      <w:pPr>
        <w:pStyle w:val="Subsection"/>
        <w:rPr>
          <w:ins w:id="826" w:author="Master Repository Process" w:date="2025-06-25T10:45:00Z"/>
        </w:rPr>
      </w:pPr>
      <w:ins w:id="827" w:author="Master Repository Process" w:date="2025-06-25T10:45:00Z">
        <w:r>
          <w:tab/>
          <w:t>(1)</w:t>
        </w:r>
        <w:r>
          <w:tab/>
          <w:t>A lessor may apply to the Commissioner for an order approving the lessor’s refusal of a tenant’s request for consent to keep a pet at the premises.</w:t>
        </w:r>
      </w:ins>
    </w:p>
    <w:p>
      <w:pPr>
        <w:pStyle w:val="Subsection"/>
        <w:rPr>
          <w:ins w:id="828" w:author="Master Repository Process" w:date="2025-06-25T10:45:00Z"/>
        </w:rPr>
      </w:pPr>
      <w:ins w:id="829" w:author="Master Repository Process" w:date="2025-06-25T10:45:00Z">
        <w:r>
          <w:tab/>
          <w:t>(2)</w:t>
        </w:r>
        <w:r>
          <w:tab/>
          <w:t xml:space="preserve">The Commissioner must — </w:t>
        </w:r>
      </w:ins>
    </w:p>
    <w:p>
      <w:pPr>
        <w:pStyle w:val="Indenta"/>
        <w:rPr>
          <w:ins w:id="830" w:author="Master Repository Process" w:date="2025-06-25T10:45:00Z"/>
        </w:rPr>
      </w:pPr>
      <w:ins w:id="831" w:author="Master Repository Process" w:date="2025-06-25T10:45:00Z">
        <w:r>
          <w:tab/>
          <w:t>(a)</w:t>
        </w:r>
        <w:r>
          <w:tab/>
          <w:t>approve the lessor’s application; or</w:t>
        </w:r>
      </w:ins>
    </w:p>
    <w:p>
      <w:pPr>
        <w:pStyle w:val="Indenta"/>
        <w:rPr>
          <w:ins w:id="832" w:author="Master Repository Process" w:date="2025-06-25T10:45:00Z"/>
        </w:rPr>
      </w:pPr>
      <w:ins w:id="833" w:author="Master Repository Process" w:date="2025-06-25T10:45:00Z">
        <w:r>
          <w:tab/>
          <w:t>(b)</w:t>
        </w:r>
        <w:r>
          <w:tab/>
          <w:t>order the lessor to consent to the tenant’s request.</w:t>
        </w:r>
      </w:ins>
    </w:p>
    <w:p>
      <w:pPr>
        <w:pStyle w:val="Subsection"/>
        <w:rPr>
          <w:ins w:id="834" w:author="Master Repository Process" w:date="2025-06-25T10:45:00Z"/>
        </w:rPr>
      </w:pPr>
      <w:ins w:id="835" w:author="Master Repository Process" w:date="2025-06-25T10:45:00Z">
        <w:r>
          <w:tab/>
          <w:t>(3)</w:t>
        </w:r>
        <w:r>
          <w:tab/>
          <w:t xml:space="preserve">The Commissioner may make an order under subsection (2)(a) if satisfied that any of the following apply — </w:t>
        </w:r>
      </w:ins>
    </w:p>
    <w:p>
      <w:pPr>
        <w:pStyle w:val="Indenta"/>
        <w:rPr>
          <w:ins w:id="836" w:author="Master Repository Process" w:date="2025-06-25T10:45:00Z"/>
        </w:rPr>
      </w:pPr>
      <w:ins w:id="837" w:author="Master Repository Process" w:date="2025-06-25T10:45:00Z">
        <w:r>
          <w:tab/>
          <w:t>(a)</w:t>
        </w:r>
        <w:r>
          <w:tab/>
          <w:t>the premises are unsuitable for keeping the pet;</w:t>
        </w:r>
      </w:ins>
    </w:p>
    <w:p>
      <w:pPr>
        <w:pStyle w:val="Indenta"/>
        <w:rPr>
          <w:ins w:id="838" w:author="Master Repository Process" w:date="2025-06-25T10:45:00Z"/>
        </w:rPr>
      </w:pPr>
      <w:ins w:id="839" w:author="Master Repository Process" w:date="2025-06-25T10:45:00Z">
        <w:r>
          <w:tab/>
          <w:t>(b)</w:t>
        </w:r>
        <w:r>
          <w:tab/>
          <w:t>keeping the pet at the premises would exceed a reasonable number of pets being kept at the premises;</w:t>
        </w:r>
      </w:ins>
    </w:p>
    <w:p>
      <w:pPr>
        <w:pStyle w:val="Indenta"/>
        <w:rPr>
          <w:ins w:id="840" w:author="Master Repository Process" w:date="2025-06-25T10:45:00Z"/>
        </w:rPr>
      </w:pPr>
      <w:ins w:id="841" w:author="Master Repository Process" w:date="2025-06-25T10:45:00Z">
        <w:r>
          <w:tab/>
          <w:t>(c)</w:t>
        </w:r>
        <w:r>
          <w:tab/>
          <w:t>keeping the pet at the premises is likely to cause damage to the premises that could not be repaired for less than the amount of the security bond for the premises;</w:t>
        </w:r>
      </w:ins>
    </w:p>
    <w:p>
      <w:pPr>
        <w:pStyle w:val="Indenta"/>
        <w:rPr>
          <w:ins w:id="842" w:author="Master Repository Process" w:date="2025-06-25T10:45:00Z"/>
        </w:rPr>
      </w:pPr>
      <w:ins w:id="843" w:author="Master Repository Process" w:date="2025-06-25T10:45:00Z">
        <w:r>
          <w:tab/>
          <w:t>(d)</w:t>
        </w:r>
        <w:r>
          <w:tab/>
          <w:t>keeping the pet at the premises would pose an unacceptable risk to the health and safety of a person;</w:t>
        </w:r>
      </w:ins>
    </w:p>
    <w:p>
      <w:pPr>
        <w:pStyle w:val="Indenta"/>
        <w:rPr>
          <w:ins w:id="844" w:author="Master Repository Process" w:date="2025-06-25T10:45:00Z"/>
        </w:rPr>
      </w:pPr>
      <w:ins w:id="845" w:author="Master Repository Process" w:date="2025-06-25T10:45:00Z">
        <w:r>
          <w:tab/>
          <w:t>(e)</w:t>
        </w:r>
        <w:r>
          <w:tab/>
          <w:t>keeping the pet at the premises is likely to cause the lessor undue hardship;</w:t>
        </w:r>
      </w:ins>
    </w:p>
    <w:p>
      <w:pPr>
        <w:pStyle w:val="Indenta"/>
        <w:rPr>
          <w:ins w:id="846" w:author="Master Repository Process" w:date="2025-06-25T10:45:00Z"/>
        </w:rPr>
      </w:pPr>
      <w:ins w:id="847" w:author="Master Repository Process" w:date="2025-06-25T10:45:00Z">
        <w:r>
          <w:tab/>
          <w:t>(f)</w:t>
        </w:r>
        <w:r>
          <w:tab/>
          <w:t>a prescribed ground.</w:t>
        </w:r>
      </w:ins>
    </w:p>
    <w:p>
      <w:pPr>
        <w:pStyle w:val="PermNoteHeading"/>
        <w:rPr>
          <w:ins w:id="848" w:author="Master Repository Process" w:date="2025-06-25T10:45:00Z"/>
        </w:rPr>
      </w:pPr>
      <w:ins w:id="849" w:author="Master Repository Process" w:date="2025-06-25T10:45:00Z">
        <w:r>
          <w:tab/>
          <w:t>Examples for this subsection:</w:t>
        </w:r>
      </w:ins>
    </w:p>
    <w:p>
      <w:pPr>
        <w:pStyle w:val="PermNoteText"/>
        <w:rPr>
          <w:ins w:id="850" w:author="Master Repository Process" w:date="2025-06-25T10:45:00Z"/>
        </w:rPr>
      </w:pPr>
      <w:ins w:id="851" w:author="Master Repository Process" w:date="2025-06-25T10:45:00Z">
        <w:r>
          <w:tab/>
          <w:t>1.</w:t>
        </w:r>
        <w:r>
          <w:tab/>
          <w:t>For the purposes of paragraph (a), premises may be unsuitable for keeping a pet because of a lack of fencing, open space or another thing necessary to humanely accommodate the pet.</w:t>
        </w:r>
      </w:ins>
    </w:p>
    <w:p>
      <w:pPr>
        <w:pStyle w:val="PermNoteText"/>
        <w:rPr>
          <w:ins w:id="852" w:author="Master Repository Process" w:date="2025-06-25T10:45:00Z"/>
        </w:rPr>
      </w:pPr>
      <w:ins w:id="853" w:author="Master Repository Process" w:date="2025-06-25T10:45:00Z">
        <w:r>
          <w:tab/>
          <w:t>2.</w:t>
        </w:r>
        <w:r>
          <w:tab/>
          <w:t>For the purposes of paragraph (d), a pet may pose an unacceptable risk to the health and safety of a person if the lessor has an allergy that is affected by the pet or the pet is venomous.</w:t>
        </w:r>
      </w:ins>
    </w:p>
    <w:p>
      <w:pPr>
        <w:pStyle w:val="Subsection"/>
        <w:rPr>
          <w:ins w:id="854" w:author="Master Repository Process" w:date="2025-06-25T10:45:00Z"/>
        </w:rPr>
      </w:pPr>
      <w:ins w:id="855" w:author="Master Repository Process" w:date="2025-06-25T10:45:00Z">
        <w:r>
          <w:tab/>
          <w:t>(4)</w:t>
        </w:r>
        <w:r>
          <w:tab/>
          <w:t>The Commissioner may also order that the lessor’s consent to the tenant keeping a pet at the premises is subject to stated conditions, whether or not the lessor also makes an application under section 50F in relation to the tenant’s request.</w:t>
        </w:r>
      </w:ins>
    </w:p>
    <w:p>
      <w:pPr>
        <w:pStyle w:val="Footnotesection"/>
        <w:rPr>
          <w:ins w:id="856" w:author="Master Repository Process" w:date="2025-06-25T10:45:00Z"/>
        </w:rPr>
      </w:pPr>
      <w:ins w:id="857" w:author="Master Repository Process" w:date="2025-06-25T10:45:00Z">
        <w:r>
          <w:tab/>
          <w:t>[Section 50E inserted: No. 11 of 2024 s. 33.]</w:t>
        </w:r>
      </w:ins>
    </w:p>
    <w:p>
      <w:pPr>
        <w:pStyle w:val="Heading5"/>
        <w:rPr>
          <w:ins w:id="858" w:author="Master Repository Process" w:date="2025-06-25T10:45:00Z"/>
        </w:rPr>
      </w:pPr>
      <w:bookmarkStart w:id="859" w:name="_Toc164778298"/>
      <w:bookmarkStart w:id="860" w:name="_Toc171694318"/>
      <w:ins w:id="861" w:author="Master Repository Process" w:date="2025-06-25T10:45:00Z">
        <w:r>
          <w:rPr>
            <w:rStyle w:val="CharSectno"/>
          </w:rPr>
          <w:t>50F</w:t>
        </w:r>
        <w:r>
          <w:t>.</w:t>
        </w:r>
        <w:r>
          <w:tab/>
          <w:t>Lessor’s application for approval to impose conditions on consent to keep pet at premises</w:t>
        </w:r>
        <w:bookmarkEnd w:id="859"/>
        <w:bookmarkEnd w:id="860"/>
      </w:ins>
    </w:p>
    <w:p>
      <w:pPr>
        <w:pStyle w:val="Subsection"/>
        <w:rPr>
          <w:ins w:id="862" w:author="Master Repository Process" w:date="2025-06-25T10:45:00Z"/>
        </w:rPr>
      </w:pPr>
      <w:ins w:id="863" w:author="Master Repository Process" w:date="2025-06-25T10:45:00Z">
        <w:r>
          <w:tab/>
          <w:t>(1)</w:t>
        </w:r>
        <w:r>
          <w:tab/>
          <w:t>This section applies if a lessor proposes to impose a condition, other than a condition mentioned in section 50C(a), on the lessor’s consent for a tenant to keep a pet at the premises.</w:t>
        </w:r>
      </w:ins>
    </w:p>
    <w:p>
      <w:pPr>
        <w:pStyle w:val="Subsection"/>
        <w:rPr>
          <w:ins w:id="864" w:author="Master Repository Process" w:date="2025-06-25T10:45:00Z"/>
        </w:rPr>
      </w:pPr>
      <w:ins w:id="865" w:author="Master Repository Process" w:date="2025-06-25T10:45:00Z">
        <w:r>
          <w:tab/>
          <w:t>(2)</w:t>
        </w:r>
        <w:r>
          <w:tab/>
          <w:t>The lessor may apply to the Commissioner for an order approving the imposition of the condition on the lessor’s consent.</w:t>
        </w:r>
      </w:ins>
    </w:p>
    <w:p>
      <w:pPr>
        <w:pStyle w:val="Subsection"/>
        <w:rPr>
          <w:ins w:id="866" w:author="Master Repository Process" w:date="2025-06-25T10:45:00Z"/>
        </w:rPr>
      </w:pPr>
      <w:ins w:id="867" w:author="Master Repository Process" w:date="2025-06-25T10:45:00Z">
        <w:r>
          <w:tab/>
          <w:t>(3)</w:t>
        </w:r>
        <w:r>
          <w:tab/>
          <w:t>The Commissioner must approve or refuse the lessor’s application.</w:t>
        </w:r>
      </w:ins>
    </w:p>
    <w:p>
      <w:pPr>
        <w:pStyle w:val="Subsection"/>
        <w:rPr>
          <w:ins w:id="868" w:author="Master Repository Process" w:date="2025-06-25T10:45:00Z"/>
        </w:rPr>
      </w:pPr>
      <w:ins w:id="869" w:author="Master Repository Process" w:date="2025-06-25T10:45:00Z">
        <w:r>
          <w:tab/>
          <w:t>(4)</w:t>
        </w:r>
        <w:r>
          <w:tab/>
          <w:t>The Commissioner may also order that the lessor’s consent to keep a pet at the premises is subject to stated conditions, in addition to any conditions stated in the lessor’s application.</w:t>
        </w:r>
      </w:ins>
    </w:p>
    <w:p>
      <w:pPr>
        <w:pStyle w:val="Footnotesection"/>
        <w:rPr>
          <w:ins w:id="870" w:author="Master Repository Process" w:date="2025-06-25T10:45:00Z"/>
        </w:rPr>
      </w:pPr>
      <w:ins w:id="871" w:author="Master Repository Process" w:date="2025-06-25T10:45:00Z">
        <w:r>
          <w:tab/>
          <w:t>[Section 50F inserted: No. 11 of 2024 s. 33.]</w:t>
        </w:r>
      </w:ins>
    </w:p>
    <w:p>
      <w:pPr>
        <w:pStyle w:val="Heading5"/>
        <w:rPr>
          <w:ins w:id="872" w:author="Master Repository Process" w:date="2025-06-25T10:45:00Z"/>
        </w:rPr>
      </w:pPr>
      <w:bookmarkStart w:id="873" w:name="_Toc164778299"/>
      <w:bookmarkStart w:id="874" w:name="_Toc171694319"/>
      <w:ins w:id="875" w:author="Master Repository Process" w:date="2025-06-25T10:45:00Z">
        <w:r>
          <w:rPr>
            <w:rStyle w:val="CharSectno"/>
          </w:rPr>
          <w:t>50G</w:t>
        </w:r>
        <w:r>
          <w:t>.</w:t>
        </w:r>
        <w:r>
          <w:tab/>
          <w:t>Tenant’s application for order that refusal not permitted</w:t>
        </w:r>
        <w:bookmarkEnd w:id="873"/>
        <w:bookmarkEnd w:id="874"/>
      </w:ins>
    </w:p>
    <w:p>
      <w:pPr>
        <w:pStyle w:val="Subsection"/>
        <w:rPr>
          <w:ins w:id="876" w:author="Master Repository Process" w:date="2025-06-25T10:45:00Z"/>
        </w:rPr>
      </w:pPr>
      <w:ins w:id="877" w:author="Master Repository Process" w:date="2025-06-25T10:45:00Z">
        <w:r>
          <w:tab/>
          <w:t>(1)</w:t>
        </w:r>
        <w:r>
          <w:tab/>
          <w:t>A tenant may apply to the Commissioner for an order that the lessor’s refusal of the tenant’s request for consent to keep a pet at the premises is not permitted.</w:t>
        </w:r>
      </w:ins>
    </w:p>
    <w:p>
      <w:pPr>
        <w:pStyle w:val="Subsection"/>
        <w:rPr>
          <w:ins w:id="878" w:author="Master Repository Process" w:date="2025-06-25T10:45:00Z"/>
        </w:rPr>
      </w:pPr>
      <w:ins w:id="879" w:author="Master Repository Process" w:date="2025-06-25T10:45:00Z">
        <w:r>
          <w:tab/>
          <w:t>(2)</w:t>
        </w:r>
        <w:r>
          <w:tab/>
          <w:t xml:space="preserve">The Commissioner must — </w:t>
        </w:r>
      </w:ins>
    </w:p>
    <w:p>
      <w:pPr>
        <w:pStyle w:val="Indenta"/>
        <w:rPr>
          <w:ins w:id="880" w:author="Master Repository Process" w:date="2025-06-25T10:45:00Z"/>
        </w:rPr>
      </w:pPr>
      <w:ins w:id="881" w:author="Master Repository Process" w:date="2025-06-25T10:45:00Z">
        <w:r>
          <w:tab/>
          <w:t>(a)</w:t>
        </w:r>
        <w:r>
          <w:tab/>
          <w:t>if satisfied the lessor’s refusal is not permitted under section 50D(a) or (c) — order the lessor to consent to the tenant’s request; or</w:t>
        </w:r>
      </w:ins>
    </w:p>
    <w:p>
      <w:pPr>
        <w:pStyle w:val="Indenta"/>
        <w:rPr>
          <w:ins w:id="882" w:author="Master Repository Process" w:date="2025-06-25T10:45:00Z"/>
        </w:rPr>
      </w:pPr>
      <w:ins w:id="883" w:author="Master Repository Process" w:date="2025-06-25T10:45:00Z">
        <w:r>
          <w:tab/>
          <w:t>(b)</w:t>
        </w:r>
        <w:r>
          <w:tab/>
          <w:t>if satisfied any of the grounds referred to in section 50E(3) apply — approve the lessor’s refusal of the tenant’s request; or</w:t>
        </w:r>
      </w:ins>
    </w:p>
    <w:p>
      <w:pPr>
        <w:pStyle w:val="Indenta"/>
        <w:rPr>
          <w:ins w:id="884" w:author="Master Repository Process" w:date="2025-06-25T10:45:00Z"/>
        </w:rPr>
      </w:pPr>
      <w:ins w:id="885" w:author="Master Repository Process" w:date="2025-06-25T10:45:00Z">
        <w:r>
          <w:tab/>
          <w:t>(c)</w:t>
        </w:r>
        <w:r>
          <w:tab/>
          <w:t>otherwise — refuse the tenant’s application.</w:t>
        </w:r>
      </w:ins>
    </w:p>
    <w:p>
      <w:pPr>
        <w:pStyle w:val="Subsection"/>
        <w:rPr>
          <w:ins w:id="886" w:author="Master Repository Process" w:date="2025-06-25T10:45:00Z"/>
        </w:rPr>
      </w:pPr>
      <w:ins w:id="887" w:author="Master Repository Process" w:date="2025-06-25T10:45:00Z">
        <w:r>
          <w:tab/>
          <w:t>(3)</w:t>
        </w:r>
        <w:r>
          <w:tab/>
          <w:t>If the Commissioner makes an order under subsection (2)(a), the Commissioner may also order that the lessor’s consent is subject to stated conditions.</w:t>
        </w:r>
      </w:ins>
    </w:p>
    <w:p>
      <w:pPr>
        <w:pStyle w:val="Footnotesection"/>
        <w:rPr>
          <w:ins w:id="888" w:author="Master Repository Process" w:date="2025-06-25T10:45:00Z"/>
        </w:rPr>
      </w:pPr>
      <w:ins w:id="889" w:author="Master Repository Process" w:date="2025-06-25T10:45:00Z">
        <w:r>
          <w:tab/>
          <w:t>[Section 50G inserted: No. 11 of 2024 s. 33.]</w:t>
        </w:r>
      </w:ins>
    </w:p>
    <w:p>
      <w:pPr>
        <w:pStyle w:val="Heading5"/>
        <w:rPr>
          <w:ins w:id="890" w:author="Master Repository Process" w:date="2025-06-25T10:45:00Z"/>
        </w:rPr>
      </w:pPr>
      <w:bookmarkStart w:id="891" w:name="_Toc164778300"/>
      <w:bookmarkStart w:id="892" w:name="_Toc171694320"/>
      <w:ins w:id="893" w:author="Master Repository Process" w:date="2025-06-25T10:45:00Z">
        <w:r>
          <w:rPr>
            <w:rStyle w:val="CharSectno"/>
          </w:rPr>
          <w:t>50H</w:t>
        </w:r>
        <w:r>
          <w:t>.</w:t>
        </w:r>
        <w:r>
          <w:tab/>
          <w:t>Tenant’s application for order that conditions imposed on consent are unreasonable</w:t>
        </w:r>
        <w:bookmarkEnd w:id="891"/>
        <w:bookmarkEnd w:id="892"/>
      </w:ins>
    </w:p>
    <w:p>
      <w:pPr>
        <w:pStyle w:val="Subsection"/>
        <w:rPr>
          <w:ins w:id="894" w:author="Master Repository Process" w:date="2025-06-25T10:45:00Z"/>
        </w:rPr>
      </w:pPr>
      <w:ins w:id="895" w:author="Master Repository Process" w:date="2025-06-25T10:45:00Z">
        <w:r>
          <w:tab/>
          <w:t>(1)</w:t>
        </w:r>
        <w:r>
          <w:tab/>
          <w:t xml:space="preserve">A tenant may apply to the Commissioner for an order that a condition imposed by the lessor on the lessor’s consent to keep a pet at the premises is unreasonable. </w:t>
        </w:r>
      </w:ins>
    </w:p>
    <w:p>
      <w:pPr>
        <w:pStyle w:val="Subsection"/>
        <w:rPr>
          <w:ins w:id="896" w:author="Master Repository Process" w:date="2025-06-25T10:45:00Z"/>
        </w:rPr>
      </w:pPr>
      <w:ins w:id="897" w:author="Master Repository Process" w:date="2025-06-25T10:45:00Z">
        <w:r>
          <w:tab/>
          <w:t>(2)</w:t>
        </w:r>
        <w:r>
          <w:tab/>
          <w:t xml:space="preserve">The Commissioner must — </w:t>
        </w:r>
      </w:ins>
    </w:p>
    <w:p>
      <w:pPr>
        <w:pStyle w:val="Indenta"/>
        <w:rPr>
          <w:ins w:id="898" w:author="Master Repository Process" w:date="2025-06-25T10:45:00Z"/>
        </w:rPr>
      </w:pPr>
      <w:ins w:id="899" w:author="Master Repository Process" w:date="2025-06-25T10:45:00Z">
        <w:r>
          <w:tab/>
          <w:t>(a)</w:t>
        </w:r>
        <w:r>
          <w:tab/>
          <w:t>if satisfied the condition is unreasonable — approve the tenant’s application and order that the condition is unreasonable; or</w:t>
        </w:r>
      </w:ins>
    </w:p>
    <w:p>
      <w:pPr>
        <w:pStyle w:val="Indenta"/>
        <w:rPr>
          <w:ins w:id="900" w:author="Master Repository Process" w:date="2025-06-25T10:45:00Z"/>
        </w:rPr>
      </w:pPr>
      <w:ins w:id="901" w:author="Master Repository Process" w:date="2025-06-25T10:45:00Z">
        <w:r>
          <w:tab/>
          <w:t>(b)</w:t>
        </w:r>
        <w:r>
          <w:tab/>
          <w:t>if satisfied the condition is reasonable — refuse the tenant’s application and order that the condition is reasonable; or</w:t>
        </w:r>
      </w:ins>
    </w:p>
    <w:p>
      <w:pPr>
        <w:pStyle w:val="Indenta"/>
        <w:rPr>
          <w:ins w:id="902" w:author="Master Repository Process" w:date="2025-06-25T10:45:00Z"/>
        </w:rPr>
      </w:pPr>
      <w:ins w:id="903" w:author="Master Repository Process" w:date="2025-06-25T10:45:00Z">
        <w:r>
          <w:tab/>
          <w:t>(c)</w:t>
        </w:r>
        <w:r>
          <w:tab/>
          <w:t>order that the condition imposed by the lessor be modified in a stated way.</w:t>
        </w:r>
      </w:ins>
    </w:p>
    <w:p>
      <w:pPr>
        <w:pStyle w:val="Subsection"/>
        <w:rPr>
          <w:ins w:id="904" w:author="Master Repository Process" w:date="2025-06-25T10:45:00Z"/>
        </w:rPr>
      </w:pPr>
      <w:ins w:id="905" w:author="Master Repository Process" w:date="2025-06-25T10:45:00Z">
        <w:r>
          <w:tab/>
          <w:t>(3)</w:t>
        </w:r>
        <w:r>
          <w:tab/>
          <w:t>If the Commissioner orders that the condition is unreasonable, the lessor’s consent to keep a pet at the premises is no longer subject to the condition.</w:t>
        </w:r>
      </w:ins>
    </w:p>
    <w:p>
      <w:pPr>
        <w:pStyle w:val="Footnotesection"/>
        <w:rPr>
          <w:ins w:id="906" w:author="Master Repository Process" w:date="2025-06-25T10:45:00Z"/>
        </w:rPr>
      </w:pPr>
      <w:ins w:id="907" w:author="Master Repository Process" w:date="2025-06-25T10:45:00Z">
        <w:r>
          <w:tab/>
          <w:t>[Section 50H inserted: No. 11 of 2024 s. 33.]</w:t>
        </w:r>
      </w:ins>
    </w:p>
    <w:p>
      <w:pPr>
        <w:pStyle w:val="Heading5"/>
        <w:rPr>
          <w:ins w:id="908" w:author="Master Repository Process" w:date="2025-06-25T10:45:00Z"/>
        </w:rPr>
      </w:pPr>
      <w:bookmarkStart w:id="909" w:name="_Toc164778301"/>
      <w:bookmarkStart w:id="910" w:name="_Toc171694321"/>
      <w:ins w:id="911" w:author="Master Repository Process" w:date="2025-06-25T10:45:00Z">
        <w:r>
          <w:rPr>
            <w:rStyle w:val="CharSectno"/>
          </w:rPr>
          <w:t>50I</w:t>
        </w:r>
        <w:r>
          <w:t>.</w:t>
        </w:r>
        <w:r>
          <w:tab/>
          <w:t>Tenant responsible for pet</w:t>
        </w:r>
        <w:bookmarkEnd w:id="909"/>
        <w:bookmarkEnd w:id="910"/>
      </w:ins>
    </w:p>
    <w:p>
      <w:pPr>
        <w:pStyle w:val="Subsection"/>
        <w:rPr>
          <w:ins w:id="912" w:author="Master Repository Process" w:date="2025-06-25T10:45:00Z"/>
        </w:rPr>
      </w:pPr>
      <w:ins w:id="913" w:author="Master Repository Process" w:date="2025-06-25T10:45:00Z">
        <w:r>
          <w:tab/>
        </w:r>
        <w:r>
          <w:tab/>
          <w:t xml:space="preserve">The following are terms of every residential tenancy agreement — </w:t>
        </w:r>
      </w:ins>
    </w:p>
    <w:p>
      <w:pPr>
        <w:pStyle w:val="Indenta"/>
        <w:rPr>
          <w:ins w:id="914" w:author="Master Repository Process" w:date="2025-06-25T10:45:00Z"/>
        </w:rPr>
      </w:pPr>
      <w:ins w:id="915" w:author="Master Repository Process" w:date="2025-06-25T10:45:00Z">
        <w:r>
          <w:tab/>
          <w:t>(a)</w:t>
        </w:r>
        <w:r>
          <w:tab/>
          <w:t>the tenant is responsible for all nuisance caused by a pet kept at the premises, including, for example, noise caused by the pet;</w:t>
        </w:r>
      </w:ins>
    </w:p>
    <w:p>
      <w:pPr>
        <w:pStyle w:val="Indenta"/>
        <w:rPr>
          <w:ins w:id="916" w:author="Master Repository Process" w:date="2025-06-25T10:45:00Z"/>
        </w:rPr>
      </w:pPr>
      <w:ins w:id="917" w:author="Master Repository Process" w:date="2025-06-25T10:45:00Z">
        <w:r>
          <w:tab/>
          <w:t>(b)</w:t>
        </w:r>
        <w:r>
          <w:tab/>
          <w:t>the tenant is responsible for repairing any damage to the premises caused by the pet;</w:t>
        </w:r>
      </w:ins>
    </w:p>
    <w:p>
      <w:pPr>
        <w:pStyle w:val="Indenta"/>
        <w:rPr>
          <w:ins w:id="918" w:author="Master Repository Process" w:date="2025-06-25T10:45:00Z"/>
        </w:rPr>
      </w:pPr>
      <w:ins w:id="919" w:author="Master Repository Process" w:date="2025-06-25T10:45:00Z">
        <w:r>
          <w:tab/>
          <w:t>(c)</w:t>
        </w:r>
        <w:r>
          <w:tab/>
          <w:t>damage to the premises caused by the pet is not fair wear and tear.</w:t>
        </w:r>
      </w:ins>
    </w:p>
    <w:p>
      <w:pPr>
        <w:pStyle w:val="Footnotesection"/>
        <w:rPr>
          <w:ins w:id="920" w:author="Master Repository Process" w:date="2025-06-25T10:45:00Z"/>
        </w:rPr>
      </w:pPr>
      <w:ins w:id="921" w:author="Master Repository Process" w:date="2025-06-25T10:45:00Z">
        <w:r>
          <w:tab/>
          <w:t>[Section 50I inserted: No. 11 of 2024 s. 33.]</w:t>
        </w:r>
      </w:ins>
    </w:p>
    <w:p>
      <w:pPr>
        <w:pStyle w:val="Heading3"/>
        <w:rPr>
          <w:ins w:id="922" w:author="Master Repository Process" w:date="2025-06-25T10:45:00Z"/>
        </w:rPr>
      </w:pPr>
      <w:bookmarkStart w:id="923" w:name="_Toc164777966"/>
      <w:bookmarkStart w:id="924" w:name="_Toc164778134"/>
      <w:bookmarkStart w:id="925" w:name="_Toc164778302"/>
      <w:bookmarkStart w:id="926" w:name="_Toc171680575"/>
      <w:bookmarkStart w:id="927" w:name="_Toc171680840"/>
      <w:bookmarkStart w:id="928" w:name="_Toc171681391"/>
      <w:bookmarkStart w:id="929" w:name="_Toc171681807"/>
      <w:bookmarkStart w:id="930" w:name="_Toc171682071"/>
      <w:bookmarkStart w:id="931" w:name="_Toc171694322"/>
      <w:ins w:id="932" w:author="Master Repository Process" w:date="2025-06-25T10:45:00Z">
        <w:r>
          <w:rPr>
            <w:rStyle w:val="CharDivNo"/>
          </w:rPr>
          <w:t>Division 2B</w:t>
        </w:r>
        <w:r>
          <w:t> — </w:t>
        </w:r>
        <w:r>
          <w:rPr>
            <w:rStyle w:val="CharDivText"/>
          </w:rPr>
          <w:t>Standard terms related to modifications to premises</w:t>
        </w:r>
        <w:bookmarkEnd w:id="923"/>
        <w:bookmarkEnd w:id="924"/>
        <w:bookmarkEnd w:id="925"/>
        <w:bookmarkEnd w:id="926"/>
        <w:bookmarkEnd w:id="927"/>
        <w:bookmarkEnd w:id="928"/>
        <w:bookmarkEnd w:id="929"/>
        <w:bookmarkEnd w:id="930"/>
        <w:bookmarkEnd w:id="931"/>
      </w:ins>
    </w:p>
    <w:p>
      <w:pPr>
        <w:pStyle w:val="Footnoteheading"/>
        <w:keepNext/>
        <w:rPr>
          <w:ins w:id="933" w:author="Master Repository Process" w:date="2025-06-25T10:45:00Z"/>
        </w:rPr>
      </w:pPr>
      <w:ins w:id="934" w:author="Master Repository Process" w:date="2025-06-25T10:45:00Z">
        <w:r>
          <w:tab/>
          <w:t>[Heading inserted: No. 11 of 2024 s. 33.]</w:t>
        </w:r>
      </w:ins>
    </w:p>
    <w:p>
      <w:pPr>
        <w:pStyle w:val="Heading4"/>
        <w:rPr>
          <w:ins w:id="935" w:author="Master Repository Process" w:date="2025-06-25T10:45:00Z"/>
        </w:rPr>
      </w:pPr>
      <w:bookmarkStart w:id="936" w:name="_Toc164777967"/>
      <w:bookmarkStart w:id="937" w:name="_Toc164778135"/>
      <w:bookmarkStart w:id="938" w:name="_Toc164778303"/>
      <w:bookmarkStart w:id="939" w:name="_Toc171680576"/>
      <w:bookmarkStart w:id="940" w:name="_Toc171680841"/>
      <w:bookmarkStart w:id="941" w:name="_Toc171681392"/>
      <w:bookmarkStart w:id="942" w:name="_Toc171681808"/>
      <w:bookmarkStart w:id="943" w:name="_Toc171682072"/>
      <w:bookmarkStart w:id="944" w:name="_Toc171694323"/>
      <w:ins w:id="945" w:author="Master Repository Process" w:date="2025-06-25T10:45:00Z">
        <w:r>
          <w:t>Subdivision 1 — Modifications by tenant to prevent furniture from falling</w:t>
        </w:r>
        <w:bookmarkEnd w:id="936"/>
        <w:bookmarkEnd w:id="937"/>
        <w:bookmarkEnd w:id="938"/>
        <w:bookmarkEnd w:id="939"/>
        <w:bookmarkEnd w:id="940"/>
        <w:bookmarkEnd w:id="941"/>
        <w:bookmarkEnd w:id="942"/>
        <w:bookmarkEnd w:id="943"/>
        <w:bookmarkEnd w:id="944"/>
      </w:ins>
    </w:p>
    <w:p>
      <w:pPr>
        <w:pStyle w:val="Footnoteheading"/>
        <w:keepNext/>
        <w:rPr>
          <w:ins w:id="946" w:author="Master Repository Process" w:date="2025-06-25T10:45:00Z"/>
        </w:rPr>
      </w:pPr>
      <w:ins w:id="947" w:author="Master Repository Process" w:date="2025-06-25T10:45:00Z">
        <w:r>
          <w:tab/>
          <w:t>[Heading inserted: No. 11 of 2024 s. 33.]</w:t>
        </w:r>
      </w:ins>
    </w:p>
    <w:p>
      <w:pPr>
        <w:pStyle w:val="Heading5"/>
        <w:rPr>
          <w:ins w:id="948" w:author="Master Repository Process" w:date="2025-06-25T10:45:00Z"/>
        </w:rPr>
      </w:pPr>
      <w:bookmarkStart w:id="949" w:name="_Toc164778304"/>
      <w:bookmarkStart w:id="950" w:name="_Toc171694324"/>
      <w:ins w:id="951" w:author="Master Repository Process" w:date="2025-06-25T10:45:00Z">
        <w:r>
          <w:rPr>
            <w:rStyle w:val="CharSectno"/>
          </w:rPr>
          <w:t>50J</w:t>
        </w:r>
        <w:r>
          <w:t>.</w:t>
        </w:r>
        <w:r>
          <w:tab/>
          <w:t>Tenant may attach furniture to wall for safety of child or person with disability</w:t>
        </w:r>
        <w:bookmarkEnd w:id="949"/>
        <w:bookmarkEnd w:id="950"/>
      </w:ins>
    </w:p>
    <w:p>
      <w:pPr>
        <w:pStyle w:val="Subsection"/>
        <w:rPr>
          <w:ins w:id="952" w:author="Master Repository Process" w:date="2025-06-25T10:45:00Z"/>
        </w:rPr>
      </w:pPr>
      <w:ins w:id="953" w:author="Master Repository Process" w:date="2025-06-25T10:45:00Z">
        <w:r>
          <w:tab/>
          <w:t>(1)</w:t>
        </w:r>
        <w:r>
          <w:tab/>
          <w:t>It is a term of every residential tenancy agreement that a tenant may attach furniture, or a thing to attach furniture, to a wall of the premises for the purpose of ensuring the safety of a child or person with disability, but only with the consent of the lessor.</w:t>
        </w:r>
      </w:ins>
    </w:p>
    <w:p>
      <w:pPr>
        <w:pStyle w:val="Subsection"/>
        <w:rPr>
          <w:ins w:id="954" w:author="Master Repository Process" w:date="2025-06-25T10:45:00Z"/>
        </w:rPr>
      </w:pPr>
      <w:ins w:id="955" w:author="Master Repository Process" w:date="2025-06-25T10:45:00Z">
        <w:r>
          <w:tab/>
          <w:t>(2)</w:t>
        </w:r>
        <w:r>
          <w:tab/>
          <w:t xml:space="preserve">A modification under subsection (1) is a </w:t>
        </w:r>
        <w:r>
          <w:rPr>
            <w:rStyle w:val="CharDefText"/>
          </w:rPr>
          <w:t>furniture safety modification</w:t>
        </w:r>
        <w:r>
          <w:t>.</w:t>
        </w:r>
      </w:ins>
    </w:p>
    <w:p>
      <w:pPr>
        <w:pStyle w:val="PermNoteHeading"/>
        <w:rPr>
          <w:ins w:id="956" w:author="Master Repository Process" w:date="2025-06-25T10:45:00Z"/>
        </w:rPr>
      </w:pPr>
      <w:ins w:id="957" w:author="Master Repository Process" w:date="2025-06-25T10:45:00Z">
        <w:r>
          <w:tab/>
          <w:t>Note for this section:</w:t>
        </w:r>
      </w:ins>
    </w:p>
    <w:p>
      <w:pPr>
        <w:pStyle w:val="PermNoteText"/>
        <w:rPr>
          <w:ins w:id="958" w:author="Master Repository Process" w:date="2025-06-25T10:45:00Z"/>
        </w:rPr>
      </w:pPr>
      <w:ins w:id="959" w:author="Master Repository Process" w:date="2025-06-25T10:45:00Z">
        <w:r>
          <w:tab/>
        </w:r>
        <w:r>
          <w:tab/>
          <w:t>See Subdivision 5 for the responsibilities of a tenant who makes a modification to premises.</w:t>
        </w:r>
      </w:ins>
    </w:p>
    <w:p>
      <w:pPr>
        <w:pStyle w:val="Footnotesection"/>
        <w:rPr>
          <w:ins w:id="960" w:author="Master Repository Process" w:date="2025-06-25T10:45:00Z"/>
        </w:rPr>
      </w:pPr>
      <w:ins w:id="961" w:author="Master Repository Process" w:date="2025-06-25T10:45:00Z">
        <w:r>
          <w:tab/>
          <w:t>[Section 50J inserted: No. 11 of 2024 s. 33.]</w:t>
        </w:r>
      </w:ins>
    </w:p>
    <w:p>
      <w:pPr>
        <w:pStyle w:val="Heading5"/>
        <w:rPr>
          <w:ins w:id="962" w:author="Master Repository Process" w:date="2025-06-25T10:45:00Z"/>
        </w:rPr>
      </w:pPr>
      <w:bookmarkStart w:id="963" w:name="_Toc164778305"/>
      <w:bookmarkStart w:id="964" w:name="_Toc171694325"/>
      <w:ins w:id="965" w:author="Master Repository Process" w:date="2025-06-25T10:45:00Z">
        <w:r>
          <w:rPr>
            <w:rStyle w:val="CharSectno"/>
          </w:rPr>
          <w:t>50K</w:t>
        </w:r>
        <w:r>
          <w:t>.</w:t>
        </w:r>
        <w:r>
          <w:tab/>
          <w:t>Request for consent to make furniture safety modification</w:t>
        </w:r>
        <w:bookmarkEnd w:id="963"/>
        <w:bookmarkEnd w:id="964"/>
      </w:ins>
    </w:p>
    <w:p>
      <w:pPr>
        <w:pStyle w:val="Subsection"/>
        <w:rPr>
          <w:ins w:id="966" w:author="Master Repository Process" w:date="2025-06-25T10:45:00Z"/>
        </w:rPr>
      </w:pPr>
      <w:ins w:id="967" w:author="Master Repository Process" w:date="2025-06-25T10:45:00Z">
        <w:r>
          <w:tab/>
          <w:t>(1)</w:t>
        </w:r>
        <w:r>
          <w:tab/>
          <w:t>The tenant may ask the lessor for consent to make a furniture safety modification.</w:t>
        </w:r>
      </w:ins>
    </w:p>
    <w:p>
      <w:pPr>
        <w:pStyle w:val="Subsection"/>
        <w:rPr>
          <w:ins w:id="968" w:author="Master Repository Process" w:date="2025-06-25T10:45:00Z"/>
        </w:rPr>
      </w:pPr>
      <w:ins w:id="969" w:author="Master Repository Process" w:date="2025-06-25T10:45:00Z">
        <w:r>
          <w:tab/>
          <w:t>(2)</w:t>
        </w:r>
        <w:r>
          <w:tab/>
          <w:t xml:space="preserve">The request must — </w:t>
        </w:r>
      </w:ins>
    </w:p>
    <w:p>
      <w:pPr>
        <w:pStyle w:val="Indenta"/>
        <w:rPr>
          <w:ins w:id="970" w:author="Master Repository Process" w:date="2025-06-25T10:45:00Z"/>
        </w:rPr>
      </w:pPr>
      <w:ins w:id="971" w:author="Master Repository Process" w:date="2025-06-25T10:45:00Z">
        <w:r>
          <w:tab/>
          <w:t>(a)</w:t>
        </w:r>
        <w:r>
          <w:tab/>
          <w:t>be in the approved form; and</w:t>
        </w:r>
      </w:ins>
    </w:p>
    <w:p>
      <w:pPr>
        <w:pStyle w:val="Indenta"/>
        <w:rPr>
          <w:ins w:id="972" w:author="Master Repository Process" w:date="2025-06-25T10:45:00Z"/>
        </w:rPr>
      </w:pPr>
      <w:ins w:id="973" w:author="Master Repository Process" w:date="2025-06-25T10:45:00Z">
        <w:r>
          <w:tab/>
          <w:t>(b)</w:t>
        </w:r>
        <w:r>
          <w:tab/>
          <w:t>describe the furniture safety modification the tenant proposes to make.</w:t>
        </w:r>
      </w:ins>
    </w:p>
    <w:p>
      <w:pPr>
        <w:pStyle w:val="Subsection"/>
        <w:rPr>
          <w:ins w:id="974" w:author="Master Repository Process" w:date="2025-06-25T10:45:00Z"/>
        </w:rPr>
      </w:pPr>
      <w:ins w:id="975" w:author="Master Repository Process" w:date="2025-06-25T10:45:00Z">
        <w:r>
          <w:tab/>
          <w:t>(3)</w:t>
        </w:r>
        <w:r>
          <w:tab/>
          <w:t>The lessor must respond to the tenant’s request within 14 days after the day on which the lessor receives the request.</w:t>
        </w:r>
      </w:ins>
    </w:p>
    <w:p>
      <w:pPr>
        <w:pStyle w:val="Subsection"/>
        <w:rPr>
          <w:ins w:id="976" w:author="Master Repository Process" w:date="2025-06-25T10:45:00Z"/>
        </w:rPr>
      </w:pPr>
      <w:ins w:id="977" w:author="Master Repository Process" w:date="2025-06-25T10:45:00Z">
        <w:r>
          <w:tab/>
          <w:t>(4)</w:t>
        </w:r>
        <w:r>
          <w:tab/>
          <w:t xml:space="preserve">The lessor’s response must be in writing and state — </w:t>
        </w:r>
      </w:ins>
    </w:p>
    <w:p>
      <w:pPr>
        <w:pStyle w:val="Indenta"/>
        <w:rPr>
          <w:ins w:id="978" w:author="Master Repository Process" w:date="2025-06-25T10:45:00Z"/>
        </w:rPr>
      </w:pPr>
      <w:ins w:id="979" w:author="Master Repository Process" w:date="2025-06-25T10:45:00Z">
        <w:r>
          <w:tab/>
          <w:t>(a)</w:t>
        </w:r>
        <w:r>
          <w:tab/>
          <w:t>whether the lessor approves or refuses the tenant’s request; and</w:t>
        </w:r>
      </w:ins>
    </w:p>
    <w:p>
      <w:pPr>
        <w:pStyle w:val="Indenta"/>
        <w:rPr>
          <w:ins w:id="980" w:author="Master Repository Process" w:date="2025-06-25T10:45:00Z"/>
        </w:rPr>
      </w:pPr>
      <w:ins w:id="981" w:author="Master Repository Process" w:date="2025-06-25T10:45:00Z">
        <w:r>
          <w:tab/>
          <w:t>(b)</w:t>
        </w:r>
        <w:r>
          <w:tab/>
          <w:t>if the lessor refuses the tenant’s request on grounds permitted under section 50L — the grounds for the refusal.</w:t>
        </w:r>
      </w:ins>
    </w:p>
    <w:p>
      <w:pPr>
        <w:pStyle w:val="PermNoteHeading"/>
        <w:rPr>
          <w:ins w:id="982" w:author="Master Repository Process" w:date="2025-06-25T10:45:00Z"/>
        </w:rPr>
      </w:pPr>
      <w:ins w:id="983" w:author="Master Repository Process" w:date="2025-06-25T10:45:00Z">
        <w:r>
          <w:tab/>
          <w:t>Note for this subsection:</w:t>
        </w:r>
      </w:ins>
    </w:p>
    <w:p>
      <w:pPr>
        <w:pStyle w:val="PermNoteText"/>
        <w:rPr>
          <w:ins w:id="984" w:author="Master Repository Process" w:date="2025-06-25T10:45:00Z"/>
        </w:rPr>
      </w:pPr>
      <w:ins w:id="985" w:author="Master Repository Process" w:date="2025-06-25T10:45:00Z">
        <w:r>
          <w:tab/>
        </w:r>
        <w:r>
          <w:tab/>
          <w:t>For the purposes of paragraph (b), see section 50L(2) which prohibits the lessor from refusing consent to make a furniture safety modification in circumstances related to enabling a person with disability to access and use the premises.</w:t>
        </w:r>
      </w:ins>
    </w:p>
    <w:p>
      <w:pPr>
        <w:pStyle w:val="Subsection"/>
        <w:rPr>
          <w:ins w:id="986" w:author="Master Repository Process" w:date="2025-06-25T10:45:00Z"/>
        </w:rPr>
      </w:pPr>
      <w:ins w:id="987" w:author="Master Repository Process" w:date="2025-06-25T10:45:00Z">
        <w:r>
          <w:tab/>
          <w:t>(5)</w:t>
        </w:r>
        <w:r>
          <w:tab/>
          <w:t>The lessor is taken to approve the tenant’s request if the lessor does not comply with subsection (3).</w:t>
        </w:r>
      </w:ins>
    </w:p>
    <w:p>
      <w:pPr>
        <w:pStyle w:val="Footnotesection"/>
        <w:rPr>
          <w:ins w:id="988" w:author="Master Repository Process" w:date="2025-06-25T10:45:00Z"/>
        </w:rPr>
      </w:pPr>
      <w:ins w:id="989" w:author="Master Repository Process" w:date="2025-06-25T10:45:00Z">
        <w:r>
          <w:tab/>
          <w:t>[Section 50K inserted: No. 11 of 2024 s. 33.]</w:t>
        </w:r>
      </w:ins>
    </w:p>
    <w:p>
      <w:pPr>
        <w:pStyle w:val="Heading5"/>
        <w:rPr>
          <w:ins w:id="990" w:author="Master Repository Process" w:date="2025-06-25T10:45:00Z"/>
        </w:rPr>
      </w:pPr>
      <w:bookmarkStart w:id="991" w:name="_Toc164778306"/>
      <w:bookmarkStart w:id="992" w:name="_Toc171694326"/>
      <w:ins w:id="993" w:author="Master Repository Process" w:date="2025-06-25T10:45:00Z">
        <w:r>
          <w:rPr>
            <w:rStyle w:val="CharSectno"/>
          </w:rPr>
          <w:t>50L</w:t>
        </w:r>
        <w:r>
          <w:t>.</w:t>
        </w:r>
        <w:r>
          <w:tab/>
          <w:t>Grounds for refusing tenant’s request to make furniture safety modification</w:t>
        </w:r>
        <w:bookmarkEnd w:id="991"/>
        <w:bookmarkEnd w:id="992"/>
      </w:ins>
    </w:p>
    <w:p>
      <w:pPr>
        <w:pStyle w:val="Subsection"/>
        <w:rPr>
          <w:ins w:id="994" w:author="Master Repository Process" w:date="2025-06-25T10:45:00Z"/>
        </w:rPr>
      </w:pPr>
      <w:ins w:id="995" w:author="Master Repository Process" w:date="2025-06-25T10:45:00Z">
        <w:r>
          <w:tab/>
          <w:t>(1)</w:t>
        </w:r>
        <w:r>
          <w:tab/>
          <w:t xml:space="preserve">The following are the only grounds on which a lessor may refuse a tenant’s request to make a furniture safety modification to premises — </w:t>
        </w:r>
      </w:ins>
    </w:p>
    <w:p>
      <w:pPr>
        <w:pStyle w:val="Indenta"/>
        <w:rPr>
          <w:ins w:id="996" w:author="Master Repository Process" w:date="2025-06-25T10:45:00Z"/>
        </w:rPr>
      </w:pPr>
      <w:ins w:id="997" w:author="Master Repository Process" w:date="2025-06-25T10:45:00Z">
        <w:r>
          <w:tab/>
          <w:t>(a)</w:t>
        </w:r>
        <w:r>
          <w:tab/>
          <w:t>the modification would disturb material containing asbestos;</w:t>
        </w:r>
      </w:ins>
    </w:p>
    <w:p>
      <w:pPr>
        <w:pStyle w:val="Indenta"/>
        <w:rPr>
          <w:ins w:id="998" w:author="Master Repository Process" w:date="2025-06-25T10:45:00Z"/>
        </w:rPr>
      </w:pPr>
      <w:ins w:id="999" w:author="Master Repository Process" w:date="2025-06-25T10:45:00Z">
        <w:r>
          <w:tab/>
          <w:t>(b)</w:t>
        </w:r>
        <w:r>
          <w:tab/>
          <w:t>the premises are entered in the State Register of Heritage Places;</w:t>
        </w:r>
      </w:ins>
    </w:p>
    <w:p>
      <w:pPr>
        <w:pStyle w:val="Indenta"/>
        <w:rPr>
          <w:ins w:id="1000" w:author="Master Repository Process" w:date="2025-06-25T10:45:00Z"/>
        </w:rPr>
      </w:pPr>
      <w:ins w:id="1001" w:author="Master Repository Process" w:date="2025-06-25T10:45:00Z">
        <w:r>
          <w:tab/>
          <w:t>(c)</w:t>
        </w:r>
        <w:r>
          <w:tab/>
          <w:t>if the premises is a lot in a community titles scheme or strata titles scheme — the scheme by</w:t>
        </w:r>
        <w:r>
          <w:noBreakHyphen/>
          <w:t>laws prohibit making the modification;</w:t>
        </w:r>
      </w:ins>
    </w:p>
    <w:p>
      <w:pPr>
        <w:pStyle w:val="Indenta"/>
        <w:rPr>
          <w:ins w:id="1002" w:author="Master Repository Process" w:date="2025-06-25T10:45:00Z"/>
        </w:rPr>
      </w:pPr>
      <w:ins w:id="1003" w:author="Master Repository Process" w:date="2025-06-25T10:45:00Z">
        <w:r>
          <w:tab/>
          <w:t>(d)</w:t>
        </w:r>
        <w:r>
          <w:tab/>
          <w:t xml:space="preserve">a prescribed ground. </w:t>
        </w:r>
      </w:ins>
    </w:p>
    <w:p>
      <w:pPr>
        <w:pStyle w:val="Subsection"/>
        <w:rPr>
          <w:ins w:id="1004" w:author="Master Repository Process" w:date="2025-06-25T10:45:00Z"/>
        </w:rPr>
      </w:pPr>
      <w:ins w:id="1005" w:author="Master Repository Process" w:date="2025-06-25T10:45:00Z">
        <w:r>
          <w:tab/>
          <w:t>(2)</w:t>
        </w:r>
        <w:r>
          <w:tab/>
          <w:t xml:space="preserve">The lessor must not refuse a tenant’s request to make a furniture safety modification to premises that is reasonably required to enable a person with disability to access and use the premises if refusing consent would be unlawful under — </w:t>
        </w:r>
      </w:ins>
    </w:p>
    <w:p>
      <w:pPr>
        <w:pStyle w:val="Indenta"/>
        <w:rPr>
          <w:ins w:id="1006" w:author="Master Repository Process" w:date="2025-06-25T10:45:00Z"/>
        </w:rPr>
      </w:pPr>
      <w:ins w:id="1007" w:author="Master Repository Process" w:date="2025-06-25T10:45:00Z">
        <w:r>
          <w:tab/>
          <w:t>(a)</w:t>
        </w:r>
        <w:r>
          <w:tab/>
          <w:t xml:space="preserve">the </w:t>
        </w:r>
        <w:r>
          <w:rPr>
            <w:i/>
          </w:rPr>
          <w:t>Equal Opportunity Act 1984</w:t>
        </w:r>
        <w:r>
          <w:t xml:space="preserve"> section 66L(2)(d); or </w:t>
        </w:r>
      </w:ins>
    </w:p>
    <w:p>
      <w:pPr>
        <w:pStyle w:val="Indenta"/>
        <w:rPr>
          <w:ins w:id="1008" w:author="Master Repository Process" w:date="2025-06-25T10:45:00Z"/>
        </w:rPr>
      </w:pPr>
      <w:ins w:id="1009" w:author="Master Repository Process" w:date="2025-06-25T10:45:00Z">
        <w:r>
          <w:tab/>
          <w:t>(b)</w:t>
        </w:r>
        <w:r>
          <w:tab/>
          <w:t xml:space="preserve">the </w:t>
        </w:r>
        <w:r>
          <w:rPr>
            <w:i/>
          </w:rPr>
          <w:t>Disability Discrimination Act 1992</w:t>
        </w:r>
        <w:r>
          <w:t xml:space="preserve"> (Commonwealth) section 25(2)(d).</w:t>
        </w:r>
      </w:ins>
    </w:p>
    <w:p>
      <w:pPr>
        <w:pStyle w:val="Footnotesection"/>
        <w:rPr>
          <w:ins w:id="1010" w:author="Master Repository Process" w:date="2025-06-25T10:45:00Z"/>
        </w:rPr>
      </w:pPr>
      <w:ins w:id="1011" w:author="Master Repository Process" w:date="2025-06-25T10:45:00Z">
        <w:r>
          <w:tab/>
          <w:t>[Section 50L inserted: No. 11 of 2024 s. 33.]</w:t>
        </w:r>
      </w:ins>
    </w:p>
    <w:p>
      <w:pPr>
        <w:pStyle w:val="Heading4"/>
        <w:rPr>
          <w:ins w:id="1012" w:author="Master Repository Process" w:date="2025-06-25T10:45:00Z"/>
        </w:rPr>
      </w:pPr>
      <w:bookmarkStart w:id="1013" w:name="_Toc164777971"/>
      <w:bookmarkStart w:id="1014" w:name="_Toc164778139"/>
      <w:bookmarkStart w:id="1015" w:name="_Toc164778307"/>
      <w:bookmarkStart w:id="1016" w:name="_Toc171680580"/>
      <w:bookmarkStart w:id="1017" w:name="_Toc171680845"/>
      <w:bookmarkStart w:id="1018" w:name="_Toc171681396"/>
      <w:bookmarkStart w:id="1019" w:name="_Toc171681812"/>
      <w:bookmarkStart w:id="1020" w:name="_Toc171682076"/>
      <w:bookmarkStart w:id="1021" w:name="_Toc171694327"/>
      <w:ins w:id="1022" w:author="Master Repository Process" w:date="2025-06-25T10:45:00Z">
        <w:r>
          <w:t>Subdivision 2 — Modifications by tenant to prevent entry to premises in circumstances of family violence</w:t>
        </w:r>
        <w:bookmarkEnd w:id="1013"/>
        <w:bookmarkEnd w:id="1014"/>
        <w:bookmarkEnd w:id="1015"/>
        <w:bookmarkEnd w:id="1016"/>
        <w:bookmarkEnd w:id="1017"/>
        <w:bookmarkEnd w:id="1018"/>
        <w:bookmarkEnd w:id="1019"/>
        <w:bookmarkEnd w:id="1020"/>
        <w:bookmarkEnd w:id="1021"/>
      </w:ins>
    </w:p>
    <w:p>
      <w:pPr>
        <w:pStyle w:val="Footnoteheading"/>
        <w:rPr>
          <w:ins w:id="1023" w:author="Master Repository Process" w:date="2025-06-25T10:45:00Z"/>
        </w:rPr>
      </w:pPr>
      <w:bookmarkStart w:id="1024" w:name="_Toc164778308"/>
      <w:ins w:id="1025" w:author="Master Repository Process" w:date="2025-06-25T10:45:00Z">
        <w:r>
          <w:tab/>
          <w:t>[Heading inserted: No. 11 of 2024 s. 33.]</w:t>
        </w:r>
      </w:ins>
    </w:p>
    <w:p>
      <w:pPr>
        <w:pStyle w:val="Heading5"/>
        <w:rPr>
          <w:ins w:id="1026" w:author="Master Repository Process" w:date="2025-06-25T10:45:00Z"/>
        </w:rPr>
      </w:pPr>
      <w:bookmarkStart w:id="1027" w:name="_Toc171694328"/>
      <w:ins w:id="1028" w:author="Master Repository Process" w:date="2025-06-25T10:45:00Z">
        <w:r>
          <w:rPr>
            <w:rStyle w:val="CharSectno"/>
          </w:rPr>
          <w:t>50M</w:t>
        </w:r>
        <w:r>
          <w:t>.</w:t>
        </w:r>
        <w:r>
          <w:tab/>
          <w:t>Tenant may make prescribed modification to prevent entry in circumstances of family violence</w:t>
        </w:r>
        <w:bookmarkEnd w:id="1024"/>
        <w:bookmarkEnd w:id="1027"/>
      </w:ins>
    </w:p>
    <w:p>
      <w:pPr>
        <w:pStyle w:val="Subsection"/>
        <w:rPr>
          <w:ins w:id="1029" w:author="Master Repository Process" w:date="2025-06-25T10:45:00Z"/>
        </w:rPr>
      </w:pPr>
      <w:ins w:id="1030" w:author="Master Repository Process" w:date="2025-06-25T10:45:00Z">
        <w:r>
          <w:tab/>
          <w:t>(1)</w:t>
        </w:r>
        <w:r>
          <w:tab/>
          <w:t>The matters stated in subsections (2) to (6) are terms of every residential tenancy agreement.</w:t>
        </w:r>
      </w:ins>
    </w:p>
    <w:p>
      <w:pPr>
        <w:pStyle w:val="Subsection"/>
        <w:rPr>
          <w:ins w:id="1031" w:author="Master Repository Process" w:date="2025-06-25T10:45:00Z"/>
        </w:rPr>
      </w:pPr>
      <w:ins w:id="1032" w:author="Master Repository Process" w:date="2025-06-25T10:45:00Z">
        <w:r>
          <w:tab/>
          <w:t>(2)</w:t>
        </w:r>
        <w:r>
          <w:tab/>
          <w:t xml:space="preserve">A tenant may, without the lessor’s consent, make a prescribed modification necessary to prevent a person from entering the residential premises — </w:t>
        </w:r>
      </w:ins>
    </w:p>
    <w:p>
      <w:pPr>
        <w:pStyle w:val="Indenta"/>
        <w:rPr>
          <w:ins w:id="1033" w:author="Master Repository Process" w:date="2025-06-25T10:45:00Z"/>
        </w:rPr>
      </w:pPr>
      <w:ins w:id="1034" w:author="Master Repository Process" w:date="2025-06-25T10:45:00Z">
        <w:r>
          <w:tab/>
          <w:t>(a)</w:t>
        </w:r>
        <w:r>
          <w:tab/>
          <w:t>after the person’s interest in the residential tenancy agreement is terminated under section 60(1)(bc); or</w:t>
        </w:r>
      </w:ins>
    </w:p>
    <w:p>
      <w:pPr>
        <w:pStyle w:val="Indenta"/>
        <w:rPr>
          <w:ins w:id="1035" w:author="Master Repository Process" w:date="2025-06-25T10:45:00Z"/>
        </w:rPr>
      </w:pPr>
      <w:ins w:id="1036" w:author="Master Repository Process" w:date="2025-06-25T10:45:00Z">
        <w:r>
          <w:tab/>
          <w:t>(b)</w:t>
        </w:r>
        <w:r>
          <w:tab/>
          <w:t>if the tenant suspects, on reasonable grounds, that the person is likely to commit family violence against the tenant or a dependant of the tenant — to prevent the person from committing the family violence.</w:t>
        </w:r>
      </w:ins>
    </w:p>
    <w:p>
      <w:pPr>
        <w:pStyle w:val="PermNoteHeading"/>
        <w:rPr>
          <w:ins w:id="1037" w:author="Master Repository Process" w:date="2025-06-25T10:45:00Z"/>
        </w:rPr>
      </w:pPr>
      <w:ins w:id="1038" w:author="Master Repository Process" w:date="2025-06-25T10:45:00Z">
        <w:r>
          <w:tab/>
          <w:t>Note for this subsection:</w:t>
        </w:r>
      </w:ins>
    </w:p>
    <w:p>
      <w:pPr>
        <w:pStyle w:val="PermNoteText"/>
        <w:rPr>
          <w:ins w:id="1039" w:author="Master Repository Process" w:date="2025-06-25T10:45:00Z"/>
        </w:rPr>
      </w:pPr>
      <w:ins w:id="1040" w:author="Master Repository Process" w:date="2025-06-25T10:45:00Z">
        <w:r>
          <w:tab/>
        </w:r>
        <w:r>
          <w:tab/>
          <w:t>See Subdivision 5 for the responsibilities of a tenant who makes a modification to premises.</w:t>
        </w:r>
      </w:ins>
    </w:p>
    <w:p>
      <w:pPr>
        <w:pStyle w:val="Subsection"/>
        <w:rPr>
          <w:ins w:id="1041" w:author="Master Repository Process" w:date="2025-06-25T10:45:00Z"/>
        </w:rPr>
      </w:pPr>
      <w:ins w:id="1042" w:author="Master Repository Process" w:date="2025-06-25T10:45:00Z">
        <w:r>
          <w:tab/>
          <w:t>(3)</w:t>
        </w:r>
        <w:r>
          <w:tab/>
          <w:t>The tenant must give the lessor written notice of the tenant’s intention to make the prescribed modification.</w:t>
        </w:r>
      </w:ins>
    </w:p>
    <w:p>
      <w:pPr>
        <w:pStyle w:val="Subsection"/>
        <w:rPr>
          <w:ins w:id="1043" w:author="Master Repository Process" w:date="2025-06-25T10:45:00Z"/>
        </w:rPr>
      </w:pPr>
      <w:ins w:id="1044" w:author="Master Repository Process" w:date="2025-06-25T10:45:00Z">
        <w:r>
          <w:tab/>
          <w:t>(4)</w:t>
        </w:r>
        <w:r>
          <w:tab/>
          <w:t>The notice must describe the prescribed modification the tenant intends to make.</w:t>
        </w:r>
      </w:ins>
    </w:p>
    <w:p>
      <w:pPr>
        <w:pStyle w:val="Subsection"/>
        <w:rPr>
          <w:ins w:id="1045" w:author="Master Repository Process" w:date="2025-06-25T10:45:00Z"/>
        </w:rPr>
      </w:pPr>
      <w:ins w:id="1046" w:author="Master Repository Process" w:date="2025-06-25T10:45:00Z">
        <w:r>
          <w:tab/>
          <w:t>(5)</w:t>
        </w:r>
        <w:r>
          <w:tab/>
          <w:t>The prescribed modification must be carried out by a suitable tradesperson.</w:t>
        </w:r>
      </w:ins>
    </w:p>
    <w:p>
      <w:pPr>
        <w:pStyle w:val="Subsection"/>
        <w:rPr>
          <w:ins w:id="1047" w:author="Master Repository Process" w:date="2025-06-25T10:45:00Z"/>
        </w:rPr>
      </w:pPr>
      <w:ins w:id="1048" w:author="Master Repository Process" w:date="2025-06-25T10:45:00Z">
        <w:r>
          <w:tab/>
          <w:t>(6)</w:t>
        </w:r>
        <w:r>
          <w:tab/>
          <w:t>The tenant must give the lessor a copy of the invoice of the tradesperson who carried out the prescribed modification within 14 days after the day on which the modification is completed.</w:t>
        </w:r>
      </w:ins>
    </w:p>
    <w:p>
      <w:pPr>
        <w:pStyle w:val="Subsection"/>
        <w:rPr>
          <w:ins w:id="1049" w:author="Master Repository Process" w:date="2025-06-25T10:45:00Z"/>
        </w:rPr>
      </w:pPr>
      <w:ins w:id="1050" w:author="Master Repository Process" w:date="2025-06-25T10:45:00Z">
        <w:r>
          <w:tab/>
          <w:t>(7)</w:t>
        </w:r>
        <w:r>
          <w:tab/>
          <w:t>This section does not apply in relation to premises entered in the State Register of Heritage Places.</w:t>
        </w:r>
      </w:ins>
    </w:p>
    <w:p>
      <w:pPr>
        <w:pStyle w:val="Footnotesection"/>
        <w:rPr>
          <w:ins w:id="1051" w:author="Master Repository Process" w:date="2025-06-25T10:45:00Z"/>
        </w:rPr>
      </w:pPr>
      <w:ins w:id="1052" w:author="Master Repository Process" w:date="2025-06-25T10:45:00Z">
        <w:r>
          <w:tab/>
          <w:t>[Section 50M inserted: No. 11 of 2024 s. 33.]</w:t>
        </w:r>
      </w:ins>
    </w:p>
    <w:p>
      <w:pPr>
        <w:pStyle w:val="Heading4"/>
        <w:rPr>
          <w:ins w:id="1053" w:author="Master Repository Process" w:date="2025-06-25T10:45:00Z"/>
        </w:rPr>
      </w:pPr>
      <w:bookmarkStart w:id="1054" w:name="_Toc164777973"/>
      <w:bookmarkStart w:id="1055" w:name="_Toc164778141"/>
      <w:bookmarkStart w:id="1056" w:name="_Toc164778309"/>
      <w:bookmarkStart w:id="1057" w:name="_Toc171680582"/>
      <w:bookmarkStart w:id="1058" w:name="_Toc171680847"/>
      <w:bookmarkStart w:id="1059" w:name="_Toc171681398"/>
      <w:bookmarkStart w:id="1060" w:name="_Toc171681814"/>
      <w:bookmarkStart w:id="1061" w:name="_Toc171682078"/>
      <w:bookmarkStart w:id="1062" w:name="_Toc171694329"/>
      <w:ins w:id="1063" w:author="Master Repository Process" w:date="2025-06-25T10:45:00Z">
        <w:r>
          <w:t>Subdivision 3 — Minor modifications made by tenant</w:t>
        </w:r>
        <w:bookmarkEnd w:id="1054"/>
        <w:bookmarkEnd w:id="1055"/>
        <w:bookmarkEnd w:id="1056"/>
        <w:bookmarkEnd w:id="1057"/>
        <w:bookmarkEnd w:id="1058"/>
        <w:bookmarkEnd w:id="1059"/>
        <w:bookmarkEnd w:id="1060"/>
        <w:bookmarkEnd w:id="1061"/>
        <w:bookmarkEnd w:id="1062"/>
      </w:ins>
    </w:p>
    <w:p>
      <w:pPr>
        <w:pStyle w:val="Footnoteheading"/>
        <w:rPr>
          <w:ins w:id="1064" w:author="Master Repository Process" w:date="2025-06-25T10:45:00Z"/>
        </w:rPr>
      </w:pPr>
      <w:bookmarkStart w:id="1065" w:name="_Toc164778310"/>
      <w:ins w:id="1066" w:author="Master Repository Process" w:date="2025-06-25T10:45:00Z">
        <w:r>
          <w:tab/>
          <w:t>[Heading inserted: No. 11 of 2024 s. 33.]</w:t>
        </w:r>
      </w:ins>
    </w:p>
    <w:p>
      <w:pPr>
        <w:pStyle w:val="Heading5"/>
        <w:rPr>
          <w:ins w:id="1067" w:author="Master Repository Process" w:date="2025-06-25T10:45:00Z"/>
        </w:rPr>
      </w:pPr>
      <w:bookmarkStart w:id="1068" w:name="_Toc171694330"/>
      <w:ins w:id="1069" w:author="Master Repository Process" w:date="2025-06-25T10:45:00Z">
        <w:r>
          <w:rPr>
            <w:rStyle w:val="CharSectno"/>
          </w:rPr>
          <w:t>50N</w:t>
        </w:r>
        <w:r>
          <w:t>.</w:t>
        </w:r>
        <w:r>
          <w:tab/>
          <w:t>Tenant may make minor modification to premises</w:t>
        </w:r>
        <w:bookmarkEnd w:id="1065"/>
        <w:bookmarkEnd w:id="1068"/>
      </w:ins>
    </w:p>
    <w:p>
      <w:pPr>
        <w:pStyle w:val="Subsection"/>
        <w:rPr>
          <w:ins w:id="1070" w:author="Master Repository Process" w:date="2025-06-25T10:45:00Z"/>
        </w:rPr>
      </w:pPr>
      <w:ins w:id="1071" w:author="Master Repository Process" w:date="2025-06-25T10:45:00Z">
        <w:r>
          <w:tab/>
          <w:t>(1)</w:t>
        </w:r>
        <w:r>
          <w:tab/>
          <w:t>It is a term of every residential tenancy agreement that a tenant may make a minor modification to the premises, but only with the consent of the lessor.</w:t>
        </w:r>
      </w:ins>
    </w:p>
    <w:p>
      <w:pPr>
        <w:pStyle w:val="PermNoteHeading"/>
        <w:rPr>
          <w:ins w:id="1072" w:author="Master Repository Process" w:date="2025-06-25T10:45:00Z"/>
        </w:rPr>
      </w:pPr>
      <w:ins w:id="1073" w:author="Master Repository Process" w:date="2025-06-25T10:45:00Z">
        <w:r>
          <w:tab/>
          <w:t>Notes for this subsection:</w:t>
        </w:r>
      </w:ins>
    </w:p>
    <w:p>
      <w:pPr>
        <w:pStyle w:val="PermNoteText"/>
        <w:rPr>
          <w:ins w:id="1074" w:author="Master Repository Process" w:date="2025-06-25T10:45:00Z"/>
        </w:rPr>
      </w:pPr>
      <w:ins w:id="1075" w:author="Master Repository Process" w:date="2025-06-25T10:45:00Z">
        <w:r>
          <w:tab/>
          <w:t>1.</w:t>
        </w:r>
        <w:r>
          <w:tab/>
          <w:t>See section 50Q for the only grounds on which a lessor may refuse a tenant’s request to make a minor modification to the premises.</w:t>
        </w:r>
      </w:ins>
    </w:p>
    <w:p>
      <w:pPr>
        <w:pStyle w:val="PermNoteText"/>
        <w:rPr>
          <w:ins w:id="1076" w:author="Master Repository Process" w:date="2025-06-25T10:45:00Z"/>
        </w:rPr>
      </w:pPr>
      <w:ins w:id="1077" w:author="Master Repository Process" w:date="2025-06-25T10:45:00Z">
        <w:r>
          <w:tab/>
          <w:t>2.</w:t>
        </w:r>
        <w:r>
          <w:tab/>
          <w:t>See Subdivision 5 for the responsibilities of a tenant who makes a modification to premises.</w:t>
        </w:r>
      </w:ins>
    </w:p>
    <w:p>
      <w:pPr>
        <w:pStyle w:val="Subsection"/>
        <w:rPr>
          <w:ins w:id="1078" w:author="Master Repository Process" w:date="2025-06-25T10:45:00Z"/>
        </w:rPr>
      </w:pPr>
      <w:ins w:id="1079" w:author="Master Repository Process" w:date="2025-06-25T10:45:00Z">
        <w:r>
          <w:tab/>
          <w:t>(2)</w:t>
        </w:r>
        <w:r>
          <w:tab/>
          <w:t xml:space="preserve">It is also a term of every residential tenancy agreement that the making of a minor modification to the premises is subject to any conditions of the lessor’s consent to make the modification — </w:t>
        </w:r>
      </w:ins>
    </w:p>
    <w:p>
      <w:pPr>
        <w:pStyle w:val="Indenta"/>
        <w:rPr>
          <w:ins w:id="1080" w:author="Master Repository Process" w:date="2025-06-25T10:45:00Z"/>
        </w:rPr>
      </w:pPr>
      <w:ins w:id="1081" w:author="Master Repository Process" w:date="2025-06-25T10:45:00Z">
        <w:r>
          <w:tab/>
          <w:t>(a)</w:t>
        </w:r>
        <w:r>
          <w:tab/>
          <w:t>permitted under section 50P; or</w:t>
        </w:r>
      </w:ins>
    </w:p>
    <w:p>
      <w:pPr>
        <w:pStyle w:val="Indenta"/>
        <w:rPr>
          <w:ins w:id="1082" w:author="Master Repository Process" w:date="2025-06-25T10:45:00Z"/>
        </w:rPr>
      </w:pPr>
      <w:ins w:id="1083" w:author="Master Repository Process" w:date="2025-06-25T10:45:00Z">
        <w:r>
          <w:tab/>
          <w:t>(b)</w:t>
        </w:r>
        <w:r>
          <w:tab/>
          <w:t>imposed by order of the Commissioner under section 50S(4) or 50T(4).</w:t>
        </w:r>
      </w:ins>
    </w:p>
    <w:p>
      <w:pPr>
        <w:pStyle w:val="Footnotesection"/>
        <w:rPr>
          <w:ins w:id="1084" w:author="Master Repository Process" w:date="2025-06-25T10:45:00Z"/>
        </w:rPr>
      </w:pPr>
      <w:ins w:id="1085" w:author="Master Repository Process" w:date="2025-06-25T10:45:00Z">
        <w:r>
          <w:tab/>
          <w:t>[Section 50N inserted: No. 11 of 2024 s. 33.]</w:t>
        </w:r>
      </w:ins>
    </w:p>
    <w:p>
      <w:pPr>
        <w:pStyle w:val="Heading5"/>
        <w:rPr>
          <w:ins w:id="1086" w:author="Master Repository Process" w:date="2025-06-25T10:45:00Z"/>
        </w:rPr>
      </w:pPr>
      <w:bookmarkStart w:id="1087" w:name="_Toc164778311"/>
      <w:bookmarkStart w:id="1088" w:name="_Toc171694331"/>
      <w:ins w:id="1089" w:author="Master Repository Process" w:date="2025-06-25T10:45:00Z">
        <w:r>
          <w:rPr>
            <w:rStyle w:val="CharSectno"/>
          </w:rPr>
          <w:t>50O</w:t>
        </w:r>
        <w:r>
          <w:t>.</w:t>
        </w:r>
        <w:r>
          <w:tab/>
          <w:t>Request for approval to make minor modification</w:t>
        </w:r>
        <w:bookmarkEnd w:id="1087"/>
        <w:bookmarkEnd w:id="1088"/>
      </w:ins>
    </w:p>
    <w:p>
      <w:pPr>
        <w:pStyle w:val="Subsection"/>
        <w:rPr>
          <w:ins w:id="1090" w:author="Master Repository Process" w:date="2025-06-25T10:45:00Z"/>
        </w:rPr>
      </w:pPr>
      <w:ins w:id="1091" w:author="Master Repository Process" w:date="2025-06-25T10:45:00Z">
        <w:r>
          <w:tab/>
          <w:t>(1)</w:t>
        </w:r>
        <w:r>
          <w:tab/>
          <w:t>A tenant may ask the lessor for consent to make a minor modification to premises.</w:t>
        </w:r>
      </w:ins>
    </w:p>
    <w:p>
      <w:pPr>
        <w:pStyle w:val="Subsection"/>
        <w:rPr>
          <w:ins w:id="1092" w:author="Master Repository Process" w:date="2025-06-25T10:45:00Z"/>
        </w:rPr>
      </w:pPr>
      <w:ins w:id="1093" w:author="Master Repository Process" w:date="2025-06-25T10:45:00Z">
        <w:r>
          <w:tab/>
          <w:t>(2)</w:t>
        </w:r>
        <w:r>
          <w:tab/>
          <w:t xml:space="preserve">The request must — </w:t>
        </w:r>
      </w:ins>
    </w:p>
    <w:p>
      <w:pPr>
        <w:pStyle w:val="Indenta"/>
        <w:rPr>
          <w:ins w:id="1094" w:author="Master Repository Process" w:date="2025-06-25T10:45:00Z"/>
        </w:rPr>
      </w:pPr>
      <w:ins w:id="1095" w:author="Master Repository Process" w:date="2025-06-25T10:45:00Z">
        <w:r>
          <w:tab/>
          <w:t>(a)</w:t>
        </w:r>
        <w:r>
          <w:tab/>
          <w:t>be in the approved form; and</w:t>
        </w:r>
      </w:ins>
    </w:p>
    <w:p>
      <w:pPr>
        <w:pStyle w:val="Indenta"/>
        <w:rPr>
          <w:ins w:id="1096" w:author="Master Repository Process" w:date="2025-06-25T10:45:00Z"/>
        </w:rPr>
      </w:pPr>
      <w:ins w:id="1097" w:author="Master Repository Process" w:date="2025-06-25T10:45:00Z">
        <w:r>
          <w:tab/>
          <w:t>(b)</w:t>
        </w:r>
        <w:r>
          <w:tab/>
          <w:t>describe the minor modification the tenant proposes to make.</w:t>
        </w:r>
      </w:ins>
    </w:p>
    <w:p>
      <w:pPr>
        <w:pStyle w:val="Subsection"/>
        <w:rPr>
          <w:ins w:id="1098" w:author="Master Repository Process" w:date="2025-06-25T10:45:00Z"/>
        </w:rPr>
      </w:pPr>
      <w:ins w:id="1099" w:author="Master Repository Process" w:date="2025-06-25T10:45:00Z">
        <w:r>
          <w:tab/>
          <w:t>(3)</w:t>
        </w:r>
        <w:r>
          <w:tab/>
          <w:t>The lessor must respond to the tenant’s request within 14 days after the day on which the lessor receives the request.</w:t>
        </w:r>
      </w:ins>
    </w:p>
    <w:p>
      <w:pPr>
        <w:pStyle w:val="Subsection"/>
        <w:rPr>
          <w:ins w:id="1100" w:author="Master Repository Process" w:date="2025-06-25T10:45:00Z"/>
        </w:rPr>
      </w:pPr>
      <w:ins w:id="1101" w:author="Master Repository Process" w:date="2025-06-25T10:45:00Z">
        <w:r>
          <w:tab/>
          <w:t>(4)</w:t>
        </w:r>
        <w:r>
          <w:tab/>
          <w:t xml:space="preserve">The lessor’s response must be in writing and state — </w:t>
        </w:r>
      </w:ins>
    </w:p>
    <w:p>
      <w:pPr>
        <w:pStyle w:val="Indenta"/>
        <w:rPr>
          <w:ins w:id="1102" w:author="Master Repository Process" w:date="2025-06-25T10:45:00Z"/>
        </w:rPr>
      </w:pPr>
      <w:ins w:id="1103" w:author="Master Repository Process" w:date="2025-06-25T10:45:00Z">
        <w:r>
          <w:tab/>
          <w:t>(a)</w:t>
        </w:r>
        <w:r>
          <w:tab/>
          <w:t>whether the lessor approves or refuses the tenant’s request or intends to apply to the Commissioner for approval to refuse the tenant’s request under section 50S; and</w:t>
        </w:r>
      </w:ins>
    </w:p>
    <w:p>
      <w:pPr>
        <w:pStyle w:val="Indenta"/>
        <w:rPr>
          <w:ins w:id="1104" w:author="Master Repository Process" w:date="2025-06-25T10:45:00Z"/>
        </w:rPr>
      </w:pPr>
      <w:ins w:id="1105" w:author="Master Repository Process" w:date="2025-06-25T10:45:00Z">
        <w:r>
          <w:tab/>
          <w:t>(b)</w:t>
        </w:r>
        <w:r>
          <w:tab/>
          <w:t>if the lessor approves the tenant’s request subject to conditions — the conditions of the approval as permitted under section 50P; and</w:t>
        </w:r>
      </w:ins>
    </w:p>
    <w:p>
      <w:pPr>
        <w:pStyle w:val="Indenta"/>
        <w:rPr>
          <w:ins w:id="1106" w:author="Master Repository Process" w:date="2025-06-25T10:45:00Z"/>
        </w:rPr>
      </w:pPr>
      <w:ins w:id="1107" w:author="Master Repository Process" w:date="2025-06-25T10:45:00Z">
        <w:r>
          <w:tab/>
          <w:t>(c)</w:t>
        </w:r>
        <w:r>
          <w:tab/>
          <w:t>if the lessor intends to apply to the Commissioner under section 50T for approval to impose conditions — that fact and the conditions for which the lessor intends to apply for approval; and</w:t>
        </w:r>
      </w:ins>
    </w:p>
    <w:p>
      <w:pPr>
        <w:pStyle w:val="Indenta"/>
        <w:rPr>
          <w:ins w:id="1108" w:author="Master Repository Process" w:date="2025-06-25T10:45:00Z"/>
        </w:rPr>
      </w:pPr>
      <w:ins w:id="1109" w:author="Master Repository Process" w:date="2025-06-25T10:45:00Z">
        <w:r>
          <w:tab/>
          <w:t>(d)</w:t>
        </w:r>
        <w:r>
          <w:tab/>
          <w:t xml:space="preserve">if the lessor refuses the tenant’s request on grounds permitted under section 50Q(a), (b), (c), (d) or (f) — </w:t>
        </w:r>
      </w:ins>
    </w:p>
    <w:p>
      <w:pPr>
        <w:pStyle w:val="Indenti"/>
        <w:rPr>
          <w:ins w:id="1110" w:author="Master Repository Process" w:date="2025-06-25T10:45:00Z"/>
        </w:rPr>
      </w:pPr>
      <w:ins w:id="1111" w:author="Master Repository Process" w:date="2025-06-25T10:45:00Z">
        <w:r>
          <w:tab/>
          <w:t>(i)</w:t>
        </w:r>
        <w:r>
          <w:tab/>
          <w:t>the grounds for the refusal; and</w:t>
        </w:r>
      </w:ins>
    </w:p>
    <w:p>
      <w:pPr>
        <w:pStyle w:val="Indenti"/>
        <w:rPr>
          <w:ins w:id="1112" w:author="Master Repository Process" w:date="2025-06-25T10:45:00Z"/>
        </w:rPr>
      </w:pPr>
      <w:ins w:id="1113" w:author="Master Repository Process" w:date="2025-06-25T10:45:00Z">
        <w:r>
          <w:tab/>
          <w:t>(ii)</w:t>
        </w:r>
        <w:r>
          <w:tab/>
          <w:t>the reasons the lessor believes the grounds for the refusal apply to the request.</w:t>
        </w:r>
      </w:ins>
    </w:p>
    <w:p>
      <w:pPr>
        <w:pStyle w:val="PermNoteHeading"/>
        <w:rPr>
          <w:ins w:id="1114" w:author="Master Repository Process" w:date="2025-06-25T10:45:00Z"/>
        </w:rPr>
      </w:pPr>
      <w:ins w:id="1115" w:author="Master Repository Process" w:date="2025-06-25T10:45:00Z">
        <w:r>
          <w:tab/>
          <w:t>Note for this subsection:</w:t>
        </w:r>
      </w:ins>
    </w:p>
    <w:p>
      <w:pPr>
        <w:pStyle w:val="PermNoteText"/>
        <w:rPr>
          <w:ins w:id="1116" w:author="Master Repository Process" w:date="2025-06-25T10:45:00Z"/>
        </w:rPr>
      </w:pPr>
      <w:ins w:id="1117" w:author="Master Repository Process" w:date="2025-06-25T10:45:00Z">
        <w:r>
          <w:tab/>
        </w:r>
        <w:r>
          <w:tab/>
          <w:t>For the purposes of paragraph (d)(i), see also section 50R which prohibits the lessor from refusing consent to make a minor modification in circumstances related to enabling a person with disability to access and use the premises.</w:t>
        </w:r>
      </w:ins>
    </w:p>
    <w:p>
      <w:pPr>
        <w:pStyle w:val="Subsection"/>
        <w:rPr>
          <w:ins w:id="1118" w:author="Master Repository Process" w:date="2025-06-25T10:45:00Z"/>
        </w:rPr>
      </w:pPr>
      <w:ins w:id="1119" w:author="Master Repository Process" w:date="2025-06-25T10:45:00Z">
        <w:r>
          <w:tab/>
          <w:t>(5)</w:t>
        </w:r>
        <w:r>
          <w:tab/>
          <w:t xml:space="preserve">The lessor is taken to approve the tenant’s request if the lessor — </w:t>
        </w:r>
      </w:ins>
    </w:p>
    <w:p>
      <w:pPr>
        <w:pStyle w:val="Indenta"/>
        <w:rPr>
          <w:ins w:id="1120" w:author="Master Repository Process" w:date="2025-06-25T10:45:00Z"/>
        </w:rPr>
      </w:pPr>
      <w:ins w:id="1121" w:author="Master Repository Process" w:date="2025-06-25T10:45:00Z">
        <w:r>
          <w:tab/>
          <w:t>(a)</w:t>
        </w:r>
        <w:r>
          <w:tab/>
          <w:t>does not comply with subsection (3); and</w:t>
        </w:r>
      </w:ins>
    </w:p>
    <w:p>
      <w:pPr>
        <w:pStyle w:val="Indenta"/>
        <w:rPr>
          <w:ins w:id="1122" w:author="Master Repository Process" w:date="2025-06-25T10:45:00Z"/>
        </w:rPr>
      </w:pPr>
      <w:ins w:id="1123" w:author="Master Repository Process" w:date="2025-06-25T10:45:00Z">
        <w:r>
          <w:tab/>
          <w:t>(b)</w:t>
        </w:r>
        <w:r>
          <w:tab/>
          <w:t>does not apply to the Commissioner for approval to refuse the tenant’s request within 14 days after the day on which the lessor receives the request.</w:t>
        </w:r>
      </w:ins>
    </w:p>
    <w:p>
      <w:pPr>
        <w:pStyle w:val="Footnotesection"/>
        <w:rPr>
          <w:ins w:id="1124" w:author="Master Repository Process" w:date="2025-06-25T10:45:00Z"/>
        </w:rPr>
      </w:pPr>
      <w:ins w:id="1125" w:author="Master Repository Process" w:date="2025-06-25T10:45:00Z">
        <w:r>
          <w:tab/>
          <w:t>[Section 50O inserted: No. 11 of 2024 s. 33.]</w:t>
        </w:r>
      </w:ins>
    </w:p>
    <w:p>
      <w:pPr>
        <w:pStyle w:val="Heading5"/>
        <w:rPr>
          <w:ins w:id="1126" w:author="Master Repository Process" w:date="2025-06-25T10:45:00Z"/>
        </w:rPr>
      </w:pPr>
      <w:bookmarkStart w:id="1127" w:name="_Toc164778312"/>
      <w:bookmarkStart w:id="1128" w:name="_Toc171694332"/>
      <w:ins w:id="1129" w:author="Master Repository Process" w:date="2025-06-25T10:45:00Z">
        <w:r>
          <w:rPr>
            <w:rStyle w:val="CharSectno"/>
          </w:rPr>
          <w:t>50P</w:t>
        </w:r>
        <w:r>
          <w:t>.</w:t>
        </w:r>
        <w:r>
          <w:tab/>
          <w:t>Conditions for consent to make minor modification</w:t>
        </w:r>
        <w:bookmarkEnd w:id="1127"/>
        <w:bookmarkEnd w:id="1128"/>
      </w:ins>
    </w:p>
    <w:p>
      <w:pPr>
        <w:pStyle w:val="Subsection"/>
        <w:rPr>
          <w:ins w:id="1130" w:author="Master Repository Process" w:date="2025-06-25T10:45:00Z"/>
        </w:rPr>
      </w:pPr>
      <w:ins w:id="1131" w:author="Master Repository Process" w:date="2025-06-25T10:45:00Z">
        <w:r>
          <w:tab/>
        </w:r>
        <w:r>
          <w:tab/>
          <w:t xml:space="preserve">The lessor’s consent for the tenant to make a minor modification to the premises may be subject to — </w:t>
        </w:r>
      </w:ins>
    </w:p>
    <w:p>
      <w:pPr>
        <w:pStyle w:val="Indenta"/>
        <w:rPr>
          <w:ins w:id="1132" w:author="Master Repository Process" w:date="2025-06-25T10:45:00Z"/>
        </w:rPr>
      </w:pPr>
      <w:ins w:id="1133" w:author="Master Repository Process" w:date="2025-06-25T10:45:00Z">
        <w:r>
          <w:tab/>
          <w:t>(a)</w:t>
        </w:r>
        <w:r>
          <w:tab/>
          <w:t>if the modification is of a type prescribed for this section — a condition that the work to make the modification be carried out by a person who is appropriately qualified to carry out that type of work; or</w:t>
        </w:r>
      </w:ins>
    </w:p>
    <w:p>
      <w:pPr>
        <w:pStyle w:val="Indenta"/>
        <w:rPr>
          <w:ins w:id="1134" w:author="Master Repository Process" w:date="2025-06-25T10:45:00Z"/>
        </w:rPr>
      </w:pPr>
      <w:ins w:id="1135" w:author="Master Repository Process" w:date="2025-06-25T10:45:00Z">
        <w:r>
          <w:tab/>
          <w:t>(b)</w:t>
        </w:r>
        <w:r>
          <w:tab/>
          <w:t>a reasonable condition about a matter prescribed for this section; or</w:t>
        </w:r>
      </w:ins>
    </w:p>
    <w:p>
      <w:pPr>
        <w:pStyle w:val="Indenta"/>
        <w:rPr>
          <w:ins w:id="1136" w:author="Master Repository Process" w:date="2025-06-25T10:45:00Z"/>
        </w:rPr>
      </w:pPr>
      <w:ins w:id="1137" w:author="Master Repository Process" w:date="2025-06-25T10:45:00Z">
        <w:r>
          <w:tab/>
          <w:t>(c)</w:t>
        </w:r>
        <w:r>
          <w:tab/>
          <w:t>a condition approved by the Commissioner on the application of the lessor under section 50T.</w:t>
        </w:r>
      </w:ins>
    </w:p>
    <w:p>
      <w:pPr>
        <w:pStyle w:val="Footnotesection"/>
        <w:rPr>
          <w:ins w:id="1138" w:author="Master Repository Process" w:date="2025-06-25T10:45:00Z"/>
        </w:rPr>
      </w:pPr>
      <w:ins w:id="1139" w:author="Master Repository Process" w:date="2025-06-25T10:45:00Z">
        <w:r>
          <w:tab/>
          <w:t>[Section 50P inserted: No. 11 of 2024 s. 33.]</w:t>
        </w:r>
      </w:ins>
    </w:p>
    <w:p>
      <w:pPr>
        <w:pStyle w:val="Heading5"/>
        <w:rPr>
          <w:ins w:id="1140" w:author="Master Repository Process" w:date="2025-06-25T10:45:00Z"/>
        </w:rPr>
      </w:pPr>
      <w:bookmarkStart w:id="1141" w:name="_Toc164778313"/>
      <w:bookmarkStart w:id="1142" w:name="_Toc171694333"/>
      <w:ins w:id="1143" w:author="Master Repository Process" w:date="2025-06-25T10:45:00Z">
        <w:r>
          <w:t>5</w:t>
        </w:r>
        <w:r>
          <w:rPr>
            <w:rStyle w:val="CharSectno"/>
          </w:rPr>
          <w:t>0Q</w:t>
        </w:r>
        <w:r>
          <w:t>.</w:t>
        </w:r>
        <w:r>
          <w:tab/>
          <w:t>Grounds for refusing tenant’s request to make minor modification</w:t>
        </w:r>
        <w:bookmarkEnd w:id="1141"/>
        <w:bookmarkEnd w:id="1142"/>
      </w:ins>
    </w:p>
    <w:p>
      <w:pPr>
        <w:pStyle w:val="Subsection"/>
        <w:rPr>
          <w:ins w:id="1144" w:author="Master Repository Process" w:date="2025-06-25T10:45:00Z"/>
        </w:rPr>
      </w:pPr>
      <w:ins w:id="1145" w:author="Master Repository Process" w:date="2025-06-25T10:45:00Z">
        <w:r>
          <w:tab/>
        </w:r>
        <w:r>
          <w:tab/>
          <w:t xml:space="preserve">The following are the only grounds on which a lessor may refuse a tenant’s request for consent to make a minor modification to the premises — </w:t>
        </w:r>
      </w:ins>
    </w:p>
    <w:p>
      <w:pPr>
        <w:pStyle w:val="Indenta"/>
        <w:rPr>
          <w:ins w:id="1146" w:author="Master Repository Process" w:date="2025-06-25T10:45:00Z"/>
        </w:rPr>
      </w:pPr>
      <w:ins w:id="1147" w:author="Master Repository Process" w:date="2025-06-25T10:45:00Z">
        <w:r>
          <w:tab/>
          <w:t>(a)</w:t>
        </w:r>
        <w:r>
          <w:tab/>
          <w:t>making the modification would disturb material containing asbestos;</w:t>
        </w:r>
      </w:ins>
    </w:p>
    <w:p>
      <w:pPr>
        <w:pStyle w:val="Indenta"/>
        <w:rPr>
          <w:ins w:id="1148" w:author="Master Repository Process" w:date="2025-06-25T10:45:00Z"/>
        </w:rPr>
      </w:pPr>
      <w:ins w:id="1149" w:author="Master Repository Process" w:date="2025-06-25T10:45:00Z">
        <w:r>
          <w:tab/>
          <w:t>(b)</w:t>
        </w:r>
        <w:r>
          <w:tab/>
          <w:t>the premises are entered in the State Register of Heritage Places;</w:t>
        </w:r>
      </w:ins>
    </w:p>
    <w:p>
      <w:pPr>
        <w:pStyle w:val="Indenta"/>
        <w:rPr>
          <w:ins w:id="1150" w:author="Master Repository Process" w:date="2025-06-25T10:45:00Z"/>
        </w:rPr>
      </w:pPr>
      <w:ins w:id="1151" w:author="Master Repository Process" w:date="2025-06-25T10:45:00Z">
        <w:r>
          <w:tab/>
          <w:t>(c)</w:t>
        </w:r>
        <w:r>
          <w:tab/>
          <w:t>if the premises is a lot in a community titles scheme or strata titles scheme — the scheme by</w:t>
        </w:r>
        <w:r>
          <w:noBreakHyphen/>
          <w:t>laws prohibit making the modification;</w:t>
        </w:r>
      </w:ins>
    </w:p>
    <w:p>
      <w:pPr>
        <w:pStyle w:val="Indenta"/>
        <w:rPr>
          <w:ins w:id="1152" w:author="Master Repository Process" w:date="2025-06-25T10:45:00Z"/>
        </w:rPr>
      </w:pPr>
      <w:ins w:id="1153" w:author="Master Repository Process" w:date="2025-06-25T10:45:00Z">
        <w:r>
          <w:tab/>
          <w:t>(d)</w:t>
        </w:r>
        <w:r>
          <w:tab/>
          <w:t>making the modification would be contrary to a written law;</w:t>
        </w:r>
      </w:ins>
    </w:p>
    <w:p>
      <w:pPr>
        <w:pStyle w:val="Indenta"/>
        <w:rPr>
          <w:ins w:id="1154" w:author="Master Repository Process" w:date="2025-06-25T10:45:00Z"/>
        </w:rPr>
      </w:pPr>
      <w:ins w:id="1155" w:author="Master Repository Process" w:date="2025-06-25T10:45:00Z">
        <w:r>
          <w:tab/>
          <w:t>(e)</w:t>
        </w:r>
        <w:r>
          <w:tab/>
          <w:t>the lessor’s refusal is approved by the Commissioner;</w:t>
        </w:r>
      </w:ins>
    </w:p>
    <w:p>
      <w:pPr>
        <w:pStyle w:val="Indenta"/>
        <w:rPr>
          <w:ins w:id="1156" w:author="Master Repository Process" w:date="2025-06-25T10:45:00Z"/>
        </w:rPr>
      </w:pPr>
      <w:ins w:id="1157" w:author="Master Repository Process" w:date="2025-06-25T10:45:00Z">
        <w:r>
          <w:tab/>
          <w:t>(f)</w:t>
        </w:r>
        <w:r>
          <w:tab/>
          <w:t xml:space="preserve">a prescribed ground. </w:t>
        </w:r>
      </w:ins>
    </w:p>
    <w:p>
      <w:pPr>
        <w:pStyle w:val="Footnotesection"/>
        <w:rPr>
          <w:ins w:id="1158" w:author="Master Repository Process" w:date="2025-06-25T10:45:00Z"/>
        </w:rPr>
      </w:pPr>
      <w:ins w:id="1159" w:author="Master Repository Process" w:date="2025-06-25T10:45:00Z">
        <w:r>
          <w:tab/>
          <w:t>[Section 50Q inserted: No. 11 of 2024 s. 33.]</w:t>
        </w:r>
      </w:ins>
    </w:p>
    <w:p>
      <w:pPr>
        <w:pStyle w:val="Heading5"/>
        <w:rPr>
          <w:ins w:id="1160" w:author="Master Repository Process" w:date="2025-06-25T10:45:00Z"/>
        </w:rPr>
      </w:pPr>
      <w:bookmarkStart w:id="1161" w:name="_Toc164778314"/>
      <w:bookmarkStart w:id="1162" w:name="_Toc171694334"/>
      <w:ins w:id="1163" w:author="Master Repository Process" w:date="2025-06-25T10:45:00Z">
        <w:r>
          <w:rPr>
            <w:rStyle w:val="CharSectno"/>
          </w:rPr>
          <w:t>50R</w:t>
        </w:r>
        <w:r>
          <w:t>.</w:t>
        </w:r>
        <w:r>
          <w:tab/>
          <w:t>Refusal of consent to make modification needed for disability access prohibited</w:t>
        </w:r>
        <w:bookmarkEnd w:id="1161"/>
        <w:bookmarkEnd w:id="1162"/>
      </w:ins>
    </w:p>
    <w:p>
      <w:pPr>
        <w:pStyle w:val="Subsection"/>
        <w:rPr>
          <w:ins w:id="1164" w:author="Master Repository Process" w:date="2025-06-25T10:45:00Z"/>
        </w:rPr>
      </w:pPr>
      <w:ins w:id="1165" w:author="Master Repository Process" w:date="2025-06-25T10:45:00Z">
        <w:r>
          <w:tab/>
        </w:r>
        <w:r>
          <w:tab/>
          <w:t xml:space="preserve">The lessor must not refuse a tenant’s request for consent to make a minor modification to premises that is reasonably required to enable a person with disability to access and use the premises if refusing consent would be unlawful under — </w:t>
        </w:r>
      </w:ins>
    </w:p>
    <w:p>
      <w:pPr>
        <w:pStyle w:val="Indenta"/>
        <w:rPr>
          <w:ins w:id="1166" w:author="Master Repository Process" w:date="2025-06-25T10:45:00Z"/>
        </w:rPr>
      </w:pPr>
      <w:ins w:id="1167" w:author="Master Repository Process" w:date="2025-06-25T10:45:00Z">
        <w:r>
          <w:tab/>
          <w:t>(a)</w:t>
        </w:r>
        <w:r>
          <w:tab/>
          <w:t xml:space="preserve">the </w:t>
        </w:r>
        <w:r>
          <w:rPr>
            <w:i/>
          </w:rPr>
          <w:t>Equal Opportunity Act 1984</w:t>
        </w:r>
        <w:r>
          <w:t xml:space="preserve"> section 66L(2)(d); or </w:t>
        </w:r>
      </w:ins>
    </w:p>
    <w:p>
      <w:pPr>
        <w:pStyle w:val="Indenta"/>
        <w:rPr>
          <w:ins w:id="1168" w:author="Master Repository Process" w:date="2025-06-25T10:45:00Z"/>
        </w:rPr>
      </w:pPr>
      <w:ins w:id="1169" w:author="Master Repository Process" w:date="2025-06-25T10:45:00Z">
        <w:r>
          <w:tab/>
          <w:t>(b)</w:t>
        </w:r>
        <w:r>
          <w:tab/>
          <w:t xml:space="preserve">the </w:t>
        </w:r>
        <w:r>
          <w:rPr>
            <w:i/>
          </w:rPr>
          <w:t>Disability Discrimination Act 1992</w:t>
        </w:r>
        <w:r>
          <w:t xml:space="preserve"> (Commonwealth) section 25(2)(d).</w:t>
        </w:r>
      </w:ins>
    </w:p>
    <w:p>
      <w:pPr>
        <w:pStyle w:val="Footnotesection"/>
        <w:rPr>
          <w:ins w:id="1170" w:author="Master Repository Process" w:date="2025-06-25T10:45:00Z"/>
        </w:rPr>
      </w:pPr>
      <w:ins w:id="1171" w:author="Master Repository Process" w:date="2025-06-25T10:45:00Z">
        <w:r>
          <w:tab/>
          <w:t>[Section 50R inserted: No. 11 of 2024 s. 33.]</w:t>
        </w:r>
      </w:ins>
    </w:p>
    <w:p>
      <w:pPr>
        <w:pStyle w:val="Heading5"/>
        <w:rPr>
          <w:ins w:id="1172" w:author="Master Repository Process" w:date="2025-06-25T10:45:00Z"/>
        </w:rPr>
      </w:pPr>
      <w:bookmarkStart w:id="1173" w:name="_Toc164778315"/>
      <w:bookmarkStart w:id="1174" w:name="_Toc171694335"/>
      <w:ins w:id="1175" w:author="Master Repository Process" w:date="2025-06-25T10:45:00Z">
        <w:r>
          <w:rPr>
            <w:rStyle w:val="CharSectno"/>
          </w:rPr>
          <w:t>50S</w:t>
        </w:r>
        <w:r>
          <w:t>.</w:t>
        </w:r>
        <w:r>
          <w:tab/>
          <w:t>Lessor’s application for approval to refuse consent for minor modification</w:t>
        </w:r>
        <w:bookmarkEnd w:id="1173"/>
        <w:bookmarkEnd w:id="1174"/>
      </w:ins>
    </w:p>
    <w:p>
      <w:pPr>
        <w:pStyle w:val="Subsection"/>
        <w:rPr>
          <w:ins w:id="1176" w:author="Master Repository Process" w:date="2025-06-25T10:45:00Z"/>
        </w:rPr>
      </w:pPr>
      <w:ins w:id="1177" w:author="Master Repository Process" w:date="2025-06-25T10:45:00Z">
        <w:r>
          <w:tab/>
          <w:t>(1)</w:t>
        </w:r>
        <w:r>
          <w:tab/>
          <w:t xml:space="preserve">A lessor may apply to the Commissioner for an order approving the lessor’s refusal of a tenant’s request for consent to make a minor modification to the premises. </w:t>
        </w:r>
      </w:ins>
    </w:p>
    <w:p>
      <w:pPr>
        <w:pStyle w:val="Subsection"/>
        <w:rPr>
          <w:ins w:id="1178" w:author="Master Repository Process" w:date="2025-06-25T10:45:00Z"/>
        </w:rPr>
      </w:pPr>
      <w:ins w:id="1179" w:author="Master Repository Process" w:date="2025-06-25T10:45:00Z">
        <w:r>
          <w:tab/>
          <w:t>(2)</w:t>
        </w:r>
        <w:r>
          <w:tab/>
          <w:t xml:space="preserve">The Commissioner must — </w:t>
        </w:r>
      </w:ins>
    </w:p>
    <w:p>
      <w:pPr>
        <w:pStyle w:val="Indenta"/>
        <w:rPr>
          <w:ins w:id="1180" w:author="Master Repository Process" w:date="2025-06-25T10:45:00Z"/>
        </w:rPr>
      </w:pPr>
      <w:ins w:id="1181" w:author="Master Repository Process" w:date="2025-06-25T10:45:00Z">
        <w:r>
          <w:tab/>
          <w:t>(a)</w:t>
        </w:r>
        <w:r>
          <w:tab/>
          <w:t>approve the lessor’s application; or</w:t>
        </w:r>
      </w:ins>
    </w:p>
    <w:p>
      <w:pPr>
        <w:pStyle w:val="Indenta"/>
        <w:rPr>
          <w:ins w:id="1182" w:author="Master Repository Process" w:date="2025-06-25T10:45:00Z"/>
        </w:rPr>
      </w:pPr>
      <w:ins w:id="1183" w:author="Master Repository Process" w:date="2025-06-25T10:45:00Z">
        <w:r>
          <w:tab/>
          <w:t>(b)</w:t>
        </w:r>
        <w:r>
          <w:tab/>
          <w:t>order that the lessor consent to the tenant’s request.</w:t>
        </w:r>
      </w:ins>
    </w:p>
    <w:p>
      <w:pPr>
        <w:pStyle w:val="Subsection"/>
        <w:rPr>
          <w:ins w:id="1184" w:author="Master Repository Process" w:date="2025-06-25T10:45:00Z"/>
        </w:rPr>
      </w:pPr>
      <w:ins w:id="1185" w:author="Master Repository Process" w:date="2025-06-25T10:45:00Z">
        <w:r>
          <w:tab/>
          <w:t>(3)</w:t>
        </w:r>
        <w:r>
          <w:tab/>
          <w:t xml:space="preserve">The Commissioner may make an order under subsection (2)(a) if satisfied of any of the following matters — </w:t>
        </w:r>
      </w:ins>
    </w:p>
    <w:p>
      <w:pPr>
        <w:pStyle w:val="Indenta"/>
        <w:rPr>
          <w:ins w:id="1186" w:author="Master Repository Process" w:date="2025-06-25T10:45:00Z"/>
        </w:rPr>
      </w:pPr>
      <w:ins w:id="1187" w:author="Master Repository Process" w:date="2025-06-25T10:45:00Z">
        <w:r>
          <w:tab/>
          <w:t>(a)</w:t>
        </w:r>
        <w:r>
          <w:tab/>
          <w:t>the lessor would suffer undue hardship if the modification were made;</w:t>
        </w:r>
      </w:ins>
    </w:p>
    <w:p>
      <w:pPr>
        <w:pStyle w:val="Indenta"/>
        <w:rPr>
          <w:ins w:id="1188" w:author="Master Repository Process" w:date="2025-06-25T10:45:00Z"/>
        </w:rPr>
      </w:pPr>
      <w:ins w:id="1189" w:author="Master Repository Process" w:date="2025-06-25T10:45:00Z">
        <w:r>
          <w:tab/>
          <w:t>(b)</w:t>
        </w:r>
        <w:r>
          <w:tab/>
          <w:t>the modification would be unsafe or would make the premises unsafe;</w:t>
        </w:r>
      </w:ins>
    </w:p>
    <w:p>
      <w:pPr>
        <w:pStyle w:val="Indenta"/>
        <w:rPr>
          <w:ins w:id="1190" w:author="Master Repository Process" w:date="2025-06-25T10:45:00Z"/>
        </w:rPr>
      </w:pPr>
      <w:ins w:id="1191" w:author="Master Repository Process" w:date="2025-06-25T10:45:00Z">
        <w:r>
          <w:tab/>
          <w:t>(c)</w:t>
        </w:r>
        <w:r>
          <w:tab/>
          <w:t>if the premises is a lot in a community titles scheme or strata titles scheme — the modification is likely to require modification to other residential premises or common property of the scheme;</w:t>
        </w:r>
      </w:ins>
    </w:p>
    <w:p>
      <w:pPr>
        <w:pStyle w:val="Indenta"/>
        <w:rPr>
          <w:ins w:id="1192" w:author="Master Repository Process" w:date="2025-06-25T10:45:00Z"/>
        </w:rPr>
      </w:pPr>
      <w:ins w:id="1193" w:author="Master Repository Process" w:date="2025-06-25T10:45:00Z">
        <w:r>
          <w:tab/>
          <w:t>(d)</w:t>
        </w:r>
        <w:r>
          <w:tab/>
          <w:t>the modification would result in additional maintenance costs for the lessor;</w:t>
        </w:r>
      </w:ins>
    </w:p>
    <w:p>
      <w:pPr>
        <w:pStyle w:val="Indenta"/>
        <w:rPr>
          <w:ins w:id="1194" w:author="Master Repository Process" w:date="2025-06-25T10:45:00Z"/>
        </w:rPr>
      </w:pPr>
      <w:ins w:id="1195" w:author="Master Repository Process" w:date="2025-06-25T10:45:00Z">
        <w:r>
          <w:tab/>
          <w:t>(e)</w:t>
        </w:r>
        <w:r>
          <w:tab/>
          <w:t xml:space="preserve">removing the modification, or restoring the premises to their original condition, when the residential tenancy agreement ends — </w:t>
        </w:r>
      </w:ins>
    </w:p>
    <w:p>
      <w:pPr>
        <w:pStyle w:val="Indenti"/>
        <w:rPr>
          <w:ins w:id="1196" w:author="Master Repository Process" w:date="2025-06-25T10:45:00Z"/>
        </w:rPr>
      </w:pPr>
      <w:ins w:id="1197" w:author="Master Repository Process" w:date="2025-06-25T10:45:00Z">
        <w:r>
          <w:tab/>
          <w:t>(i)</w:t>
        </w:r>
        <w:r>
          <w:tab/>
          <w:t>would not be reasonably practicable; or</w:t>
        </w:r>
      </w:ins>
    </w:p>
    <w:p>
      <w:pPr>
        <w:pStyle w:val="Indenti"/>
        <w:rPr>
          <w:ins w:id="1198" w:author="Master Repository Process" w:date="2025-06-25T10:45:00Z"/>
        </w:rPr>
      </w:pPr>
      <w:ins w:id="1199" w:author="Master Repository Process" w:date="2025-06-25T10:45:00Z">
        <w:r>
          <w:tab/>
          <w:t>(ii)</w:t>
        </w:r>
        <w:r>
          <w:tab/>
          <w:t>is likely to cost more than the amount of the security bond for the agreement;</w:t>
        </w:r>
      </w:ins>
    </w:p>
    <w:p>
      <w:pPr>
        <w:pStyle w:val="Indenta"/>
        <w:rPr>
          <w:ins w:id="1200" w:author="Master Repository Process" w:date="2025-06-25T10:45:00Z"/>
        </w:rPr>
      </w:pPr>
      <w:ins w:id="1201" w:author="Master Repository Process" w:date="2025-06-25T10:45:00Z">
        <w:r>
          <w:tab/>
          <w:t>(f)</w:t>
        </w:r>
        <w:r>
          <w:tab/>
          <w:t>the tenant has been given a valid notice of termination of the residential tenancy agreement;</w:t>
        </w:r>
      </w:ins>
    </w:p>
    <w:p>
      <w:pPr>
        <w:pStyle w:val="Indenta"/>
        <w:rPr>
          <w:ins w:id="1202" w:author="Master Repository Process" w:date="2025-06-25T10:45:00Z"/>
        </w:rPr>
      </w:pPr>
      <w:ins w:id="1203" w:author="Master Repository Process" w:date="2025-06-25T10:45:00Z">
        <w:r>
          <w:tab/>
          <w:t>(g)</w:t>
        </w:r>
        <w:r>
          <w:tab/>
          <w:t>a prescribed matter;</w:t>
        </w:r>
      </w:ins>
    </w:p>
    <w:p>
      <w:pPr>
        <w:pStyle w:val="Indenta"/>
        <w:rPr>
          <w:ins w:id="1204" w:author="Master Repository Process" w:date="2025-06-25T10:45:00Z"/>
        </w:rPr>
      </w:pPr>
      <w:ins w:id="1205" w:author="Master Repository Process" w:date="2025-06-25T10:45:00Z">
        <w:r>
          <w:tab/>
          <w:t>(h)</w:t>
        </w:r>
        <w:r>
          <w:tab/>
          <w:t>making the modification is otherwise unreasonable in the circumstances.</w:t>
        </w:r>
      </w:ins>
    </w:p>
    <w:p>
      <w:pPr>
        <w:pStyle w:val="Subsection"/>
        <w:rPr>
          <w:ins w:id="1206" w:author="Master Repository Process" w:date="2025-06-25T10:45:00Z"/>
        </w:rPr>
      </w:pPr>
      <w:ins w:id="1207" w:author="Master Repository Process" w:date="2025-06-25T10:45:00Z">
        <w:r>
          <w:tab/>
          <w:t>(4)</w:t>
        </w:r>
        <w:r>
          <w:tab/>
          <w:t>The Commissioner may also order that the lessor’s consent to the tenant’s request is subject to stated conditions, whether or not the lessor also makes an application under section 50T in relation to the tenant’s request.</w:t>
        </w:r>
      </w:ins>
    </w:p>
    <w:p>
      <w:pPr>
        <w:pStyle w:val="PermNoteHeading"/>
        <w:rPr>
          <w:ins w:id="1208" w:author="Master Repository Process" w:date="2025-06-25T10:45:00Z"/>
        </w:rPr>
      </w:pPr>
      <w:ins w:id="1209" w:author="Master Repository Process" w:date="2025-06-25T10:45:00Z">
        <w:r>
          <w:tab/>
          <w:t>Example for this subsection:</w:t>
        </w:r>
      </w:ins>
    </w:p>
    <w:p>
      <w:pPr>
        <w:pStyle w:val="PermNoteText"/>
        <w:rPr>
          <w:ins w:id="1210" w:author="Master Repository Process" w:date="2025-06-25T10:45:00Z"/>
        </w:rPr>
      </w:pPr>
      <w:ins w:id="1211" w:author="Master Repository Process" w:date="2025-06-25T10:45:00Z">
        <w:r>
          <w:tab/>
        </w:r>
        <w:r>
          <w:tab/>
          <w:t>A condition may require the modification to be carried out using stated materials.</w:t>
        </w:r>
      </w:ins>
    </w:p>
    <w:p>
      <w:pPr>
        <w:pStyle w:val="Footnotesection"/>
        <w:rPr>
          <w:ins w:id="1212" w:author="Master Repository Process" w:date="2025-06-25T10:45:00Z"/>
        </w:rPr>
      </w:pPr>
      <w:ins w:id="1213" w:author="Master Repository Process" w:date="2025-06-25T10:45:00Z">
        <w:r>
          <w:tab/>
          <w:t>[Section 50S inserted: No. 11 of 2024 s. 33.]</w:t>
        </w:r>
      </w:ins>
    </w:p>
    <w:p>
      <w:pPr>
        <w:pStyle w:val="Heading5"/>
        <w:rPr>
          <w:ins w:id="1214" w:author="Master Repository Process" w:date="2025-06-25T10:45:00Z"/>
        </w:rPr>
      </w:pPr>
      <w:bookmarkStart w:id="1215" w:name="_Toc164778316"/>
      <w:bookmarkStart w:id="1216" w:name="_Toc171694336"/>
      <w:ins w:id="1217" w:author="Master Repository Process" w:date="2025-06-25T10:45:00Z">
        <w:r>
          <w:rPr>
            <w:rStyle w:val="CharSectno"/>
          </w:rPr>
          <w:t>50T</w:t>
        </w:r>
        <w:r>
          <w:t>.</w:t>
        </w:r>
        <w:r>
          <w:tab/>
          <w:t>Lessor’s application for approval to impose conditions on consent for minor modification</w:t>
        </w:r>
        <w:bookmarkEnd w:id="1215"/>
        <w:bookmarkEnd w:id="1216"/>
      </w:ins>
    </w:p>
    <w:p>
      <w:pPr>
        <w:pStyle w:val="Subsection"/>
        <w:rPr>
          <w:ins w:id="1218" w:author="Master Repository Process" w:date="2025-06-25T10:45:00Z"/>
        </w:rPr>
      </w:pPr>
      <w:ins w:id="1219" w:author="Master Repository Process" w:date="2025-06-25T10:45:00Z">
        <w:r>
          <w:tab/>
          <w:t>(1)</w:t>
        </w:r>
        <w:r>
          <w:tab/>
          <w:t>This section applies if a lessor proposes to impose a condition, other than a condition mentioned in section 50P(a) or (b), on the lessor’s consent for a tenant to make a minor modification to premises.</w:t>
        </w:r>
      </w:ins>
    </w:p>
    <w:p>
      <w:pPr>
        <w:pStyle w:val="Subsection"/>
        <w:rPr>
          <w:ins w:id="1220" w:author="Master Repository Process" w:date="2025-06-25T10:45:00Z"/>
        </w:rPr>
      </w:pPr>
      <w:ins w:id="1221" w:author="Master Repository Process" w:date="2025-06-25T10:45:00Z">
        <w:r>
          <w:tab/>
          <w:t>(2)</w:t>
        </w:r>
        <w:r>
          <w:tab/>
          <w:t xml:space="preserve">The lessor may apply to the Commissioner for an order approving the imposition of the condition on the lessor’s consent. </w:t>
        </w:r>
      </w:ins>
    </w:p>
    <w:p>
      <w:pPr>
        <w:pStyle w:val="Subsection"/>
        <w:rPr>
          <w:ins w:id="1222" w:author="Master Repository Process" w:date="2025-06-25T10:45:00Z"/>
        </w:rPr>
      </w:pPr>
      <w:ins w:id="1223" w:author="Master Repository Process" w:date="2025-06-25T10:45:00Z">
        <w:r>
          <w:tab/>
          <w:t>(3)</w:t>
        </w:r>
        <w:r>
          <w:tab/>
          <w:t>The Commissioner must approve or refuse the lessor’s application.</w:t>
        </w:r>
      </w:ins>
    </w:p>
    <w:p>
      <w:pPr>
        <w:pStyle w:val="Subsection"/>
        <w:rPr>
          <w:ins w:id="1224" w:author="Master Repository Process" w:date="2025-06-25T10:45:00Z"/>
        </w:rPr>
      </w:pPr>
      <w:ins w:id="1225" w:author="Master Repository Process" w:date="2025-06-25T10:45:00Z">
        <w:r>
          <w:tab/>
          <w:t>(4)</w:t>
        </w:r>
        <w:r>
          <w:tab/>
          <w:t>The Commissioner may also order that the lessor’s consent to the tenant’s request is subject to stated conditions, in addition to any conditions stated in the lessor’s application.</w:t>
        </w:r>
      </w:ins>
    </w:p>
    <w:p>
      <w:pPr>
        <w:pStyle w:val="PermNoteHeading"/>
        <w:rPr>
          <w:ins w:id="1226" w:author="Master Repository Process" w:date="2025-06-25T10:45:00Z"/>
        </w:rPr>
      </w:pPr>
      <w:ins w:id="1227" w:author="Master Repository Process" w:date="2025-06-25T10:45:00Z">
        <w:r>
          <w:tab/>
          <w:t>Example for this subsection:</w:t>
        </w:r>
      </w:ins>
    </w:p>
    <w:p>
      <w:pPr>
        <w:pStyle w:val="PermNoteText"/>
        <w:rPr>
          <w:ins w:id="1228" w:author="Master Repository Process" w:date="2025-06-25T10:45:00Z"/>
        </w:rPr>
      </w:pPr>
      <w:ins w:id="1229" w:author="Master Repository Process" w:date="2025-06-25T10:45:00Z">
        <w:r>
          <w:tab/>
        </w:r>
        <w:r>
          <w:tab/>
          <w:t>A condition may require the modification to be carried out using stated materials.</w:t>
        </w:r>
      </w:ins>
    </w:p>
    <w:p>
      <w:pPr>
        <w:pStyle w:val="Footnotesection"/>
        <w:rPr>
          <w:ins w:id="1230" w:author="Master Repository Process" w:date="2025-06-25T10:45:00Z"/>
        </w:rPr>
      </w:pPr>
      <w:ins w:id="1231" w:author="Master Repository Process" w:date="2025-06-25T10:45:00Z">
        <w:r>
          <w:tab/>
          <w:t>[Section 50T inserted: No. 11 of 2024 s. 33.]</w:t>
        </w:r>
      </w:ins>
    </w:p>
    <w:p>
      <w:pPr>
        <w:pStyle w:val="Heading5"/>
        <w:rPr>
          <w:ins w:id="1232" w:author="Master Repository Process" w:date="2025-06-25T10:45:00Z"/>
        </w:rPr>
      </w:pPr>
      <w:bookmarkStart w:id="1233" w:name="_Toc164778317"/>
      <w:bookmarkStart w:id="1234" w:name="_Toc171694337"/>
      <w:ins w:id="1235" w:author="Master Repository Process" w:date="2025-06-25T10:45:00Z">
        <w:r>
          <w:rPr>
            <w:rStyle w:val="CharSectno"/>
          </w:rPr>
          <w:t>50U</w:t>
        </w:r>
        <w:r>
          <w:t>.</w:t>
        </w:r>
        <w:r>
          <w:tab/>
          <w:t>Tenant’s application for order that refusal not permitted</w:t>
        </w:r>
        <w:bookmarkEnd w:id="1233"/>
        <w:bookmarkEnd w:id="1234"/>
      </w:ins>
    </w:p>
    <w:p>
      <w:pPr>
        <w:pStyle w:val="Subsection"/>
        <w:rPr>
          <w:ins w:id="1236" w:author="Master Repository Process" w:date="2025-06-25T10:45:00Z"/>
        </w:rPr>
      </w:pPr>
      <w:ins w:id="1237" w:author="Master Repository Process" w:date="2025-06-25T10:45:00Z">
        <w:r>
          <w:tab/>
          <w:t>(1)</w:t>
        </w:r>
        <w:r>
          <w:tab/>
          <w:t>A tenant may apply to the Commissioner for an order that the lessor’s refusal of the tenant’s request for consent to make a minor modification to the premises is not permitted.</w:t>
        </w:r>
      </w:ins>
    </w:p>
    <w:p>
      <w:pPr>
        <w:pStyle w:val="Subsection"/>
        <w:rPr>
          <w:ins w:id="1238" w:author="Master Repository Process" w:date="2025-06-25T10:45:00Z"/>
        </w:rPr>
      </w:pPr>
      <w:ins w:id="1239" w:author="Master Repository Process" w:date="2025-06-25T10:45:00Z">
        <w:r>
          <w:tab/>
          <w:t>(2)</w:t>
        </w:r>
        <w:r>
          <w:tab/>
          <w:t xml:space="preserve">The Commissioner must — </w:t>
        </w:r>
      </w:ins>
    </w:p>
    <w:p>
      <w:pPr>
        <w:pStyle w:val="Indenta"/>
        <w:rPr>
          <w:ins w:id="1240" w:author="Master Repository Process" w:date="2025-06-25T10:45:00Z"/>
        </w:rPr>
      </w:pPr>
      <w:ins w:id="1241" w:author="Master Repository Process" w:date="2025-06-25T10:45:00Z">
        <w:r>
          <w:tab/>
          <w:t>(a)</w:t>
        </w:r>
        <w:r>
          <w:tab/>
          <w:t>if satisfied the lessor’s refusal is not permitted under section 50Q or 50R — order the lessor to consent to the tenant’s request; or</w:t>
        </w:r>
      </w:ins>
    </w:p>
    <w:p>
      <w:pPr>
        <w:pStyle w:val="Indenta"/>
        <w:rPr>
          <w:ins w:id="1242" w:author="Master Repository Process" w:date="2025-06-25T10:45:00Z"/>
        </w:rPr>
      </w:pPr>
      <w:ins w:id="1243" w:author="Master Repository Process" w:date="2025-06-25T10:45:00Z">
        <w:r>
          <w:tab/>
          <w:t>(b)</w:t>
        </w:r>
        <w:r>
          <w:tab/>
          <w:t>if satisfied any of the grounds referred to in section 50S(3) apply — approve the lessor’s refusal of the tenant’s request; or</w:t>
        </w:r>
      </w:ins>
    </w:p>
    <w:p>
      <w:pPr>
        <w:pStyle w:val="Indenta"/>
        <w:rPr>
          <w:ins w:id="1244" w:author="Master Repository Process" w:date="2025-06-25T10:45:00Z"/>
        </w:rPr>
      </w:pPr>
      <w:ins w:id="1245" w:author="Master Repository Process" w:date="2025-06-25T10:45:00Z">
        <w:r>
          <w:tab/>
          <w:t>(c)</w:t>
        </w:r>
        <w:r>
          <w:tab/>
          <w:t>otherwise — refuse the tenant’s application.</w:t>
        </w:r>
      </w:ins>
    </w:p>
    <w:p>
      <w:pPr>
        <w:pStyle w:val="Subsection"/>
        <w:rPr>
          <w:ins w:id="1246" w:author="Master Repository Process" w:date="2025-06-25T10:45:00Z"/>
        </w:rPr>
      </w:pPr>
      <w:ins w:id="1247" w:author="Master Repository Process" w:date="2025-06-25T10:45:00Z">
        <w:r>
          <w:tab/>
          <w:t>(3)</w:t>
        </w:r>
        <w:r>
          <w:tab/>
          <w:t>If the Commissioner makes an order under subsection (2)(a), the Commissioner may also order that the lessor’s consent is subject to stated conditions.</w:t>
        </w:r>
      </w:ins>
    </w:p>
    <w:p>
      <w:pPr>
        <w:pStyle w:val="Footnotesection"/>
        <w:rPr>
          <w:ins w:id="1248" w:author="Master Repository Process" w:date="2025-06-25T10:45:00Z"/>
        </w:rPr>
      </w:pPr>
      <w:ins w:id="1249" w:author="Master Repository Process" w:date="2025-06-25T10:45:00Z">
        <w:r>
          <w:tab/>
          <w:t>[Section 50U inserted: No. 11 of 2024 s. 33.]</w:t>
        </w:r>
      </w:ins>
    </w:p>
    <w:p>
      <w:pPr>
        <w:pStyle w:val="Heading5"/>
        <w:rPr>
          <w:ins w:id="1250" w:author="Master Repository Process" w:date="2025-06-25T10:45:00Z"/>
        </w:rPr>
      </w:pPr>
      <w:bookmarkStart w:id="1251" w:name="_Toc164778318"/>
      <w:bookmarkStart w:id="1252" w:name="_Toc171694338"/>
      <w:ins w:id="1253" w:author="Master Repository Process" w:date="2025-06-25T10:45:00Z">
        <w:r>
          <w:rPr>
            <w:rStyle w:val="CharSectno"/>
          </w:rPr>
          <w:t>50V</w:t>
        </w:r>
        <w:r>
          <w:t>.</w:t>
        </w:r>
        <w:r>
          <w:tab/>
          <w:t>Tenant’s application for order that conditions imposed on consent are unreasonable</w:t>
        </w:r>
        <w:bookmarkEnd w:id="1251"/>
        <w:bookmarkEnd w:id="1252"/>
      </w:ins>
    </w:p>
    <w:p>
      <w:pPr>
        <w:pStyle w:val="Subsection"/>
        <w:rPr>
          <w:ins w:id="1254" w:author="Master Repository Process" w:date="2025-06-25T10:45:00Z"/>
        </w:rPr>
      </w:pPr>
      <w:ins w:id="1255" w:author="Master Repository Process" w:date="2025-06-25T10:45:00Z">
        <w:r>
          <w:tab/>
          <w:t>(1)</w:t>
        </w:r>
        <w:r>
          <w:tab/>
          <w:t xml:space="preserve">A tenant may apply to the Commissioner for an order that a condition imposed by the lessor on the lessor’s consent for the tenant to make a minor modification is unreasonable. </w:t>
        </w:r>
      </w:ins>
    </w:p>
    <w:p>
      <w:pPr>
        <w:pStyle w:val="Subsection"/>
        <w:rPr>
          <w:ins w:id="1256" w:author="Master Repository Process" w:date="2025-06-25T10:45:00Z"/>
        </w:rPr>
      </w:pPr>
      <w:ins w:id="1257" w:author="Master Repository Process" w:date="2025-06-25T10:45:00Z">
        <w:r>
          <w:tab/>
          <w:t>(2)</w:t>
        </w:r>
        <w:r>
          <w:tab/>
          <w:t xml:space="preserve">The Commissioner must — </w:t>
        </w:r>
      </w:ins>
    </w:p>
    <w:p>
      <w:pPr>
        <w:pStyle w:val="Indenta"/>
        <w:rPr>
          <w:ins w:id="1258" w:author="Master Repository Process" w:date="2025-06-25T10:45:00Z"/>
        </w:rPr>
      </w:pPr>
      <w:ins w:id="1259" w:author="Master Repository Process" w:date="2025-06-25T10:45:00Z">
        <w:r>
          <w:tab/>
          <w:t>(a)</w:t>
        </w:r>
        <w:r>
          <w:tab/>
          <w:t>if satisfied the condition is unreasonable — approve the tenant’s application and order that the condition is unreasonable; or</w:t>
        </w:r>
      </w:ins>
    </w:p>
    <w:p>
      <w:pPr>
        <w:pStyle w:val="Indenta"/>
        <w:rPr>
          <w:ins w:id="1260" w:author="Master Repository Process" w:date="2025-06-25T10:45:00Z"/>
        </w:rPr>
      </w:pPr>
      <w:ins w:id="1261" w:author="Master Repository Process" w:date="2025-06-25T10:45:00Z">
        <w:r>
          <w:tab/>
          <w:t>(b)</w:t>
        </w:r>
        <w:r>
          <w:tab/>
          <w:t>if satisfied the condition is reasonable — refuse the tenant’s application and order that the condition is reasonable; or</w:t>
        </w:r>
      </w:ins>
    </w:p>
    <w:p>
      <w:pPr>
        <w:pStyle w:val="Indenta"/>
        <w:rPr>
          <w:ins w:id="1262" w:author="Master Repository Process" w:date="2025-06-25T10:45:00Z"/>
        </w:rPr>
      </w:pPr>
      <w:ins w:id="1263" w:author="Master Repository Process" w:date="2025-06-25T10:45:00Z">
        <w:r>
          <w:tab/>
          <w:t>(c)</w:t>
        </w:r>
        <w:r>
          <w:tab/>
          <w:t>order that the condition imposed by the lessor be modified in a stated way.</w:t>
        </w:r>
      </w:ins>
    </w:p>
    <w:p>
      <w:pPr>
        <w:pStyle w:val="Subsection"/>
        <w:rPr>
          <w:ins w:id="1264" w:author="Master Repository Process" w:date="2025-06-25T10:45:00Z"/>
        </w:rPr>
      </w:pPr>
      <w:ins w:id="1265" w:author="Master Repository Process" w:date="2025-06-25T10:45:00Z">
        <w:r>
          <w:tab/>
          <w:t>(3)</w:t>
        </w:r>
        <w:r>
          <w:tab/>
          <w:t>If the Commissioner orders that the condition is unreasonable, the lessor’s consent to make the minor modification is no longer subject to the condition.</w:t>
        </w:r>
      </w:ins>
    </w:p>
    <w:p>
      <w:pPr>
        <w:pStyle w:val="Footnotesection"/>
        <w:rPr>
          <w:ins w:id="1266" w:author="Master Repository Process" w:date="2025-06-25T10:45:00Z"/>
        </w:rPr>
      </w:pPr>
      <w:ins w:id="1267" w:author="Master Repository Process" w:date="2025-06-25T10:45:00Z">
        <w:r>
          <w:tab/>
          <w:t>[Section 50V inserted: No. 11 of 2024 s. 33.]</w:t>
        </w:r>
      </w:ins>
    </w:p>
    <w:p>
      <w:pPr>
        <w:pStyle w:val="Heading4"/>
        <w:rPr>
          <w:ins w:id="1268" w:author="Master Repository Process" w:date="2025-06-25T10:45:00Z"/>
        </w:rPr>
      </w:pPr>
      <w:bookmarkStart w:id="1269" w:name="_Toc164777983"/>
      <w:bookmarkStart w:id="1270" w:name="_Toc164778151"/>
      <w:bookmarkStart w:id="1271" w:name="_Toc164778319"/>
      <w:bookmarkStart w:id="1272" w:name="_Toc171680592"/>
      <w:bookmarkStart w:id="1273" w:name="_Toc171680857"/>
      <w:bookmarkStart w:id="1274" w:name="_Toc171681408"/>
      <w:bookmarkStart w:id="1275" w:name="_Toc171681824"/>
      <w:bookmarkStart w:id="1276" w:name="_Toc171682088"/>
      <w:bookmarkStart w:id="1277" w:name="_Toc171694339"/>
      <w:ins w:id="1278" w:author="Master Repository Process" w:date="2025-06-25T10:45:00Z">
        <w:r>
          <w:t>Subdivision 4 — Other modifications</w:t>
        </w:r>
        <w:bookmarkEnd w:id="1269"/>
        <w:bookmarkEnd w:id="1270"/>
        <w:bookmarkEnd w:id="1271"/>
        <w:bookmarkEnd w:id="1272"/>
        <w:bookmarkEnd w:id="1273"/>
        <w:bookmarkEnd w:id="1274"/>
        <w:bookmarkEnd w:id="1275"/>
        <w:bookmarkEnd w:id="1276"/>
        <w:bookmarkEnd w:id="1277"/>
      </w:ins>
    </w:p>
    <w:p>
      <w:pPr>
        <w:pStyle w:val="Footnoteheading"/>
        <w:rPr>
          <w:ins w:id="1279" w:author="Master Repository Process" w:date="2025-06-25T10:45:00Z"/>
        </w:rPr>
      </w:pPr>
      <w:ins w:id="1280" w:author="Master Repository Process" w:date="2025-06-25T10:45:00Z">
        <w:r>
          <w:tab/>
          <w:t>[Heading inserted: No. 11 of 2024 s. 33.]</w:t>
        </w:r>
      </w:ins>
    </w:p>
    <w:p>
      <w:pPr>
        <w:pStyle w:val="Heading5"/>
        <w:rPr>
          <w:ins w:id="1281" w:author="Master Repository Process" w:date="2025-06-25T10:45:00Z"/>
        </w:rPr>
      </w:pPr>
      <w:bookmarkStart w:id="1282" w:name="_Toc164778320"/>
      <w:bookmarkStart w:id="1283" w:name="_Toc171694340"/>
      <w:ins w:id="1284" w:author="Master Repository Process" w:date="2025-06-25T10:45:00Z">
        <w:r>
          <w:rPr>
            <w:rStyle w:val="CharSectno"/>
          </w:rPr>
          <w:t>50W</w:t>
        </w:r>
        <w:r>
          <w:t>.</w:t>
        </w:r>
        <w:r>
          <w:tab/>
          <w:t>When tenant may make other modifications to premises</w:t>
        </w:r>
        <w:bookmarkEnd w:id="1282"/>
        <w:bookmarkEnd w:id="1283"/>
      </w:ins>
    </w:p>
    <w:p>
      <w:pPr>
        <w:pStyle w:val="Subsection"/>
        <w:rPr>
          <w:ins w:id="1285" w:author="Master Repository Process" w:date="2025-06-25T10:45:00Z"/>
        </w:rPr>
      </w:pPr>
      <w:ins w:id="1286" w:author="Master Repository Process" w:date="2025-06-25T10:45:00Z">
        <w:r>
          <w:tab/>
          <w:t>(1)</w:t>
        </w:r>
        <w:r>
          <w:tab/>
          <w:t xml:space="preserve">In this section — </w:t>
        </w:r>
      </w:ins>
    </w:p>
    <w:p>
      <w:pPr>
        <w:pStyle w:val="Defstart"/>
        <w:rPr>
          <w:ins w:id="1287" w:author="Master Repository Process" w:date="2025-06-25T10:45:00Z"/>
        </w:rPr>
      </w:pPr>
      <w:ins w:id="1288" w:author="Master Repository Process" w:date="2025-06-25T10:45:00Z">
        <w:r>
          <w:tab/>
        </w:r>
        <w:r>
          <w:rPr>
            <w:rStyle w:val="CharDefText"/>
          </w:rPr>
          <w:t>major modification</w:t>
        </w:r>
        <w:r>
          <w:t xml:space="preserve">, in relation to residential premises, means a modification to the premises other than — </w:t>
        </w:r>
      </w:ins>
    </w:p>
    <w:p>
      <w:pPr>
        <w:pStyle w:val="Defpara"/>
        <w:rPr>
          <w:ins w:id="1289" w:author="Master Repository Process" w:date="2025-06-25T10:45:00Z"/>
        </w:rPr>
      </w:pPr>
      <w:ins w:id="1290" w:author="Master Repository Process" w:date="2025-06-25T10:45:00Z">
        <w:r>
          <w:tab/>
          <w:t>(a)</w:t>
        </w:r>
        <w:r>
          <w:tab/>
          <w:t>a furniture safety modification; or</w:t>
        </w:r>
      </w:ins>
    </w:p>
    <w:p>
      <w:pPr>
        <w:pStyle w:val="Defpara"/>
        <w:rPr>
          <w:ins w:id="1291" w:author="Master Repository Process" w:date="2025-06-25T10:45:00Z"/>
        </w:rPr>
      </w:pPr>
      <w:ins w:id="1292" w:author="Master Repository Process" w:date="2025-06-25T10:45:00Z">
        <w:r>
          <w:tab/>
          <w:t>(b)</w:t>
        </w:r>
        <w:r>
          <w:tab/>
          <w:t>a prescribed modification mentioned in section 50M; or</w:t>
        </w:r>
      </w:ins>
    </w:p>
    <w:p>
      <w:pPr>
        <w:pStyle w:val="Defpara"/>
        <w:rPr>
          <w:ins w:id="1293" w:author="Master Repository Process" w:date="2025-06-25T10:45:00Z"/>
        </w:rPr>
      </w:pPr>
      <w:ins w:id="1294" w:author="Master Repository Process" w:date="2025-06-25T10:45:00Z">
        <w:r>
          <w:tab/>
          <w:t>(c)</w:t>
        </w:r>
        <w:r>
          <w:tab/>
          <w:t>a minor modification.</w:t>
        </w:r>
      </w:ins>
    </w:p>
    <w:p>
      <w:pPr>
        <w:pStyle w:val="Subsection"/>
        <w:keepNext/>
        <w:rPr>
          <w:ins w:id="1295" w:author="Master Repository Process" w:date="2025-06-25T10:45:00Z"/>
        </w:rPr>
      </w:pPr>
      <w:ins w:id="1296" w:author="Master Repository Process" w:date="2025-06-25T10:45:00Z">
        <w:r>
          <w:tab/>
          <w:t>(2)</w:t>
        </w:r>
        <w:r>
          <w:tab/>
          <w:t xml:space="preserve">A residential tenancy agreement may provide that — </w:t>
        </w:r>
      </w:ins>
    </w:p>
    <w:p>
      <w:pPr>
        <w:pStyle w:val="Indenta"/>
        <w:rPr>
          <w:ins w:id="1297" w:author="Master Repository Process" w:date="2025-06-25T10:45:00Z"/>
        </w:rPr>
      </w:pPr>
      <w:ins w:id="1298" w:author="Master Repository Process" w:date="2025-06-25T10:45:00Z">
        <w:r>
          <w:tab/>
          <w:t>(a)</w:t>
        </w:r>
        <w:r>
          <w:tab/>
          <w:t>a tenant may make a modification to the premises stated in the agreement without the lessor’s consent; or</w:t>
        </w:r>
      </w:ins>
    </w:p>
    <w:p>
      <w:pPr>
        <w:pStyle w:val="Indenta"/>
        <w:rPr>
          <w:ins w:id="1299" w:author="Master Repository Process" w:date="2025-06-25T10:45:00Z"/>
        </w:rPr>
      </w:pPr>
      <w:ins w:id="1300" w:author="Master Repository Process" w:date="2025-06-25T10:45:00Z">
        <w:r>
          <w:tab/>
          <w:t>(b)</w:t>
        </w:r>
        <w:r>
          <w:tab/>
          <w:t>a tenant may make a major modification to the premises with the lessor’s consent; or</w:t>
        </w:r>
      </w:ins>
    </w:p>
    <w:p>
      <w:pPr>
        <w:pStyle w:val="Indenta"/>
        <w:rPr>
          <w:ins w:id="1301" w:author="Master Repository Process" w:date="2025-06-25T10:45:00Z"/>
        </w:rPr>
      </w:pPr>
      <w:ins w:id="1302" w:author="Master Repository Process" w:date="2025-06-25T10:45:00Z">
        <w:r>
          <w:tab/>
          <w:t>(c)</w:t>
        </w:r>
        <w:r>
          <w:tab/>
          <w:t>a tenant must not make major modifications to the premises.</w:t>
        </w:r>
      </w:ins>
    </w:p>
    <w:p>
      <w:pPr>
        <w:pStyle w:val="Subsection"/>
        <w:rPr>
          <w:ins w:id="1303" w:author="Master Repository Process" w:date="2025-06-25T10:45:00Z"/>
        </w:rPr>
      </w:pPr>
      <w:ins w:id="1304" w:author="Master Repository Process" w:date="2025-06-25T10:45:00Z">
        <w:r>
          <w:tab/>
          <w:t>(3)</w:t>
        </w:r>
        <w:r>
          <w:tab/>
          <w:t xml:space="preserve">If a residential tenancy agreement includes a provision referred to in subsection (2)(a), it is also a term of the agreement that, before making the stated modification to the premises, the tenant must give the lessor written notice — </w:t>
        </w:r>
      </w:ins>
    </w:p>
    <w:p>
      <w:pPr>
        <w:pStyle w:val="Indenta"/>
        <w:rPr>
          <w:ins w:id="1305" w:author="Master Repository Process" w:date="2025-06-25T10:45:00Z"/>
        </w:rPr>
      </w:pPr>
      <w:ins w:id="1306" w:author="Master Repository Process" w:date="2025-06-25T10:45:00Z">
        <w:r>
          <w:tab/>
          <w:t>(a)</w:t>
        </w:r>
        <w:r>
          <w:tab/>
          <w:t xml:space="preserve">stating that the tenant intends to make the modification; and </w:t>
        </w:r>
      </w:ins>
    </w:p>
    <w:p>
      <w:pPr>
        <w:pStyle w:val="Indenta"/>
        <w:rPr>
          <w:ins w:id="1307" w:author="Master Repository Process" w:date="2025-06-25T10:45:00Z"/>
        </w:rPr>
      </w:pPr>
      <w:ins w:id="1308" w:author="Master Repository Process" w:date="2025-06-25T10:45:00Z">
        <w:r>
          <w:tab/>
          <w:t>(b)</w:t>
        </w:r>
        <w:r>
          <w:tab/>
          <w:t>describing the intended modification.</w:t>
        </w:r>
      </w:ins>
    </w:p>
    <w:p>
      <w:pPr>
        <w:pStyle w:val="Subsection"/>
        <w:rPr>
          <w:ins w:id="1309" w:author="Master Repository Process" w:date="2025-06-25T10:45:00Z"/>
        </w:rPr>
      </w:pPr>
      <w:ins w:id="1310" w:author="Master Repository Process" w:date="2025-06-25T10:45:00Z">
        <w:r>
          <w:tab/>
          <w:t>(4)</w:t>
        </w:r>
        <w:r>
          <w:tab/>
          <w:t xml:space="preserve">If a residential tenancy agreement includes a provision referred to subsection (2)(b), it is also a term of the agreement that — </w:t>
        </w:r>
      </w:ins>
    </w:p>
    <w:p>
      <w:pPr>
        <w:pStyle w:val="Indenta"/>
        <w:rPr>
          <w:ins w:id="1311" w:author="Master Repository Process" w:date="2025-06-25T10:45:00Z"/>
        </w:rPr>
      </w:pPr>
      <w:ins w:id="1312" w:author="Master Repository Process" w:date="2025-06-25T10:45:00Z">
        <w:r>
          <w:tab/>
          <w:t>(a)</w:t>
        </w:r>
        <w:r>
          <w:tab/>
          <w:t>the lessor must not unreasonably refuse the tenant’s request for consent to make a major modification to the premises; and</w:t>
        </w:r>
      </w:ins>
    </w:p>
    <w:p>
      <w:pPr>
        <w:pStyle w:val="Indenta"/>
        <w:rPr>
          <w:ins w:id="1313" w:author="Master Repository Process" w:date="2025-06-25T10:45:00Z"/>
        </w:rPr>
      </w:pPr>
      <w:ins w:id="1314" w:author="Master Repository Process" w:date="2025-06-25T10:45:00Z">
        <w:r>
          <w:tab/>
          <w:t>(b)</w:t>
        </w:r>
        <w:r>
          <w:tab/>
          <w:t>the making of a major modification is subject to any reasonable conditions of the lessor’s approval for the tenant to make the major modification.</w:t>
        </w:r>
      </w:ins>
    </w:p>
    <w:p>
      <w:pPr>
        <w:pStyle w:val="PermNoteHeading"/>
        <w:rPr>
          <w:ins w:id="1315" w:author="Master Repository Process" w:date="2025-06-25T10:45:00Z"/>
        </w:rPr>
      </w:pPr>
      <w:ins w:id="1316" w:author="Master Repository Process" w:date="2025-06-25T10:45:00Z">
        <w:r>
          <w:tab/>
          <w:t>Note for this section:</w:t>
        </w:r>
      </w:ins>
    </w:p>
    <w:p>
      <w:pPr>
        <w:pStyle w:val="PermNoteText"/>
        <w:rPr>
          <w:ins w:id="1317" w:author="Master Repository Process" w:date="2025-06-25T10:45:00Z"/>
        </w:rPr>
      </w:pPr>
      <w:ins w:id="1318" w:author="Master Repository Process" w:date="2025-06-25T10:45:00Z">
        <w:r>
          <w:tab/>
        </w:r>
        <w:r>
          <w:tab/>
          <w:t>See Subdivision 5 for the responsibilities of a tenant who makes a modification to premises.</w:t>
        </w:r>
      </w:ins>
    </w:p>
    <w:p>
      <w:pPr>
        <w:pStyle w:val="Footnotesection"/>
        <w:rPr>
          <w:ins w:id="1319" w:author="Master Repository Process" w:date="2025-06-25T10:45:00Z"/>
        </w:rPr>
      </w:pPr>
      <w:ins w:id="1320" w:author="Master Repository Process" w:date="2025-06-25T10:45:00Z">
        <w:r>
          <w:tab/>
          <w:t>[Section 50W inserted: No. 11 of 2024 s. 33.]</w:t>
        </w:r>
      </w:ins>
    </w:p>
    <w:p>
      <w:pPr>
        <w:pStyle w:val="Heading5"/>
        <w:rPr>
          <w:ins w:id="1321" w:author="Master Repository Process" w:date="2025-06-25T10:45:00Z"/>
        </w:rPr>
      </w:pPr>
      <w:bookmarkStart w:id="1322" w:name="_Toc164778321"/>
      <w:bookmarkStart w:id="1323" w:name="_Toc171694341"/>
      <w:ins w:id="1324" w:author="Master Repository Process" w:date="2025-06-25T10:45:00Z">
        <w:r>
          <w:rPr>
            <w:rStyle w:val="CharSectno"/>
          </w:rPr>
          <w:t>50X</w:t>
        </w:r>
        <w:r>
          <w:t>.</w:t>
        </w:r>
        <w:r>
          <w:tab/>
          <w:t>Lessor may make modification to premises</w:t>
        </w:r>
        <w:bookmarkEnd w:id="1322"/>
        <w:bookmarkEnd w:id="1323"/>
      </w:ins>
    </w:p>
    <w:p>
      <w:pPr>
        <w:pStyle w:val="Subsection"/>
        <w:rPr>
          <w:ins w:id="1325" w:author="Master Repository Process" w:date="2025-06-25T10:45:00Z"/>
        </w:rPr>
      </w:pPr>
      <w:ins w:id="1326" w:author="Master Repository Process" w:date="2025-06-25T10:45:00Z">
        <w:r>
          <w:tab/>
          <w:t>(1)</w:t>
        </w:r>
        <w:r>
          <w:tab/>
          <w:t xml:space="preserve">It is a term of every residential tenancy agreement that — </w:t>
        </w:r>
      </w:ins>
    </w:p>
    <w:p>
      <w:pPr>
        <w:pStyle w:val="Indenta"/>
        <w:rPr>
          <w:ins w:id="1327" w:author="Master Repository Process" w:date="2025-06-25T10:45:00Z"/>
        </w:rPr>
      </w:pPr>
      <w:ins w:id="1328" w:author="Master Repository Process" w:date="2025-06-25T10:45:00Z">
        <w:r>
          <w:tab/>
          <w:t>(a)</w:t>
        </w:r>
        <w:r>
          <w:tab/>
          <w:t>the lessor may make a modification to the premises, but only with the consent of the tenant; and</w:t>
        </w:r>
      </w:ins>
    </w:p>
    <w:p>
      <w:pPr>
        <w:pStyle w:val="Indenta"/>
        <w:rPr>
          <w:ins w:id="1329" w:author="Master Repository Process" w:date="2025-06-25T10:45:00Z"/>
        </w:rPr>
      </w:pPr>
      <w:ins w:id="1330" w:author="Master Repository Process" w:date="2025-06-25T10:45:00Z">
        <w:r>
          <w:tab/>
          <w:t>(b)</w:t>
        </w:r>
        <w:r>
          <w:tab/>
          <w:t>the tenant must not unreasonably refuse the lessor’s request for consent.</w:t>
        </w:r>
      </w:ins>
    </w:p>
    <w:p>
      <w:pPr>
        <w:pStyle w:val="Subsection"/>
        <w:rPr>
          <w:ins w:id="1331" w:author="Master Repository Process" w:date="2025-06-25T10:45:00Z"/>
        </w:rPr>
      </w:pPr>
      <w:ins w:id="1332" w:author="Master Repository Process" w:date="2025-06-25T10:45:00Z">
        <w:r>
          <w:tab/>
          <w:t>(2)</w:t>
        </w:r>
        <w:r>
          <w:tab/>
          <w:t>The tenant’s approval for the lessor to make a modification may be subject to reasonable conditions about the lessor’s entry of the premises to make or inspect the modification, including the day or time of the entry.</w:t>
        </w:r>
      </w:ins>
    </w:p>
    <w:p>
      <w:pPr>
        <w:pStyle w:val="Subsection"/>
        <w:rPr>
          <w:ins w:id="1333" w:author="Master Repository Process" w:date="2025-06-25T10:45:00Z"/>
        </w:rPr>
      </w:pPr>
      <w:ins w:id="1334" w:author="Master Repository Process" w:date="2025-06-25T10:45:00Z">
        <w:r>
          <w:tab/>
          <w:t>(3)</w:t>
        </w:r>
        <w:r>
          <w:tab/>
          <w:t xml:space="preserve">Section 46(2)(e) applies for the purposes of the lessor making the modification to the premises — </w:t>
        </w:r>
      </w:ins>
    </w:p>
    <w:p>
      <w:pPr>
        <w:pStyle w:val="Indenta"/>
        <w:rPr>
          <w:ins w:id="1335" w:author="Master Repository Process" w:date="2025-06-25T10:45:00Z"/>
        </w:rPr>
      </w:pPr>
      <w:ins w:id="1336" w:author="Master Repository Process" w:date="2025-06-25T10:45:00Z">
        <w:r>
          <w:tab/>
          <w:t>(a)</w:t>
        </w:r>
        <w:r>
          <w:tab/>
          <w:t>as if a reference in that section to necessary repairs to or maintenance of the premises were a reference to the modification; and</w:t>
        </w:r>
      </w:ins>
    </w:p>
    <w:p>
      <w:pPr>
        <w:pStyle w:val="Indenta"/>
        <w:rPr>
          <w:ins w:id="1337" w:author="Master Repository Process" w:date="2025-06-25T10:45:00Z"/>
        </w:rPr>
      </w:pPr>
      <w:ins w:id="1338" w:author="Master Repository Process" w:date="2025-06-25T10:45:00Z">
        <w:r>
          <w:tab/>
          <w:t>(b)</w:t>
        </w:r>
        <w:r>
          <w:tab/>
          <w:t>subject to a reasonable condition imposed on the entry under subsection (2).</w:t>
        </w:r>
      </w:ins>
    </w:p>
    <w:p>
      <w:pPr>
        <w:pStyle w:val="Footnotesection"/>
        <w:rPr>
          <w:ins w:id="1339" w:author="Master Repository Process" w:date="2025-06-25T10:45:00Z"/>
        </w:rPr>
      </w:pPr>
      <w:ins w:id="1340" w:author="Master Repository Process" w:date="2025-06-25T10:45:00Z">
        <w:r>
          <w:tab/>
          <w:t>[Section 50X inserted: No. 11 of 2024 s. 33.]</w:t>
        </w:r>
      </w:ins>
    </w:p>
    <w:p>
      <w:pPr>
        <w:pStyle w:val="Heading5"/>
        <w:rPr>
          <w:ins w:id="1341" w:author="Master Repository Process" w:date="2025-06-25T10:45:00Z"/>
        </w:rPr>
      </w:pPr>
      <w:bookmarkStart w:id="1342" w:name="_Toc164778322"/>
      <w:bookmarkStart w:id="1343" w:name="_Toc171694342"/>
      <w:ins w:id="1344" w:author="Master Repository Process" w:date="2025-06-25T10:45:00Z">
        <w:r>
          <w:rPr>
            <w:rStyle w:val="CharSectno"/>
          </w:rPr>
          <w:t>50Y</w:t>
        </w:r>
        <w:r>
          <w:t>.</w:t>
        </w:r>
        <w:r>
          <w:tab/>
          <w:t>Request for approval to make modification</w:t>
        </w:r>
        <w:bookmarkEnd w:id="1342"/>
        <w:bookmarkEnd w:id="1343"/>
      </w:ins>
    </w:p>
    <w:p>
      <w:pPr>
        <w:pStyle w:val="Subsection"/>
        <w:rPr>
          <w:ins w:id="1345" w:author="Master Repository Process" w:date="2025-06-25T10:45:00Z"/>
        </w:rPr>
      </w:pPr>
      <w:ins w:id="1346" w:author="Master Repository Process" w:date="2025-06-25T10:45:00Z">
        <w:r>
          <w:tab/>
          <w:t>(1)</w:t>
        </w:r>
        <w:r>
          <w:tab/>
          <w:t xml:space="preserve">A tenant may ask the lessor (the </w:t>
        </w:r>
        <w:r>
          <w:rPr>
            <w:rStyle w:val="CharDefText"/>
          </w:rPr>
          <w:t>consenting party</w:t>
        </w:r>
        <w:r>
          <w:t>) for consent to make a major modification to premises.</w:t>
        </w:r>
      </w:ins>
    </w:p>
    <w:p>
      <w:pPr>
        <w:pStyle w:val="Subsection"/>
        <w:rPr>
          <w:ins w:id="1347" w:author="Master Repository Process" w:date="2025-06-25T10:45:00Z"/>
        </w:rPr>
      </w:pPr>
      <w:ins w:id="1348" w:author="Master Repository Process" w:date="2025-06-25T10:45:00Z">
        <w:r>
          <w:tab/>
          <w:t>(2)</w:t>
        </w:r>
        <w:r>
          <w:tab/>
          <w:t xml:space="preserve">A lessor may ask the tenant (also the </w:t>
        </w:r>
        <w:r>
          <w:rPr>
            <w:rStyle w:val="CharDefText"/>
          </w:rPr>
          <w:t>consenting party</w:t>
        </w:r>
        <w:r>
          <w:t>) for consent to make a modification to premises.</w:t>
        </w:r>
      </w:ins>
    </w:p>
    <w:p>
      <w:pPr>
        <w:pStyle w:val="Subsection"/>
        <w:rPr>
          <w:ins w:id="1349" w:author="Master Repository Process" w:date="2025-06-25T10:45:00Z"/>
        </w:rPr>
      </w:pPr>
      <w:ins w:id="1350" w:author="Master Repository Process" w:date="2025-06-25T10:45:00Z">
        <w:r>
          <w:tab/>
          <w:t>(3)</w:t>
        </w:r>
        <w:r>
          <w:tab/>
          <w:t>The request must be in the approved form.</w:t>
        </w:r>
      </w:ins>
    </w:p>
    <w:p>
      <w:pPr>
        <w:pStyle w:val="Subsection"/>
        <w:rPr>
          <w:ins w:id="1351" w:author="Master Repository Process" w:date="2025-06-25T10:45:00Z"/>
        </w:rPr>
      </w:pPr>
      <w:ins w:id="1352" w:author="Master Repository Process" w:date="2025-06-25T10:45:00Z">
        <w:r>
          <w:tab/>
          <w:t>(4)</w:t>
        </w:r>
        <w:r>
          <w:tab/>
          <w:t>The consenting party must respond to the request within 28 days after the day on which the request is received.</w:t>
        </w:r>
      </w:ins>
    </w:p>
    <w:p>
      <w:pPr>
        <w:pStyle w:val="Subsection"/>
        <w:rPr>
          <w:ins w:id="1353" w:author="Master Repository Process" w:date="2025-06-25T10:45:00Z"/>
        </w:rPr>
      </w:pPr>
      <w:ins w:id="1354" w:author="Master Repository Process" w:date="2025-06-25T10:45:00Z">
        <w:r>
          <w:tab/>
          <w:t>(5)</w:t>
        </w:r>
        <w:r>
          <w:tab/>
          <w:t xml:space="preserve">The consenting party’s response must be in writing and state — </w:t>
        </w:r>
      </w:ins>
    </w:p>
    <w:p>
      <w:pPr>
        <w:pStyle w:val="Indenta"/>
        <w:rPr>
          <w:ins w:id="1355" w:author="Master Repository Process" w:date="2025-06-25T10:45:00Z"/>
        </w:rPr>
      </w:pPr>
      <w:ins w:id="1356" w:author="Master Repository Process" w:date="2025-06-25T10:45:00Z">
        <w:r>
          <w:tab/>
          <w:t>(a)</w:t>
        </w:r>
        <w:r>
          <w:tab/>
          <w:t>whether the consenting party approves or refuses the request; and</w:t>
        </w:r>
      </w:ins>
    </w:p>
    <w:p>
      <w:pPr>
        <w:pStyle w:val="Indenta"/>
        <w:rPr>
          <w:ins w:id="1357" w:author="Master Repository Process" w:date="2025-06-25T10:45:00Z"/>
        </w:rPr>
      </w:pPr>
      <w:ins w:id="1358" w:author="Master Repository Process" w:date="2025-06-25T10:45:00Z">
        <w:r>
          <w:tab/>
          <w:t>(b)</w:t>
        </w:r>
        <w:r>
          <w:tab/>
          <w:t>if the consenting party approves the request subject to conditions — the conditions of the approval; and</w:t>
        </w:r>
      </w:ins>
    </w:p>
    <w:p>
      <w:pPr>
        <w:pStyle w:val="Indenta"/>
        <w:rPr>
          <w:ins w:id="1359" w:author="Master Repository Process" w:date="2025-06-25T10:45:00Z"/>
        </w:rPr>
      </w:pPr>
      <w:ins w:id="1360" w:author="Master Repository Process" w:date="2025-06-25T10:45:00Z">
        <w:r>
          <w:tab/>
          <w:t>(c)</w:t>
        </w:r>
        <w:r>
          <w:tab/>
          <w:t xml:space="preserve">if the consenting party refuses the request — </w:t>
        </w:r>
      </w:ins>
    </w:p>
    <w:p>
      <w:pPr>
        <w:pStyle w:val="Indenti"/>
        <w:rPr>
          <w:ins w:id="1361" w:author="Master Repository Process" w:date="2025-06-25T10:45:00Z"/>
        </w:rPr>
      </w:pPr>
      <w:ins w:id="1362" w:author="Master Repository Process" w:date="2025-06-25T10:45:00Z">
        <w:r>
          <w:tab/>
          <w:t>(i)</w:t>
        </w:r>
        <w:r>
          <w:tab/>
          <w:t>the grounds for the refusal; and</w:t>
        </w:r>
      </w:ins>
    </w:p>
    <w:p>
      <w:pPr>
        <w:pStyle w:val="Indenti"/>
        <w:rPr>
          <w:ins w:id="1363" w:author="Master Repository Process" w:date="2025-06-25T10:45:00Z"/>
        </w:rPr>
      </w:pPr>
      <w:ins w:id="1364" w:author="Master Repository Process" w:date="2025-06-25T10:45:00Z">
        <w:r>
          <w:tab/>
          <w:t>(ii)</w:t>
        </w:r>
        <w:r>
          <w:tab/>
          <w:t>the reasons for the refusal.</w:t>
        </w:r>
      </w:ins>
    </w:p>
    <w:p>
      <w:pPr>
        <w:pStyle w:val="Subsection"/>
        <w:rPr>
          <w:ins w:id="1365" w:author="Master Repository Process" w:date="2025-06-25T10:45:00Z"/>
        </w:rPr>
      </w:pPr>
      <w:ins w:id="1366" w:author="Master Repository Process" w:date="2025-06-25T10:45:00Z">
        <w:r>
          <w:tab/>
          <w:t>(6)</w:t>
        </w:r>
        <w:r>
          <w:tab/>
          <w:t>The consenting party is taken to approve the request if the consenting party does not comply with subsection (4).</w:t>
        </w:r>
      </w:ins>
    </w:p>
    <w:p>
      <w:pPr>
        <w:pStyle w:val="Footnotesection"/>
        <w:rPr>
          <w:ins w:id="1367" w:author="Master Repository Process" w:date="2025-06-25T10:45:00Z"/>
        </w:rPr>
      </w:pPr>
      <w:ins w:id="1368" w:author="Master Repository Process" w:date="2025-06-25T10:45:00Z">
        <w:r>
          <w:tab/>
          <w:t>[Section 50Y inserted: No. 11 of 2024 s. 33.]</w:t>
        </w:r>
      </w:ins>
    </w:p>
    <w:p>
      <w:pPr>
        <w:pStyle w:val="Heading5"/>
        <w:rPr>
          <w:ins w:id="1369" w:author="Master Repository Process" w:date="2025-06-25T10:45:00Z"/>
        </w:rPr>
      </w:pPr>
      <w:bookmarkStart w:id="1370" w:name="_Toc164778323"/>
      <w:bookmarkStart w:id="1371" w:name="_Toc171694343"/>
      <w:ins w:id="1372" w:author="Master Repository Process" w:date="2025-06-25T10:45:00Z">
        <w:r>
          <w:rPr>
            <w:rStyle w:val="CharSectno"/>
          </w:rPr>
          <w:t>50Z</w:t>
        </w:r>
        <w:r>
          <w:t>.</w:t>
        </w:r>
        <w:r>
          <w:tab/>
          <w:t>Refusal of consent to modification needed for disability access prohibited</w:t>
        </w:r>
        <w:bookmarkEnd w:id="1370"/>
        <w:bookmarkEnd w:id="1371"/>
      </w:ins>
    </w:p>
    <w:p>
      <w:pPr>
        <w:pStyle w:val="Subsection"/>
        <w:rPr>
          <w:ins w:id="1373" w:author="Master Repository Process" w:date="2025-06-25T10:45:00Z"/>
        </w:rPr>
      </w:pPr>
      <w:ins w:id="1374" w:author="Master Repository Process" w:date="2025-06-25T10:45:00Z">
        <w:r>
          <w:tab/>
        </w:r>
        <w:r>
          <w:tab/>
          <w:t xml:space="preserve">The lessor must not refuse a tenant’s request for consent to make a major modification to premises that is reasonably required to enable a person with disability to access and use the premises if refusing consent would be unlawful under — </w:t>
        </w:r>
      </w:ins>
    </w:p>
    <w:p>
      <w:pPr>
        <w:pStyle w:val="Indenta"/>
        <w:rPr>
          <w:ins w:id="1375" w:author="Master Repository Process" w:date="2025-06-25T10:45:00Z"/>
        </w:rPr>
      </w:pPr>
      <w:ins w:id="1376" w:author="Master Repository Process" w:date="2025-06-25T10:45:00Z">
        <w:r>
          <w:tab/>
          <w:t>(a)</w:t>
        </w:r>
        <w:r>
          <w:tab/>
          <w:t xml:space="preserve">the </w:t>
        </w:r>
        <w:r>
          <w:rPr>
            <w:i/>
          </w:rPr>
          <w:t>Equal Opportunity Act 1984</w:t>
        </w:r>
        <w:r>
          <w:t xml:space="preserve"> section 66L(2)(d); or</w:t>
        </w:r>
      </w:ins>
    </w:p>
    <w:p>
      <w:pPr>
        <w:pStyle w:val="Indenta"/>
        <w:rPr>
          <w:ins w:id="1377" w:author="Master Repository Process" w:date="2025-06-25T10:45:00Z"/>
        </w:rPr>
      </w:pPr>
      <w:ins w:id="1378" w:author="Master Repository Process" w:date="2025-06-25T10:45:00Z">
        <w:r>
          <w:tab/>
          <w:t>(b)</w:t>
        </w:r>
        <w:r>
          <w:tab/>
          <w:t xml:space="preserve">the </w:t>
        </w:r>
        <w:r>
          <w:rPr>
            <w:i/>
          </w:rPr>
          <w:t>Disability Discrimination Act 1992</w:t>
        </w:r>
        <w:r>
          <w:t xml:space="preserve"> (Commonwealth) section 25(2)(d).</w:t>
        </w:r>
      </w:ins>
    </w:p>
    <w:p>
      <w:pPr>
        <w:pStyle w:val="Footnotesection"/>
        <w:rPr>
          <w:ins w:id="1379" w:author="Master Repository Process" w:date="2025-06-25T10:45:00Z"/>
        </w:rPr>
      </w:pPr>
      <w:ins w:id="1380" w:author="Master Repository Process" w:date="2025-06-25T10:45:00Z">
        <w:r>
          <w:tab/>
          <w:t>[Section 50Z inserted: No. 11 of 2024 s. 33.]</w:t>
        </w:r>
      </w:ins>
    </w:p>
    <w:p>
      <w:pPr>
        <w:pStyle w:val="Heading4"/>
        <w:rPr>
          <w:ins w:id="1381" w:author="Master Repository Process" w:date="2025-06-25T10:45:00Z"/>
        </w:rPr>
      </w:pPr>
      <w:bookmarkStart w:id="1382" w:name="_Toc164777988"/>
      <w:bookmarkStart w:id="1383" w:name="_Toc164778156"/>
      <w:bookmarkStart w:id="1384" w:name="_Toc164778324"/>
      <w:bookmarkStart w:id="1385" w:name="_Toc171680597"/>
      <w:bookmarkStart w:id="1386" w:name="_Toc171680862"/>
      <w:bookmarkStart w:id="1387" w:name="_Toc171681413"/>
      <w:bookmarkStart w:id="1388" w:name="_Toc171681829"/>
      <w:bookmarkStart w:id="1389" w:name="_Toc171682093"/>
      <w:bookmarkStart w:id="1390" w:name="_Toc171694344"/>
      <w:ins w:id="1391" w:author="Master Repository Process" w:date="2025-06-25T10:45:00Z">
        <w:r>
          <w:t>Subdivision 5 — Tenant’s responsibilities in relation to modifications to premises</w:t>
        </w:r>
        <w:bookmarkEnd w:id="1382"/>
        <w:bookmarkEnd w:id="1383"/>
        <w:bookmarkEnd w:id="1384"/>
        <w:bookmarkEnd w:id="1385"/>
        <w:bookmarkEnd w:id="1386"/>
        <w:bookmarkEnd w:id="1387"/>
        <w:bookmarkEnd w:id="1388"/>
        <w:bookmarkEnd w:id="1389"/>
        <w:bookmarkEnd w:id="1390"/>
      </w:ins>
    </w:p>
    <w:p>
      <w:pPr>
        <w:pStyle w:val="Footnoteheading"/>
        <w:rPr>
          <w:ins w:id="1392" w:author="Master Repository Process" w:date="2025-06-25T10:45:00Z"/>
        </w:rPr>
      </w:pPr>
      <w:ins w:id="1393" w:author="Master Repository Process" w:date="2025-06-25T10:45:00Z">
        <w:r>
          <w:tab/>
          <w:t>[Heading inserted: No. 11 of 2024 s. 33.]</w:t>
        </w:r>
      </w:ins>
    </w:p>
    <w:p>
      <w:pPr>
        <w:pStyle w:val="Heading5"/>
        <w:rPr>
          <w:ins w:id="1394" w:author="Master Repository Process" w:date="2025-06-25T10:45:00Z"/>
        </w:rPr>
      </w:pPr>
      <w:bookmarkStart w:id="1395" w:name="_Toc164778325"/>
      <w:bookmarkStart w:id="1396" w:name="_Toc171694345"/>
      <w:ins w:id="1397" w:author="Master Repository Process" w:date="2025-06-25T10:45:00Z">
        <w:r>
          <w:rPr>
            <w:rStyle w:val="CharSectno"/>
          </w:rPr>
          <w:t>50ZA</w:t>
        </w:r>
        <w:r>
          <w:t>.</w:t>
        </w:r>
        <w:r>
          <w:tab/>
          <w:t>Purpose of Subdivision</w:t>
        </w:r>
        <w:bookmarkEnd w:id="1395"/>
        <w:bookmarkEnd w:id="1396"/>
      </w:ins>
    </w:p>
    <w:p>
      <w:pPr>
        <w:pStyle w:val="Subsection"/>
        <w:rPr>
          <w:ins w:id="1398" w:author="Master Repository Process" w:date="2025-06-25T10:45:00Z"/>
        </w:rPr>
      </w:pPr>
      <w:ins w:id="1399" w:author="Master Repository Process" w:date="2025-06-25T10:45:00Z">
        <w:r>
          <w:tab/>
        </w:r>
        <w:r>
          <w:tab/>
          <w:t xml:space="preserve">The matters stated in this Subdivision — </w:t>
        </w:r>
      </w:ins>
    </w:p>
    <w:p>
      <w:pPr>
        <w:pStyle w:val="Indenta"/>
        <w:rPr>
          <w:ins w:id="1400" w:author="Master Repository Process" w:date="2025-06-25T10:45:00Z"/>
        </w:rPr>
      </w:pPr>
      <w:ins w:id="1401" w:author="Master Repository Process" w:date="2025-06-25T10:45:00Z">
        <w:r>
          <w:tab/>
          <w:t>(a)</w:t>
        </w:r>
        <w:r>
          <w:tab/>
          <w:t>are terms of every residential tenancy agreement; and</w:t>
        </w:r>
      </w:ins>
    </w:p>
    <w:p>
      <w:pPr>
        <w:pStyle w:val="Indenta"/>
        <w:rPr>
          <w:ins w:id="1402" w:author="Master Repository Process" w:date="2025-06-25T10:45:00Z"/>
        </w:rPr>
      </w:pPr>
      <w:ins w:id="1403" w:author="Master Repository Process" w:date="2025-06-25T10:45:00Z">
        <w:r>
          <w:tab/>
          <w:t>(b)</w:t>
        </w:r>
        <w:r>
          <w:tab/>
          <w:t>apply if a tenant makes a modification to the residential premises.</w:t>
        </w:r>
      </w:ins>
    </w:p>
    <w:p>
      <w:pPr>
        <w:pStyle w:val="Footnotesection"/>
        <w:rPr>
          <w:ins w:id="1404" w:author="Master Repository Process" w:date="2025-06-25T10:45:00Z"/>
        </w:rPr>
      </w:pPr>
      <w:ins w:id="1405" w:author="Master Repository Process" w:date="2025-06-25T10:45:00Z">
        <w:r>
          <w:tab/>
          <w:t>[Section 50ZA inserted: No. 11 of 2024 s. 33.]</w:t>
        </w:r>
      </w:ins>
    </w:p>
    <w:p>
      <w:pPr>
        <w:pStyle w:val="Heading5"/>
        <w:rPr>
          <w:ins w:id="1406" w:author="Master Repository Process" w:date="2025-06-25T10:45:00Z"/>
        </w:rPr>
      </w:pPr>
      <w:bookmarkStart w:id="1407" w:name="_Toc164778326"/>
      <w:bookmarkStart w:id="1408" w:name="_Toc171694346"/>
      <w:ins w:id="1409" w:author="Master Repository Process" w:date="2025-06-25T10:45:00Z">
        <w:r>
          <w:rPr>
            <w:rStyle w:val="CharSectno"/>
          </w:rPr>
          <w:t>50ZB</w:t>
        </w:r>
        <w:r>
          <w:t>.</w:t>
        </w:r>
        <w:r>
          <w:tab/>
          <w:t>Tenant bears costs of modification and responsibility for repairs</w:t>
        </w:r>
        <w:bookmarkEnd w:id="1407"/>
        <w:bookmarkEnd w:id="1408"/>
      </w:ins>
    </w:p>
    <w:p>
      <w:pPr>
        <w:pStyle w:val="Subsection"/>
        <w:rPr>
          <w:ins w:id="1410" w:author="Master Repository Process" w:date="2025-06-25T10:45:00Z"/>
        </w:rPr>
      </w:pPr>
      <w:ins w:id="1411" w:author="Master Repository Process" w:date="2025-06-25T10:45:00Z">
        <w:r>
          <w:tab/>
          <w:t>(1)</w:t>
        </w:r>
        <w:r>
          <w:tab/>
          <w:t xml:space="preserve">The tenant must bear the costs of — </w:t>
        </w:r>
      </w:ins>
    </w:p>
    <w:p>
      <w:pPr>
        <w:pStyle w:val="Indenta"/>
        <w:rPr>
          <w:ins w:id="1412" w:author="Master Repository Process" w:date="2025-06-25T10:45:00Z"/>
        </w:rPr>
      </w:pPr>
      <w:ins w:id="1413" w:author="Master Repository Process" w:date="2025-06-25T10:45:00Z">
        <w:r>
          <w:tab/>
          <w:t>(a)</w:t>
        </w:r>
        <w:r>
          <w:tab/>
          <w:t>making the modification to the residential premises; and</w:t>
        </w:r>
      </w:ins>
    </w:p>
    <w:p>
      <w:pPr>
        <w:pStyle w:val="Indenta"/>
        <w:rPr>
          <w:ins w:id="1414" w:author="Master Repository Process" w:date="2025-06-25T10:45:00Z"/>
        </w:rPr>
      </w:pPr>
      <w:ins w:id="1415" w:author="Master Repository Process" w:date="2025-06-25T10:45:00Z">
        <w:r>
          <w:tab/>
          <w:t>(b)</w:t>
        </w:r>
        <w:r>
          <w:tab/>
          <w:t>removing the modification and restoring the premises to their original condition as required under section 50ZD.</w:t>
        </w:r>
      </w:ins>
    </w:p>
    <w:p>
      <w:pPr>
        <w:pStyle w:val="Subsection"/>
        <w:rPr>
          <w:ins w:id="1416" w:author="Master Repository Process" w:date="2025-06-25T10:45:00Z"/>
        </w:rPr>
      </w:pPr>
      <w:ins w:id="1417" w:author="Master Repository Process" w:date="2025-06-25T10:45:00Z">
        <w:r>
          <w:tab/>
          <w:t>(2)</w:t>
        </w:r>
        <w:r>
          <w:tab/>
          <w:t>The tenant is responsible for maintaining the modification to the premises in a reasonable state of repair.</w:t>
        </w:r>
      </w:ins>
    </w:p>
    <w:p>
      <w:pPr>
        <w:pStyle w:val="Footnotesection"/>
        <w:rPr>
          <w:ins w:id="1418" w:author="Master Repository Process" w:date="2025-06-25T10:45:00Z"/>
        </w:rPr>
      </w:pPr>
      <w:ins w:id="1419" w:author="Master Repository Process" w:date="2025-06-25T10:45:00Z">
        <w:r>
          <w:tab/>
          <w:t>[Section 5ZB inserted: No. 11 of 2024 s. 33.]</w:t>
        </w:r>
      </w:ins>
    </w:p>
    <w:p>
      <w:pPr>
        <w:pStyle w:val="Heading5"/>
        <w:rPr>
          <w:ins w:id="1420" w:author="Master Repository Process" w:date="2025-06-25T10:45:00Z"/>
        </w:rPr>
      </w:pPr>
      <w:bookmarkStart w:id="1421" w:name="_Toc164778327"/>
      <w:bookmarkStart w:id="1422" w:name="_Toc171694347"/>
      <w:ins w:id="1423" w:author="Master Repository Process" w:date="2025-06-25T10:45:00Z">
        <w:r>
          <w:rPr>
            <w:rStyle w:val="CharSectno"/>
          </w:rPr>
          <w:t>50ZC</w:t>
        </w:r>
        <w:r>
          <w:t>.</w:t>
        </w:r>
        <w:r>
          <w:tab/>
          <w:t>Modification to have regard to age and character of premises</w:t>
        </w:r>
        <w:bookmarkEnd w:id="1421"/>
        <w:bookmarkEnd w:id="1422"/>
      </w:ins>
    </w:p>
    <w:p>
      <w:pPr>
        <w:pStyle w:val="Subsection"/>
        <w:rPr>
          <w:ins w:id="1424" w:author="Master Repository Process" w:date="2025-06-25T10:45:00Z"/>
        </w:rPr>
      </w:pPr>
      <w:ins w:id="1425" w:author="Master Repository Process" w:date="2025-06-25T10:45:00Z">
        <w:r>
          <w:tab/>
        </w:r>
        <w:r>
          <w:tab/>
          <w:t xml:space="preserve">The tenant must ensure the modification is made in a way that — </w:t>
        </w:r>
      </w:ins>
    </w:p>
    <w:p>
      <w:pPr>
        <w:pStyle w:val="Indenta"/>
        <w:rPr>
          <w:ins w:id="1426" w:author="Master Repository Process" w:date="2025-06-25T10:45:00Z"/>
        </w:rPr>
      </w:pPr>
      <w:ins w:id="1427" w:author="Master Repository Process" w:date="2025-06-25T10:45:00Z">
        <w:r>
          <w:tab/>
          <w:t>(a)</w:t>
        </w:r>
        <w:r>
          <w:tab/>
          <w:t>has regard to the age and character of the premises; and</w:t>
        </w:r>
      </w:ins>
    </w:p>
    <w:p>
      <w:pPr>
        <w:pStyle w:val="Indenta"/>
        <w:rPr>
          <w:ins w:id="1428" w:author="Master Repository Process" w:date="2025-06-25T10:45:00Z"/>
        </w:rPr>
      </w:pPr>
      <w:ins w:id="1429" w:author="Master Repository Process" w:date="2025-06-25T10:45:00Z">
        <w:r>
          <w:tab/>
          <w:t>(b)</w:t>
        </w:r>
        <w:r>
          <w:tab/>
          <w:t>complies with any written law; and</w:t>
        </w:r>
      </w:ins>
    </w:p>
    <w:p>
      <w:pPr>
        <w:pStyle w:val="Indenta"/>
        <w:rPr>
          <w:ins w:id="1430" w:author="Master Repository Process" w:date="2025-06-25T10:45:00Z"/>
        </w:rPr>
      </w:pPr>
      <w:ins w:id="1431" w:author="Master Repository Process" w:date="2025-06-25T10:45:00Z">
        <w:r>
          <w:tab/>
          <w:t>(c)</w:t>
        </w:r>
        <w:r>
          <w:tab/>
          <w:t>if the premises are a lot in a community titles scheme or strata titles scheme — complies with the scheme by</w:t>
        </w:r>
        <w:r>
          <w:noBreakHyphen/>
          <w:t>laws.</w:t>
        </w:r>
      </w:ins>
    </w:p>
    <w:p>
      <w:pPr>
        <w:pStyle w:val="Footnotesection"/>
        <w:rPr>
          <w:ins w:id="1432" w:author="Master Repository Process" w:date="2025-06-25T10:45:00Z"/>
        </w:rPr>
      </w:pPr>
      <w:ins w:id="1433" w:author="Master Repository Process" w:date="2025-06-25T10:45:00Z">
        <w:r>
          <w:tab/>
          <w:t>[Section 50ZC inserted: No. 11 of 2024 s. 33.]</w:t>
        </w:r>
      </w:ins>
    </w:p>
    <w:p>
      <w:pPr>
        <w:pStyle w:val="Heading5"/>
        <w:rPr>
          <w:ins w:id="1434" w:author="Master Repository Process" w:date="2025-06-25T10:45:00Z"/>
        </w:rPr>
      </w:pPr>
      <w:bookmarkStart w:id="1435" w:name="_Toc164778328"/>
      <w:bookmarkStart w:id="1436" w:name="_Toc171694348"/>
      <w:ins w:id="1437" w:author="Master Repository Process" w:date="2025-06-25T10:45:00Z">
        <w:r>
          <w:rPr>
            <w:rStyle w:val="CharSectno"/>
          </w:rPr>
          <w:t>50ZD</w:t>
        </w:r>
        <w:r>
          <w:t>.</w:t>
        </w:r>
        <w:r>
          <w:tab/>
          <w:t>Tenant must remove modification and restore premises</w:t>
        </w:r>
        <w:bookmarkEnd w:id="1435"/>
        <w:bookmarkEnd w:id="1436"/>
      </w:ins>
    </w:p>
    <w:p>
      <w:pPr>
        <w:pStyle w:val="Subsection"/>
        <w:rPr>
          <w:ins w:id="1438" w:author="Master Repository Process" w:date="2025-06-25T10:45:00Z"/>
        </w:rPr>
      </w:pPr>
      <w:ins w:id="1439" w:author="Master Repository Process" w:date="2025-06-25T10:45:00Z">
        <w:r>
          <w:tab/>
          <w:t>(1)</w:t>
        </w:r>
        <w:r>
          <w:tab/>
          <w:t xml:space="preserve">Unless the lessor agrees otherwise in writing, when the tenant vacates the premises at the end of the residential tenancy agreement, the tenant must either — </w:t>
        </w:r>
      </w:ins>
    </w:p>
    <w:p>
      <w:pPr>
        <w:pStyle w:val="Indenta"/>
        <w:rPr>
          <w:ins w:id="1440" w:author="Master Repository Process" w:date="2025-06-25T10:45:00Z"/>
        </w:rPr>
      </w:pPr>
      <w:ins w:id="1441" w:author="Master Repository Process" w:date="2025-06-25T10:45:00Z">
        <w:r>
          <w:tab/>
          <w:t>(a)</w:t>
        </w:r>
        <w:r>
          <w:tab/>
          <w:t xml:space="preserve">do the following — </w:t>
        </w:r>
      </w:ins>
    </w:p>
    <w:p>
      <w:pPr>
        <w:pStyle w:val="Indenti"/>
        <w:rPr>
          <w:ins w:id="1442" w:author="Master Repository Process" w:date="2025-06-25T10:45:00Z"/>
        </w:rPr>
      </w:pPr>
      <w:ins w:id="1443" w:author="Master Repository Process" w:date="2025-06-25T10:45:00Z">
        <w:r>
          <w:tab/>
          <w:t>(i)</w:t>
        </w:r>
        <w:r>
          <w:tab/>
          <w:t>if the modification included attaching a thing to the premises — remove the attached thing;</w:t>
        </w:r>
      </w:ins>
    </w:p>
    <w:p>
      <w:pPr>
        <w:pStyle w:val="Indenti"/>
        <w:rPr>
          <w:ins w:id="1444" w:author="Master Repository Process" w:date="2025-06-25T10:45:00Z"/>
        </w:rPr>
      </w:pPr>
      <w:ins w:id="1445" w:author="Master Repository Process" w:date="2025-06-25T10:45:00Z">
        <w:r>
          <w:tab/>
          <w:t>(ii)</w:t>
        </w:r>
        <w:r>
          <w:tab/>
          <w:t>restore the premises to their original condition;</w:t>
        </w:r>
      </w:ins>
    </w:p>
    <w:p>
      <w:pPr>
        <w:pStyle w:val="Indenta"/>
        <w:rPr>
          <w:ins w:id="1446" w:author="Master Repository Process" w:date="2025-06-25T10:45:00Z"/>
        </w:rPr>
      </w:pPr>
      <w:ins w:id="1447" w:author="Master Repository Process" w:date="2025-06-25T10:45:00Z">
        <w:r>
          <w:tab/>
        </w:r>
        <w:r>
          <w:tab/>
          <w:t>or</w:t>
        </w:r>
      </w:ins>
    </w:p>
    <w:p>
      <w:pPr>
        <w:pStyle w:val="Indenta"/>
        <w:rPr>
          <w:ins w:id="1448" w:author="Master Repository Process" w:date="2025-06-25T10:45:00Z"/>
        </w:rPr>
      </w:pPr>
      <w:ins w:id="1449" w:author="Master Repository Process" w:date="2025-06-25T10:45:00Z">
        <w:r>
          <w:tab/>
          <w:t>(b)</w:t>
        </w:r>
        <w:r>
          <w:tab/>
          <w:t>compensate the lessor for the reasonable cost incurred by the lessor to remove the thing or restore the premises.</w:t>
        </w:r>
      </w:ins>
    </w:p>
    <w:p>
      <w:pPr>
        <w:pStyle w:val="Subsection"/>
        <w:keepNext/>
        <w:rPr>
          <w:ins w:id="1450" w:author="Master Repository Process" w:date="2025-06-25T10:45:00Z"/>
        </w:rPr>
      </w:pPr>
      <w:ins w:id="1451" w:author="Master Repository Process" w:date="2025-06-25T10:45:00Z">
        <w:r>
          <w:tab/>
          <w:t>(2)</w:t>
        </w:r>
        <w:r>
          <w:tab/>
          <w:t xml:space="preserve">Subsection (1) applies to a prescribed modification made in accordance with section 50M only to the extent that the lessor requires the tenant, in writing, to do 1 or more of the following — </w:t>
        </w:r>
      </w:ins>
    </w:p>
    <w:p>
      <w:pPr>
        <w:pStyle w:val="Indenta"/>
        <w:rPr>
          <w:ins w:id="1452" w:author="Master Repository Process" w:date="2025-06-25T10:45:00Z"/>
        </w:rPr>
      </w:pPr>
      <w:ins w:id="1453" w:author="Master Repository Process" w:date="2025-06-25T10:45:00Z">
        <w:r>
          <w:tab/>
          <w:t>(a)</w:t>
        </w:r>
        <w:r>
          <w:tab/>
          <w:t>remove an attached thing;</w:t>
        </w:r>
      </w:ins>
    </w:p>
    <w:p>
      <w:pPr>
        <w:pStyle w:val="Indenta"/>
        <w:rPr>
          <w:ins w:id="1454" w:author="Master Repository Process" w:date="2025-06-25T10:45:00Z"/>
        </w:rPr>
      </w:pPr>
      <w:ins w:id="1455" w:author="Master Repository Process" w:date="2025-06-25T10:45:00Z">
        <w:r>
          <w:tab/>
          <w:t>(b)</w:t>
        </w:r>
        <w:r>
          <w:tab/>
          <w:t>restore the premises to their original condition;</w:t>
        </w:r>
      </w:ins>
    </w:p>
    <w:p>
      <w:pPr>
        <w:pStyle w:val="Indenta"/>
        <w:rPr>
          <w:ins w:id="1456" w:author="Master Repository Process" w:date="2025-06-25T10:45:00Z"/>
        </w:rPr>
      </w:pPr>
      <w:ins w:id="1457" w:author="Master Repository Process" w:date="2025-06-25T10:45:00Z">
        <w:r>
          <w:tab/>
          <w:t>(c)</w:t>
        </w:r>
        <w:r>
          <w:tab/>
          <w:t>compensate the lessor for removing an attached thing or restoring the premises.</w:t>
        </w:r>
      </w:ins>
    </w:p>
    <w:p>
      <w:pPr>
        <w:pStyle w:val="Subsection"/>
        <w:rPr>
          <w:ins w:id="1458" w:author="Master Repository Process" w:date="2025-06-25T10:45:00Z"/>
        </w:rPr>
      </w:pPr>
      <w:ins w:id="1459" w:author="Master Repository Process" w:date="2025-06-25T10:45:00Z">
        <w:r>
          <w:tab/>
          <w:t>(3)</w:t>
        </w:r>
        <w:r>
          <w:tab/>
          <w:t>If restoration of the premises mentioned in subsection (2) is carried out by a tradesperson, the tenant must give the lessor a copy of the invoice of the tradesperson within 14 days after the day on which the restoration is completed.</w:t>
        </w:r>
      </w:ins>
    </w:p>
    <w:p>
      <w:pPr>
        <w:pStyle w:val="Footnotesection"/>
        <w:rPr>
          <w:ins w:id="1460" w:author="Master Repository Process" w:date="2025-06-25T10:45:00Z"/>
        </w:rPr>
      </w:pPr>
      <w:ins w:id="1461" w:author="Master Repository Process" w:date="2025-06-25T10:45:00Z">
        <w:r>
          <w:tab/>
          <w:t>[Section 50ZD inserted: No. 11 of 2024 s. 33.]</w:t>
        </w:r>
      </w:ins>
    </w:p>
    <w:p>
      <w:pPr>
        <w:pStyle w:val="Heading5"/>
        <w:rPr>
          <w:ins w:id="1462" w:author="Master Repository Process" w:date="2025-06-25T10:45:00Z"/>
        </w:rPr>
      </w:pPr>
      <w:bookmarkStart w:id="1463" w:name="_Toc164778329"/>
      <w:bookmarkStart w:id="1464" w:name="_Toc171694349"/>
      <w:ins w:id="1465" w:author="Master Repository Process" w:date="2025-06-25T10:45:00Z">
        <w:r>
          <w:rPr>
            <w:rStyle w:val="CharSectno"/>
          </w:rPr>
          <w:t>50ZE</w:t>
        </w:r>
        <w:r>
          <w:t>.</w:t>
        </w:r>
        <w:r>
          <w:tab/>
          <w:t>Tenant responsible for damage caused by making or removing modification or restoring premises</w:t>
        </w:r>
        <w:bookmarkEnd w:id="1463"/>
        <w:bookmarkEnd w:id="1464"/>
      </w:ins>
    </w:p>
    <w:p>
      <w:pPr>
        <w:pStyle w:val="Subsection"/>
        <w:rPr>
          <w:ins w:id="1466" w:author="Master Repository Process" w:date="2025-06-25T10:45:00Z"/>
        </w:rPr>
      </w:pPr>
      <w:ins w:id="1467" w:author="Master Repository Process" w:date="2025-06-25T10:45:00Z">
        <w:r>
          <w:tab/>
          <w:t>(1)</w:t>
        </w:r>
        <w:r>
          <w:tab/>
          <w:t xml:space="preserve">This section applies if the tenant causes damage to residential premises when — </w:t>
        </w:r>
      </w:ins>
    </w:p>
    <w:p>
      <w:pPr>
        <w:pStyle w:val="Indenta"/>
        <w:rPr>
          <w:ins w:id="1468" w:author="Master Repository Process" w:date="2025-06-25T10:45:00Z"/>
        </w:rPr>
      </w:pPr>
      <w:ins w:id="1469" w:author="Master Repository Process" w:date="2025-06-25T10:45:00Z">
        <w:r>
          <w:tab/>
          <w:t>(a)</w:t>
        </w:r>
        <w:r>
          <w:tab/>
          <w:t>making a modification to the premises; or</w:t>
        </w:r>
      </w:ins>
    </w:p>
    <w:p>
      <w:pPr>
        <w:pStyle w:val="Indenta"/>
        <w:rPr>
          <w:ins w:id="1470" w:author="Master Repository Process" w:date="2025-06-25T10:45:00Z"/>
        </w:rPr>
      </w:pPr>
      <w:ins w:id="1471" w:author="Master Repository Process" w:date="2025-06-25T10:45:00Z">
        <w:r>
          <w:tab/>
          <w:t>(b)</w:t>
        </w:r>
        <w:r>
          <w:tab/>
          <w:t>if the modification included attaching a thing to the premises — removing the attached thing; or</w:t>
        </w:r>
      </w:ins>
    </w:p>
    <w:p>
      <w:pPr>
        <w:pStyle w:val="Indenta"/>
        <w:rPr>
          <w:ins w:id="1472" w:author="Master Repository Process" w:date="2025-06-25T10:45:00Z"/>
        </w:rPr>
      </w:pPr>
      <w:ins w:id="1473" w:author="Master Repository Process" w:date="2025-06-25T10:45:00Z">
        <w:r>
          <w:tab/>
          <w:t>(c)</w:t>
        </w:r>
        <w:r>
          <w:tab/>
          <w:t>restoring the premises to their original condition.</w:t>
        </w:r>
      </w:ins>
    </w:p>
    <w:p>
      <w:pPr>
        <w:pStyle w:val="Subsection"/>
        <w:rPr>
          <w:ins w:id="1474" w:author="Master Repository Process" w:date="2025-06-25T10:45:00Z"/>
        </w:rPr>
      </w:pPr>
      <w:ins w:id="1475" w:author="Master Repository Process" w:date="2025-06-25T10:45:00Z">
        <w:r>
          <w:tab/>
          <w:t>(2)</w:t>
        </w:r>
        <w:r>
          <w:tab/>
          <w:t>The tenant must give the lessor a written notice that the damage has been caused to the premises.</w:t>
        </w:r>
      </w:ins>
    </w:p>
    <w:p>
      <w:pPr>
        <w:pStyle w:val="Subsection"/>
        <w:rPr>
          <w:ins w:id="1476" w:author="Master Repository Process" w:date="2025-06-25T10:45:00Z"/>
        </w:rPr>
      </w:pPr>
      <w:ins w:id="1477" w:author="Master Repository Process" w:date="2025-06-25T10:45:00Z">
        <w:r>
          <w:tab/>
          <w:t>(3)</w:t>
        </w:r>
        <w:r>
          <w:tab/>
          <w:t xml:space="preserve">The lessor may require the tenant to — </w:t>
        </w:r>
      </w:ins>
    </w:p>
    <w:p>
      <w:pPr>
        <w:pStyle w:val="Indenta"/>
        <w:rPr>
          <w:ins w:id="1478" w:author="Master Repository Process" w:date="2025-06-25T10:45:00Z"/>
        </w:rPr>
      </w:pPr>
      <w:ins w:id="1479" w:author="Master Repository Process" w:date="2025-06-25T10:45:00Z">
        <w:r>
          <w:tab/>
          <w:t>(a)</w:t>
        </w:r>
        <w:r>
          <w:tab/>
          <w:t>repair the damage and restore the premises to their original condition; or</w:t>
        </w:r>
      </w:ins>
    </w:p>
    <w:p>
      <w:pPr>
        <w:pStyle w:val="Indenta"/>
        <w:rPr>
          <w:ins w:id="1480" w:author="Master Repository Process" w:date="2025-06-25T10:45:00Z"/>
        </w:rPr>
      </w:pPr>
      <w:ins w:id="1481" w:author="Master Repository Process" w:date="2025-06-25T10:45:00Z">
        <w:r>
          <w:tab/>
          <w:t>(b)</w:t>
        </w:r>
        <w:r>
          <w:tab/>
          <w:t>compensate the lessor for the reasonable cost incurred by the lessor to repair the damage and restore the premises to their original condition.</w:t>
        </w:r>
      </w:ins>
    </w:p>
    <w:p>
      <w:pPr>
        <w:pStyle w:val="Footnotesection"/>
        <w:rPr>
          <w:ins w:id="1482" w:author="Master Repository Process" w:date="2025-06-25T10:45:00Z"/>
        </w:rPr>
      </w:pPr>
      <w:ins w:id="1483" w:author="Master Repository Process" w:date="2025-06-25T10:45:00Z">
        <w:r>
          <w:tab/>
          <w:t>[Section 50ZE inserted: No. 11 of 2024 s. 33.]</w:t>
        </w:r>
      </w:ins>
    </w:p>
    <w:p>
      <w:pPr>
        <w:pStyle w:val="Heading3"/>
      </w:pPr>
      <w:bookmarkStart w:id="1484" w:name="_Toc171673987"/>
      <w:bookmarkStart w:id="1485" w:name="_Toc171680603"/>
      <w:bookmarkStart w:id="1486" w:name="_Toc171680868"/>
      <w:bookmarkStart w:id="1487" w:name="_Toc171681419"/>
      <w:bookmarkStart w:id="1488" w:name="_Toc171681835"/>
      <w:bookmarkStart w:id="1489" w:name="_Toc171682099"/>
      <w:bookmarkStart w:id="1490" w:name="_Toc171694350"/>
      <w:bookmarkStart w:id="1491" w:name="_Toc171089848"/>
      <w:bookmarkStart w:id="1492" w:name="_Toc171338295"/>
      <w:bookmarkStart w:id="1493" w:name="_Toc171339098"/>
      <w:r>
        <w:rPr>
          <w:rStyle w:val="CharDivNo"/>
        </w:rPr>
        <w:t>Division 3</w:t>
      </w:r>
      <w:r>
        <w:t> — </w:t>
      </w:r>
      <w:r>
        <w:rPr>
          <w:rStyle w:val="CharDivText"/>
        </w:rPr>
        <w:t>General</w:t>
      </w:r>
      <w:bookmarkEnd w:id="1484"/>
      <w:bookmarkEnd w:id="1485"/>
      <w:bookmarkEnd w:id="1486"/>
      <w:bookmarkEnd w:id="1487"/>
      <w:bookmarkEnd w:id="1488"/>
      <w:bookmarkEnd w:id="1489"/>
      <w:bookmarkEnd w:id="1490"/>
      <w:bookmarkEnd w:id="1491"/>
      <w:bookmarkEnd w:id="1492"/>
      <w:bookmarkEnd w:id="1493"/>
    </w:p>
    <w:p>
      <w:pPr>
        <w:pStyle w:val="Footnoteheading"/>
        <w:keepNext/>
      </w:pPr>
      <w:r>
        <w:tab/>
        <w:t xml:space="preserve">[Heading inserted: No. 60 of 2011 s. 47.] </w:t>
      </w:r>
    </w:p>
    <w:p>
      <w:pPr>
        <w:pStyle w:val="Heading5"/>
      </w:pPr>
      <w:bookmarkStart w:id="1494" w:name="_Toc171694351"/>
      <w:bookmarkStart w:id="1495" w:name="_Toc171339099"/>
      <w:r>
        <w:rPr>
          <w:rStyle w:val="CharSectno"/>
        </w:rPr>
        <w:t>51</w:t>
      </w:r>
      <w:r>
        <w:t>.</w:t>
      </w:r>
      <w:r>
        <w:tab/>
        <w:t>Tenant to be notified of lessor’s name and address</w:t>
      </w:r>
      <w:bookmarkEnd w:id="1494"/>
      <w:bookmarkEnd w:id="1495"/>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for this subsection: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for this subsection: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keepNext/>
      </w:pPr>
      <w:r>
        <w:tab/>
        <w:t>(b)</w:t>
      </w:r>
      <w:r>
        <w:tab/>
        <w:t>where the new lessor is a body corporate, the full name and business address of the secretary of the body corporate.</w:t>
      </w:r>
    </w:p>
    <w:p>
      <w:pPr>
        <w:pStyle w:val="Penstart"/>
      </w:pPr>
      <w:r>
        <w:tab/>
        <w:t>Penalty for this subsection: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for this subsection: a fine of $5 000.</w:t>
      </w:r>
    </w:p>
    <w:p>
      <w:pPr>
        <w:pStyle w:val="Footnotesection"/>
        <w:spacing w:before="100"/>
      </w:pPr>
      <w:r>
        <w:tab/>
        <w:t xml:space="preserve">[Section 51 inserted: No. 60 of 2011 s. 48; amended: No. 3 of 2019 s. 25.] </w:t>
      </w:r>
    </w:p>
    <w:p>
      <w:pPr>
        <w:pStyle w:val="Heading5"/>
        <w:rPr>
          <w:snapToGrid w:val="0"/>
        </w:rPr>
      </w:pPr>
      <w:bookmarkStart w:id="1496" w:name="_Toc171694352"/>
      <w:bookmarkStart w:id="1497" w:name="_Toc171339100"/>
      <w:r>
        <w:rPr>
          <w:rStyle w:val="CharSectno"/>
        </w:rPr>
        <w:t>52</w:t>
      </w:r>
      <w:r>
        <w:rPr>
          <w:snapToGrid w:val="0"/>
        </w:rPr>
        <w:t>.</w:t>
      </w:r>
      <w:r>
        <w:rPr>
          <w:snapToGrid w:val="0"/>
        </w:rPr>
        <w:tab/>
        <w:t>Failure to pay rent with intention it be recovered from security bond</w:t>
      </w:r>
      <w:bookmarkEnd w:id="1496"/>
      <w:bookmarkEnd w:id="1497"/>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1498" w:name="_Toc171694353"/>
      <w:bookmarkStart w:id="1499" w:name="_Toc171339101"/>
      <w:r>
        <w:rPr>
          <w:rStyle w:val="CharSectno"/>
        </w:rPr>
        <w:t>53</w:t>
      </w:r>
      <w:r>
        <w:t>.</w:t>
      </w:r>
      <w:r>
        <w:tab/>
        <w:t>Tenant’s name, place of employment and forwarding address</w:t>
      </w:r>
      <w:bookmarkEnd w:id="1498"/>
      <w:bookmarkEnd w:id="1499"/>
    </w:p>
    <w:p>
      <w:pPr>
        <w:pStyle w:val="Subsection"/>
      </w:pPr>
      <w:r>
        <w:tab/>
        <w:t>(1)</w:t>
      </w:r>
      <w:r>
        <w:tab/>
        <w:t>A tenant under a residential tenancy agreement must not falsely state to the lessor the tenant’s name or place of employment.</w:t>
      </w:r>
    </w:p>
    <w:p>
      <w:pPr>
        <w:pStyle w:val="Penstart"/>
      </w:pPr>
      <w:r>
        <w:tab/>
        <w:t>Penalty for this subsection: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for this subsection: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for this subsection: a fine of $5 000.</w:t>
      </w:r>
    </w:p>
    <w:p>
      <w:pPr>
        <w:pStyle w:val="Footnotesection"/>
      </w:pPr>
      <w:r>
        <w:tab/>
        <w:t xml:space="preserve">[Section 53 inserted: No. 60 of 2011 s. 50; amended: No. 3 of 2019 s. 25.] </w:t>
      </w:r>
    </w:p>
    <w:p>
      <w:pPr>
        <w:pStyle w:val="Heading5"/>
        <w:rPr>
          <w:snapToGrid w:val="0"/>
        </w:rPr>
      </w:pPr>
      <w:bookmarkStart w:id="1500" w:name="_Toc171694354"/>
      <w:bookmarkStart w:id="1501" w:name="_Toc171339102"/>
      <w:r>
        <w:rPr>
          <w:rStyle w:val="CharSectno"/>
        </w:rPr>
        <w:t>54</w:t>
      </w:r>
      <w:r>
        <w:rPr>
          <w:snapToGrid w:val="0"/>
        </w:rPr>
        <w:t>.</w:t>
      </w:r>
      <w:r>
        <w:rPr>
          <w:snapToGrid w:val="0"/>
        </w:rPr>
        <w:tab/>
        <w:t>Lessor to deliver copy of agreement to tenant</w:t>
      </w:r>
      <w:bookmarkEnd w:id="1500"/>
      <w:bookmarkEnd w:id="1501"/>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for this subsection: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No. 59 of 1995 s. 55; No. 60 of 2011 s. 51; No. 3 of 2019 s. 25.] </w:t>
      </w:r>
    </w:p>
    <w:p>
      <w:pPr>
        <w:pStyle w:val="Heading5"/>
      </w:pPr>
      <w:bookmarkStart w:id="1502" w:name="_Toc171694355"/>
      <w:bookmarkStart w:id="1503" w:name="_Toc171339103"/>
      <w:r>
        <w:rPr>
          <w:rStyle w:val="CharSectno"/>
        </w:rPr>
        <w:t>55</w:t>
      </w:r>
      <w:r>
        <w:t>.</w:t>
      </w:r>
      <w:r>
        <w:tab/>
        <w:t>Cost of written agreement to be borne by lessor</w:t>
      </w:r>
      <w:bookmarkEnd w:id="1502"/>
      <w:bookmarkEnd w:id="1503"/>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1504" w:name="_Toc171694356"/>
      <w:bookmarkStart w:id="1505" w:name="_Toc171339104"/>
      <w:r>
        <w:rPr>
          <w:rStyle w:val="CharSectno"/>
        </w:rPr>
        <w:t>56</w:t>
      </w:r>
      <w:r>
        <w:rPr>
          <w:snapToGrid w:val="0"/>
        </w:rPr>
        <w:t>.</w:t>
      </w:r>
      <w:r>
        <w:rPr>
          <w:snapToGrid w:val="0"/>
        </w:rPr>
        <w:tab/>
        <w:t>Discrimination against tenants with children</w:t>
      </w:r>
      <w:bookmarkEnd w:id="1504"/>
      <w:bookmarkEnd w:id="1505"/>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for this subsection: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for this subsection: a fine of $5 000.</w:t>
      </w:r>
    </w:p>
    <w:p>
      <w:pPr>
        <w:pStyle w:val="Footnotesection"/>
      </w:pPr>
      <w:r>
        <w:tab/>
        <w:t xml:space="preserve">[Section 56 amended: No. 59 of 1995 s. 55; No. 60 of 2011 s. 53; No. 3 of 2019 s. 25.] </w:t>
      </w:r>
    </w:p>
    <w:p>
      <w:pPr>
        <w:pStyle w:val="Heading5"/>
      </w:pPr>
      <w:bookmarkStart w:id="1506" w:name="_Toc171694357"/>
      <w:bookmarkStart w:id="1507" w:name="_Toc171339105"/>
      <w:r>
        <w:rPr>
          <w:rStyle w:val="CharSectno"/>
        </w:rPr>
        <w:t>56A</w:t>
      </w:r>
      <w:r>
        <w:t>.</w:t>
      </w:r>
      <w:r>
        <w:tab/>
        <w:t>Discrimination against tenants subjected or exposed to family violence</w:t>
      </w:r>
      <w:bookmarkEnd w:id="1506"/>
      <w:bookmarkEnd w:id="1507"/>
    </w:p>
    <w:p>
      <w:pPr>
        <w:pStyle w:val="Subsection"/>
      </w:pPr>
      <w:r>
        <w:tab/>
      </w:r>
      <w:r>
        <w:tab/>
        <w:t xml:space="preserve">A person must not refuse, or cause any person to refuse, to grant a tenancy to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spacing w:before="110"/>
      </w:pPr>
      <w:r>
        <w:tab/>
        <w:t xml:space="preserve">[Section 56A inserted: No. 3 of 2019 s. 13.] </w:t>
      </w:r>
    </w:p>
    <w:p>
      <w:pPr>
        <w:pStyle w:val="Heading5"/>
        <w:spacing w:before="200"/>
        <w:rPr>
          <w:snapToGrid w:val="0"/>
        </w:rPr>
      </w:pPr>
      <w:bookmarkStart w:id="1508" w:name="_Toc171694358"/>
      <w:bookmarkStart w:id="1509" w:name="_Toc171339106"/>
      <w:r>
        <w:rPr>
          <w:rStyle w:val="CharSectno"/>
        </w:rPr>
        <w:t>57</w:t>
      </w:r>
      <w:r>
        <w:rPr>
          <w:snapToGrid w:val="0"/>
        </w:rPr>
        <w:t>.</w:t>
      </w:r>
      <w:r>
        <w:rPr>
          <w:snapToGrid w:val="0"/>
        </w:rPr>
        <w:tab/>
        <w:t>Accelerated rent and liquidated damages prohibited</w:t>
      </w:r>
      <w:bookmarkEnd w:id="1508"/>
      <w:bookmarkEnd w:id="1509"/>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for this subsection: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No. 60 of 2011 s. 54 and 88; No. 3 of 2019 s. 25.] </w:t>
      </w:r>
    </w:p>
    <w:p>
      <w:pPr>
        <w:pStyle w:val="Heading5"/>
        <w:rPr>
          <w:snapToGrid w:val="0"/>
        </w:rPr>
      </w:pPr>
      <w:bookmarkStart w:id="1510" w:name="_Toc171694359"/>
      <w:bookmarkStart w:id="1511" w:name="_Toc171339107"/>
      <w:r>
        <w:rPr>
          <w:rStyle w:val="CharSectno"/>
        </w:rPr>
        <w:t>58</w:t>
      </w:r>
      <w:r>
        <w:rPr>
          <w:snapToGrid w:val="0"/>
        </w:rPr>
        <w:t>.</w:t>
      </w:r>
      <w:r>
        <w:rPr>
          <w:snapToGrid w:val="0"/>
        </w:rPr>
        <w:tab/>
        <w:t>Duty of mitigation</w:t>
      </w:r>
      <w:bookmarkEnd w:id="1510"/>
      <w:bookmarkEnd w:id="1511"/>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No. 60 of 2011 s. 55.] </w:t>
      </w:r>
    </w:p>
    <w:p>
      <w:pPr>
        <w:pStyle w:val="Heading5"/>
      </w:pPr>
      <w:bookmarkStart w:id="1512" w:name="_Toc171694360"/>
      <w:bookmarkStart w:id="1513" w:name="_Toc171339108"/>
      <w:r>
        <w:rPr>
          <w:rStyle w:val="CharSectno"/>
        </w:rPr>
        <w:t>59A</w:t>
      </w:r>
      <w:r>
        <w:t>.</w:t>
      </w:r>
      <w:r>
        <w:tab/>
        <w:t>Minors</w:t>
      </w:r>
      <w:bookmarkEnd w:id="1512"/>
      <w:bookmarkEnd w:id="1513"/>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No. 60 of 2011 s. 56.]</w:t>
      </w:r>
    </w:p>
    <w:p>
      <w:pPr>
        <w:pStyle w:val="Heading5"/>
      </w:pPr>
      <w:bookmarkStart w:id="1514" w:name="_Toc171694361"/>
      <w:bookmarkStart w:id="1515" w:name="_Toc171339109"/>
      <w:r>
        <w:rPr>
          <w:rStyle w:val="CharSectno"/>
        </w:rPr>
        <w:t>59B</w:t>
      </w:r>
      <w:r>
        <w:t>.</w:t>
      </w:r>
      <w:r>
        <w:tab/>
        <w:t>Death of one of 2 or more tenants</w:t>
      </w:r>
      <w:bookmarkEnd w:id="1514"/>
      <w:bookmarkEnd w:id="1515"/>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No. 60 of 2011 s. 56.]</w:t>
      </w:r>
    </w:p>
    <w:p>
      <w:pPr>
        <w:pStyle w:val="Heading5"/>
      </w:pPr>
      <w:bookmarkStart w:id="1516" w:name="_Toc171694362"/>
      <w:bookmarkStart w:id="1517" w:name="_Toc171339110"/>
      <w:r>
        <w:rPr>
          <w:rStyle w:val="CharSectno"/>
        </w:rPr>
        <w:t>59C</w:t>
      </w:r>
      <w:r>
        <w:t>.</w:t>
      </w:r>
      <w:r>
        <w:tab/>
        <w:t>Recognition of certain persons as tenants</w:t>
      </w:r>
      <w:bookmarkEnd w:id="1516"/>
      <w:bookmarkEnd w:id="1517"/>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 60 of 2011 s. 56.]</w:t>
      </w:r>
    </w:p>
    <w:p>
      <w:pPr>
        <w:pStyle w:val="Heading5"/>
      </w:pPr>
      <w:bookmarkStart w:id="1518" w:name="_Toc171694363"/>
      <w:bookmarkStart w:id="1519" w:name="_Toc171339111"/>
      <w:r>
        <w:rPr>
          <w:rStyle w:val="CharSectno"/>
        </w:rPr>
        <w:t>59D</w:t>
      </w:r>
      <w:r>
        <w:t>.</w:t>
      </w:r>
      <w:r>
        <w:tab/>
        <w:t>Tenant compensation bonds</w:t>
      </w:r>
      <w:bookmarkEnd w:id="1518"/>
      <w:bookmarkEnd w:id="1519"/>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keepLines/>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 60 of 2011 s. 56.]</w:t>
      </w:r>
    </w:p>
    <w:p>
      <w:pPr>
        <w:pStyle w:val="Heading5"/>
      </w:pPr>
      <w:bookmarkStart w:id="1520" w:name="_Toc171694364"/>
      <w:bookmarkStart w:id="1521" w:name="_Toc171339112"/>
      <w:r>
        <w:rPr>
          <w:rStyle w:val="CharSectno"/>
        </w:rPr>
        <w:t>59E</w:t>
      </w:r>
      <w:r>
        <w:t>.</w:t>
      </w:r>
      <w:r>
        <w:tab/>
      </w:r>
      <w:r>
        <w:rPr>
          <w:snapToGrid w:val="0"/>
        </w:rPr>
        <w:t>Interference with quiet enjoyment</w:t>
      </w:r>
      <w:bookmarkEnd w:id="1520"/>
      <w:bookmarkEnd w:id="1521"/>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for this subsection: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Subsection"/>
      </w:pPr>
      <w:r>
        <w:tab/>
        <w:t>(3)</w:t>
      </w:r>
      <w:r>
        <w:tab/>
        <w:t xml:space="preserve">When a charge of an offence under subsection (1) relates to a failure by the lessor to give the tenant a copy of a key to the premises, it is a defence to the charge to prove that — </w:t>
      </w:r>
    </w:p>
    <w:p>
      <w:pPr>
        <w:pStyle w:val="Indenta"/>
      </w:pPr>
      <w:r>
        <w:tab/>
        <w:t>(a)</w:t>
      </w:r>
      <w:r>
        <w:tab/>
        <w:t>the copy of the key had been given to the lessor under section 45(2)(b); and</w:t>
      </w:r>
    </w:p>
    <w:p>
      <w:pPr>
        <w:pStyle w:val="Indenta"/>
      </w:pPr>
      <w:r>
        <w:tab/>
        <w:t>(b)</w:t>
      </w:r>
      <w:r>
        <w:tab/>
        <w:t>the tenant was a person to whom the lessor was instructed not to give the copy of the key under section 45(2)(c)(ii).</w:t>
      </w:r>
    </w:p>
    <w:p>
      <w:pPr>
        <w:pStyle w:val="Footnotesection"/>
      </w:pPr>
      <w:r>
        <w:tab/>
        <w:t>[Section 59E inserted: No. 60 of 2011 s. 56; amended: No. 3 of 2019 s. 14 and 25.]</w:t>
      </w:r>
    </w:p>
    <w:p>
      <w:pPr>
        <w:pStyle w:val="Heading5"/>
      </w:pPr>
      <w:bookmarkStart w:id="1522" w:name="_Toc171694365"/>
      <w:bookmarkStart w:id="1523" w:name="_Toc171339113"/>
      <w:r>
        <w:rPr>
          <w:rStyle w:val="CharSectno"/>
        </w:rPr>
        <w:t>59F</w:t>
      </w:r>
      <w:r>
        <w:t>.</w:t>
      </w:r>
      <w:r>
        <w:tab/>
      </w:r>
      <w:r>
        <w:rPr>
          <w:snapToGrid w:val="0"/>
        </w:rPr>
        <w:t>Offences relating to security of residential premises</w:t>
      </w:r>
      <w:bookmarkEnd w:id="1522"/>
      <w:bookmarkEnd w:id="1523"/>
    </w:p>
    <w:p>
      <w:pPr>
        <w:pStyle w:val="Subsection"/>
      </w:pPr>
      <w:r>
        <w:tab/>
        <w:t>(1)</w:t>
      </w:r>
      <w:r>
        <w:tab/>
        <w:t>A lessor or tenant who breaches the term referred to in section 45(1)(b) without reasonable excuse commits an offence.</w:t>
      </w:r>
    </w:p>
    <w:p>
      <w:pPr>
        <w:pStyle w:val="Penstart"/>
      </w:pPr>
      <w:r>
        <w:tab/>
        <w:t>Penalty for this subsection: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for this subsection: a fine of $20 000.</w:t>
      </w:r>
    </w:p>
    <w:p>
      <w:pPr>
        <w:pStyle w:val="Subsection"/>
      </w:pPr>
      <w:r>
        <w:tab/>
        <w:t>(2A)</w:t>
      </w:r>
      <w:r>
        <w:tab/>
        <w:t>A lessor who breaches the term referred to in section 45(2)(c) without reasonable excuse commits an offence.</w:t>
      </w:r>
    </w:p>
    <w:p>
      <w:pPr>
        <w:pStyle w:val="Penstart"/>
      </w:pPr>
      <w:r>
        <w:tab/>
        <w:t>Penalty for this subsection: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 60 of 2011 s. 56; amended: No. 3 of 2019 s. 15 and 25.]</w:t>
      </w:r>
    </w:p>
    <w:p>
      <w:pPr>
        <w:pStyle w:val="Heading2"/>
      </w:pPr>
      <w:bookmarkStart w:id="1524" w:name="_Toc171674003"/>
      <w:bookmarkStart w:id="1525" w:name="_Toc171680619"/>
      <w:bookmarkStart w:id="1526" w:name="_Toc171680884"/>
      <w:bookmarkStart w:id="1527" w:name="_Toc171681435"/>
      <w:bookmarkStart w:id="1528" w:name="_Toc171681851"/>
      <w:bookmarkStart w:id="1529" w:name="_Toc171682115"/>
      <w:bookmarkStart w:id="1530" w:name="_Toc171694366"/>
      <w:bookmarkStart w:id="1531" w:name="_Toc171089864"/>
      <w:bookmarkStart w:id="1532" w:name="_Toc171338311"/>
      <w:bookmarkStart w:id="1533" w:name="_Toc171339114"/>
      <w:r>
        <w:rPr>
          <w:rStyle w:val="CharPartNo"/>
        </w:rPr>
        <w:t>Part V</w:t>
      </w:r>
      <w:r>
        <w:t> — </w:t>
      </w:r>
      <w:r>
        <w:rPr>
          <w:rStyle w:val="CharPartText"/>
        </w:rPr>
        <w:t>Termination of residential tenancy agreements</w:t>
      </w:r>
      <w:bookmarkEnd w:id="1524"/>
      <w:bookmarkEnd w:id="1525"/>
      <w:bookmarkEnd w:id="1526"/>
      <w:bookmarkEnd w:id="1527"/>
      <w:bookmarkEnd w:id="1528"/>
      <w:bookmarkEnd w:id="1529"/>
      <w:bookmarkEnd w:id="1530"/>
      <w:bookmarkEnd w:id="1531"/>
      <w:bookmarkEnd w:id="1532"/>
      <w:bookmarkEnd w:id="1533"/>
    </w:p>
    <w:p>
      <w:pPr>
        <w:pStyle w:val="Heading3"/>
      </w:pPr>
      <w:bookmarkStart w:id="1534" w:name="_Toc171674004"/>
      <w:bookmarkStart w:id="1535" w:name="_Toc171680620"/>
      <w:bookmarkStart w:id="1536" w:name="_Toc171680885"/>
      <w:bookmarkStart w:id="1537" w:name="_Toc171681436"/>
      <w:bookmarkStart w:id="1538" w:name="_Toc171681852"/>
      <w:bookmarkStart w:id="1539" w:name="_Toc171682116"/>
      <w:bookmarkStart w:id="1540" w:name="_Toc171694367"/>
      <w:bookmarkStart w:id="1541" w:name="_Toc171089865"/>
      <w:bookmarkStart w:id="1542" w:name="_Toc171338312"/>
      <w:bookmarkStart w:id="1543" w:name="_Toc171339115"/>
      <w:r>
        <w:rPr>
          <w:rStyle w:val="CharDivNo"/>
        </w:rPr>
        <w:t>Division 1</w:t>
      </w:r>
      <w:r>
        <w:t> — </w:t>
      </w:r>
      <w:r>
        <w:rPr>
          <w:rStyle w:val="CharDivText"/>
        </w:rPr>
        <w:t>How residential tenancy agreements are terminated</w:t>
      </w:r>
      <w:bookmarkEnd w:id="1534"/>
      <w:bookmarkEnd w:id="1535"/>
      <w:bookmarkEnd w:id="1536"/>
      <w:bookmarkEnd w:id="1537"/>
      <w:bookmarkEnd w:id="1538"/>
      <w:bookmarkEnd w:id="1539"/>
      <w:bookmarkEnd w:id="1540"/>
      <w:bookmarkEnd w:id="1541"/>
      <w:bookmarkEnd w:id="1542"/>
      <w:bookmarkEnd w:id="1543"/>
    </w:p>
    <w:p>
      <w:pPr>
        <w:pStyle w:val="Footnoteheading"/>
      </w:pPr>
      <w:r>
        <w:tab/>
        <w:t>[Heading inserted: No. 60 of 2011 s. 57.]</w:t>
      </w:r>
    </w:p>
    <w:p>
      <w:pPr>
        <w:pStyle w:val="Ednotesection"/>
      </w:pPr>
      <w:r>
        <w:t>[</w:t>
      </w:r>
      <w:r>
        <w:rPr>
          <w:b/>
        </w:rPr>
        <w:t>59.</w:t>
      </w:r>
      <w:r>
        <w:tab/>
        <w:t xml:space="preserve">Deleted: No. 60 of 2011 s. 58.] </w:t>
      </w:r>
    </w:p>
    <w:p>
      <w:pPr>
        <w:pStyle w:val="Heading5"/>
        <w:rPr>
          <w:snapToGrid w:val="0"/>
        </w:rPr>
      </w:pPr>
      <w:bookmarkStart w:id="1544" w:name="_Toc171694368"/>
      <w:bookmarkStart w:id="1545" w:name="_Toc171339116"/>
      <w:r>
        <w:rPr>
          <w:rStyle w:val="CharSectno"/>
        </w:rPr>
        <w:t>60</w:t>
      </w:r>
      <w:r>
        <w:rPr>
          <w:snapToGrid w:val="0"/>
        </w:rPr>
        <w:t>.</w:t>
      </w:r>
      <w:r>
        <w:rPr>
          <w:snapToGrid w:val="0"/>
        </w:rPr>
        <w:tab/>
        <w:t>How residential tenancy agreements and tenant’s interests in agreements are terminated</w:t>
      </w:r>
      <w:bookmarkEnd w:id="1544"/>
      <w:bookmarkEnd w:id="1545"/>
      <w:r>
        <w:rPr>
          <w:snapToGrid w:val="0"/>
        </w:rPr>
        <w:t xml:space="preserve"> </w:t>
      </w:r>
    </w:p>
    <w:p>
      <w:pPr>
        <w:pStyle w:val="Subsection"/>
        <w:rPr>
          <w:snapToGrid w:val="0"/>
        </w:rPr>
      </w:pPr>
      <w:r>
        <w:tab/>
        <w:t>(1)</w:t>
      </w:r>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keepNext/>
      </w:pPr>
      <w:r>
        <w:tab/>
        <w:t>(ba)</w:t>
      </w:r>
      <w:r>
        <w:tab/>
        <w:t xml:space="preserve">in the case of a particular tenant’s interest in the agreement, where the tenant — </w:t>
      </w:r>
    </w:p>
    <w:p>
      <w:pPr>
        <w:pStyle w:val="Indenti"/>
      </w:pPr>
      <w:r>
        <w:tab/>
        <w:t>(i)</w:t>
      </w:r>
      <w:r>
        <w:tab/>
        <w:t>gives notice under section 71AB(1) of termination of the tenant’s interest together with at least 1 of the documents required under section 71AB(2); and</w:t>
      </w:r>
    </w:p>
    <w:p>
      <w:pPr>
        <w:pStyle w:val="Indenti"/>
      </w:pPr>
      <w:r>
        <w:tab/>
        <w:t>(ii)</w:t>
      </w:r>
      <w:r>
        <w:tab/>
        <w:t>vacates the premises on or after the expiration of the period of notice required under section 71AB(5);</w:t>
      </w:r>
    </w:p>
    <w:p>
      <w:pPr>
        <w:pStyle w:val="Indenta"/>
      </w:pPr>
      <w:r>
        <w:tab/>
        <w:t>(bb)</w:t>
      </w:r>
      <w:r>
        <w:tab/>
        <w:t xml:space="preserve">in the case of a particular tenant’s interest in the agreement, where the tenant — </w:t>
      </w:r>
    </w:p>
    <w:p>
      <w:pPr>
        <w:pStyle w:val="Indenti"/>
      </w:pPr>
      <w:r>
        <w:tab/>
        <w:t>(i)</w:t>
      </w:r>
      <w:r>
        <w:tab/>
        <w:t>gives notice under section 71AD(4) of termination of the tenant’s interest; and</w:t>
      </w:r>
    </w:p>
    <w:p>
      <w:pPr>
        <w:pStyle w:val="Indenti"/>
      </w:pPr>
      <w:r>
        <w:tab/>
        <w:t>(ii)</w:t>
      </w:r>
      <w:r>
        <w:tab/>
        <w:t>vacates the premises on or after the expiration of the period of notice required under section 71AD(5);</w:t>
      </w:r>
    </w:p>
    <w:p>
      <w:pPr>
        <w:pStyle w:val="Indenta"/>
      </w:pPr>
      <w:r>
        <w:tab/>
        <w:t>(bc)</w:t>
      </w:r>
      <w:r>
        <w:tab/>
        <w:t>in the case of a particular tenant’s interest in the agreement, where a competent court terminates the tenant’s interest under section 71AE;</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Subsection"/>
      </w:pPr>
      <w:r>
        <w:tab/>
        <w:t>(2)</w:t>
      </w:r>
      <w:r>
        <w:tab/>
        <w:t>The termination of a tenant’s interest in a residential tenancy agreement does not terminate the agreement in respect of any other tenant under the agreement.</w:t>
      </w:r>
    </w:p>
    <w:p>
      <w:pPr>
        <w:pStyle w:val="Footnotesection"/>
      </w:pPr>
      <w:r>
        <w:tab/>
        <w:t xml:space="preserve">[Section 60 amended: No. 50 of 1988 s. 18; No. 59 of 1995 s. 49; No. 59 of 2004 s. 120(1); No. 60 of 2011 s. 59, 88, 89 and 91; No. 3 of 2019 s. 16.] </w:t>
      </w:r>
    </w:p>
    <w:p>
      <w:pPr>
        <w:pStyle w:val="Heading3"/>
      </w:pPr>
      <w:bookmarkStart w:id="1546" w:name="_Toc171674006"/>
      <w:bookmarkStart w:id="1547" w:name="_Toc171680622"/>
      <w:bookmarkStart w:id="1548" w:name="_Toc171680887"/>
      <w:bookmarkStart w:id="1549" w:name="_Toc171681438"/>
      <w:bookmarkStart w:id="1550" w:name="_Toc171681854"/>
      <w:bookmarkStart w:id="1551" w:name="_Toc171682118"/>
      <w:bookmarkStart w:id="1552" w:name="_Toc171694369"/>
      <w:bookmarkStart w:id="1553" w:name="_Toc171089867"/>
      <w:bookmarkStart w:id="1554" w:name="_Toc171338314"/>
      <w:bookmarkStart w:id="1555" w:name="_Toc171339117"/>
      <w:r>
        <w:rPr>
          <w:rStyle w:val="CharDivNo"/>
        </w:rPr>
        <w:t>Division 2</w:t>
      </w:r>
      <w:r>
        <w:t> — </w:t>
      </w:r>
      <w:r>
        <w:rPr>
          <w:rStyle w:val="CharDivText"/>
        </w:rPr>
        <w:t>Notices of termination</w:t>
      </w:r>
      <w:bookmarkEnd w:id="1546"/>
      <w:bookmarkEnd w:id="1547"/>
      <w:bookmarkEnd w:id="1548"/>
      <w:bookmarkEnd w:id="1549"/>
      <w:bookmarkEnd w:id="1550"/>
      <w:bookmarkEnd w:id="1551"/>
      <w:bookmarkEnd w:id="1552"/>
      <w:bookmarkEnd w:id="1553"/>
      <w:bookmarkEnd w:id="1554"/>
      <w:bookmarkEnd w:id="1555"/>
    </w:p>
    <w:p>
      <w:pPr>
        <w:pStyle w:val="Footnoteheading"/>
      </w:pPr>
      <w:r>
        <w:tab/>
        <w:t>[Heading inserted: No. 60 of 2011 s. 60.]</w:t>
      </w:r>
    </w:p>
    <w:p>
      <w:pPr>
        <w:pStyle w:val="Heading5"/>
      </w:pPr>
      <w:bookmarkStart w:id="1556" w:name="_Toc171694370"/>
      <w:bookmarkStart w:id="1557" w:name="_Toc171339118"/>
      <w:r>
        <w:rPr>
          <w:rStyle w:val="CharSectno"/>
        </w:rPr>
        <w:t>61</w:t>
      </w:r>
      <w:r>
        <w:t>.</w:t>
      </w:r>
      <w:r>
        <w:tab/>
        <w:t>Form of notice of termination by lessor</w:t>
      </w:r>
      <w:bookmarkEnd w:id="1556"/>
      <w:bookmarkEnd w:id="1557"/>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1558" w:name="_Toc171694371"/>
      <w:bookmarkStart w:id="1559" w:name="_Toc171339119"/>
      <w:r>
        <w:rPr>
          <w:rStyle w:val="CharSectno"/>
        </w:rPr>
        <w:t>62</w:t>
      </w:r>
      <w:r>
        <w:rPr>
          <w:snapToGrid w:val="0"/>
        </w:rPr>
        <w:t>.</w:t>
      </w:r>
      <w:r>
        <w:rPr>
          <w:snapToGrid w:val="0"/>
        </w:rPr>
        <w:tab/>
        <w:t>Notice of termination by lessor upon ground of breach of term of agreement</w:t>
      </w:r>
      <w:bookmarkEnd w:id="1558"/>
      <w:bookmarkEnd w:id="1559"/>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1560" w:name="_Toc171694372"/>
      <w:bookmarkStart w:id="1561" w:name="_Toc171339120"/>
      <w:r>
        <w:rPr>
          <w:rStyle w:val="CharSectno"/>
        </w:rPr>
        <w:t>63</w:t>
      </w:r>
      <w:r>
        <w:t>.</w:t>
      </w:r>
      <w:r>
        <w:tab/>
        <w:t>Notice of termination by lessor who has entered into contract of sale</w:t>
      </w:r>
      <w:bookmarkEnd w:id="1560"/>
      <w:bookmarkEnd w:id="1561"/>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for this subsection: a fine of $10 000.</w:t>
      </w:r>
    </w:p>
    <w:p>
      <w:pPr>
        <w:pStyle w:val="Subsection"/>
        <w:keepNext/>
      </w:pPr>
      <w:r>
        <w:tab/>
        <w:t>(4)</w:t>
      </w:r>
      <w:r>
        <w:tab/>
        <w:t>This section does not apply to a residential tenancy agreement that creates a tenancy for a fixed term during the currency of that term.</w:t>
      </w:r>
    </w:p>
    <w:p>
      <w:pPr>
        <w:pStyle w:val="Footnotesection"/>
      </w:pPr>
      <w:r>
        <w:tab/>
        <w:t>[Section 63 inserted: No. 60 of 2011 s. 63; amended: No. 3 of 2019 s. 25.]</w:t>
      </w:r>
    </w:p>
    <w:p>
      <w:pPr>
        <w:pStyle w:val="Heading5"/>
      </w:pPr>
      <w:bookmarkStart w:id="1562" w:name="_Toc171694373"/>
      <w:bookmarkStart w:id="1563" w:name="_Toc171339121"/>
      <w:r>
        <w:rPr>
          <w:rStyle w:val="CharSectno"/>
        </w:rPr>
        <w:t>64</w:t>
      </w:r>
      <w:r>
        <w:t>.</w:t>
      </w:r>
      <w:r>
        <w:tab/>
        <w:t>Notice of termination by lessor without any ground</w:t>
      </w:r>
      <w:bookmarkEnd w:id="1562"/>
      <w:bookmarkEnd w:id="1563"/>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apply to a competent court for an order that the period of notice be extended by a further period of up to 60 days.</w:t>
      </w:r>
    </w:p>
    <w:p>
      <w:pPr>
        <w:pStyle w:val="PermNoteHeading"/>
      </w:pPr>
      <w:r>
        <w:tab/>
        <w:t>Note for this subsection:</w:t>
      </w:r>
    </w:p>
    <w:p>
      <w:pPr>
        <w:pStyle w:val="PermNoteText"/>
      </w:pPr>
      <w:r>
        <w:tab/>
      </w:r>
      <w:r>
        <w:tab/>
        <w:t>See also section 26B for an application a tenant may make to a competent court if the tenant reasonably believes the lessor’s action to terminate the residential tenancy agreement was retaliatory action.</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keepNext/>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63; amended: No. 11 of 2024 s. 34.]</w:t>
      </w:r>
    </w:p>
    <w:p>
      <w:pPr>
        <w:pStyle w:val="Heading5"/>
        <w:rPr>
          <w:snapToGrid w:val="0"/>
        </w:rPr>
      </w:pPr>
      <w:bookmarkStart w:id="1564" w:name="_Toc171694374"/>
      <w:bookmarkStart w:id="1565" w:name="_Toc171339122"/>
      <w:r>
        <w:rPr>
          <w:rStyle w:val="CharSectno"/>
        </w:rPr>
        <w:t>65</w:t>
      </w:r>
      <w:r>
        <w:rPr>
          <w:snapToGrid w:val="0"/>
        </w:rPr>
        <w:t>.</w:t>
      </w:r>
      <w:r>
        <w:rPr>
          <w:snapToGrid w:val="0"/>
        </w:rPr>
        <w:tab/>
        <w:t>Termination by lessor where s. 32 invoked</w:t>
      </w:r>
      <w:bookmarkEnd w:id="1564"/>
      <w:bookmarkEnd w:id="1565"/>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1566" w:name="_Toc171694375"/>
      <w:bookmarkStart w:id="1567" w:name="_Toc171339123"/>
      <w:r>
        <w:rPr>
          <w:rStyle w:val="CharSectno"/>
        </w:rPr>
        <w:t>66</w:t>
      </w:r>
      <w:r>
        <w:rPr>
          <w:snapToGrid w:val="0"/>
        </w:rPr>
        <w:t>.</w:t>
      </w:r>
      <w:r>
        <w:rPr>
          <w:snapToGrid w:val="0"/>
        </w:rPr>
        <w:tab/>
        <w:t>Notice by lessor not waived by acceptance of rent</w:t>
      </w:r>
      <w:bookmarkEnd w:id="1566"/>
      <w:bookmarkEnd w:id="1567"/>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1568" w:name="_Toc171694376"/>
      <w:bookmarkStart w:id="1569" w:name="_Toc171339124"/>
      <w:r>
        <w:rPr>
          <w:rStyle w:val="CharSectno"/>
        </w:rPr>
        <w:t>67</w:t>
      </w:r>
      <w:r>
        <w:rPr>
          <w:snapToGrid w:val="0"/>
        </w:rPr>
        <w:t>.</w:t>
      </w:r>
      <w:r>
        <w:rPr>
          <w:snapToGrid w:val="0"/>
        </w:rPr>
        <w:tab/>
        <w:t>Form of notice of termination by tenant</w:t>
      </w:r>
      <w:bookmarkEnd w:id="1568"/>
      <w:bookmarkEnd w:id="1569"/>
      <w:r>
        <w:rPr>
          <w:snapToGrid w:val="0"/>
        </w:rPr>
        <w:t xml:space="preserve"> </w:t>
      </w:r>
    </w:p>
    <w:p>
      <w:pPr>
        <w:pStyle w:val="Subsection"/>
        <w:rPr>
          <w:snapToGrid w:val="0"/>
        </w:rPr>
      </w:pPr>
      <w:r>
        <w:tab/>
        <w:t>(1)</w:t>
      </w:r>
      <w:r>
        <w:tab/>
        <w:t>Except as provided in subsection (2), a notice of termination of a residential tenancy agreement, or of the tenant’s interest in the agreement,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Subsection"/>
      </w:pPr>
      <w:r>
        <w:tab/>
        <w:t>(2)</w:t>
      </w:r>
      <w:r>
        <w:tab/>
        <w:t>A notice given under section 71AB(1) must be in a prescribed form.</w:t>
      </w:r>
    </w:p>
    <w:p>
      <w:pPr>
        <w:pStyle w:val="Footnotesection"/>
      </w:pPr>
      <w:r>
        <w:tab/>
        <w:t xml:space="preserve">[Section 67 amended: No. 60 of 2011 s. 88; No. 3 of 2019 s. 17.] </w:t>
      </w:r>
    </w:p>
    <w:p>
      <w:pPr>
        <w:pStyle w:val="Heading5"/>
        <w:rPr>
          <w:snapToGrid w:val="0"/>
        </w:rPr>
      </w:pPr>
      <w:bookmarkStart w:id="1570" w:name="_Toc171694377"/>
      <w:bookmarkStart w:id="1571" w:name="_Toc171339125"/>
      <w:r>
        <w:rPr>
          <w:rStyle w:val="CharSectno"/>
        </w:rPr>
        <w:t>68</w:t>
      </w:r>
      <w:r>
        <w:rPr>
          <w:snapToGrid w:val="0"/>
        </w:rPr>
        <w:t>.</w:t>
      </w:r>
      <w:r>
        <w:rPr>
          <w:snapToGrid w:val="0"/>
        </w:rPr>
        <w:tab/>
        <w:t>Notice of termination by tenant</w:t>
      </w:r>
      <w:bookmarkEnd w:id="1570"/>
      <w:bookmarkEnd w:id="1571"/>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1572" w:name="_Toc171694378"/>
      <w:bookmarkStart w:id="1573" w:name="_Toc171339126"/>
      <w:r>
        <w:rPr>
          <w:rStyle w:val="CharSectno"/>
        </w:rPr>
        <w:t>69</w:t>
      </w:r>
      <w:r>
        <w:rPr>
          <w:snapToGrid w:val="0"/>
        </w:rPr>
        <w:t>.</w:t>
      </w:r>
      <w:r>
        <w:rPr>
          <w:snapToGrid w:val="0"/>
        </w:rPr>
        <w:tab/>
        <w:t>Notice of termination by lessor or tenant where agreement frustrated</w:t>
      </w:r>
      <w:bookmarkEnd w:id="1572"/>
      <w:bookmarkEnd w:id="1573"/>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1574" w:name="_Toc171694379"/>
      <w:bookmarkStart w:id="1575" w:name="_Toc171339127"/>
      <w:r>
        <w:rPr>
          <w:rStyle w:val="CharSectno"/>
        </w:rPr>
        <w:t>70A</w:t>
      </w:r>
      <w:r>
        <w:t>.</w:t>
      </w:r>
      <w:r>
        <w:tab/>
        <w:t>Notice of termination by lessor or tenant at end of fixed term tenancy</w:t>
      </w:r>
      <w:bookmarkEnd w:id="1574"/>
      <w:bookmarkEnd w:id="1575"/>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1576" w:name="_Toc171694380"/>
      <w:bookmarkStart w:id="1577" w:name="_Toc171339128"/>
      <w:r>
        <w:rPr>
          <w:rStyle w:val="CharSectno"/>
        </w:rPr>
        <w:t>70</w:t>
      </w:r>
      <w:r>
        <w:rPr>
          <w:snapToGrid w:val="0"/>
        </w:rPr>
        <w:t>.</w:t>
      </w:r>
      <w:r>
        <w:rPr>
          <w:snapToGrid w:val="0"/>
        </w:rPr>
        <w:tab/>
        <w:t>Effect of notice of termination of periodic tenancy</w:t>
      </w:r>
      <w:bookmarkEnd w:id="1576"/>
      <w:bookmarkEnd w:id="1577"/>
      <w:r>
        <w:rPr>
          <w:snapToGrid w:val="0"/>
        </w:rPr>
        <w:t xml:space="preserve"> </w:t>
      </w:r>
    </w:p>
    <w:p>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pPr>
      <w:bookmarkStart w:id="1578" w:name="_Toc171674018"/>
      <w:bookmarkStart w:id="1579" w:name="_Toc171680634"/>
      <w:bookmarkStart w:id="1580" w:name="_Toc171680899"/>
      <w:bookmarkStart w:id="1581" w:name="_Toc171681450"/>
      <w:bookmarkStart w:id="1582" w:name="_Toc171681866"/>
      <w:bookmarkStart w:id="1583" w:name="_Toc171682130"/>
      <w:bookmarkStart w:id="1584" w:name="_Toc171694381"/>
      <w:bookmarkStart w:id="1585" w:name="_Toc171089879"/>
      <w:bookmarkStart w:id="1586" w:name="_Toc171338326"/>
      <w:bookmarkStart w:id="1587" w:name="_Toc171339129"/>
      <w:r>
        <w:rPr>
          <w:rStyle w:val="CharDivNo"/>
        </w:rPr>
        <w:t>Division 2A</w:t>
      </w:r>
      <w:r>
        <w:t> — </w:t>
      </w:r>
      <w:r>
        <w:rPr>
          <w:rStyle w:val="CharDivText"/>
        </w:rPr>
        <w:t>Special provisions about terminating tenant’s interest on grounds of family violence</w:t>
      </w:r>
      <w:bookmarkEnd w:id="1578"/>
      <w:bookmarkEnd w:id="1579"/>
      <w:bookmarkEnd w:id="1580"/>
      <w:bookmarkEnd w:id="1581"/>
      <w:bookmarkEnd w:id="1582"/>
      <w:bookmarkEnd w:id="1583"/>
      <w:bookmarkEnd w:id="1584"/>
      <w:bookmarkEnd w:id="1585"/>
      <w:bookmarkEnd w:id="1586"/>
      <w:bookmarkEnd w:id="1587"/>
    </w:p>
    <w:p>
      <w:pPr>
        <w:pStyle w:val="Footnoteheading"/>
      </w:pPr>
      <w:r>
        <w:tab/>
        <w:t xml:space="preserve">[Heading inserted: No. 3 of 2019 s. 18.] </w:t>
      </w:r>
    </w:p>
    <w:p>
      <w:pPr>
        <w:pStyle w:val="Heading5"/>
      </w:pPr>
      <w:bookmarkStart w:id="1588" w:name="_Toc171694382"/>
      <w:bookmarkStart w:id="1589" w:name="_Toc171339130"/>
      <w:r>
        <w:rPr>
          <w:rStyle w:val="CharSectno"/>
        </w:rPr>
        <w:t>71AA</w:t>
      </w:r>
      <w:r>
        <w:t>.</w:t>
      </w:r>
      <w:r>
        <w:tab/>
        <w:t>Terms used</w:t>
      </w:r>
      <w:bookmarkEnd w:id="1588"/>
      <w:bookmarkEnd w:id="1589"/>
    </w:p>
    <w:p>
      <w:pPr>
        <w:pStyle w:val="Subsection"/>
      </w:pPr>
      <w:r>
        <w:tab/>
      </w:r>
      <w:r>
        <w:tab/>
        <w:t xml:space="preserve">In this Division — </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premises</w:t>
      </w:r>
      <w:r>
        <w:t>, in relation to a residential tenancy agreement, means the residential premises to which the agreement relates.</w:t>
      </w:r>
    </w:p>
    <w:p>
      <w:pPr>
        <w:pStyle w:val="Footnotesection"/>
      </w:pPr>
      <w:r>
        <w:tab/>
        <w:t>[Section 71AA inserted: No. 3 of 2019 s. 18.]</w:t>
      </w:r>
    </w:p>
    <w:p>
      <w:pPr>
        <w:pStyle w:val="Heading5"/>
      </w:pPr>
      <w:bookmarkStart w:id="1590" w:name="_Toc171694383"/>
      <w:bookmarkStart w:id="1591" w:name="_Toc171339131"/>
      <w:r>
        <w:rPr>
          <w:rStyle w:val="CharSectno"/>
        </w:rPr>
        <w:t>71AB</w:t>
      </w:r>
      <w:r>
        <w:t>.</w:t>
      </w:r>
      <w:r>
        <w:tab/>
        <w:t>Notice of termination of tenant’s interest on ground that tenant subject to family violence</w:t>
      </w:r>
      <w:bookmarkEnd w:id="1590"/>
      <w:bookmarkEnd w:id="1591"/>
    </w:p>
    <w:p>
      <w:pPr>
        <w:pStyle w:val="Subsection"/>
      </w:pPr>
      <w:r>
        <w:tab/>
        <w:t>(1)</w:t>
      </w:r>
      <w:r>
        <w:tab/>
        <w:t>Despite any other provision of this Act or another written law or a requirement under a contract, a tenant may give to the lessor notice of termination of the tenant’s interest in the residential tenancy agreement on the ground that the tenant or a dependant of the tenant is, during the tenancy period, likely to be subjected or exposed to family violence.</w:t>
      </w:r>
    </w:p>
    <w:p>
      <w:pPr>
        <w:pStyle w:val="Subsection"/>
      </w:pPr>
      <w:r>
        <w:tab/>
        <w:t>(2)</w:t>
      </w:r>
      <w:r>
        <w:tab/>
        <w:t xml:space="preserve">A notice under this section must be accompanied by a document, applicable during the tenancy period,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tenant or a court record of a conviction of the charge;</w:t>
      </w:r>
    </w:p>
    <w:p>
      <w:pPr>
        <w:pStyle w:val="Indenta"/>
      </w:pPr>
      <w:r>
        <w:tab/>
        <w:t>(d)</w:t>
      </w:r>
      <w:r>
        <w:tab/>
        <w:t xml:space="preserve">a report of family violence, in </w:t>
      </w:r>
      <w:del w:id="1592" w:author="Master Repository Process" w:date="2025-06-25T10:45:00Z">
        <w:r>
          <w:delText>a form</w:delText>
        </w:r>
      </w:del>
      <w:ins w:id="1593" w:author="Master Repository Process" w:date="2025-06-25T10:45:00Z">
        <w:r>
          <w:t>the</w:t>
        </w:r>
      </w:ins>
      <w:r>
        <w:t xml:space="preserve"> approved </w:t>
      </w:r>
      <w:del w:id="1594" w:author="Master Repository Process" w:date="2025-06-25T10:45:00Z">
        <w:r>
          <w:delText>by the Commissioner</w:delText>
        </w:r>
      </w:del>
      <w:ins w:id="1595" w:author="Master Repository Process" w:date="2025-06-25T10:45:00Z">
        <w:r>
          <w:t>form</w:t>
        </w:r>
      </w:ins>
      <w:r>
        <w:t>, completed by a person who has worked with the tenant and is 1 of the following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lessor must not disclose information in a document provided to the lessor under subsection (2) to another person except in accordance with this Act or another written law.</w:t>
      </w:r>
    </w:p>
    <w:p>
      <w:pPr>
        <w:pStyle w:val="Penstart"/>
      </w:pPr>
      <w:r>
        <w:tab/>
        <w:t>Penalty for this subsection: a fine of $5 000.</w:t>
      </w:r>
    </w:p>
    <w:p>
      <w:pPr>
        <w:pStyle w:val="Subsection"/>
        <w:keepNext/>
      </w:pPr>
      <w:r>
        <w:tab/>
        <w:t>(4)</w:t>
      </w:r>
      <w:r>
        <w:tab/>
        <w:t>The lessor must ensure that information provided to the lessor under subsection (2) is kept in a secure manner so far as it is reasonably practicable to do so.</w:t>
      </w:r>
    </w:p>
    <w:p>
      <w:pPr>
        <w:pStyle w:val="Penstart"/>
      </w:pPr>
      <w:r>
        <w:tab/>
        <w:t>Penalty for this subsection: a fine of $5 000.</w:t>
      </w:r>
    </w:p>
    <w:p>
      <w:pPr>
        <w:pStyle w:val="Subsection"/>
      </w:pPr>
      <w:r>
        <w:tab/>
        <w:t>(5)</w:t>
      </w:r>
      <w:r>
        <w:tab/>
        <w:t>If a tenant gives notice under this section, the period of notice must be not less than 7 days before the termination day.</w:t>
      </w:r>
    </w:p>
    <w:p>
      <w:pPr>
        <w:pStyle w:val="Footnotesection"/>
      </w:pPr>
      <w:r>
        <w:tab/>
        <w:t>[Section 71AB inserted: No. 3 of 2019 s. </w:t>
      </w:r>
      <w:del w:id="1596" w:author="Master Repository Process" w:date="2025-06-25T10:45:00Z">
        <w:r>
          <w:delText>18</w:delText>
        </w:r>
      </w:del>
      <w:ins w:id="1597" w:author="Master Repository Process" w:date="2025-06-25T10:45:00Z">
        <w:r>
          <w:t>18; amended: No. 11 of 2024 s. 35</w:t>
        </w:r>
      </w:ins>
      <w:r>
        <w:t>.]</w:t>
      </w:r>
    </w:p>
    <w:p>
      <w:pPr>
        <w:pStyle w:val="Heading5"/>
      </w:pPr>
      <w:bookmarkStart w:id="1598" w:name="_Toc171694384"/>
      <w:bookmarkStart w:id="1599" w:name="_Toc171339132"/>
      <w:r>
        <w:rPr>
          <w:rStyle w:val="CharSectno"/>
        </w:rPr>
        <w:t>71AC</w:t>
      </w:r>
      <w:r>
        <w:t>.</w:t>
      </w:r>
      <w:r>
        <w:tab/>
        <w:t>Review of notice of termination under s. 71AB</w:t>
      </w:r>
      <w:bookmarkEnd w:id="1598"/>
      <w:bookmarkEnd w:id="1599"/>
    </w:p>
    <w:p>
      <w:pPr>
        <w:pStyle w:val="Subsection"/>
      </w:pPr>
      <w:r>
        <w:tab/>
        <w:t>(1)</w:t>
      </w:r>
      <w:r>
        <w:tab/>
        <w:t xml:space="preserve">In this section — </w:t>
      </w:r>
    </w:p>
    <w:p>
      <w:pPr>
        <w:pStyle w:val="Defstart"/>
      </w:pPr>
      <w:r>
        <w:tab/>
      </w:r>
      <w:r>
        <w:rPr>
          <w:rStyle w:val="CharDefText"/>
        </w:rPr>
        <w:t>terminating tenant</w:t>
      </w:r>
      <w:r>
        <w:t xml:space="preserve"> means a tenant who has given, or purportedly given, notice of termination under section 71AB.</w:t>
      </w:r>
    </w:p>
    <w:p>
      <w:pPr>
        <w:pStyle w:val="Subsection"/>
      </w:pPr>
      <w:r>
        <w:tab/>
        <w:t>(2)</w:t>
      </w:r>
      <w:r>
        <w:tab/>
        <w:t>A lessor may, within 7 days after receiving a notice under section 71AB, apply to a competent court to review whether notice was validly given under that section.</w:t>
      </w:r>
    </w:p>
    <w:p>
      <w:pPr>
        <w:pStyle w:val="Subsection"/>
      </w:pPr>
      <w:r>
        <w:tab/>
        <w:t>(3)</w:t>
      </w:r>
      <w:r>
        <w:tab/>
        <w:t xml:space="preserve">In its review, the court — </w:t>
      </w:r>
    </w:p>
    <w:p>
      <w:pPr>
        <w:pStyle w:val="Indenta"/>
      </w:pPr>
      <w:r>
        <w:tab/>
        <w:t>(a)</w:t>
      </w:r>
      <w:r>
        <w:tab/>
        <w:t>must examine whether the terminating tenant has complied with section 71AB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pPr>
        <w:pStyle w:val="Footnotesection"/>
      </w:pPr>
      <w:r>
        <w:tab/>
        <w:t>[Section 71AC inserted: No. 3 of 2019 s. 18.]</w:t>
      </w:r>
    </w:p>
    <w:p>
      <w:pPr>
        <w:pStyle w:val="Heading5"/>
      </w:pPr>
      <w:bookmarkStart w:id="1600" w:name="_Toc171694385"/>
      <w:bookmarkStart w:id="1601" w:name="_Toc171339133"/>
      <w:r>
        <w:rPr>
          <w:rStyle w:val="CharSectno"/>
        </w:rPr>
        <w:t>71AD</w:t>
      </w:r>
      <w:r>
        <w:t>.</w:t>
      </w:r>
      <w:r>
        <w:tab/>
        <w:t>Rights of co</w:t>
      </w:r>
      <w:r>
        <w:noBreakHyphen/>
        <w:t>tenants after notice under s. 71AB</w:t>
      </w:r>
      <w:bookmarkEnd w:id="1600"/>
      <w:bookmarkEnd w:id="1601"/>
    </w:p>
    <w:p>
      <w:pPr>
        <w:pStyle w:val="Subsection"/>
        <w:keepNext/>
      </w:pPr>
      <w:r>
        <w:tab/>
        <w:t>(1)</w:t>
      </w:r>
      <w:r>
        <w:tab/>
        <w:t xml:space="preserve">In this section — </w:t>
      </w:r>
    </w:p>
    <w:p>
      <w:pPr>
        <w:pStyle w:val="Defstart"/>
      </w:pPr>
      <w:r>
        <w:tab/>
      </w:r>
      <w:r>
        <w:rPr>
          <w:rStyle w:val="CharDefText"/>
        </w:rPr>
        <w:t>co</w:t>
      </w:r>
      <w:r>
        <w:rPr>
          <w:rStyle w:val="CharDefText"/>
        </w:rPr>
        <w:noBreakHyphen/>
        <w:t>tenant</w:t>
      </w:r>
      <w:r>
        <w:t>, in relation to a notice under section 71AB(1), does not include the tenant who gave the notice.</w:t>
      </w:r>
    </w:p>
    <w:p>
      <w:pPr>
        <w:pStyle w:val="Subsection"/>
      </w:pPr>
      <w:r>
        <w:tab/>
        <w:t>(2)</w:t>
      </w:r>
      <w:r>
        <w:tab/>
        <w:t>A lessor must give a copy of a notice received by the lessor under section 71AB(1) to each co</w:t>
      </w:r>
      <w:r>
        <w:noBreakHyphen/>
        <w:t>tenant under the residential tenancy agreement within 7 days after receiving the notice.</w:t>
      </w:r>
    </w:p>
    <w:p>
      <w:pPr>
        <w:pStyle w:val="Subsection"/>
      </w:pPr>
      <w:r>
        <w:tab/>
        <w:t>(3)</w:t>
      </w:r>
      <w:r>
        <w:tab/>
        <w:t>Nothing in subsection (2) requires or permits the lessor to give a copy of a document provided under section 71AB(2)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71AD inserted: No. 3 of 2019 s. 18.]</w:t>
      </w:r>
    </w:p>
    <w:p>
      <w:pPr>
        <w:pStyle w:val="Heading5"/>
      </w:pPr>
      <w:bookmarkStart w:id="1602" w:name="_Toc171694386"/>
      <w:bookmarkStart w:id="1603" w:name="_Toc171339134"/>
      <w:r>
        <w:rPr>
          <w:rStyle w:val="CharSectno"/>
        </w:rPr>
        <w:t>71AE</w:t>
      </w:r>
      <w:r>
        <w:t>.</w:t>
      </w:r>
      <w:r>
        <w:tab/>
        <w:t>Termination of tenant’s interest by court on grounds of family violence</w:t>
      </w:r>
      <w:bookmarkEnd w:id="1602"/>
      <w:bookmarkEnd w:id="1603"/>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tenant’s right of occupancy in premises under a residential tenancy agreement;</w:t>
      </w:r>
    </w:p>
    <w:p>
      <w:pPr>
        <w:pStyle w:val="Defstart"/>
      </w:pPr>
      <w:r>
        <w:tab/>
      </w:r>
      <w:r>
        <w:rPr>
          <w:rStyle w:val="CharDefText"/>
        </w:rPr>
        <w:t>protected tenant</w:t>
      </w:r>
      <w:r>
        <w:t xml:space="preserve"> means a tenant for whose benefit an order is sought or made under subsection (2).</w:t>
      </w:r>
    </w:p>
    <w:p>
      <w:pPr>
        <w:pStyle w:val="Subsection"/>
        <w:keepNext/>
      </w:pPr>
      <w:r>
        <w:tab/>
        <w:t>(2)</w:t>
      </w:r>
      <w:r>
        <w:tab/>
        <w:t xml:space="preserve">Despite any other provision of this Act or another written law, or a requirement under a contract, a court may make an order terminating a tenant’s interest in a residential tenancy agreement if it is satisfied —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court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court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 including, if the premises under the residential tenancy agreement are social housing premises, the ability of the tenant to meet any eligibility criteria for those premises;</w:t>
      </w:r>
    </w:p>
    <w:p>
      <w:pPr>
        <w:pStyle w:val="Indenta"/>
      </w:pPr>
      <w:r>
        <w:tab/>
        <w:t>(c)</w:t>
      </w:r>
      <w:r>
        <w:tab/>
        <w:t>the effect the order might have on the lessor and any tenants other than the protected tenant;</w:t>
      </w:r>
    </w:p>
    <w:p>
      <w:pPr>
        <w:pStyle w:val="Indenta"/>
      </w:pPr>
      <w:r>
        <w:tab/>
        <w:t>(d)</w:t>
      </w:r>
      <w:r>
        <w:tab/>
        <w:t>the effect the order might have on any pets kept on the premises;</w:t>
      </w:r>
    </w:p>
    <w:p>
      <w:pPr>
        <w:pStyle w:val="Indenta"/>
      </w:pPr>
      <w:r>
        <w:tab/>
        <w:t>(e)</w:t>
      </w:r>
      <w:r>
        <w:tab/>
        <w:t>the fact that perpetrators of family violence might seek to misuse the protections offered to tenants and lessors under this Act to further their violence and the need to prevent that misuse.</w:t>
      </w:r>
    </w:p>
    <w:p>
      <w:pPr>
        <w:pStyle w:val="Subsection"/>
      </w:pPr>
      <w:r>
        <w:tab/>
        <w:t>(5)</w:t>
      </w:r>
      <w:r>
        <w:tab/>
        <w:t>The court is to have regard to the matter set out in subsection (4)(a) as being of primary importance.</w:t>
      </w:r>
    </w:p>
    <w:p>
      <w:pPr>
        <w:pStyle w:val="Subsection"/>
      </w:pPr>
      <w:r>
        <w:tab/>
        <w:t>(6)</w:t>
      </w:r>
      <w:r>
        <w:tab/>
        <w:t>The order takes effect on a day specified in the order, being a day that is not less than 7 days and not more than 30 days after the order is made.</w:t>
      </w:r>
    </w:p>
    <w:p>
      <w:pPr>
        <w:pStyle w:val="Subsection"/>
      </w:pPr>
      <w:r>
        <w:tab/>
        <w:t>(7)</w:t>
      </w:r>
      <w:r>
        <w:tab/>
        <w:t>The court may make the order in proceedings under this Act or the Act under which the family violence order is made.</w:t>
      </w:r>
    </w:p>
    <w:p>
      <w:pPr>
        <w:pStyle w:val="Footnotesection"/>
      </w:pPr>
      <w:r>
        <w:tab/>
        <w:t>[Section 71AE inserted: No. 3 of 2019 s. 18.]</w:t>
      </w:r>
    </w:p>
    <w:p>
      <w:pPr>
        <w:pStyle w:val="Heading5"/>
      </w:pPr>
      <w:bookmarkStart w:id="1604" w:name="_Toc171694387"/>
      <w:bookmarkStart w:id="1605" w:name="_Toc171339135"/>
      <w:r>
        <w:rPr>
          <w:rStyle w:val="CharSectno"/>
        </w:rPr>
        <w:t>71AF</w:t>
      </w:r>
      <w:r>
        <w:t>.</w:t>
      </w:r>
      <w:r>
        <w:tab/>
        <w:t>Review of Division</w:t>
      </w:r>
      <w:bookmarkEnd w:id="1604"/>
      <w:bookmarkEnd w:id="1605"/>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71AF inserted: No. 3 of 2019 s. 18.]</w:t>
      </w:r>
    </w:p>
    <w:p>
      <w:pPr>
        <w:pStyle w:val="Heading3"/>
      </w:pPr>
      <w:bookmarkStart w:id="1606" w:name="_Toc171674025"/>
      <w:bookmarkStart w:id="1607" w:name="_Toc171680641"/>
      <w:bookmarkStart w:id="1608" w:name="_Toc171680906"/>
      <w:bookmarkStart w:id="1609" w:name="_Toc171681457"/>
      <w:bookmarkStart w:id="1610" w:name="_Toc171681873"/>
      <w:bookmarkStart w:id="1611" w:name="_Toc171682137"/>
      <w:bookmarkStart w:id="1612" w:name="_Toc171694388"/>
      <w:bookmarkStart w:id="1613" w:name="_Toc171089886"/>
      <w:bookmarkStart w:id="1614" w:name="_Toc171338333"/>
      <w:bookmarkStart w:id="1615" w:name="_Toc171339136"/>
      <w:r>
        <w:rPr>
          <w:rStyle w:val="CharDivNo"/>
        </w:rPr>
        <w:t>Division 3</w:t>
      </w:r>
      <w:r>
        <w:t> — </w:t>
      </w:r>
      <w:r>
        <w:rPr>
          <w:rStyle w:val="CharDivText"/>
        </w:rPr>
        <w:t>Special provisions about terminating social housing tenancy agreements</w:t>
      </w:r>
      <w:bookmarkEnd w:id="1606"/>
      <w:bookmarkEnd w:id="1607"/>
      <w:bookmarkEnd w:id="1608"/>
      <w:bookmarkEnd w:id="1609"/>
      <w:bookmarkEnd w:id="1610"/>
      <w:bookmarkEnd w:id="1611"/>
      <w:bookmarkEnd w:id="1612"/>
      <w:bookmarkEnd w:id="1613"/>
      <w:bookmarkEnd w:id="1614"/>
      <w:bookmarkEnd w:id="1615"/>
    </w:p>
    <w:p>
      <w:pPr>
        <w:pStyle w:val="Footnoteheading"/>
        <w:keepNext/>
      </w:pPr>
      <w:r>
        <w:tab/>
        <w:t>[Heading inserted: No. 60 of 2011 s. 92.]</w:t>
      </w:r>
    </w:p>
    <w:p>
      <w:pPr>
        <w:pStyle w:val="Heading4"/>
      </w:pPr>
      <w:bookmarkStart w:id="1616" w:name="_Toc171674026"/>
      <w:bookmarkStart w:id="1617" w:name="_Toc171680642"/>
      <w:bookmarkStart w:id="1618" w:name="_Toc171680907"/>
      <w:bookmarkStart w:id="1619" w:name="_Toc171681458"/>
      <w:bookmarkStart w:id="1620" w:name="_Toc171681874"/>
      <w:bookmarkStart w:id="1621" w:name="_Toc171682138"/>
      <w:bookmarkStart w:id="1622" w:name="_Toc171694389"/>
      <w:bookmarkStart w:id="1623" w:name="_Toc171089887"/>
      <w:bookmarkStart w:id="1624" w:name="_Toc171338334"/>
      <w:bookmarkStart w:id="1625" w:name="_Toc171339137"/>
      <w:r>
        <w:t>Subdivision 1 — Preliminary</w:t>
      </w:r>
      <w:bookmarkEnd w:id="1616"/>
      <w:bookmarkEnd w:id="1617"/>
      <w:bookmarkEnd w:id="1618"/>
      <w:bookmarkEnd w:id="1619"/>
      <w:bookmarkEnd w:id="1620"/>
      <w:bookmarkEnd w:id="1621"/>
      <w:bookmarkEnd w:id="1622"/>
      <w:bookmarkEnd w:id="1623"/>
      <w:bookmarkEnd w:id="1624"/>
      <w:bookmarkEnd w:id="1625"/>
    </w:p>
    <w:p>
      <w:pPr>
        <w:pStyle w:val="Footnoteheading"/>
      </w:pPr>
      <w:r>
        <w:tab/>
        <w:t>[Heading inserted: No. 60 of 2011 s. 92.]</w:t>
      </w:r>
    </w:p>
    <w:p>
      <w:pPr>
        <w:pStyle w:val="Heading5"/>
      </w:pPr>
      <w:bookmarkStart w:id="1626" w:name="_Toc171694390"/>
      <w:bookmarkStart w:id="1627" w:name="_Toc171339138"/>
      <w:r>
        <w:rPr>
          <w:rStyle w:val="CharSectno"/>
        </w:rPr>
        <w:t>71A</w:t>
      </w:r>
      <w:r>
        <w:t>.</w:t>
      </w:r>
      <w:r>
        <w:tab/>
        <w:t>Terms used</w:t>
      </w:r>
      <w:bookmarkEnd w:id="1626"/>
      <w:bookmarkEnd w:id="1627"/>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1628" w:name="_Toc171694391"/>
      <w:bookmarkStart w:id="1629" w:name="_Toc171339139"/>
      <w:r>
        <w:rPr>
          <w:rStyle w:val="CharSectno"/>
        </w:rPr>
        <w:t>71B</w:t>
      </w:r>
      <w:r>
        <w:t>.</w:t>
      </w:r>
      <w:r>
        <w:tab/>
        <w:t>Application of Division</w:t>
      </w:r>
      <w:bookmarkEnd w:id="1628"/>
      <w:bookmarkEnd w:id="1629"/>
    </w:p>
    <w:p>
      <w:pPr>
        <w:pStyle w:val="Subsection"/>
        <w:keepNext/>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1630" w:name="_Toc171674029"/>
      <w:bookmarkStart w:id="1631" w:name="_Toc171680645"/>
      <w:bookmarkStart w:id="1632" w:name="_Toc171680910"/>
      <w:bookmarkStart w:id="1633" w:name="_Toc171681461"/>
      <w:bookmarkStart w:id="1634" w:name="_Toc171681877"/>
      <w:bookmarkStart w:id="1635" w:name="_Toc171682141"/>
      <w:bookmarkStart w:id="1636" w:name="_Toc171694392"/>
      <w:bookmarkStart w:id="1637" w:name="_Toc171089890"/>
      <w:bookmarkStart w:id="1638" w:name="_Toc171338337"/>
      <w:bookmarkStart w:id="1639" w:name="_Toc171339140"/>
      <w:r>
        <w:t>Subdivision 2 — Notice of termination where tenant not eligible for social housing premises</w:t>
      </w:r>
      <w:bookmarkEnd w:id="1630"/>
      <w:bookmarkEnd w:id="1631"/>
      <w:bookmarkEnd w:id="1632"/>
      <w:bookmarkEnd w:id="1633"/>
      <w:bookmarkEnd w:id="1634"/>
      <w:bookmarkEnd w:id="1635"/>
      <w:bookmarkEnd w:id="1636"/>
      <w:bookmarkEnd w:id="1637"/>
      <w:bookmarkEnd w:id="1638"/>
      <w:bookmarkEnd w:id="1639"/>
    </w:p>
    <w:p>
      <w:pPr>
        <w:pStyle w:val="Footnoteheading"/>
      </w:pPr>
      <w:r>
        <w:tab/>
        <w:t>[Heading inserted: No. 60 of 2011 s. 92.]</w:t>
      </w:r>
    </w:p>
    <w:p>
      <w:pPr>
        <w:pStyle w:val="Heading5"/>
        <w:rPr>
          <w:snapToGrid w:val="0"/>
        </w:rPr>
      </w:pPr>
      <w:bookmarkStart w:id="1640" w:name="_Toc171694393"/>
      <w:bookmarkStart w:id="1641" w:name="_Toc171339141"/>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1640"/>
      <w:bookmarkEnd w:id="1641"/>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1642" w:name="_Toc171694394"/>
      <w:bookmarkStart w:id="1643" w:name="_Toc171339142"/>
      <w:r>
        <w:rPr>
          <w:rStyle w:val="CharSectno"/>
        </w:rPr>
        <w:t>71D</w:t>
      </w:r>
      <w:r>
        <w:t>.</w:t>
      </w:r>
      <w:r>
        <w:tab/>
        <w:t>Assessment of tenants eligibility for social housing premises</w:t>
      </w:r>
      <w:bookmarkEnd w:id="1642"/>
      <w:bookmarkEnd w:id="1643"/>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1644" w:name="_Toc171694395"/>
      <w:bookmarkStart w:id="1645" w:name="_Toc171339143"/>
      <w:r>
        <w:rPr>
          <w:rStyle w:val="CharSectno"/>
        </w:rPr>
        <w:t>71E</w:t>
      </w:r>
      <w:r>
        <w:t>.</w:t>
      </w:r>
      <w:r>
        <w:tab/>
        <w:t>Criteria for assessing eligibility of tenants for social housing premises under s. 71D</w:t>
      </w:r>
      <w:bookmarkEnd w:id="1644"/>
      <w:bookmarkEnd w:id="1645"/>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1646" w:name="_Toc171694396"/>
      <w:bookmarkStart w:id="1647" w:name="_Toc171339144"/>
      <w:r>
        <w:rPr>
          <w:rStyle w:val="CharSectno"/>
        </w:rPr>
        <w:t>71F</w:t>
      </w:r>
      <w:r>
        <w:t>.</w:t>
      </w:r>
      <w:r>
        <w:tab/>
        <w:t>Review of decision to give notice on ground that tenant not eligible for social housing premises</w:t>
      </w:r>
      <w:bookmarkEnd w:id="1646"/>
      <w:bookmarkEnd w:id="1647"/>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keepNext/>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1648" w:name="_Toc171694397"/>
      <w:bookmarkStart w:id="1649" w:name="_Toc171339145"/>
      <w:r>
        <w:rPr>
          <w:rStyle w:val="CharSectno"/>
        </w:rPr>
        <w:t>71G</w:t>
      </w:r>
      <w:r>
        <w:t>.</w:t>
      </w:r>
      <w:r>
        <w:tab/>
        <w:t xml:space="preserve">Time </w:t>
      </w:r>
      <w:r>
        <w:rPr>
          <w:snapToGrid w:val="0"/>
        </w:rPr>
        <w:t>periods to be observed where notice of termination given under this Subdivision</w:t>
      </w:r>
      <w:bookmarkEnd w:id="1648"/>
      <w:bookmarkEnd w:id="1649"/>
    </w:p>
    <w:p>
      <w:pPr>
        <w:pStyle w:val="Subsection"/>
        <w:keepNext/>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1650" w:name="_Toc171674035"/>
      <w:bookmarkStart w:id="1651" w:name="_Toc171680651"/>
      <w:bookmarkStart w:id="1652" w:name="_Toc171680916"/>
      <w:bookmarkStart w:id="1653" w:name="_Toc171681467"/>
      <w:bookmarkStart w:id="1654" w:name="_Toc171681883"/>
      <w:bookmarkStart w:id="1655" w:name="_Toc171682147"/>
      <w:bookmarkStart w:id="1656" w:name="_Toc171694398"/>
      <w:bookmarkStart w:id="1657" w:name="_Toc171089896"/>
      <w:bookmarkStart w:id="1658" w:name="_Toc171338343"/>
      <w:bookmarkStart w:id="1659" w:name="_Toc171339146"/>
      <w:r>
        <w:t>Subdivision 3 — Notice of termination where tenant offered alternative social housing premises</w:t>
      </w:r>
      <w:bookmarkEnd w:id="1650"/>
      <w:bookmarkEnd w:id="1651"/>
      <w:bookmarkEnd w:id="1652"/>
      <w:bookmarkEnd w:id="1653"/>
      <w:bookmarkEnd w:id="1654"/>
      <w:bookmarkEnd w:id="1655"/>
      <w:bookmarkEnd w:id="1656"/>
      <w:bookmarkEnd w:id="1657"/>
      <w:bookmarkEnd w:id="1658"/>
      <w:bookmarkEnd w:id="1659"/>
    </w:p>
    <w:p>
      <w:pPr>
        <w:pStyle w:val="Footnoteheading"/>
        <w:spacing w:before="100"/>
      </w:pPr>
      <w:r>
        <w:tab/>
        <w:t>[Heading inserted: No. 60 of 2011 s. 92.]</w:t>
      </w:r>
    </w:p>
    <w:p>
      <w:pPr>
        <w:pStyle w:val="Heading5"/>
        <w:rPr>
          <w:snapToGrid w:val="0"/>
        </w:rPr>
      </w:pPr>
      <w:bookmarkStart w:id="1660" w:name="_Toc171694399"/>
      <w:bookmarkStart w:id="1661" w:name="_Toc171339147"/>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1660"/>
      <w:bookmarkEnd w:id="1661"/>
    </w:p>
    <w:p>
      <w:pPr>
        <w:pStyle w:val="Subsection"/>
        <w:keepNext/>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No. 60 of 2011 s. 92.]</w:t>
      </w:r>
    </w:p>
    <w:p>
      <w:pPr>
        <w:pStyle w:val="Heading5"/>
      </w:pPr>
      <w:bookmarkStart w:id="1662" w:name="_Toc171694400"/>
      <w:bookmarkStart w:id="1663" w:name="_Toc171339148"/>
      <w:r>
        <w:rPr>
          <w:rStyle w:val="CharSectno"/>
        </w:rPr>
        <w:t>71I</w:t>
      </w:r>
      <w:r>
        <w:t>.</w:t>
      </w:r>
      <w:r>
        <w:tab/>
        <w:t>Review of decision to give notice on ground that tenant offered alternative social housing premises</w:t>
      </w:r>
      <w:bookmarkEnd w:id="1662"/>
      <w:bookmarkEnd w:id="1663"/>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1664" w:name="_Toc171694401"/>
      <w:bookmarkStart w:id="1665" w:name="_Toc171339149"/>
      <w:r>
        <w:rPr>
          <w:rStyle w:val="CharSectno"/>
        </w:rPr>
        <w:t>71J</w:t>
      </w:r>
      <w:r>
        <w:t>.</w:t>
      </w:r>
      <w:r>
        <w:tab/>
        <w:t xml:space="preserve">Time periods to be observed </w:t>
      </w:r>
      <w:r>
        <w:rPr>
          <w:snapToGrid w:val="0"/>
        </w:rPr>
        <w:t xml:space="preserve">where notice of termination given </w:t>
      </w:r>
      <w:r>
        <w:t>under this Subdivision</w:t>
      </w:r>
      <w:bookmarkEnd w:id="1664"/>
      <w:bookmarkEnd w:id="1665"/>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Pr>
      <w:bookmarkStart w:id="1666" w:name="_Toc171674039"/>
      <w:bookmarkStart w:id="1667" w:name="_Toc171680655"/>
      <w:bookmarkStart w:id="1668" w:name="_Toc171680920"/>
      <w:bookmarkStart w:id="1669" w:name="_Toc171681471"/>
      <w:bookmarkStart w:id="1670" w:name="_Toc171681887"/>
      <w:bookmarkStart w:id="1671" w:name="_Toc171682151"/>
      <w:bookmarkStart w:id="1672" w:name="_Toc171694402"/>
      <w:bookmarkStart w:id="1673" w:name="_Toc171089900"/>
      <w:bookmarkStart w:id="1674" w:name="_Toc171338347"/>
      <w:bookmarkStart w:id="1675" w:name="_Toc171339150"/>
      <w:r>
        <w:rPr>
          <w:rStyle w:val="CharDivNo"/>
        </w:rPr>
        <w:t>Division 4</w:t>
      </w:r>
      <w:r>
        <w:t> — </w:t>
      </w:r>
      <w:r>
        <w:rPr>
          <w:rStyle w:val="CharDivText"/>
        </w:rPr>
        <w:t>Orders for termination of residential tenancy agreement</w:t>
      </w:r>
      <w:bookmarkEnd w:id="1666"/>
      <w:bookmarkEnd w:id="1667"/>
      <w:bookmarkEnd w:id="1668"/>
      <w:bookmarkEnd w:id="1669"/>
      <w:bookmarkEnd w:id="1670"/>
      <w:bookmarkEnd w:id="1671"/>
      <w:bookmarkEnd w:id="1672"/>
      <w:bookmarkEnd w:id="1673"/>
      <w:bookmarkEnd w:id="1674"/>
      <w:bookmarkEnd w:id="1675"/>
    </w:p>
    <w:p>
      <w:pPr>
        <w:pStyle w:val="Footnoteheading"/>
      </w:pPr>
      <w:r>
        <w:tab/>
        <w:t>[Heading inserted: No. 60 of 2011 s. 69.]</w:t>
      </w:r>
    </w:p>
    <w:p>
      <w:pPr>
        <w:pStyle w:val="Heading5"/>
        <w:rPr>
          <w:snapToGrid w:val="0"/>
        </w:rPr>
      </w:pPr>
      <w:bookmarkStart w:id="1676" w:name="_Toc171694403"/>
      <w:bookmarkStart w:id="1677" w:name="_Toc171339151"/>
      <w:r>
        <w:rPr>
          <w:rStyle w:val="CharSectno"/>
        </w:rPr>
        <w:t>71</w:t>
      </w:r>
      <w:r>
        <w:rPr>
          <w:snapToGrid w:val="0"/>
        </w:rPr>
        <w:t>.</w:t>
      </w:r>
      <w:r>
        <w:rPr>
          <w:snapToGrid w:val="0"/>
        </w:rPr>
        <w:tab/>
        <w:t>Application by lessor for termination and order for possession</w:t>
      </w:r>
      <w:bookmarkEnd w:id="1676"/>
      <w:bookmarkEnd w:id="1677"/>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keepNext/>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keepNext/>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pPr>
      <w:r>
        <w:tab/>
        <w:t>(i)</w:t>
      </w:r>
      <w:r>
        <w:tab/>
        <w:t>that giving the notice is retaliatory action taken by the lessor against the tenant because of a matter mentioned in section 26B(2)(a), (b) or (c);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No. 50 of 1988 s. 18; No. 59 of 1995 s. 51; No. 59 of 2004 s. 120; No. 20 of 2005 s. 23; No. 60 of 2011 s. 70, 88, 89 and 93; No. 11 of 2024 s. 36.] </w:t>
      </w:r>
    </w:p>
    <w:p>
      <w:pPr>
        <w:pStyle w:val="Heading5"/>
        <w:rPr>
          <w:snapToGrid w:val="0"/>
        </w:rPr>
      </w:pPr>
      <w:bookmarkStart w:id="1678" w:name="_Toc171694404"/>
      <w:bookmarkStart w:id="1679" w:name="_Toc171339152"/>
      <w:r>
        <w:rPr>
          <w:rStyle w:val="CharSectno"/>
        </w:rPr>
        <w:t>72</w:t>
      </w:r>
      <w:r>
        <w:rPr>
          <w:snapToGrid w:val="0"/>
        </w:rPr>
        <w:t>.</w:t>
      </w:r>
      <w:r>
        <w:rPr>
          <w:snapToGrid w:val="0"/>
        </w:rPr>
        <w:tab/>
        <w:t>Application for termination and order for possession in relation to fixed term agreements</w:t>
      </w:r>
      <w:bookmarkEnd w:id="1678"/>
      <w:bookmarkEnd w:id="1679"/>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keepNext/>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keepNext/>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1680" w:name="_Toc171694405"/>
      <w:bookmarkStart w:id="1681" w:name="_Toc171339153"/>
      <w:r>
        <w:rPr>
          <w:rStyle w:val="CharSectno"/>
        </w:rPr>
        <w:t>73A</w:t>
      </w:r>
      <w:r>
        <w:t>.</w:t>
      </w:r>
      <w:r>
        <w:tab/>
        <w:t>Notice of termination not required in certain cases</w:t>
      </w:r>
      <w:bookmarkEnd w:id="1680"/>
      <w:bookmarkEnd w:id="1681"/>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1682" w:name="_Toc171694406"/>
      <w:bookmarkStart w:id="1683" w:name="_Toc171339154"/>
      <w:r>
        <w:rPr>
          <w:rStyle w:val="CharSectno"/>
        </w:rPr>
        <w:t>73</w:t>
      </w:r>
      <w:r>
        <w:rPr>
          <w:snapToGrid w:val="0"/>
        </w:rPr>
        <w:t>.</w:t>
      </w:r>
      <w:r>
        <w:rPr>
          <w:snapToGrid w:val="0"/>
        </w:rPr>
        <w:tab/>
        <w:t>Termination of agreement where tenant causing serious damage or injury</w:t>
      </w:r>
      <w:bookmarkEnd w:id="1682"/>
      <w:bookmarkEnd w:id="1683"/>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 </w:t>
      </w:r>
    </w:p>
    <w:p>
      <w:pPr>
        <w:pStyle w:val="Indenta"/>
        <w:rPr>
          <w:snapToGrid w:val="0"/>
        </w:rPr>
      </w:pPr>
      <w:r>
        <w:rPr>
          <w:snapToGrid w:val="0"/>
        </w:rPr>
        <w:tab/>
        <w:t>(a)</w:t>
      </w:r>
      <w:r>
        <w:rPr>
          <w:snapToGrid w:val="0"/>
        </w:rPr>
        <w:tab/>
        <w:t xml:space="preserve">serious damage to the premises or, where relevant, a </w:t>
      </w:r>
      <w:r>
        <w:t>common area or chattels in the common area</w:t>
      </w:r>
      <w:r>
        <w:rPr>
          <w:snapToGrid w:val="0"/>
        </w:rPr>
        <w:t>; or</w:t>
      </w:r>
    </w:p>
    <w:p>
      <w:pPr>
        <w:pStyle w:val="Indenta"/>
        <w:rPr>
          <w:snapToGrid w:val="0"/>
        </w:rPr>
      </w:pPr>
      <w:r>
        <w:rPr>
          <w:snapToGrid w:val="0"/>
        </w:rPr>
        <w:tab/>
        <w:t>(b)</w:t>
      </w:r>
      <w:r>
        <w:rPr>
          <w:snapToGrid w:val="0"/>
        </w:rPr>
        <w:tab/>
        <w:t xml:space="preserve">injury to — </w:t>
      </w:r>
    </w:p>
    <w:p>
      <w:pPr>
        <w:pStyle w:val="Indenti"/>
      </w:pPr>
      <w:r>
        <w:tab/>
        <w:t>(i)</w:t>
      </w:r>
      <w:r>
        <w:tab/>
      </w:r>
      <w:r>
        <w:rPr>
          <w:snapToGrid w:val="0"/>
        </w:rPr>
        <w:t>the</w:t>
      </w:r>
      <w:r>
        <w:t xml:space="preserve"> lessor; or </w:t>
      </w:r>
    </w:p>
    <w:p>
      <w:pPr>
        <w:pStyle w:val="Indenti"/>
        <w:rPr>
          <w:snapToGrid w:val="0"/>
        </w:rPr>
      </w:pPr>
      <w:r>
        <w:tab/>
        <w:t>(ii)</w:t>
      </w:r>
      <w:r>
        <w:tab/>
        <w:t>the property manager of the premises;</w:t>
      </w:r>
      <w:r>
        <w:rPr>
          <w:snapToGrid w:val="0"/>
        </w:rPr>
        <w:t xml:space="preserve"> or </w:t>
      </w:r>
    </w:p>
    <w:p>
      <w:pPr>
        <w:pStyle w:val="Indenti"/>
        <w:rPr>
          <w:snapToGrid w:val="0"/>
        </w:rPr>
      </w:pPr>
      <w:r>
        <w:rPr>
          <w:snapToGrid w:val="0"/>
        </w:rPr>
        <w:tab/>
        <w:t>(iii)</w:t>
      </w:r>
      <w:r>
        <w:rPr>
          <w:snapToGrid w:val="0"/>
        </w:rPr>
        <w:tab/>
        <w:t>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No. 50 of 1988 s. 18; No. 59 of 2004 s. 120; No. 60 of 2011 s. 72, 88 and 89; No. 25 of 2019 s. 69.] </w:t>
      </w:r>
    </w:p>
    <w:p>
      <w:pPr>
        <w:pStyle w:val="Heading5"/>
        <w:rPr>
          <w:snapToGrid w:val="0"/>
        </w:rPr>
      </w:pPr>
      <w:bookmarkStart w:id="1684" w:name="_Toc171694407"/>
      <w:bookmarkStart w:id="1685" w:name="_Toc171339155"/>
      <w:r>
        <w:rPr>
          <w:rStyle w:val="CharSectno"/>
        </w:rPr>
        <w:t>74</w:t>
      </w:r>
      <w:r>
        <w:rPr>
          <w:snapToGrid w:val="0"/>
        </w:rPr>
        <w:t>.</w:t>
      </w:r>
      <w:r>
        <w:rPr>
          <w:snapToGrid w:val="0"/>
        </w:rPr>
        <w:tab/>
        <w:t>Termination of agreement where lessor or tenant would otherwise suffer undue hardship</w:t>
      </w:r>
      <w:bookmarkEnd w:id="1684"/>
      <w:bookmarkEnd w:id="1685"/>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1686" w:name="_Toc171694408"/>
      <w:bookmarkStart w:id="1687" w:name="_Toc171339156"/>
      <w:r>
        <w:rPr>
          <w:rStyle w:val="CharSectno"/>
        </w:rPr>
        <w:t>75A</w:t>
      </w:r>
      <w:r>
        <w:t>.</w:t>
      </w:r>
      <w:r>
        <w:tab/>
        <w:t>Termination of social housing tenancy agreement due to objectionable behaviour</w:t>
      </w:r>
      <w:bookmarkEnd w:id="1686"/>
      <w:bookmarkEnd w:id="1687"/>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1688" w:name="_Toc171694409"/>
      <w:bookmarkStart w:id="1689" w:name="_Toc171339157"/>
      <w:r>
        <w:rPr>
          <w:rStyle w:val="CharSectno"/>
        </w:rPr>
        <w:t>75</w:t>
      </w:r>
      <w:r>
        <w:rPr>
          <w:snapToGrid w:val="0"/>
        </w:rPr>
        <w:t>.</w:t>
      </w:r>
      <w:r>
        <w:rPr>
          <w:snapToGrid w:val="0"/>
        </w:rPr>
        <w:tab/>
        <w:t>Termination of agreement for breach by lessor</w:t>
      </w:r>
      <w:bookmarkEnd w:id="1688"/>
      <w:bookmarkEnd w:id="1689"/>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keepNext/>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1690" w:name="_Toc171694410"/>
      <w:bookmarkStart w:id="1691" w:name="_Toc171339158"/>
      <w:r>
        <w:rPr>
          <w:rStyle w:val="CharSectno"/>
        </w:rPr>
        <w:t>76A</w:t>
      </w:r>
      <w:r>
        <w:t>.</w:t>
      </w:r>
      <w:r>
        <w:tab/>
        <w:t>Termination of agreement by lessor if premises abandoned</w:t>
      </w:r>
      <w:bookmarkEnd w:id="1690"/>
      <w:bookmarkEnd w:id="1691"/>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 xml:space="preserve">The notice must be in </w:t>
      </w:r>
      <w:del w:id="1692" w:author="Master Repository Process" w:date="2025-06-25T10:45:00Z">
        <w:r>
          <w:delText>a form</w:delText>
        </w:r>
      </w:del>
      <w:ins w:id="1693" w:author="Master Repository Process" w:date="2025-06-25T10:45:00Z">
        <w:r>
          <w:t>the</w:t>
        </w:r>
      </w:ins>
      <w:r>
        <w:t xml:space="preserve"> approved </w:t>
      </w:r>
      <w:del w:id="1694" w:author="Master Repository Process" w:date="2025-06-25T10:45:00Z">
        <w:r>
          <w:delText xml:space="preserve">by the Minister </w:delText>
        </w:r>
      </w:del>
      <w:ins w:id="1695" w:author="Master Repository Process" w:date="2025-06-25T10:45:00Z">
        <w:r>
          <w:t xml:space="preserve">form </w:t>
        </w:r>
      </w:ins>
      <w:r>
        <w:t>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w:t>
      </w:r>
      <w:del w:id="1696" w:author="Master Repository Process" w:date="2025-06-25T10:45:00Z">
        <w:r>
          <w:delText>74</w:delText>
        </w:r>
      </w:del>
      <w:ins w:id="1697" w:author="Master Repository Process" w:date="2025-06-25T10:45:00Z">
        <w:r>
          <w:t>74; amended: No. 11 of 2024 s. 37</w:t>
        </w:r>
      </w:ins>
      <w:r>
        <w:t>.]</w:t>
      </w:r>
    </w:p>
    <w:p>
      <w:pPr>
        <w:pStyle w:val="Heading5"/>
      </w:pPr>
      <w:bookmarkStart w:id="1698" w:name="_Toc171694411"/>
      <w:bookmarkStart w:id="1699" w:name="_Toc171339159"/>
      <w:r>
        <w:rPr>
          <w:rStyle w:val="CharSectno"/>
        </w:rPr>
        <w:t>76B</w:t>
      </w:r>
      <w:r>
        <w:t>.</w:t>
      </w:r>
      <w:r>
        <w:tab/>
        <w:t>Dispute about s. 76A notice</w:t>
      </w:r>
      <w:bookmarkEnd w:id="1698"/>
      <w:bookmarkEnd w:id="1699"/>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keepNext/>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3"/>
      </w:pPr>
      <w:bookmarkStart w:id="1700" w:name="_Toc171674049"/>
      <w:bookmarkStart w:id="1701" w:name="_Toc171680665"/>
      <w:bookmarkStart w:id="1702" w:name="_Toc171680930"/>
      <w:bookmarkStart w:id="1703" w:name="_Toc171681481"/>
      <w:bookmarkStart w:id="1704" w:name="_Toc171681897"/>
      <w:bookmarkStart w:id="1705" w:name="_Toc171682161"/>
      <w:bookmarkStart w:id="1706" w:name="_Toc171694412"/>
      <w:bookmarkStart w:id="1707" w:name="_Toc171089910"/>
      <w:bookmarkStart w:id="1708" w:name="_Toc171338357"/>
      <w:bookmarkStart w:id="1709" w:name="_Toc171339160"/>
      <w:r>
        <w:rPr>
          <w:rStyle w:val="CharDivNo"/>
        </w:rPr>
        <w:t>Division 5</w:t>
      </w:r>
      <w:r>
        <w:t> — </w:t>
      </w:r>
      <w:r>
        <w:rPr>
          <w:rStyle w:val="CharDivText"/>
        </w:rPr>
        <w:t>General</w:t>
      </w:r>
      <w:bookmarkEnd w:id="1700"/>
      <w:bookmarkEnd w:id="1701"/>
      <w:bookmarkEnd w:id="1702"/>
      <w:bookmarkEnd w:id="1703"/>
      <w:bookmarkEnd w:id="1704"/>
      <w:bookmarkEnd w:id="1705"/>
      <w:bookmarkEnd w:id="1706"/>
      <w:bookmarkEnd w:id="1707"/>
      <w:bookmarkEnd w:id="1708"/>
      <w:bookmarkEnd w:id="1709"/>
    </w:p>
    <w:p>
      <w:pPr>
        <w:pStyle w:val="Footnoteheading"/>
        <w:keepNext/>
        <w:spacing w:before="80"/>
      </w:pPr>
      <w:r>
        <w:tab/>
        <w:t>[Heading inserted: No. 60 of 2011 s. 74.]</w:t>
      </w:r>
    </w:p>
    <w:p>
      <w:pPr>
        <w:pStyle w:val="Heading5"/>
      </w:pPr>
      <w:bookmarkStart w:id="1710" w:name="_Toc171694413"/>
      <w:bookmarkStart w:id="1711" w:name="_Toc171339161"/>
      <w:r>
        <w:rPr>
          <w:rStyle w:val="CharSectno"/>
        </w:rPr>
        <w:t>76C</w:t>
      </w:r>
      <w:r>
        <w:t>.</w:t>
      </w:r>
      <w:r>
        <w:tab/>
        <w:t>Fixed term tenancies continued as periodic tenancies</w:t>
      </w:r>
      <w:bookmarkEnd w:id="1710"/>
      <w:bookmarkEnd w:id="1711"/>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1712" w:name="_Toc171694414"/>
      <w:bookmarkStart w:id="1713" w:name="_Toc171339162"/>
      <w:r>
        <w:rPr>
          <w:rStyle w:val="CharSectno"/>
        </w:rPr>
        <w:t>76</w:t>
      </w:r>
      <w:r>
        <w:rPr>
          <w:snapToGrid w:val="0"/>
        </w:rPr>
        <w:t>.</w:t>
      </w:r>
      <w:r>
        <w:rPr>
          <w:snapToGrid w:val="0"/>
        </w:rPr>
        <w:tab/>
        <w:t>Compensation to lessor for holding over</w:t>
      </w:r>
      <w:bookmarkEnd w:id="1712"/>
      <w:bookmarkEnd w:id="1713"/>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No. 50 of 1988 s. 18; No. 59 of 2004 s. 120(1) and (3); No. 60 of 2011 s. 89.] </w:t>
      </w:r>
    </w:p>
    <w:p>
      <w:pPr>
        <w:pStyle w:val="Heading5"/>
      </w:pPr>
      <w:bookmarkStart w:id="1714" w:name="_Toc171694415"/>
      <w:bookmarkStart w:id="1715" w:name="_Toc171339163"/>
      <w:r>
        <w:rPr>
          <w:rStyle w:val="CharSectno"/>
        </w:rPr>
        <w:t>77</w:t>
      </w:r>
      <w:r>
        <w:t>.</w:t>
      </w:r>
      <w:r>
        <w:tab/>
        <w:t>Abandonment of premises</w:t>
      </w:r>
      <w:bookmarkEnd w:id="1714"/>
      <w:bookmarkEnd w:id="1715"/>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 xml:space="preserve">The notice under subsection (1) must be in </w:t>
      </w:r>
      <w:del w:id="1716" w:author="Master Repository Process" w:date="2025-06-25T10:45:00Z">
        <w:r>
          <w:delText>a form</w:delText>
        </w:r>
      </w:del>
      <w:ins w:id="1717" w:author="Master Repository Process" w:date="2025-06-25T10:45:00Z">
        <w:r>
          <w:t>the</w:t>
        </w:r>
      </w:ins>
      <w:r>
        <w:t xml:space="preserve"> approved </w:t>
      </w:r>
      <w:del w:id="1718" w:author="Master Repository Process" w:date="2025-06-25T10:45:00Z">
        <w:r>
          <w:delText>by the Minister</w:delText>
        </w:r>
      </w:del>
      <w:ins w:id="1719" w:author="Master Repository Process" w:date="2025-06-25T10:45:00Z">
        <w:r>
          <w:t>form</w:t>
        </w:r>
      </w:ins>
      <w:r>
        <w:t>.</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No. 60 of 2011 s. </w:t>
      </w:r>
      <w:del w:id="1720" w:author="Master Repository Process" w:date="2025-06-25T10:45:00Z">
        <w:r>
          <w:delText>75</w:delText>
        </w:r>
      </w:del>
      <w:ins w:id="1721" w:author="Master Repository Process" w:date="2025-06-25T10:45:00Z">
        <w:r>
          <w:t>75; amended: No. 11 of 2024 s. 39</w:t>
        </w:r>
      </w:ins>
      <w:r>
        <w:t>.]</w:t>
      </w:r>
    </w:p>
    <w:p>
      <w:pPr>
        <w:pStyle w:val="Heading5"/>
      </w:pPr>
      <w:bookmarkStart w:id="1722" w:name="_Toc171694416"/>
      <w:bookmarkStart w:id="1723" w:name="_Toc171339164"/>
      <w:r>
        <w:rPr>
          <w:rStyle w:val="CharSectno"/>
        </w:rPr>
        <w:t>78A</w:t>
      </w:r>
      <w:r>
        <w:t>.</w:t>
      </w:r>
      <w:r>
        <w:tab/>
        <w:t>Order about abandonment</w:t>
      </w:r>
      <w:bookmarkEnd w:id="1722"/>
      <w:bookmarkEnd w:id="1723"/>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keepNext/>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1724" w:name="_Toc171694417"/>
      <w:bookmarkStart w:id="1725" w:name="_Toc171339165"/>
      <w:r>
        <w:rPr>
          <w:rStyle w:val="CharSectno"/>
        </w:rPr>
        <w:t>78B</w:t>
      </w:r>
      <w:r>
        <w:t>.</w:t>
      </w:r>
      <w:r>
        <w:tab/>
        <w:t>Review of abandonment order</w:t>
      </w:r>
      <w:bookmarkEnd w:id="1724"/>
      <w:bookmarkEnd w:id="1725"/>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No. 60 of 2011 s. 75.]</w:t>
      </w:r>
    </w:p>
    <w:p>
      <w:pPr>
        <w:pStyle w:val="Heading5"/>
        <w:rPr>
          <w:snapToGrid w:val="0"/>
        </w:rPr>
      </w:pPr>
      <w:bookmarkStart w:id="1726" w:name="_Toc171694418"/>
      <w:bookmarkStart w:id="1727" w:name="_Toc171339166"/>
      <w:r>
        <w:rPr>
          <w:rStyle w:val="CharSectno"/>
        </w:rPr>
        <w:t>78</w:t>
      </w:r>
      <w:r>
        <w:rPr>
          <w:snapToGrid w:val="0"/>
        </w:rPr>
        <w:t>.</w:t>
      </w:r>
      <w:r>
        <w:rPr>
          <w:snapToGrid w:val="0"/>
        </w:rPr>
        <w:tab/>
      </w:r>
      <w:r>
        <w:rPr>
          <w:bCs/>
        </w:rPr>
        <w:t>Right of lessor to compensation where tenant abandons premises</w:t>
      </w:r>
      <w:bookmarkEnd w:id="1726"/>
      <w:bookmarkEnd w:id="1727"/>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1728" w:name="_Toc171694419"/>
      <w:bookmarkStart w:id="1729" w:name="_Toc171339167"/>
      <w:r>
        <w:rPr>
          <w:rStyle w:val="CharSectno"/>
        </w:rPr>
        <w:t>79</w:t>
      </w:r>
      <w:r>
        <w:rPr>
          <w:snapToGrid w:val="0"/>
        </w:rPr>
        <w:t>.</w:t>
      </w:r>
      <w:r>
        <w:rPr>
          <w:snapToGrid w:val="0"/>
        </w:rPr>
        <w:tab/>
        <w:t>Abandoned goods</w:t>
      </w:r>
      <w:bookmarkEnd w:id="1728"/>
      <w:bookmarkEnd w:id="1729"/>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keepNext/>
      </w:pPr>
      <w:r>
        <w:tab/>
        <w:t>(3)</w:t>
      </w:r>
      <w:r>
        <w:tab/>
        <w:t xml:space="preserve">A lessor who stores goods under subsection (2) must cause notice in or to the effect of the </w:t>
      </w:r>
      <w:del w:id="1730" w:author="Master Repository Process" w:date="2025-06-25T10:45:00Z">
        <w:r>
          <w:delText>form approved by the Commissioner for the purposes of this subsection —</w:delText>
        </w:r>
      </w:del>
      <w:ins w:id="1731" w:author="Master Repository Process" w:date="2025-06-25T10:45:00Z">
        <w:r>
          <w:t xml:space="preserve">approved form — </w:t>
        </w:r>
      </w:ins>
      <w:r>
        <w:t xml:space="preserve"> </w:t>
      </w:r>
    </w:p>
    <w:p>
      <w:pPr>
        <w:pStyle w:val="Indenta"/>
      </w:pPr>
      <w:r>
        <w:tab/>
        <w:t>(a)</w:t>
      </w:r>
      <w:r>
        <w:tab/>
        <w:t>to be given to the tenant within 7 days after the day on which the goods were stored; or</w:t>
      </w:r>
    </w:p>
    <w:p>
      <w:pPr>
        <w:pStyle w:val="Indenta"/>
        <w:keepNext/>
      </w:pPr>
      <w:r>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keepNext/>
        <w:rPr>
          <w:snapToGrid w:val="0"/>
        </w:rPr>
      </w:pPr>
      <w:r>
        <w:rPr>
          <w:snapToGrid w:val="0"/>
        </w:rPr>
        <w:tab/>
        <w:t>(6)</w:t>
      </w:r>
      <w:r>
        <w:rPr>
          <w:snapToGrid w:val="0"/>
        </w:rPr>
        <w:tab/>
        <w:t>Where — </w:t>
      </w:r>
    </w:p>
    <w:p>
      <w:pPr>
        <w:pStyle w:val="Indenta"/>
        <w:keepNext/>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keepNext/>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[Section 79 amended: No. 50 of 1988 s. 14 and 18; No. 59 of 1995 s. 56; No. 59 of 2004 s. 120 and 121; No. 77 of 2006 Sch. 1 cl. 149(1) and (5); No. 60 of 2011 s. 76, 88 and 89; No. 42 of 2016 s. </w:t>
      </w:r>
      <w:del w:id="1732" w:author="Master Repository Process" w:date="2025-06-25T10:45:00Z">
        <w:r>
          <w:delText>5</w:delText>
        </w:r>
      </w:del>
      <w:ins w:id="1733" w:author="Master Repository Process" w:date="2025-06-25T10:45:00Z">
        <w:r>
          <w:t>5; No. 11 of 2024 s. 40</w:t>
        </w:r>
      </w:ins>
      <w:r>
        <w:t xml:space="preserve">.] </w:t>
      </w:r>
    </w:p>
    <w:p>
      <w:pPr>
        <w:pStyle w:val="Heading5"/>
      </w:pPr>
      <w:bookmarkStart w:id="1734" w:name="_Toc171694420"/>
      <w:bookmarkStart w:id="1735" w:name="_Toc171339168"/>
      <w:r>
        <w:rPr>
          <w:rStyle w:val="CharSectno"/>
        </w:rPr>
        <w:t>80A</w:t>
      </w:r>
      <w:r>
        <w:t>.</w:t>
      </w:r>
      <w:r>
        <w:tab/>
        <w:t>Abandoned documents</w:t>
      </w:r>
      <w:bookmarkEnd w:id="1734"/>
      <w:bookmarkEnd w:id="1735"/>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for this subsection: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keepNext/>
      </w:pPr>
      <w:r>
        <w:tab/>
        <w:t>(b)</w:t>
      </w:r>
      <w:r>
        <w:tab/>
        <w:t>as to when and from where the document may be collected.</w:t>
      </w:r>
    </w:p>
    <w:p>
      <w:pPr>
        <w:pStyle w:val="Penstart"/>
      </w:pPr>
      <w:r>
        <w:tab/>
        <w:t>Penalty for this subsection: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for this subsection: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No. 60 of 2011 s. 77; amended: No. 3 of 2019 s. 25.] </w:t>
      </w:r>
    </w:p>
    <w:p>
      <w:pPr>
        <w:pStyle w:val="Heading5"/>
        <w:rPr>
          <w:snapToGrid w:val="0"/>
        </w:rPr>
      </w:pPr>
      <w:bookmarkStart w:id="1736" w:name="_Toc171694421"/>
      <w:bookmarkStart w:id="1737" w:name="_Toc171339169"/>
      <w:r>
        <w:rPr>
          <w:rStyle w:val="CharSectno"/>
        </w:rPr>
        <w:t>80</w:t>
      </w:r>
      <w:r>
        <w:rPr>
          <w:snapToGrid w:val="0"/>
        </w:rPr>
        <w:t>.</w:t>
      </w:r>
      <w:r>
        <w:rPr>
          <w:snapToGrid w:val="0"/>
        </w:rPr>
        <w:tab/>
        <w:t>Recovery of possession of premises prohibited except by court order</w:t>
      </w:r>
      <w:bookmarkEnd w:id="1736"/>
      <w:bookmarkEnd w:id="1737"/>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No. 50 of 1988 s. 18; No. 59 of 1995 s. 55; No. 59 of 2004 s. 120(1); No. 60 of 2011 s. 78 and 88.] </w:t>
      </w:r>
    </w:p>
    <w:p>
      <w:pPr>
        <w:pStyle w:val="Heading5"/>
      </w:pPr>
      <w:bookmarkStart w:id="1738" w:name="_Toc171694422"/>
      <w:bookmarkStart w:id="1739" w:name="_Toc171339170"/>
      <w:r>
        <w:rPr>
          <w:rStyle w:val="CharSectno"/>
        </w:rPr>
        <w:t>81A</w:t>
      </w:r>
      <w:r>
        <w:t>.</w:t>
      </w:r>
      <w:r>
        <w:tab/>
        <w:t>Mortgagee repossessions of rented properties</w:t>
      </w:r>
      <w:bookmarkEnd w:id="1738"/>
      <w:bookmarkEnd w:id="1739"/>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60(1)(e),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 xml:space="preserve">The notice to vacate must be in </w:t>
      </w:r>
      <w:del w:id="1740" w:author="Master Repository Process" w:date="2025-06-25T10:45:00Z">
        <w:r>
          <w:delText>a form</w:delText>
        </w:r>
      </w:del>
      <w:ins w:id="1741" w:author="Master Repository Process" w:date="2025-06-25T10:45:00Z">
        <w:r>
          <w:t>the</w:t>
        </w:r>
      </w:ins>
      <w:r>
        <w:t xml:space="preserve"> approved </w:t>
      </w:r>
      <w:del w:id="1742" w:author="Master Repository Process" w:date="2025-06-25T10:45:00Z">
        <w:r>
          <w:delText>by the Minister</w:delText>
        </w:r>
      </w:del>
      <w:ins w:id="1743" w:author="Master Repository Process" w:date="2025-06-25T10:45:00Z">
        <w:r>
          <w:t>form</w:t>
        </w:r>
      </w:ins>
      <w:r>
        <w:t xml:space="preserve">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keepNext/>
        <w:keepLines/>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keepNext/>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[Section 81A inserted: No. 60 of 2011 s. 79; amended: No. 3 of 2019 s. </w:t>
      </w:r>
      <w:del w:id="1744" w:author="Master Repository Process" w:date="2025-06-25T10:45:00Z">
        <w:r>
          <w:delText>19</w:delText>
        </w:r>
      </w:del>
      <w:ins w:id="1745" w:author="Master Repository Process" w:date="2025-06-25T10:45:00Z">
        <w:r>
          <w:t>19; No. 11 of 2024 s. 41</w:t>
        </w:r>
      </w:ins>
      <w:r>
        <w:t xml:space="preserve">.] </w:t>
      </w:r>
    </w:p>
    <w:p>
      <w:pPr>
        <w:pStyle w:val="Heading5"/>
      </w:pPr>
      <w:bookmarkStart w:id="1746" w:name="_Toc171694423"/>
      <w:bookmarkStart w:id="1747" w:name="_Toc171339171"/>
      <w:r>
        <w:rPr>
          <w:rStyle w:val="CharSectno"/>
        </w:rPr>
        <w:t>81B</w:t>
      </w:r>
      <w:r>
        <w:t>.</w:t>
      </w:r>
      <w:r>
        <w:tab/>
        <w:t>Notice of proposed recovery of premises by person with superior title</w:t>
      </w:r>
      <w:bookmarkEnd w:id="1746"/>
      <w:bookmarkEnd w:id="1747"/>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keepNext/>
      </w:pPr>
      <w:r>
        <w:tab/>
        <w:t>(2)</w:t>
      </w:r>
      <w:r>
        <w:tab/>
        <w:t>The court must not make an order for possession unless it is satisfied —</w:t>
      </w:r>
    </w:p>
    <w:p>
      <w:pPr>
        <w:pStyle w:val="Indenta"/>
        <w:keepNext/>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w:t>
      </w:r>
      <w:del w:id="1748" w:author="Master Repository Process" w:date="2025-06-25T10:45:00Z">
        <w:r>
          <w:delText>, in a form approved by the Minister,</w:delText>
        </w:r>
      </w:del>
      <w:r>
        <w:t xml:space="preserve"> of the proceedings</w:t>
      </w:r>
      <w:ins w:id="1749" w:author="Master Repository Process" w:date="2025-06-25T10:45:00Z">
        <w:r>
          <w:t>, in the approved form,</w:t>
        </w:r>
      </w:ins>
      <w:r>
        <w:t xml:space="preserve">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[Section 81B inserted: No. 60 of 2011 s. </w:t>
      </w:r>
      <w:del w:id="1750" w:author="Master Repository Process" w:date="2025-06-25T10:45:00Z">
        <w:r>
          <w:delText>79</w:delText>
        </w:r>
      </w:del>
      <w:ins w:id="1751" w:author="Master Repository Process" w:date="2025-06-25T10:45:00Z">
        <w:r>
          <w:t>79; amended: No. 11 of 2024 s. 42</w:t>
        </w:r>
      </w:ins>
      <w:r>
        <w:t xml:space="preserve">.] </w:t>
      </w:r>
    </w:p>
    <w:p>
      <w:pPr>
        <w:pStyle w:val="Heading5"/>
      </w:pPr>
      <w:bookmarkStart w:id="1752" w:name="_Toc171694424"/>
      <w:bookmarkStart w:id="1753" w:name="_Toc171339172"/>
      <w:r>
        <w:rPr>
          <w:rStyle w:val="CharSectno"/>
        </w:rPr>
        <w:t>81</w:t>
      </w:r>
      <w:r>
        <w:t>.</w:t>
      </w:r>
      <w:r>
        <w:tab/>
        <w:t>Order for tenancy against person with superior title</w:t>
      </w:r>
      <w:bookmarkEnd w:id="1752"/>
      <w:bookmarkEnd w:id="1753"/>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pPr>
      <w:bookmarkStart w:id="1754" w:name="_Toc171674062"/>
      <w:bookmarkStart w:id="1755" w:name="_Toc171680678"/>
      <w:bookmarkStart w:id="1756" w:name="_Toc171680943"/>
      <w:bookmarkStart w:id="1757" w:name="_Toc171681494"/>
      <w:bookmarkStart w:id="1758" w:name="_Toc171681910"/>
      <w:bookmarkStart w:id="1759" w:name="_Toc171682174"/>
      <w:bookmarkStart w:id="1760" w:name="_Toc171694425"/>
      <w:bookmarkStart w:id="1761" w:name="_Toc171089923"/>
      <w:bookmarkStart w:id="1762" w:name="_Toc171338370"/>
      <w:bookmarkStart w:id="1763" w:name="_Toc171339173"/>
      <w:r>
        <w:rPr>
          <w:rStyle w:val="CharPartNo"/>
        </w:rPr>
        <w:t>Part VIA</w:t>
      </w:r>
      <w:r>
        <w:t> — </w:t>
      </w:r>
      <w:r>
        <w:rPr>
          <w:rStyle w:val="CharPartText"/>
        </w:rPr>
        <w:t>Residential tenancy databases</w:t>
      </w:r>
      <w:bookmarkEnd w:id="1754"/>
      <w:bookmarkEnd w:id="1755"/>
      <w:bookmarkEnd w:id="1756"/>
      <w:bookmarkEnd w:id="1757"/>
      <w:bookmarkEnd w:id="1758"/>
      <w:bookmarkEnd w:id="1759"/>
      <w:bookmarkEnd w:id="1760"/>
      <w:bookmarkEnd w:id="1761"/>
      <w:bookmarkEnd w:id="1762"/>
      <w:bookmarkEnd w:id="1763"/>
    </w:p>
    <w:p>
      <w:pPr>
        <w:pStyle w:val="Footnoteheading"/>
      </w:pPr>
      <w:r>
        <w:tab/>
        <w:t xml:space="preserve">[Heading inserted: No. 60 of 2011 s. 96.] </w:t>
      </w:r>
    </w:p>
    <w:p>
      <w:pPr>
        <w:pStyle w:val="Heading3"/>
      </w:pPr>
      <w:bookmarkStart w:id="1764" w:name="_Toc171674063"/>
      <w:bookmarkStart w:id="1765" w:name="_Toc171680679"/>
      <w:bookmarkStart w:id="1766" w:name="_Toc171680944"/>
      <w:bookmarkStart w:id="1767" w:name="_Toc171681495"/>
      <w:bookmarkStart w:id="1768" w:name="_Toc171681911"/>
      <w:bookmarkStart w:id="1769" w:name="_Toc171682175"/>
      <w:bookmarkStart w:id="1770" w:name="_Toc171694426"/>
      <w:bookmarkStart w:id="1771" w:name="_Toc171089924"/>
      <w:bookmarkStart w:id="1772" w:name="_Toc171338371"/>
      <w:bookmarkStart w:id="1773" w:name="_Toc171339174"/>
      <w:r>
        <w:rPr>
          <w:rStyle w:val="CharDivNo"/>
        </w:rPr>
        <w:t>Division 1</w:t>
      </w:r>
      <w:r>
        <w:t> — </w:t>
      </w:r>
      <w:r>
        <w:rPr>
          <w:rStyle w:val="CharDivText"/>
        </w:rPr>
        <w:t>Preliminary</w:t>
      </w:r>
      <w:bookmarkEnd w:id="1764"/>
      <w:bookmarkEnd w:id="1765"/>
      <w:bookmarkEnd w:id="1766"/>
      <w:bookmarkEnd w:id="1767"/>
      <w:bookmarkEnd w:id="1768"/>
      <w:bookmarkEnd w:id="1769"/>
      <w:bookmarkEnd w:id="1770"/>
      <w:bookmarkEnd w:id="1771"/>
      <w:bookmarkEnd w:id="1772"/>
      <w:bookmarkEnd w:id="1773"/>
    </w:p>
    <w:p>
      <w:pPr>
        <w:pStyle w:val="Footnoteheading"/>
      </w:pPr>
      <w:r>
        <w:tab/>
        <w:t xml:space="preserve">[Heading inserted: No. 60 of 2011 s. 96.] </w:t>
      </w:r>
    </w:p>
    <w:p>
      <w:pPr>
        <w:pStyle w:val="Heading5"/>
      </w:pPr>
      <w:bookmarkStart w:id="1774" w:name="_Toc171694427"/>
      <w:bookmarkStart w:id="1775" w:name="_Toc171339175"/>
      <w:r>
        <w:rPr>
          <w:rStyle w:val="CharSectno"/>
        </w:rPr>
        <w:t>82A</w:t>
      </w:r>
      <w:r>
        <w:t>.</w:t>
      </w:r>
      <w:r>
        <w:tab/>
        <w:t>Terms used</w:t>
      </w:r>
      <w:bookmarkEnd w:id="1774"/>
      <w:bookmarkEnd w:id="1775"/>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No. 60 of 2011 s. 96; amended: No. 11 of 2024 s. 44.] </w:t>
      </w:r>
    </w:p>
    <w:p>
      <w:pPr>
        <w:pStyle w:val="Heading5"/>
      </w:pPr>
      <w:bookmarkStart w:id="1776" w:name="_Toc171694428"/>
      <w:bookmarkStart w:id="1777" w:name="_Toc171339176"/>
      <w:r>
        <w:rPr>
          <w:rStyle w:val="CharSectno"/>
        </w:rPr>
        <w:t>82B</w:t>
      </w:r>
      <w:r>
        <w:t>.</w:t>
      </w:r>
      <w:r>
        <w:tab/>
        <w:t>Application of Part</w:t>
      </w:r>
      <w:bookmarkEnd w:id="1776"/>
      <w:bookmarkEnd w:id="1777"/>
    </w:p>
    <w:p>
      <w:pPr>
        <w:pStyle w:val="Subsection"/>
      </w:pPr>
      <w:r>
        <w:tab/>
        <w:t>(1)</w:t>
      </w:r>
      <w:r>
        <w:tab/>
        <w:t>This Part does not apply to a residential tenancy database kept by an entity (including a government department of this State, another State or a Territory) for use only by that entity or its officers, employees or agents.</w:t>
      </w:r>
    </w:p>
    <w:p>
      <w:pPr>
        <w:pStyle w:val="Subsection"/>
      </w:pPr>
      <w:r>
        <w:tab/>
        <w:t>(2)</w:t>
      </w:r>
      <w:r>
        <w:tab/>
        <w:t xml:space="preserve">This Part applies to a database operator, regardless of whether the database operator is inside or outside of the State, if the database operator operates a residential tenancy database containing personal information — </w:t>
      </w:r>
    </w:p>
    <w:p>
      <w:pPr>
        <w:pStyle w:val="Indenta"/>
      </w:pPr>
      <w:r>
        <w:tab/>
        <w:t>(a)</w:t>
      </w:r>
      <w:r>
        <w:tab/>
        <w:t>about a person who resides in the State; or</w:t>
      </w:r>
    </w:p>
    <w:p>
      <w:pPr>
        <w:pStyle w:val="Indenta"/>
      </w:pPr>
      <w:r>
        <w:tab/>
        <w:t>(b)</w:t>
      </w:r>
      <w:r>
        <w:tab/>
        <w:t>relating to, or arising from, the occupation of residential premises under a residential tenancy agreement within the State.</w:t>
      </w:r>
    </w:p>
    <w:p>
      <w:pPr>
        <w:pStyle w:val="Footnotesection"/>
        <w:spacing w:before="100"/>
      </w:pPr>
      <w:r>
        <w:tab/>
        <w:t xml:space="preserve">[Section 82B inserted: No. 60 of 2011 s. 96; amended: No. 25 of 2019 s. 70.] </w:t>
      </w:r>
    </w:p>
    <w:p>
      <w:pPr>
        <w:pStyle w:val="Heading3"/>
      </w:pPr>
      <w:bookmarkStart w:id="1778" w:name="_Toc171674066"/>
      <w:bookmarkStart w:id="1779" w:name="_Toc171680682"/>
      <w:bookmarkStart w:id="1780" w:name="_Toc171680947"/>
      <w:bookmarkStart w:id="1781" w:name="_Toc171681498"/>
      <w:bookmarkStart w:id="1782" w:name="_Toc171681914"/>
      <w:bookmarkStart w:id="1783" w:name="_Toc171682178"/>
      <w:bookmarkStart w:id="1784" w:name="_Toc171694429"/>
      <w:bookmarkStart w:id="1785" w:name="_Toc171089927"/>
      <w:bookmarkStart w:id="1786" w:name="_Toc171338374"/>
      <w:bookmarkStart w:id="1787" w:name="_Toc171339177"/>
      <w:r>
        <w:rPr>
          <w:rStyle w:val="CharDivNo"/>
        </w:rPr>
        <w:t>Division 2</w:t>
      </w:r>
      <w:r>
        <w:t> — </w:t>
      </w:r>
      <w:r>
        <w:rPr>
          <w:rStyle w:val="CharDivText"/>
        </w:rPr>
        <w:t>Tenancy database information</w:t>
      </w:r>
      <w:bookmarkEnd w:id="1778"/>
      <w:bookmarkEnd w:id="1779"/>
      <w:bookmarkEnd w:id="1780"/>
      <w:bookmarkEnd w:id="1781"/>
      <w:bookmarkEnd w:id="1782"/>
      <w:bookmarkEnd w:id="1783"/>
      <w:bookmarkEnd w:id="1784"/>
      <w:bookmarkEnd w:id="1785"/>
      <w:bookmarkEnd w:id="1786"/>
      <w:bookmarkEnd w:id="1787"/>
    </w:p>
    <w:p>
      <w:pPr>
        <w:pStyle w:val="Footnoteheading"/>
        <w:spacing w:before="100"/>
      </w:pPr>
      <w:r>
        <w:tab/>
        <w:t xml:space="preserve">[Heading inserted: No. 60 of 2011 s. 96.] </w:t>
      </w:r>
    </w:p>
    <w:p>
      <w:pPr>
        <w:pStyle w:val="Heading5"/>
      </w:pPr>
      <w:bookmarkStart w:id="1788" w:name="_Toc171694430"/>
      <w:bookmarkStart w:id="1789" w:name="_Toc171339178"/>
      <w:r>
        <w:rPr>
          <w:rStyle w:val="CharSectno"/>
        </w:rPr>
        <w:t>82C</w:t>
      </w:r>
      <w:r>
        <w:t>.</w:t>
      </w:r>
      <w:r>
        <w:tab/>
        <w:t>Notice of usual use of database</w:t>
      </w:r>
      <w:bookmarkEnd w:id="1788"/>
      <w:bookmarkEnd w:id="1789"/>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keepNext/>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for this subsection: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No. 60 of 2011 s. 96; amended: No. 3 of 2019 s. 25.] </w:t>
      </w:r>
    </w:p>
    <w:p>
      <w:pPr>
        <w:pStyle w:val="Heading5"/>
      </w:pPr>
      <w:bookmarkStart w:id="1790" w:name="_Toc171694431"/>
      <w:bookmarkStart w:id="1791" w:name="_Toc171339179"/>
      <w:r>
        <w:rPr>
          <w:rStyle w:val="CharSectno"/>
        </w:rPr>
        <w:t>82D</w:t>
      </w:r>
      <w:r>
        <w:t>.</w:t>
      </w:r>
      <w:r>
        <w:tab/>
        <w:t>Notice of listing if database used</w:t>
      </w:r>
      <w:bookmarkEnd w:id="1790"/>
      <w:bookmarkEnd w:id="1791"/>
    </w:p>
    <w:p>
      <w:pPr>
        <w:pStyle w:val="Subsection"/>
        <w:keepNext/>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keepNext/>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for this subsection: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No. 60 of 2011 s. 96; amended: No. 3 of 2019 s. 25.] </w:t>
      </w:r>
    </w:p>
    <w:p>
      <w:pPr>
        <w:pStyle w:val="Heading5"/>
      </w:pPr>
      <w:bookmarkStart w:id="1792" w:name="_Toc171694432"/>
      <w:bookmarkStart w:id="1793" w:name="_Toc171339180"/>
      <w:r>
        <w:rPr>
          <w:rStyle w:val="CharSectno"/>
        </w:rPr>
        <w:t>82E</w:t>
      </w:r>
      <w:r>
        <w:t>.</w:t>
      </w:r>
      <w:r>
        <w:tab/>
        <w:t>Listing can be made only for particular breaches by particular persons</w:t>
      </w:r>
      <w:bookmarkEnd w:id="1792"/>
      <w:bookmarkEnd w:id="1793"/>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(ba)</w:t>
      </w:r>
      <w:r>
        <w:tab/>
        <w:t xml:space="preserve">the breach does not consist of, or relate to — </w:t>
      </w:r>
    </w:p>
    <w:p>
      <w:pPr>
        <w:pStyle w:val="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Indenti"/>
      </w:pPr>
      <w:r>
        <w:tab/>
        <w:t>(ii)</w:t>
      </w:r>
      <w:r>
        <w:tab/>
        <w:t>any other matter relating to the effects of the COVID</w:t>
      </w:r>
      <w:r>
        <w:noBreakHyphen/>
        <w:t>19 pandemic prescribed by regulations;</w:t>
      </w:r>
    </w:p>
    <w:p>
      <w:pPr>
        <w:pStyle w:val="Indenta"/>
      </w:pPr>
      <w:r>
        <w:tab/>
      </w:r>
      <w:r>
        <w:tab/>
        <w:t>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for this subsection: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No. 60 of 2011 s. 96; amended: No. 3 of 2019 s. 25; 18 of 2020 s. 78.] </w:t>
      </w:r>
    </w:p>
    <w:p>
      <w:pPr>
        <w:pStyle w:val="Heading5"/>
      </w:pPr>
      <w:bookmarkStart w:id="1794" w:name="_Toc171694433"/>
      <w:bookmarkStart w:id="1795" w:name="_Toc171339181"/>
      <w:r>
        <w:rPr>
          <w:rStyle w:val="CharSectno"/>
        </w:rPr>
        <w:t>82F</w:t>
      </w:r>
      <w:r>
        <w:t>.</w:t>
      </w:r>
      <w:r>
        <w:tab/>
        <w:t>Further restriction on listing</w:t>
      </w:r>
      <w:bookmarkEnd w:id="1794"/>
      <w:bookmarkEnd w:id="1795"/>
    </w:p>
    <w:p>
      <w:pPr>
        <w:pStyle w:val="Subsection"/>
        <w:keepNext/>
      </w:pPr>
      <w:r>
        <w:tab/>
        <w:t>(1)</w:t>
      </w:r>
      <w:r>
        <w:tab/>
        <w:t>A lessor, lessor’s agent or database operator must not list personal information about a person in a residential tenancy database unless the lessor, agent or operator —</w:t>
      </w:r>
    </w:p>
    <w:p>
      <w:pPr>
        <w:pStyle w:val="Indenta"/>
        <w:keepNext/>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keepNext/>
      </w:pPr>
      <w:r>
        <w:tab/>
        <w:t>(c)</w:t>
      </w:r>
      <w:r>
        <w:tab/>
        <w:t>has considered any submissions made.</w:t>
      </w:r>
    </w:p>
    <w:p>
      <w:pPr>
        <w:pStyle w:val="Penstart"/>
      </w:pPr>
      <w:r>
        <w:tab/>
        <w:t>Penalty for this subsection: a fine of $5 000.</w:t>
      </w:r>
    </w:p>
    <w:p>
      <w:pPr>
        <w:pStyle w:val="Subsection"/>
      </w:pPr>
      <w:r>
        <w:tab/>
        <w:t>(2)</w:t>
      </w:r>
      <w:r>
        <w:tab/>
        <w:t>Subsection (1) does not apply if the lessor, lessor’s agent or database operator cannot locate the person after making reasonable enquiries.</w:t>
      </w:r>
    </w:p>
    <w:p>
      <w:pPr>
        <w:pStyle w:val="Subsection"/>
        <w:keepNext/>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No. 60 of 2011 s. 96; amended: No. 3 of 2019 s. 25.] </w:t>
      </w:r>
    </w:p>
    <w:p>
      <w:pPr>
        <w:pStyle w:val="Heading5"/>
      </w:pPr>
      <w:bookmarkStart w:id="1796" w:name="_Toc171694434"/>
      <w:bookmarkStart w:id="1797" w:name="_Toc171339182"/>
      <w:r>
        <w:rPr>
          <w:rStyle w:val="CharSectno"/>
        </w:rPr>
        <w:t>82G</w:t>
      </w:r>
      <w:r>
        <w:t>.</w:t>
      </w:r>
      <w:r>
        <w:tab/>
        <w:t>Ensuring quality of listing — lessor’s or agent’s obligation</w:t>
      </w:r>
      <w:bookmarkEnd w:id="1796"/>
      <w:bookmarkEnd w:id="1797"/>
    </w:p>
    <w:p>
      <w:pPr>
        <w:pStyle w:val="Subsection"/>
        <w:keepNext/>
        <w:keepLines/>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for this subsection: a fine of $5 000.</w:t>
      </w:r>
    </w:p>
    <w:p>
      <w:pPr>
        <w:pStyle w:val="Subsection"/>
      </w:pPr>
      <w:r>
        <w:tab/>
        <w:t>(3)</w:t>
      </w:r>
      <w:r>
        <w:tab/>
        <w:t>The lessor or agent must keep a copy of the written notice for one year after it was given under subsection (2).</w:t>
      </w:r>
    </w:p>
    <w:p>
      <w:pPr>
        <w:pStyle w:val="Penstart"/>
      </w:pPr>
      <w:r>
        <w:tab/>
        <w:t>Penalty for this subsection: a fine of $5 000.</w:t>
      </w:r>
    </w:p>
    <w:p>
      <w:pPr>
        <w:pStyle w:val="Footnotesection"/>
      </w:pPr>
      <w:r>
        <w:tab/>
        <w:t xml:space="preserve">[Section 82G inserted: No. 60 of 2011 s. 96; amended: No. 3 of 2019 s. 25.] </w:t>
      </w:r>
    </w:p>
    <w:p>
      <w:pPr>
        <w:pStyle w:val="Heading5"/>
      </w:pPr>
      <w:bookmarkStart w:id="1798" w:name="_Toc171694435"/>
      <w:bookmarkStart w:id="1799" w:name="_Toc171339183"/>
      <w:r>
        <w:rPr>
          <w:rStyle w:val="CharSectno"/>
        </w:rPr>
        <w:t>82H</w:t>
      </w:r>
      <w:r>
        <w:t>.</w:t>
      </w:r>
      <w:r>
        <w:tab/>
        <w:t>Ensuring quality of listing — database operator’s obligation</w:t>
      </w:r>
      <w:bookmarkEnd w:id="1798"/>
      <w:bookmarkEnd w:id="1799"/>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for this subsection: a fine of $5 000.</w:t>
      </w:r>
    </w:p>
    <w:p>
      <w:pPr>
        <w:pStyle w:val="Footnotesection"/>
      </w:pPr>
      <w:r>
        <w:tab/>
        <w:t xml:space="preserve">[Section 82H inserted: No. 60 of 2011 s. 96; amended: No. 3 of 2019 s. 25.] </w:t>
      </w:r>
    </w:p>
    <w:p>
      <w:pPr>
        <w:pStyle w:val="Heading5"/>
      </w:pPr>
      <w:bookmarkStart w:id="1800" w:name="_Toc171694436"/>
      <w:bookmarkStart w:id="1801" w:name="_Toc171339184"/>
      <w:r>
        <w:rPr>
          <w:rStyle w:val="CharSectno"/>
        </w:rPr>
        <w:t>82I</w:t>
      </w:r>
      <w:r>
        <w:t>.</w:t>
      </w:r>
      <w:r>
        <w:tab/>
        <w:t>Providing copy of personal information listed</w:t>
      </w:r>
      <w:bookmarkEnd w:id="1800"/>
      <w:bookmarkEnd w:id="1801"/>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for this subsection: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for this subsection: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No. 60 of 2011 s. 96; amended: No. 3 of 2019 s. 25.] </w:t>
      </w:r>
    </w:p>
    <w:p>
      <w:pPr>
        <w:pStyle w:val="Heading5"/>
      </w:pPr>
      <w:bookmarkStart w:id="1802" w:name="_Toc171694437"/>
      <w:bookmarkStart w:id="1803" w:name="_Toc171339185"/>
      <w:r>
        <w:rPr>
          <w:rStyle w:val="CharSectno"/>
        </w:rPr>
        <w:t>82J</w:t>
      </w:r>
      <w:r>
        <w:t>.</w:t>
      </w:r>
      <w:r>
        <w:tab/>
        <w:t>Disputes about listings</w:t>
      </w:r>
      <w:bookmarkEnd w:id="1802"/>
      <w:bookmarkEnd w:id="1803"/>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pPr>
        <w:pStyle w:val="Subsection"/>
      </w:pPr>
      <w:r>
        <w:tab/>
        <w:t>(2B)</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keepNext/>
        <w:keepLines/>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No. 60 of 2011 s. 96; amended: No. 3 of 2019 s. 20.] </w:t>
      </w:r>
    </w:p>
    <w:p>
      <w:pPr>
        <w:pStyle w:val="Heading5"/>
      </w:pPr>
      <w:bookmarkStart w:id="1804" w:name="_Toc171694438"/>
      <w:bookmarkStart w:id="1805" w:name="_Toc171339186"/>
      <w:r>
        <w:rPr>
          <w:rStyle w:val="CharSectno"/>
        </w:rPr>
        <w:t>82K</w:t>
      </w:r>
      <w:r>
        <w:t>.</w:t>
      </w:r>
      <w:r>
        <w:tab/>
        <w:t>Keeping personal information listed</w:t>
      </w:r>
      <w:bookmarkEnd w:id="1804"/>
      <w:bookmarkEnd w:id="1805"/>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keepNext/>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for this subsection: a fine of $5 000.</w:t>
      </w:r>
    </w:p>
    <w:p>
      <w:pPr>
        <w:pStyle w:val="Subsection"/>
        <w:keepNext/>
        <w:keepLines/>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No. 60 of 2011 s. 96; amended: No. 3 of 2019 s. 25.] </w:t>
      </w:r>
    </w:p>
    <w:p>
      <w:pPr>
        <w:pStyle w:val="Heading2"/>
      </w:pPr>
      <w:bookmarkStart w:id="1806" w:name="_Toc171674076"/>
      <w:bookmarkStart w:id="1807" w:name="_Toc171680692"/>
      <w:bookmarkStart w:id="1808" w:name="_Toc171680957"/>
      <w:bookmarkStart w:id="1809" w:name="_Toc171681508"/>
      <w:bookmarkStart w:id="1810" w:name="_Toc171681924"/>
      <w:bookmarkStart w:id="1811" w:name="_Toc171682188"/>
      <w:bookmarkStart w:id="1812" w:name="_Toc171694439"/>
      <w:bookmarkStart w:id="1813" w:name="_Toc171089937"/>
      <w:bookmarkStart w:id="1814" w:name="_Toc171338384"/>
      <w:bookmarkStart w:id="1815" w:name="_Toc171339187"/>
      <w:r>
        <w:rPr>
          <w:rStyle w:val="CharPartNo"/>
        </w:rPr>
        <w:t>Part VI</w:t>
      </w:r>
      <w:r>
        <w:rPr>
          <w:rStyle w:val="CharDivNo"/>
        </w:rPr>
        <w:t> </w:t>
      </w:r>
      <w:r>
        <w:t>—</w:t>
      </w:r>
      <w:r>
        <w:rPr>
          <w:rStyle w:val="CharDivText"/>
        </w:rPr>
        <w:t> </w:t>
      </w:r>
      <w:r>
        <w:rPr>
          <w:rStyle w:val="CharPartText"/>
        </w:rPr>
        <w:t>Miscellaneous</w:t>
      </w:r>
      <w:bookmarkEnd w:id="1806"/>
      <w:bookmarkEnd w:id="1807"/>
      <w:bookmarkEnd w:id="1808"/>
      <w:bookmarkEnd w:id="1809"/>
      <w:bookmarkEnd w:id="1810"/>
      <w:bookmarkEnd w:id="1811"/>
      <w:bookmarkEnd w:id="1812"/>
      <w:bookmarkEnd w:id="1813"/>
      <w:bookmarkEnd w:id="1814"/>
      <w:bookmarkEnd w:id="1815"/>
    </w:p>
    <w:p>
      <w:pPr>
        <w:pStyle w:val="Heading5"/>
        <w:spacing w:before="200"/>
        <w:rPr>
          <w:snapToGrid w:val="0"/>
        </w:rPr>
      </w:pPr>
      <w:bookmarkStart w:id="1816" w:name="_Toc171694440"/>
      <w:bookmarkStart w:id="1817" w:name="_Toc171339188"/>
      <w:r>
        <w:rPr>
          <w:rStyle w:val="CharSectno"/>
        </w:rPr>
        <w:t>82</w:t>
      </w:r>
      <w:r>
        <w:rPr>
          <w:snapToGrid w:val="0"/>
        </w:rPr>
        <w:t>.</w:t>
      </w:r>
      <w:r>
        <w:rPr>
          <w:snapToGrid w:val="0"/>
        </w:rPr>
        <w:tab/>
        <w:t>Contracting out</w:t>
      </w:r>
      <w:bookmarkEnd w:id="1816"/>
      <w:bookmarkEnd w:id="1817"/>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for this subsection: a fine of $10 000.</w:t>
      </w:r>
    </w:p>
    <w:p>
      <w:pPr>
        <w:pStyle w:val="Ednotesubsection"/>
        <w:spacing w:before="120"/>
      </w:pPr>
      <w:r>
        <w:tab/>
        <w:t>[(3)</w:t>
      </w:r>
      <w:r>
        <w:tab/>
        <w:t>deleted]</w:t>
      </w:r>
    </w:p>
    <w:p>
      <w:pPr>
        <w:pStyle w:val="Footnotesection"/>
        <w:spacing w:before="100"/>
      </w:pPr>
      <w:r>
        <w:tab/>
        <w:t xml:space="preserve">[Section 82 amended: No. 60 of 2011 s. 80; No. 3 of 2019 s. 25.] </w:t>
      </w:r>
    </w:p>
    <w:p>
      <w:pPr>
        <w:pStyle w:val="Heading5"/>
        <w:spacing w:before="200"/>
        <w:rPr>
          <w:snapToGrid w:val="0"/>
        </w:rPr>
      </w:pPr>
      <w:bookmarkStart w:id="1818" w:name="_Toc171694441"/>
      <w:bookmarkStart w:id="1819" w:name="_Toc171339189"/>
      <w:r>
        <w:rPr>
          <w:rStyle w:val="CharSectno"/>
        </w:rPr>
        <w:t>83</w:t>
      </w:r>
      <w:r>
        <w:rPr>
          <w:snapToGrid w:val="0"/>
        </w:rPr>
        <w:t>.</w:t>
      </w:r>
      <w:r>
        <w:rPr>
          <w:snapToGrid w:val="0"/>
        </w:rPr>
        <w:tab/>
        <w:t>Recovery of amounts paid under mistake of law or fact</w:t>
      </w:r>
      <w:bookmarkEnd w:id="1818"/>
      <w:bookmarkEnd w:id="1819"/>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1820" w:name="_Toc171694442"/>
      <w:bookmarkStart w:id="1821" w:name="_Toc171339190"/>
      <w:r>
        <w:rPr>
          <w:rStyle w:val="CharSectno"/>
        </w:rPr>
        <w:t>84</w:t>
      </w:r>
      <w:r>
        <w:rPr>
          <w:snapToGrid w:val="0"/>
        </w:rPr>
        <w:t>.</w:t>
      </w:r>
      <w:r>
        <w:rPr>
          <w:snapToGrid w:val="0"/>
        </w:rPr>
        <w:tab/>
        <w:t>Exemption of tenancy agreement or premises from provision of Act</w:t>
      </w:r>
      <w:bookmarkEnd w:id="1820"/>
      <w:bookmarkEnd w:id="1821"/>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1822" w:name="_Toc171694443"/>
      <w:bookmarkStart w:id="1823" w:name="_Toc171339191"/>
      <w:r>
        <w:rPr>
          <w:rStyle w:val="CharSectno"/>
        </w:rPr>
        <w:t>85</w:t>
      </w:r>
      <w:r>
        <w:rPr>
          <w:snapToGrid w:val="0"/>
        </w:rPr>
        <w:t>.</w:t>
      </w:r>
      <w:r>
        <w:rPr>
          <w:snapToGrid w:val="0"/>
        </w:rPr>
        <w:tab/>
        <w:t>Service</w:t>
      </w:r>
      <w:bookmarkEnd w:id="1822"/>
      <w:bookmarkEnd w:id="1823"/>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prescribed circumstances, be given or served by prescribed electronic means.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No. 60 of 2011 s. 81 and 89; No. 42 of 2016 s. 6; No. 3 of 2019 s. 21.] </w:t>
      </w:r>
    </w:p>
    <w:p>
      <w:pPr>
        <w:pStyle w:val="Heading5"/>
        <w:spacing w:before="260"/>
      </w:pPr>
      <w:bookmarkStart w:id="1824" w:name="_Toc171694444"/>
      <w:bookmarkStart w:id="1825" w:name="_Toc171339192"/>
      <w:r>
        <w:rPr>
          <w:rStyle w:val="CharSectno"/>
        </w:rPr>
        <w:t>86</w:t>
      </w:r>
      <w:r>
        <w:t>.</w:t>
      </w:r>
      <w:r>
        <w:tab/>
        <w:t>Court may refer matter to Commissioner for investigation</w:t>
      </w:r>
      <w:bookmarkEnd w:id="1824"/>
      <w:bookmarkEnd w:id="1825"/>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pPr>
      <w:bookmarkStart w:id="1826" w:name="_Toc171694445"/>
      <w:bookmarkStart w:id="1827" w:name="_Toc171339193"/>
      <w:r>
        <w:rPr>
          <w:rStyle w:val="CharSectno"/>
        </w:rPr>
        <w:t>86A</w:t>
      </w:r>
      <w:r>
        <w:t>.</w:t>
      </w:r>
      <w:r>
        <w:tab/>
        <w:t>Provisions imposing obligation to act on lessor or property manager</w:t>
      </w:r>
      <w:bookmarkEnd w:id="1826"/>
      <w:bookmarkEnd w:id="1827"/>
    </w:p>
    <w:p>
      <w:pPr>
        <w:pStyle w:val="Subsection"/>
      </w:pPr>
      <w:r>
        <w:tab/>
        <w:t>(1)</w:t>
      </w:r>
      <w:r>
        <w:tab/>
        <w:t xml:space="preserve">This section applies to a provision of this Act that requires the lessor or a property manager to do something (the </w:t>
      </w:r>
      <w:r>
        <w:rPr>
          <w:rStyle w:val="CharDefText"/>
        </w:rPr>
        <w:t>required act</w:t>
      </w:r>
      <w:r>
        <w:t>) in relation to a residential tenancy agreement.</w:t>
      </w:r>
    </w:p>
    <w:p>
      <w:pPr>
        <w:pStyle w:val="Subsection"/>
      </w:pPr>
      <w:r>
        <w:tab/>
        <w:t>(2)</w:t>
      </w:r>
      <w:r>
        <w:tab/>
        <w:t>If the required act is done, whether by the lessor personally or by the property manager, both the lessor and the property manager are taken to have complied with the provision.</w:t>
      </w:r>
    </w:p>
    <w:p>
      <w:pPr>
        <w:pStyle w:val="Subsection"/>
      </w:pPr>
      <w:r>
        <w:tab/>
        <w:t>(3)</w:t>
      </w:r>
      <w:r>
        <w:tab/>
        <w:t>If the required act is omitted to be done, both the lessor and the property manager are taken to have contravened the provisions and, if the contravention is an offence, each of them may be dealt with for the offence.</w:t>
      </w:r>
    </w:p>
    <w:p>
      <w:pPr>
        <w:pStyle w:val="Footnotesection"/>
      </w:pPr>
      <w:r>
        <w:tab/>
        <w:t xml:space="preserve">[Section 86A inserted: No. 11 of 2024 s. 45.] </w:t>
      </w:r>
    </w:p>
    <w:p>
      <w:pPr>
        <w:pStyle w:val="Heading5"/>
      </w:pPr>
      <w:bookmarkStart w:id="1828" w:name="_Toc171694446"/>
      <w:bookmarkStart w:id="1829" w:name="_Toc171339194"/>
      <w:r>
        <w:rPr>
          <w:rStyle w:val="CharSectno"/>
        </w:rPr>
        <w:t>86B</w:t>
      </w:r>
      <w:r>
        <w:t>.</w:t>
      </w:r>
      <w:r>
        <w:tab/>
        <w:t>Agency of lessor’s property manager not limited</w:t>
      </w:r>
      <w:bookmarkEnd w:id="1828"/>
      <w:bookmarkEnd w:id="1829"/>
    </w:p>
    <w:p>
      <w:pPr>
        <w:pStyle w:val="Subsection"/>
      </w:pPr>
      <w:r>
        <w:tab/>
        <w:t>(1)</w:t>
      </w:r>
      <w:r>
        <w:tab/>
        <w:t>This section applies if a provision of this Act refers to something being done, or required to be done, by a lessor in relation to a residential tenancy agreement without mentioning a property manager.</w:t>
      </w:r>
    </w:p>
    <w:p>
      <w:pPr>
        <w:pStyle w:val="Subsection"/>
      </w:pPr>
      <w:r>
        <w:tab/>
        <w:t>(2)</w:t>
      </w:r>
      <w:r>
        <w:tab/>
        <w:t>The provision does not, by implication, limit the extent to which the thing may be done by the property manager as an agent of the lessor.</w:t>
      </w:r>
    </w:p>
    <w:p>
      <w:pPr>
        <w:pStyle w:val="Footnotesection"/>
      </w:pPr>
      <w:r>
        <w:tab/>
        <w:t xml:space="preserve">[Section 86B inserted: No. 11 of 2024 s. 45.] </w:t>
      </w:r>
    </w:p>
    <w:p>
      <w:pPr>
        <w:pStyle w:val="Heading5"/>
        <w:spacing w:before="260"/>
      </w:pPr>
      <w:bookmarkStart w:id="1830" w:name="_Toc171694447"/>
      <w:bookmarkStart w:id="1831" w:name="_Toc171339195"/>
      <w:r>
        <w:rPr>
          <w:rStyle w:val="CharSectno"/>
        </w:rPr>
        <w:t>87A</w:t>
      </w:r>
      <w:r>
        <w:t>.</w:t>
      </w:r>
      <w:r>
        <w:tab/>
        <w:t>Defence where lessor and property manager are both charged with the same offence</w:t>
      </w:r>
      <w:bookmarkEnd w:id="1830"/>
      <w:bookmarkEnd w:id="1831"/>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1832" w:name="_Toc171694448"/>
      <w:bookmarkStart w:id="1833" w:name="_Toc171339196"/>
      <w:r>
        <w:rPr>
          <w:rStyle w:val="CharSectno"/>
        </w:rPr>
        <w:t>87</w:t>
      </w:r>
      <w:r>
        <w:rPr>
          <w:snapToGrid w:val="0"/>
        </w:rPr>
        <w:t>.</w:t>
      </w:r>
      <w:r>
        <w:rPr>
          <w:snapToGrid w:val="0"/>
        </w:rPr>
        <w:tab/>
        <w:t>Time for bringing proceedings</w:t>
      </w:r>
      <w:bookmarkEnd w:id="1832"/>
      <w:bookmarkEnd w:id="1833"/>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1834" w:name="_Toc171694449"/>
      <w:bookmarkStart w:id="1835" w:name="_Toc171339197"/>
      <w:r>
        <w:rPr>
          <w:rStyle w:val="CharSectno"/>
        </w:rPr>
        <w:t>88A</w:t>
      </w:r>
      <w:r>
        <w:t>.</w:t>
      </w:r>
      <w:r>
        <w:tab/>
        <w:t>Infringement notices</w:t>
      </w:r>
      <w:bookmarkEnd w:id="1834"/>
      <w:bookmarkEnd w:id="1835"/>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keepNext/>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spacing w:before="140"/>
      </w:pPr>
      <w:r>
        <w:tab/>
        <w:t>(8)</w:t>
      </w:r>
      <w:r>
        <w:tab/>
        <w:t>Where an infringement notice is withdrawn after the modified penalty has been paid, the amount is to be refunded.</w:t>
      </w:r>
    </w:p>
    <w:p>
      <w:pPr>
        <w:pStyle w:val="Subsection"/>
        <w:keepNext/>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pPr>
      <w:bookmarkStart w:id="1836" w:name="_Toc171694450"/>
      <w:bookmarkStart w:id="1837" w:name="_Toc171339198"/>
      <w:r>
        <w:rPr>
          <w:rStyle w:val="CharSectno"/>
        </w:rPr>
        <w:t>88B</w:t>
      </w:r>
      <w:r>
        <w:t>.</w:t>
      </w:r>
      <w:r>
        <w:tab/>
        <w:t>Cross</w:t>
      </w:r>
      <w:r>
        <w:noBreakHyphen/>
        <w:t>examination of persons in proceedings involving family violence</w:t>
      </w:r>
      <w:bookmarkEnd w:id="1836"/>
      <w:bookmarkEnd w:id="1837"/>
    </w:p>
    <w:p>
      <w:pPr>
        <w:pStyle w:val="Subsection"/>
        <w:keepNext/>
      </w:pPr>
      <w:r>
        <w:tab/>
      </w:r>
      <w:r>
        <w:tab/>
        <w:t xml:space="preserve">The </w:t>
      </w:r>
      <w:r>
        <w:rPr>
          <w:i/>
        </w:rPr>
        <w:t>Restraining Orders Act 1997</w:t>
      </w:r>
      <w:r>
        <w:t xml:space="preserve"> section 44C applies to proceedings under this Act that involve family violence as if references to the respondent were references to the person allegedly committing the family violence.</w:t>
      </w:r>
    </w:p>
    <w:p>
      <w:pPr>
        <w:pStyle w:val="Footnotesection"/>
        <w:keepNext/>
      </w:pPr>
      <w:r>
        <w:tab/>
        <w:t xml:space="preserve">[Section 88B inserted: No. 3 of 2019 s. 22.] </w:t>
      </w:r>
    </w:p>
    <w:p>
      <w:pPr>
        <w:pStyle w:val="Heading5"/>
        <w:rPr>
          <w:ins w:id="1838" w:author="Master Repository Process" w:date="2025-06-25T10:45:00Z"/>
        </w:rPr>
      </w:pPr>
      <w:bookmarkStart w:id="1839" w:name="_Toc164778369"/>
      <w:bookmarkStart w:id="1840" w:name="_Toc171694451"/>
      <w:ins w:id="1841" w:author="Master Repository Process" w:date="2025-06-25T10:45:00Z">
        <w:r>
          <w:rPr>
            <w:rStyle w:val="CharSectno"/>
          </w:rPr>
          <w:t>88C</w:t>
        </w:r>
        <w:r>
          <w:t>.</w:t>
        </w:r>
        <w:r>
          <w:tab/>
          <w:t>Approved forms</w:t>
        </w:r>
        <w:bookmarkEnd w:id="1839"/>
        <w:bookmarkEnd w:id="1840"/>
      </w:ins>
    </w:p>
    <w:p>
      <w:pPr>
        <w:pStyle w:val="Subsection"/>
        <w:rPr>
          <w:ins w:id="1842" w:author="Master Repository Process" w:date="2025-06-25T10:45:00Z"/>
        </w:rPr>
      </w:pPr>
      <w:ins w:id="1843" w:author="Master Repository Process" w:date="2025-06-25T10:45:00Z">
        <w:r>
          <w:tab/>
          <w:t>(1)</w:t>
        </w:r>
        <w:r>
          <w:tab/>
          <w:t>The bond administrator may approve forms for use under this Act in relation to bonds.</w:t>
        </w:r>
      </w:ins>
    </w:p>
    <w:p>
      <w:pPr>
        <w:pStyle w:val="Subsection"/>
        <w:rPr>
          <w:ins w:id="1844" w:author="Master Repository Process" w:date="2025-06-25T10:45:00Z"/>
        </w:rPr>
      </w:pPr>
      <w:ins w:id="1845" w:author="Master Repository Process" w:date="2025-06-25T10:45:00Z">
        <w:r>
          <w:tab/>
          <w:t>(2)</w:t>
        </w:r>
        <w:r>
          <w:tab/>
          <w:t>The Commissioner may approve forms for use under this Act, other than forms for use in relation to bonds.</w:t>
        </w:r>
      </w:ins>
    </w:p>
    <w:p>
      <w:pPr>
        <w:pStyle w:val="Footnotesection"/>
        <w:rPr>
          <w:ins w:id="1846" w:author="Master Repository Process" w:date="2025-06-25T10:45:00Z"/>
        </w:rPr>
      </w:pPr>
      <w:ins w:id="1847" w:author="Master Repository Process" w:date="2025-06-25T10:45:00Z">
        <w:r>
          <w:tab/>
          <w:t>[Section 88C inserted: No. 11 of 2024 s. 46.]</w:t>
        </w:r>
      </w:ins>
    </w:p>
    <w:p>
      <w:pPr>
        <w:pStyle w:val="Heading5"/>
        <w:rPr>
          <w:snapToGrid w:val="0"/>
        </w:rPr>
      </w:pPr>
      <w:bookmarkStart w:id="1848" w:name="_Toc171694452"/>
      <w:bookmarkStart w:id="1849" w:name="_Toc171339199"/>
      <w:r>
        <w:rPr>
          <w:rStyle w:val="CharSectno"/>
        </w:rPr>
        <w:t>88</w:t>
      </w:r>
      <w:r>
        <w:rPr>
          <w:snapToGrid w:val="0"/>
        </w:rPr>
        <w:t>.</w:t>
      </w:r>
      <w:r>
        <w:rPr>
          <w:snapToGrid w:val="0"/>
        </w:rPr>
        <w:tab/>
        <w:t>Regulations</w:t>
      </w:r>
      <w:bookmarkEnd w:id="1848"/>
      <w:bookmarkEnd w:id="1849"/>
      <w:r>
        <w:rPr>
          <w:snapToGrid w:val="0"/>
        </w:rPr>
        <w:t xml:space="preserve"> </w:t>
      </w:r>
    </w:p>
    <w:p>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Ednotesubsection"/>
      </w:pPr>
      <w:r>
        <w:tab/>
        <w:t>[(3)</w:t>
      </w:r>
      <w:r>
        <w:tab/>
        <w:t>deleted]</w:t>
      </w:r>
    </w:p>
    <w:p>
      <w:pPr>
        <w:pStyle w:val="Footnotesection"/>
      </w:pPr>
      <w:r>
        <w:tab/>
        <w:t xml:space="preserve">[Section 88 amended: No. 60 of 2011 s. 84; No. 3 of 2019 s. 23; No. 11 of 2024 s. 47.] </w:t>
      </w:r>
    </w:p>
    <w:p>
      <w:pPr>
        <w:pStyle w:val="Ednotesection"/>
      </w:pPr>
      <w:r>
        <w:t>[</w:t>
      </w:r>
      <w:r>
        <w:rPr>
          <w:b/>
        </w:rPr>
        <w:t>89.</w:t>
      </w:r>
      <w:r>
        <w:tab/>
        <w:t>Omitted under the Reprints Act 1984 s. 7(4)(e).]</w:t>
      </w:r>
    </w:p>
    <w:p>
      <w:pPr>
        <w:pStyle w:val="Heading5"/>
        <w:rPr>
          <w:snapToGrid w:val="0"/>
        </w:rPr>
      </w:pPr>
      <w:bookmarkStart w:id="1850" w:name="_Toc171694453"/>
      <w:bookmarkStart w:id="1851" w:name="_Toc171339200"/>
      <w:r>
        <w:rPr>
          <w:rStyle w:val="CharSectno"/>
        </w:rPr>
        <w:t>90</w:t>
      </w:r>
      <w:r>
        <w:rPr>
          <w:snapToGrid w:val="0"/>
        </w:rPr>
        <w:t>.</w:t>
      </w:r>
      <w:r>
        <w:rPr>
          <w:snapToGrid w:val="0"/>
        </w:rPr>
        <w:tab/>
        <w:t>Review of Act</w:t>
      </w:r>
      <w:bookmarkEnd w:id="1850"/>
      <w:bookmarkEnd w:id="1851"/>
      <w:r>
        <w:rPr>
          <w:snapToGrid w:val="0"/>
        </w:rPr>
        <w:t xml:space="preserve"> </w:t>
      </w:r>
    </w:p>
    <w:p>
      <w:pPr>
        <w:pStyle w:val="Subsection"/>
        <w:keepNext/>
        <w:keepLines/>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rPr>
        <w:t>.</w:t>
      </w:r>
    </w:p>
    <w:p>
      <w:pPr>
        <w:pStyle w:val="Subsection"/>
        <w:keepNext/>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No. 59 of 1995 s. 53; No. 60 of 2011 s. 85.] </w:t>
      </w:r>
    </w:p>
    <w:p>
      <w:pPr>
        <w:pStyle w:val="Heading2"/>
      </w:pPr>
      <w:bookmarkStart w:id="1852" w:name="_Toc171674090"/>
      <w:bookmarkStart w:id="1853" w:name="_Toc171680707"/>
      <w:bookmarkStart w:id="1854" w:name="_Toc171680972"/>
      <w:bookmarkStart w:id="1855" w:name="_Toc171681523"/>
      <w:bookmarkStart w:id="1856" w:name="_Toc171681939"/>
      <w:bookmarkStart w:id="1857" w:name="_Toc171682203"/>
      <w:bookmarkStart w:id="1858" w:name="_Toc171694454"/>
      <w:bookmarkStart w:id="1859" w:name="_Toc171089951"/>
      <w:bookmarkStart w:id="1860" w:name="_Toc171338398"/>
      <w:bookmarkStart w:id="1861" w:name="_Toc171339201"/>
      <w:r>
        <w:rPr>
          <w:rStyle w:val="CharPartNo"/>
        </w:rPr>
        <w:t>Part 7</w:t>
      </w:r>
      <w:r>
        <w:t> — </w:t>
      </w:r>
      <w:r>
        <w:rPr>
          <w:rStyle w:val="CharPartText"/>
        </w:rPr>
        <w:t>Savings and transitional provisions</w:t>
      </w:r>
      <w:bookmarkEnd w:id="1852"/>
      <w:bookmarkEnd w:id="1853"/>
      <w:bookmarkEnd w:id="1854"/>
      <w:bookmarkEnd w:id="1855"/>
      <w:bookmarkEnd w:id="1856"/>
      <w:bookmarkEnd w:id="1857"/>
      <w:bookmarkEnd w:id="1858"/>
      <w:bookmarkEnd w:id="1859"/>
      <w:bookmarkEnd w:id="1860"/>
      <w:bookmarkEnd w:id="1861"/>
    </w:p>
    <w:p>
      <w:pPr>
        <w:pStyle w:val="Footnoteheading"/>
      </w:pPr>
      <w:r>
        <w:tab/>
        <w:t>[Heading inserted: No. 11 of 2024 s. 48.]</w:t>
      </w:r>
    </w:p>
    <w:p>
      <w:pPr>
        <w:pStyle w:val="Heading3"/>
      </w:pPr>
      <w:bookmarkStart w:id="1862" w:name="_Toc171674091"/>
      <w:bookmarkStart w:id="1863" w:name="_Toc171680708"/>
      <w:bookmarkStart w:id="1864" w:name="_Toc171680973"/>
      <w:bookmarkStart w:id="1865" w:name="_Toc171681524"/>
      <w:bookmarkStart w:id="1866" w:name="_Toc171681940"/>
      <w:bookmarkStart w:id="1867" w:name="_Toc171682204"/>
      <w:bookmarkStart w:id="1868" w:name="_Toc171694455"/>
      <w:bookmarkStart w:id="1869" w:name="_Toc171089952"/>
      <w:bookmarkStart w:id="1870" w:name="_Toc171338399"/>
      <w:bookmarkStart w:id="1871" w:name="_Toc171339202"/>
      <w:r>
        <w:rPr>
          <w:rStyle w:val="CharDivNo"/>
        </w:rPr>
        <w:t>Division 1</w:t>
      </w:r>
      <w:r>
        <w:t> — </w:t>
      </w:r>
      <w:r>
        <w:rPr>
          <w:rStyle w:val="CharDivText"/>
        </w:rPr>
        <w:t xml:space="preserve">Savings and transitional provisions relating to </w:t>
      </w:r>
      <w:r>
        <w:rPr>
          <w:rStyle w:val="CharDivText"/>
          <w:i/>
        </w:rPr>
        <w:t>Residential Tenancies Amendment Act 2011</w:t>
      </w:r>
      <w:bookmarkEnd w:id="1862"/>
      <w:bookmarkEnd w:id="1863"/>
      <w:bookmarkEnd w:id="1864"/>
      <w:bookmarkEnd w:id="1865"/>
      <w:bookmarkEnd w:id="1866"/>
      <w:bookmarkEnd w:id="1867"/>
      <w:bookmarkEnd w:id="1868"/>
      <w:bookmarkEnd w:id="1869"/>
      <w:bookmarkEnd w:id="1870"/>
      <w:bookmarkEnd w:id="1871"/>
    </w:p>
    <w:p>
      <w:pPr>
        <w:pStyle w:val="Footnoteheading"/>
      </w:pPr>
      <w:r>
        <w:tab/>
        <w:t>[Heading inserted: No. 11 of 2024 s. 49.]</w:t>
      </w:r>
    </w:p>
    <w:p>
      <w:pPr>
        <w:pStyle w:val="Heading5"/>
      </w:pPr>
      <w:bookmarkStart w:id="1872" w:name="_Toc171694456"/>
      <w:bookmarkStart w:id="1873" w:name="_Toc171339203"/>
      <w:r>
        <w:rPr>
          <w:rStyle w:val="CharSectno"/>
        </w:rPr>
        <w:t>91</w:t>
      </w:r>
      <w:r>
        <w:t>.</w:t>
      </w:r>
      <w:r>
        <w:tab/>
        <w:t>Savings in relation to contracting out of standard terms</w:t>
      </w:r>
      <w:bookmarkEnd w:id="1872"/>
      <w:bookmarkEnd w:id="187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Ednotedivision"/>
      </w:pPr>
      <w:r>
        <w:tab/>
        <w:t>[Division 2 heading deleted: No. 11 of 2024 s. 50.]</w:t>
      </w:r>
    </w:p>
    <w:p>
      <w:pPr>
        <w:pStyle w:val="Heading5"/>
      </w:pPr>
      <w:bookmarkStart w:id="1874" w:name="_Toc171694457"/>
      <w:bookmarkStart w:id="1875" w:name="_Toc171339204"/>
      <w:r>
        <w:rPr>
          <w:rStyle w:val="CharSectno"/>
        </w:rPr>
        <w:t>92</w:t>
      </w:r>
      <w:r>
        <w:t>.</w:t>
      </w:r>
      <w:r>
        <w:tab/>
        <w:t>Terms used</w:t>
      </w:r>
      <w:bookmarkEnd w:id="1874"/>
      <w:bookmarkEnd w:id="1875"/>
    </w:p>
    <w:p>
      <w:pPr>
        <w:pStyle w:val="Subsection"/>
      </w:pPr>
      <w:r>
        <w:tab/>
      </w:r>
      <w:r>
        <w:tab/>
        <w:t xml:space="preserve">In this Division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keepNext/>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No. 60 of 2011 s. 86; amended: No. 11 of 2024 s. 51.] </w:t>
      </w:r>
    </w:p>
    <w:p>
      <w:pPr>
        <w:pStyle w:val="Heading5"/>
      </w:pPr>
      <w:bookmarkStart w:id="1876" w:name="_Toc171694458"/>
      <w:bookmarkStart w:id="1877" w:name="_Toc171339205"/>
      <w:r>
        <w:rPr>
          <w:rStyle w:val="CharSectno"/>
        </w:rPr>
        <w:t>93</w:t>
      </w:r>
      <w:r>
        <w:t>.</w:t>
      </w:r>
      <w:r>
        <w:tab/>
        <w:t>All security bonds to be transferred to bond administrator after renewal of agreement or within 18 months</w:t>
      </w:r>
      <w:bookmarkEnd w:id="1876"/>
      <w:bookmarkEnd w:id="1877"/>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for this subsection: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No. 60 of 2011 s. 86; amended: No. 3 of 2019 s. 25.] </w:t>
      </w:r>
    </w:p>
    <w:p>
      <w:pPr>
        <w:pStyle w:val="Heading5"/>
      </w:pPr>
      <w:bookmarkStart w:id="1878" w:name="_Toc171694459"/>
      <w:bookmarkStart w:id="1879" w:name="_Toc171339206"/>
      <w:r>
        <w:rPr>
          <w:rStyle w:val="CharSectno"/>
        </w:rPr>
        <w:t>94</w:t>
      </w:r>
      <w:r>
        <w:t>.</w:t>
      </w:r>
      <w:r>
        <w:tab/>
        <w:t>Requirements for AFI holding security bonds</w:t>
      </w:r>
      <w:bookmarkEnd w:id="1878"/>
      <w:bookmarkEnd w:id="1879"/>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prescribed market rate indicator.</w:t>
      </w:r>
    </w:p>
    <w:p>
      <w:pPr>
        <w:pStyle w:val="Footnotesection"/>
      </w:pPr>
      <w:r>
        <w:tab/>
        <w:t xml:space="preserve">[Section 94 inserted: No. 60 of 2011 s. 86; amended: No. 3 of 2019 s. 24.] </w:t>
      </w:r>
    </w:p>
    <w:p>
      <w:pPr>
        <w:pStyle w:val="Heading5"/>
      </w:pPr>
      <w:bookmarkStart w:id="1880" w:name="_Toc171694460"/>
      <w:bookmarkStart w:id="1881" w:name="_Toc171339207"/>
      <w:r>
        <w:rPr>
          <w:rStyle w:val="CharSectno"/>
        </w:rPr>
        <w:t>95</w:t>
      </w:r>
      <w:r>
        <w:t>.</w:t>
      </w:r>
      <w:r>
        <w:tab/>
        <w:t>Power of Commissioner to obtain information relating to AFI security bond accounts</w:t>
      </w:r>
      <w:bookmarkEnd w:id="1880"/>
      <w:bookmarkEnd w:id="1881"/>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for this subsection: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for this subsection: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No. 60 of 2011 s. 86; amended: No. 3 of 2019 s. 25.] </w:t>
      </w:r>
    </w:p>
    <w:p>
      <w:pPr>
        <w:pStyle w:val="Heading5"/>
      </w:pPr>
      <w:bookmarkStart w:id="1882" w:name="_Toc171694461"/>
      <w:bookmarkStart w:id="1883" w:name="_Toc171339208"/>
      <w:r>
        <w:rPr>
          <w:rStyle w:val="CharSectno"/>
        </w:rPr>
        <w:t>96</w:t>
      </w:r>
      <w:r>
        <w:t>.</w:t>
      </w:r>
      <w:r>
        <w:tab/>
        <w:t>Disposal of security bond held in AFIs</w:t>
      </w:r>
      <w:bookmarkEnd w:id="1882"/>
      <w:bookmarkEnd w:id="1883"/>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keepNext/>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for this subsection: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keepNext/>
      </w:pPr>
      <w:r>
        <w:tab/>
        <w:t>(7)</w:t>
      </w:r>
      <w:r>
        <w:tab/>
        <w:t>Regulations made under section 88 may authorise the payment of an unclaimed bond to the credit of the Rental Accommodation Account.</w:t>
      </w:r>
    </w:p>
    <w:p>
      <w:pPr>
        <w:pStyle w:val="Footnotesection"/>
      </w:pPr>
      <w:r>
        <w:tab/>
        <w:t xml:space="preserve">[Section 96 inserted: No. 60 of 2011 s. 86; amended: No. 3 of 2019 s. 25.] </w:t>
      </w:r>
    </w:p>
    <w:p>
      <w:pPr>
        <w:pStyle w:val="Ednotedivision"/>
      </w:pPr>
      <w:r>
        <w:tab/>
        <w:t>[Division 3 heading deleted: No. 11 of 2024 s. 52.]</w:t>
      </w:r>
    </w:p>
    <w:p>
      <w:pPr>
        <w:pStyle w:val="Heading5"/>
      </w:pPr>
      <w:bookmarkStart w:id="1884" w:name="_Toc171694462"/>
      <w:bookmarkStart w:id="1885" w:name="_Toc171339209"/>
      <w:r>
        <w:rPr>
          <w:rStyle w:val="CharSectno"/>
        </w:rPr>
        <w:t>97</w:t>
      </w:r>
      <w:r>
        <w:t>.</w:t>
      </w:r>
      <w:r>
        <w:tab/>
        <w:t>Application of Part VIA to listings existing before commencement day</w:t>
      </w:r>
      <w:bookmarkEnd w:id="1884"/>
      <w:bookmarkEnd w:id="1885"/>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pStyle w:val="Ednotepart"/>
      </w:pPr>
      <w:r>
        <w:tab/>
        <w:t>[Part 8 heading deleted: No. 11 of 2024 s. 53.]</w:t>
      </w:r>
    </w:p>
    <w:p>
      <w:pPr>
        <w:pStyle w:val="Heading3"/>
      </w:pPr>
      <w:bookmarkStart w:id="1886" w:name="_Toc171674099"/>
      <w:bookmarkStart w:id="1887" w:name="_Toc171680716"/>
      <w:bookmarkStart w:id="1888" w:name="_Toc171680981"/>
      <w:bookmarkStart w:id="1889" w:name="_Toc171681532"/>
      <w:bookmarkStart w:id="1890" w:name="_Toc171681948"/>
      <w:bookmarkStart w:id="1891" w:name="_Toc171682212"/>
      <w:bookmarkStart w:id="1892" w:name="_Toc171694463"/>
      <w:bookmarkStart w:id="1893" w:name="_Toc171089960"/>
      <w:bookmarkStart w:id="1894" w:name="_Toc171338407"/>
      <w:bookmarkStart w:id="1895" w:name="_Toc171339210"/>
      <w:r>
        <w:rPr>
          <w:rStyle w:val="CharDivNo"/>
        </w:rPr>
        <w:t>Division 2</w:t>
      </w:r>
      <w:r>
        <w:t> — </w:t>
      </w:r>
      <w:r>
        <w:rPr>
          <w:rStyle w:val="CharDivText"/>
        </w:rPr>
        <w:t xml:space="preserve">Transitional provision relating to </w:t>
      </w:r>
      <w:r>
        <w:rPr>
          <w:rStyle w:val="CharDivText"/>
          <w:i/>
        </w:rPr>
        <w:t>Consumer Protection Legislation Amendment Act 2019</w:t>
      </w:r>
      <w:bookmarkEnd w:id="1886"/>
      <w:bookmarkEnd w:id="1887"/>
      <w:bookmarkEnd w:id="1888"/>
      <w:bookmarkEnd w:id="1889"/>
      <w:bookmarkEnd w:id="1890"/>
      <w:bookmarkEnd w:id="1891"/>
      <w:bookmarkEnd w:id="1892"/>
      <w:bookmarkEnd w:id="1893"/>
      <w:bookmarkEnd w:id="1894"/>
      <w:bookmarkEnd w:id="1895"/>
    </w:p>
    <w:p>
      <w:pPr>
        <w:pStyle w:val="Footnoteheading"/>
      </w:pPr>
      <w:r>
        <w:tab/>
        <w:t>[Heading inserted: No. 11 of 2024 s. 54.]</w:t>
      </w:r>
    </w:p>
    <w:p>
      <w:pPr>
        <w:pStyle w:val="Heading5"/>
      </w:pPr>
      <w:bookmarkStart w:id="1896" w:name="_Toc171694464"/>
      <w:bookmarkStart w:id="1897" w:name="_Toc171339211"/>
      <w:r>
        <w:rPr>
          <w:rStyle w:val="CharSectno"/>
        </w:rPr>
        <w:t>98</w:t>
      </w:r>
      <w:r>
        <w:t>.</w:t>
      </w:r>
      <w:r>
        <w:tab/>
        <w:t>Application of s. 49A to residential tenancy agreements and utility charges</w:t>
      </w:r>
      <w:bookmarkEnd w:id="1896"/>
      <w:bookmarkEnd w:id="189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Consumer Protection Legislation Amendment Act 2019</w:t>
      </w:r>
      <w:r>
        <w:t xml:space="preserve"> section 68 comes into operation;</w:t>
      </w:r>
    </w:p>
    <w:p>
      <w:pPr>
        <w:pStyle w:val="Defstart"/>
      </w:pPr>
      <w:r>
        <w:tab/>
      </w:r>
      <w:r>
        <w:rPr>
          <w:rStyle w:val="CharDefText"/>
        </w:rPr>
        <w:t>public utility services</w:t>
      </w:r>
      <w:r>
        <w:t xml:space="preserve"> has the meaning given in the </w:t>
      </w:r>
      <w:r>
        <w:rPr>
          <w:i/>
        </w:rPr>
        <w:t>Land Administration Act 1997</w:t>
      </w:r>
      <w:r>
        <w:t xml:space="preserve"> section 3(1).</w:t>
      </w:r>
    </w:p>
    <w:p>
      <w:pPr>
        <w:pStyle w:val="Subsection"/>
      </w:pPr>
      <w:r>
        <w:tab/>
        <w:t>(2)</w:t>
      </w:r>
      <w:r>
        <w:tab/>
        <w:t>Subject to subsections (3) and (4), section 49A, as in force on and after commencement day, applies to a residential tenancy agreement (to the extent relevant) even though it was entered into before commencement day.</w:t>
      </w:r>
    </w:p>
    <w:p>
      <w:pPr>
        <w:pStyle w:val="Subsection"/>
      </w:pPr>
      <w:r>
        <w:tab/>
        <w:t>(3)</w:t>
      </w:r>
      <w:r>
        <w:tab/>
        <w: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t>
      </w:r>
    </w:p>
    <w:p>
      <w:pPr>
        <w:pStyle w:val="Subsection"/>
      </w:pPr>
      <w:r>
        <w:tab/>
        <w:t>(4)</w:t>
      </w:r>
      <w:r>
        <w:tab/>
        <w: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t>
      </w:r>
    </w:p>
    <w:p>
      <w:pPr>
        <w:pStyle w:val="Footnotesection"/>
      </w:pPr>
      <w:r>
        <w:tab/>
        <w:t>[Section 98 inserted: No. 25 of 2019 s. 71.]</w:t>
      </w:r>
    </w:p>
    <w:p>
      <w:pPr>
        <w:pStyle w:val="Heading3"/>
      </w:pPr>
      <w:bookmarkStart w:id="1898" w:name="_Toc171674101"/>
      <w:bookmarkStart w:id="1899" w:name="_Toc171680718"/>
      <w:bookmarkStart w:id="1900" w:name="_Toc171680983"/>
      <w:bookmarkStart w:id="1901" w:name="_Toc171681534"/>
      <w:bookmarkStart w:id="1902" w:name="_Toc171681950"/>
      <w:bookmarkStart w:id="1903" w:name="_Toc171682214"/>
      <w:bookmarkStart w:id="1904" w:name="_Toc171694465"/>
      <w:bookmarkStart w:id="1905" w:name="_Toc171089962"/>
      <w:bookmarkStart w:id="1906" w:name="_Toc171338409"/>
      <w:bookmarkStart w:id="1907" w:name="_Toc171339212"/>
      <w:r>
        <w:rPr>
          <w:rStyle w:val="CharDivNo"/>
        </w:rPr>
        <w:t>Division 3</w:t>
      </w:r>
      <w:r>
        <w:t> — </w:t>
      </w:r>
      <w:r>
        <w:rPr>
          <w:rStyle w:val="CharDivText"/>
        </w:rPr>
        <w:t xml:space="preserve">Transitional provisions relating to </w:t>
      </w:r>
      <w:r>
        <w:rPr>
          <w:rStyle w:val="CharDivText"/>
          <w:i/>
        </w:rPr>
        <w:t>Residential Tenancies Amendment Act 2024</w:t>
      </w:r>
      <w:bookmarkEnd w:id="1898"/>
      <w:bookmarkEnd w:id="1899"/>
      <w:bookmarkEnd w:id="1900"/>
      <w:bookmarkEnd w:id="1901"/>
      <w:bookmarkEnd w:id="1902"/>
      <w:bookmarkEnd w:id="1903"/>
      <w:bookmarkEnd w:id="1904"/>
      <w:bookmarkEnd w:id="1905"/>
      <w:bookmarkEnd w:id="1906"/>
      <w:bookmarkEnd w:id="1907"/>
    </w:p>
    <w:p>
      <w:pPr>
        <w:pStyle w:val="Footnoteheading"/>
      </w:pPr>
      <w:r>
        <w:tab/>
        <w:t>[Heading inserted: No. 11 of 2024 s. 55.]</w:t>
      </w:r>
    </w:p>
    <w:p>
      <w:pPr>
        <w:pStyle w:val="Heading5"/>
      </w:pPr>
      <w:bookmarkStart w:id="1908" w:name="_Toc171694466"/>
      <w:bookmarkStart w:id="1909" w:name="_Toc171339213"/>
      <w:r>
        <w:rPr>
          <w:rStyle w:val="CharSectno"/>
        </w:rPr>
        <w:t>99</w:t>
      </w:r>
      <w:r>
        <w:t>.</w:t>
      </w:r>
      <w:r>
        <w:tab/>
        <w:t>Variation of rent for fixed term residential tenancy agreement entered, renewed or extended before commencement</w:t>
      </w:r>
      <w:bookmarkEnd w:id="1908"/>
      <w:bookmarkEnd w:id="1909"/>
    </w:p>
    <w:p>
      <w:pPr>
        <w:pStyle w:val="Subsection"/>
      </w:pPr>
      <w:r>
        <w:tab/>
        <w:t>(1)</w:t>
      </w:r>
      <w:r>
        <w:tab/>
        <w:t xml:space="preserve">In this section — </w:t>
      </w:r>
    </w:p>
    <w:p>
      <w:pPr>
        <w:pStyle w:val="Defstart"/>
      </w:pPr>
      <w:r>
        <w:tab/>
      </w:r>
      <w:r>
        <w:rPr>
          <w:rStyle w:val="CharDefText"/>
        </w:rPr>
        <w:t>commencement</w:t>
      </w:r>
      <w:r>
        <w:t xml:space="preserve"> means the day on which the </w:t>
      </w:r>
      <w:r>
        <w:rPr>
          <w:i/>
        </w:rPr>
        <w:t>Residential Tenancies Amendment Act 2024</w:t>
      </w:r>
      <w:r>
        <w:t xml:space="preserve"> section 25 comes into operation.</w:t>
      </w:r>
    </w:p>
    <w:p>
      <w:pPr>
        <w:pStyle w:val="Subsection"/>
        <w:keepNext/>
      </w:pPr>
      <w:r>
        <w:tab/>
        <w:t>(2)</w:t>
      </w:r>
      <w:r>
        <w:tab/>
        <w:t xml:space="preserve">This section applies to a residential tenancy agreement that creates a tenancy for a fixed term if — </w:t>
      </w:r>
    </w:p>
    <w:p>
      <w:pPr>
        <w:pStyle w:val="Indenta"/>
      </w:pPr>
      <w:r>
        <w:tab/>
        <w:t>(a)</w:t>
      </w:r>
      <w:r>
        <w:tab/>
        <w:t>the agreement was entered into, or last renewed or extended, before the commencement; and</w:t>
      </w:r>
    </w:p>
    <w:p>
      <w:pPr>
        <w:pStyle w:val="Indenta"/>
      </w:pPr>
      <w:r>
        <w:tab/>
        <w:t>(b)</w:t>
      </w:r>
      <w:r>
        <w:tab/>
        <w:t xml:space="preserve">the original, renewed or extended term of the agreement (the </w:t>
      </w:r>
      <w:r>
        <w:rPr>
          <w:rStyle w:val="CharDefText"/>
        </w:rPr>
        <w:t>current term</w:t>
      </w:r>
      <w:r>
        <w:t>), disregarding any further renewal or extension of the agreement, ends after the commencement.</w:t>
      </w:r>
    </w:p>
    <w:p>
      <w:pPr>
        <w:pStyle w:val="Subsection"/>
      </w:pPr>
      <w:r>
        <w:tab/>
        <w:t>(3)</w:t>
      </w:r>
      <w:r>
        <w:tab/>
        <w:t xml:space="preserve">Section 30, as in force from time to time before the commencement, continues to apply to the residential tenancy agreement until the end of the current term as if the </w:t>
      </w:r>
      <w:r>
        <w:rPr>
          <w:i/>
        </w:rPr>
        <w:t>Residential Tenancies Amendment Act 2024</w:t>
      </w:r>
      <w:r>
        <w:t xml:space="preserve"> had not been enacted.</w:t>
      </w:r>
    </w:p>
    <w:p>
      <w:pPr>
        <w:pStyle w:val="Footnotesection"/>
      </w:pPr>
      <w:r>
        <w:tab/>
        <w:t>[Section 99 inserted: No. 11 of 2024 s. 55.]</w:t>
      </w:r>
    </w:p>
    <w:p>
      <w:pPr>
        <w:pStyle w:val="Heading5"/>
      </w:pPr>
      <w:bookmarkStart w:id="1910" w:name="_Toc171694467"/>
      <w:bookmarkStart w:id="1911" w:name="_Toc171339214"/>
      <w:r>
        <w:rPr>
          <w:rStyle w:val="CharSectno"/>
        </w:rPr>
        <w:t>100</w:t>
      </w:r>
      <w:r>
        <w:t>.</w:t>
      </w:r>
      <w:r>
        <w:tab/>
        <w:t>Variation of rent for residential tenancy agreement, other than fixed term agreement, entered before commencement</w:t>
      </w:r>
      <w:bookmarkEnd w:id="1910"/>
      <w:bookmarkEnd w:id="1911"/>
    </w:p>
    <w:p>
      <w:pPr>
        <w:pStyle w:val="Subsection"/>
      </w:pPr>
      <w:r>
        <w:tab/>
        <w:t>(1)</w:t>
      </w:r>
      <w:r>
        <w:tab/>
        <w:t xml:space="preserve">In this section — </w:t>
      </w:r>
    </w:p>
    <w:p>
      <w:pPr>
        <w:pStyle w:val="Defstart"/>
      </w:pPr>
      <w:r>
        <w:tab/>
      </w:r>
      <w:r>
        <w:rPr>
          <w:rStyle w:val="CharDefText"/>
        </w:rPr>
        <w:t>commencement</w:t>
      </w:r>
      <w:r>
        <w:t xml:space="preserve"> means the day on which the </w:t>
      </w:r>
      <w:r>
        <w:rPr>
          <w:i/>
        </w:rPr>
        <w:t>Residential Tenancies Amendment Act 2024</w:t>
      </w:r>
      <w:r>
        <w:t xml:space="preserve"> section 25 comes into operation.</w:t>
      </w:r>
    </w:p>
    <w:p>
      <w:pPr>
        <w:pStyle w:val="Subsection"/>
      </w:pPr>
      <w:r>
        <w:tab/>
        <w:t>(2)</w:t>
      </w:r>
      <w:r>
        <w:tab/>
        <w:t>This section applies to a residential tenancy agreement in force on the commencement, other than an agreement to which section 99 applies.</w:t>
      </w:r>
    </w:p>
    <w:p>
      <w:pPr>
        <w:pStyle w:val="Subsection"/>
      </w:pPr>
      <w:r>
        <w:tab/>
        <w:t>(3)</w:t>
      </w:r>
      <w:r>
        <w:tab/>
        <w:t>Sections 30 and 31A, as in force from the commencement, apply to the residential tenancy agreement.</w:t>
      </w:r>
    </w:p>
    <w:p>
      <w:pPr>
        <w:pStyle w:val="Subsection"/>
      </w:pPr>
      <w:r>
        <w:tab/>
        <w:t>(4)</w:t>
      </w:r>
      <w:r>
        <w:tab/>
        <w:t>A notice of increase of rent relating to the residential tenancy agreement given under section 30 or 31A before the commencement has no effect if the notice does not comply with that section as in force from the commencement.</w:t>
      </w:r>
    </w:p>
    <w:p>
      <w:pPr>
        <w:pStyle w:val="Footnotesection"/>
      </w:pPr>
      <w:r>
        <w:tab/>
        <w:t>[Section 100 inserted: No. 11 of 2024 s. 55.]</w:t>
      </w:r>
    </w:p>
    <w:p>
      <w:pPr>
        <w:pStyle w:val="Heading5"/>
      </w:pPr>
      <w:bookmarkStart w:id="1912" w:name="_Toc171694468"/>
      <w:bookmarkStart w:id="1913" w:name="_Toc171339215"/>
      <w:r>
        <w:rPr>
          <w:rStyle w:val="CharSectno"/>
        </w:rPr>
        <w:t>101</w:t>
      </w:r>
      <w:r>
        <w:t>.</w:t>
      </w:r>
      <w:r>
        <w:tab/>
        <w:t>Application of Pt. 5A in relation to existing residential tenancy agreements</w:t>
      </w:r>
      <w:bookmarkEnd w:id="1912"/>
      <w:bookmarkEnd w:id="1913"/>
    </w:p>
    <w:p>
      <w:pPr>
        <w:pStyle w:val="Subsection"/>
      </w:pPr>
      <w:r>
        <w:tab/>
        <w:t>(1)</w:t>
      </w:r>
      <w:r>
        <w:tab/>
        <w:t xml:space="preserve">In this section — </w:t>
      </w:r>
    </w:p>
    <w:p>
      <w:pPr>
        <w:pStyle w:val="Defstart"/>
      </w:pPr>
      <w:r>
        <w:tab/>
      </w:r>
      <w:r>
        <w:rPr>
          <w:rStyle w:val="CharDefText"/>
        </w:rPr>
        <w:t>commencement</w:t>
      </w:r>
      <w:r>
        <w:t xml:space="preserve"> means the day on which the </w:t>
      </w:r>
      <w:r>
        <w:rPr>
          <w:i/>
        </w:rPr>
        <w:t>Residential Tenancies Amendment Act 2024</w:t>
      </w:r>
      <w:r>
        <w:t xml:space="preserve"> section 43 comes into operation;</w:t>
      </w:r>
    </w:p>
    <w:p>
      <w:pPr>
        <w:pStyle w:val="Defstart"/>
      </w:pPr>
      <w:r>
        <w:tab/>
      </w:r>
      <w:r>
        <w:rPr>
          <w:rStyle w:val="CharDefText"/>
        </w:rPr>
        <w:t>previous</w:t>
      </w:r>
      <w:r>
        <w:t>, in relation to a provision of this Act, means the provision as in force from time to time before the commencement.</w:t>
      </w:r>
    </w:p>
    <w:p>
      <w:pPr>
        <w:pStyle w:val="Subsection"/>
      </w:pPr>
      <w:r>
        <w:tab/>
        <w:t>(2)</w:t>
      </w:r>
      <w:r>
        <w:tab/>
        <w:t>Part 5A applies in relation to a residential tenancy agreement in force on the commencement.</w:t>
      </w:r>
    </w:p>
    <w:p>
      <w:pPr>
        <w:pStyle w:val="Subsection"/>
      </w:pPr>
      <w:r>
        <w:tab/>
        <w:t>(3)</w:t>
      </w:r>
      <w:r>
        <w:tab/>
        <w:t xml:space="preserve">However, the bond administrator may continue to deal with an application for the payment of the security bond as if the </w:t>
      </w:r>
      <w:r>
        <w:rPr>
          <w:i/>
        </w:rPr>
        <w:t>Residential Tenancies Amendment Act 2024</w:t>
      </w:r>
      <w:r>
        <w:t xml:space="preserve"> had not been enacted if — </w:t>
      </w:r>
    </w:p>
    <w:p>
      <w:pPr>
        <w:pStyle w:val="Indenta"/>
      </w:pPr>
      <w:r>
        <w:tab/>
        <w:t>(a)</w:t>
      </w:r>
      <w:r>
        <w:tab/>
        <w:t>the application is made under previous Schedule 1 clause 5, but not decided or withdrawn, before the commencement; or</w:t>
      </w:r>
    </w:p>
    <w:p>
      <w:pPr>
        <w:pStyle w:val="Indenta"/>
      </w:pPr>
      <w:r>
        <w:tab/>
        <w:t>(b)</w:t>
      </w:r>
      <w:r>
        <w:tab/>
        <w:t>the application is made after the commencement in a form approved by the Minister under previous Schedule 1 clause 5(1)(a).</w:t>
      </w:r>
    </w:p>
    <w:p>
      <w:pPr>
        <w:pStyle w:val="Subsection"/>
      </w:pPr>
      <w:r>
        <w:tab/>
        <w:t>(4)</w:t>
      </w:r>
      <w:r>
        <w:tab/>
        <w:t xml:space="preserve">Also, a competent court may continue to deal with an application relating to the payment of the security bond made under Schedule 1 clause 8, but not decided or withdrawn, before the commencement as if the </w:t>
      </w:r>
      <w:r>
        <w:rPr>
          <w:i/>
        </w:rPr>
        <w:t>Residential Tenancies Amendment Act 2024</w:t>
      </w:r>
      <w:r>
        <w:t xml:space="preserve"> had not been enacted.</w:t>
      </w:r>
    </w:p>
    <w:p>
      <w:pPr>
        <w:pStyle w:val="Footnotesection"/>
      </w:pPr>
      <w:r>
        <w:tab/>
        <w:t>[Section 101 inserted: No. 11 of 2024 s. 55.]</w:t>
      </w:r>
    </w:p>
    <w:p>
      <w:pPr>
        <w:pStyle w:val="Heading5"/>
      </w:pPr>
      <w:bookmarkStart w:id="1914" w:name="_Toc171694469"/>
      <w:bookmarkStart w:id="1915" w:name="_Toc171339216"/>
      <w:r>
        <w:rPr>
          <w:rStyle w:val="CharSectno"/>
        </w:rPr>
        <w:t>102</w:t>
      </w:r>
      <w:r>
        <w:t>.</w:t>
      </w:r>
      <w:r>
        <w:tab/>
        <w:t>Existing authorised agents of bond administrator</w:t>
      </w:r>
      <w:bookmarkEnd w:id="1914"/>
      <w:bookmarkEnd w:id="1915"/>
    </w:p>
    <w:p>
      <w:pPr>
        <w:pStyle w:val="Subsection"/>
        <w:keepNext/>
      </w:pPr>
      <w:r>
        <w:tab/>
        <w:t>(1)</w:t>
      </w:r>
      <w:r>
        <w:tab/>
        <w:t xml:space="preserve">In this section — </w:t>
      </w:r>
    </w:p>
    <w:p>
      <w:pPr>
        <w:pStyle w:val="Defstart"/>
      </w:pPr>
      <w:r>
        <w:tab/>
      </w:r>
      <w:r>
        <w:rPr>
          <w:rStyle w:val="CharDefText"/>
        </w:rPr>
        <w:t>commencement</w:t>
      </w:r>
      <w:r>
        <w:t xml:space="preserve"> means the day on which the </w:t>
      </w:r>
      <w:r>
        <w:rPr>
          <w:i/>
        </w:rPr>
        <w:t>Residential Tenancies Amendment Act 2024</w:t>
      </w:r>
      <w:r>
        <w:t xml:space="preserve"> section 56 comes into operation.</w:t>
      </w:r>
    </w:p>
    <w:p>
      <w:pPr>
        <w:pStyle w:val="Subsection"/>
      </w:pPr>
      <w:r>
        <w:tab/>
        <w:t>(2)</w:t>
      </w:r>
      <w:r>
        <w:tab/>
        <w:t xml:space="preserve">This section applies in relation to a person who, immediately before the commencement, is an authorised agent appointed by the bond administrator. </w:t>
      </w:r>
    </w:p>
    <w:p>
      <w:pPr>
        <w:pStyle w:val="Subsection"/>
      </w:pPr>
      <w:r>
        <w:tab/>
        <w:t>(3)</w:t>
      </w:r>
      <w:r>
        <w:tab/>
        <w:t>The bond administrator is taken to have delegated the powers and duties of the bond administrator under this Act, as in force from the commencement, to the person under section 10.</w:t>
      </w:r>
    </w:p>
    <w:p>
      <w:pPr>
        <w:pStyle w:val="Subsection"/>
      </w:pPr>
      <w:r>
        <w:tab/>
        <w:t>(4)</w:t>
      </w:r>
      <w:r>
        <w:tab/>
        <w:t>This section does not limit the power of the bond administrator to vary or revoke the delegation.</w:t>
      </w:r>
    </w:p>
    <w:p>
      <w:pPr>
        <w:pStyle w:val="Footnotesection"/>
      </w:pPr>
      <w:r>
        <w:tab/>
        <w:t>[Section 102 inserted: No. 11 of 2024 s. 55.]</w:t>
      </w:r>
    </w:p>
    <w:p>
      <w:pPr>
        <w:pStyle w:val="Heading5"/>
      </w:pPr>
      <w:bookmarkStart w:id="1916" w:name="_Toc171694470"/>
      <w:bookmarkStart w:id="1917" w:name="_Toc171339217"/>
      <w:r>
        <w:rPr>
          <w:rStyle w:val="CharSectno"/>
        </w:rPr>
        <w:t>103</w:t>
      </w:r>
      <w:r>
        <w:t>.</w:t>
      </w:r>
      <w:r>
        <w:tab/>
        <w:t>Validation of r. 12BA and 12CA</w:t>
      </w:r>
      <w:bookmarkEnd w:id="1916"/>
      <w:bookmarkEnd w:id="1917"/>
    </w:p>
    <w:p>
      <w:pPr>
        <w:pStyle w:val="Subsection"/>
      </w:pPr>
      <w:r>
        <w:tab/>
        <w:t>(1)</w:t>
      </w:r>
      <w:r>
        <w:tab/>
        <w:t xml:space="preserve">In this section — </w:t>
      </w:r>
    </w:p>
    <w:p>
      <w:pPr>
        <w:pStyle w:val="Defstart"/>
      </w:pPr>
      <w:r>
        <w:tab/>
      </w:r>
      <w:r>
        <w:rPr>
          <w:rStyle w:val="CharDefText"/>
        </w:rPr>
        <w:t>regulation 12BA</w:t>
      </w:r>
      <w:r>
        <w:t xml:space="preserve"> means the </w:t>
      </w:r>
      <w:r>
        <w:rPr>
          <w:i/>
        </w:rPr>
        <w:t>Residential Tenancies Regulations 1989</w:t>
      </w:r>
      <w:r>
        <w:t xml:space="preserve"> section 12BA;</w:t>
      </w:r>
    </w:p>
    <w:p>
      <w:pPr>
        <w:pStyle w:val="Defstart"/>
      </w:pPr>
      <w:r>
        <w:tab/>
      </w:r>
      <w:r>
        <w:rPr>
          <w:rStyle w:val="CharDefText"/>
        </w:rPr>
        <w:t>regulation 12CA</w:t>
      </w:r>
      <w:r>
        <w:t xml:space="preserve"> means the </w:t>
      </w:r>
      <w:r>
        <w:rPr>
          <w:i/>
        </w:rPr>
        <w:t>Residential Tenancies Regulations 1989</w:t>
      </w:r>
      <w:r>
        <w:t xml:space="preserve"> section 12CA;</w:t>
      </w:r>
    </w:p>
    <w:p>
      <w:pPr>
        <w:pStyle w:val="Defstart"/>
      </w:pPr>
      <w:r>
        <w:tab/>
      </w:r>
      <w:r>
        <w:rPr>
          <w:rStyle w:val="CharDefText"/>
        </w:rPr>
        <w:t>validation period</w:t>
      </w:r>
      <w:r>
        <w:t xml:space="preserve"> means the period — </w:t>
      </w:r>
    </w:p>
    <w:p>
      <w:pPr>
        <w:pStyle w:val="Defpara"/>
      </w:pPr>
      <w:r>
        <w:tab/>
        <w:t>(a)</w:t>
      </w:r>
      <w:r>
        <w:tab/>
        <w:t>beginning on 15 April 2019; and</w:t>
      </w:r>
    </w:p>
    <w:p>
      <w:pPr>
        <w:pStyle w:val="Defpara"/>
      </w:pPr>
      <w:r>
        <w:tab/>
        <w:t>(b)</w:t>
      </w:r>
      <w:r>
        <w:tab/>
        <w:t xml:space="preserve">ending on the day on which the </w:t>
      </w:r>
      <w:r>
        <w:rPr>
          <w:i/>
        </w:rPr>
        <w:t>Residential Tenancies Amendment Act 2024</w:t>
      </w:r>
      <w:r>
        <w:t xml:space="preserve"> section 47 comes into operation.</w:t>
      </w:r>
    </w:p>
    <w:p>
      <w:pPr>
        <w:pStyle w:val="Subsection"/>
      </w:pPr>
      <w:r>
        <w:tab/>
        <w:t>(2)</w:t>
      </w:r>
      <w:r>
        <w:tab/>
        <w:t>Regulation 12BA and regulation 12CA are taken to have come into operation on 15 April 2019 and to have been in operation at all times during the validation period, despite the operation of section 88(3) during that period.</w:t>
      </w:r>
    </w:p>
    <w:p>
      <w:pPr>
        <w:pStyle w:val="Subsection"/>
        <w:keepLines/>
      </w:pPr>
      <w:r>
        <w:tab/>
        <w:t>(3)</w:t>
      </w:r>
      <w:r>
        <w:tab/>
        <w:t>Anything done, or purportedly done, on or after 15 April 2019 is taken to be, and to have always been, as lawful, valid and effective as it would be, or would have been, had regulation 12BA or regulation 12CA come into operation, and been in operation at all times during the validation period, as provided in subsection (2).</w:t>
      </w:r>
    </w:p>
    <w:p>
      <w:pPr>
        <w:pStyle w:val="Subsection"/>
      </w:pPr>
      <w:r>
        <w:tab/>
        <w:t>(4)</w:t>
      </w:r>
      <w:r>
        <w:tab/>
        <w:t>In subsection (3), a reference to doing a thing includes a reference to omitting to do the thing.</w:t>
      </w:r>
    </w:p>
    <w:p>
      <w:pPr>
        <w:pStyle w:val="Footnotesection"/>
      </w:pPr>
      <w:r>
        <w:tab/>
        <w:t>[Section 103 inserted: No. 11 of 2024 s. 55.]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rPr>
          <w:rFonts w:eastAsia="MS Mincho"/>
        </w:rPr>
      </w:pPr>
      <w:bookmarkStart w:id="1918" w:name="_Toc171674107"/>
      <w:bookmarkStart w:id="1919" w:name="_Toc171680724"/>
      <w:bookmarkStart w:id="1920" w:name="_Toc171680989"/>
      <w:bookmarkStart w:id="1921" w:name="_Toc171681540"/>
      <w:bookmarkStart w:id="1922" w:name="_Toc171681956"/>
      <w:bookmarkStart w:id="1923" w:name="_Toc171682220"/>
      <w:bookmarkStart w:id="1924" w:name="_Toc171694471"/>
      <w:bookmarkStart w:id="1925" w:name="_Toc171089968"/>
      <w:bookmarkStart w:id="1926" w:name="_Toc171338415"/>
      <w:bookmarkStart w:id="1927" w:name="_Toc171339218"/>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1918"/>
      <w:bookmarkEnd w:id="1919"/>
      <w:bookmarkEnd w:id="1920"/>
      <w:bookmarkEnd w:id="1921"/>
      <w:bookmarkEnd w:id="1922"/>
      <w:bookmarkEnd w:id="1923"/>
      <w:bookmarkEnd w:id="1924"/>
      <w:bookmarkEnd w:id="1925"/>
      <w:bookmarkEnd w:id="1926"/>
      <w:bookmarkEnd w:id="1927"/>
    </w:p>
    <w:p>
      <w:pPr>
        <w:pStyle w:val="yShoulderClause"/>
      </w:pPr>
      <w:r>
        <w:t>[s. 3, 7(3), 12, 29(4), (7), (8), 59D(6), 79(5), (6), (11) and 80A(8)]</w:t>
      </w:r>
    </w:p>
    <w:p>
      <w:pPr>
        <w:pStyle w:val="yFootnoteheading"/>
      </w:pPr>
      <w:r>
        <w:tab/>
        <w:t xml:space="preserve">[Heading inserted: No. 60 of 2011 s. 87(1).] </w:t>
      </w:r>
    </w:p>
    <w:p>
      <w:pPr>
        <w:pStyle w:val="yHeading3"/>
      </w:pPr>
      <w:bookmarkStart w:id="1928" w:name="_Toc171674108"/>
      <w:bookmarkStart w:id="1929" w:name="_Toc171680725"/>
      <w:bookmarkStart w:id="1930" w:name="_Toc171680990"/>
      <w:bookmarkStart w:id="1931" w:name="_Toc171681541"/>
      <w:bookmarkStart w:id="1932" w:name="_Toc171681957"/>
      <w:bookmarkStart w:id="1933" w:name="_Toc171682221"/>
      <w:bookmarkStart w:id="1934" w:name="_Toc171694472"/>
      <w:bookmarkStart w:id="1935" w:name="_Toc171089969"/>
      <w:bookmarkStart w:id="1936" w:name="_Toc171338416"/>
      <w:bookmarkStart w:id="1937" w:name="_Toc171339219"/>
      <w:r>
        <w:rPr>
          <w:rStyle w:val="CharSDivNo"/>
        </w:rPr>
        <w:t>Division 1</w:t>
      </w:r>
      <w:r>
        <w:t> — </w:t>
      </w:r>
      <w:r>
        <w:rPr>
          <w:rStyle w:val="CharSDivText"/>
        </w:rPr>
        <w:t>General</w:t>
      </w:r>
      <w:bookmarkEnd w:id="1928"/>
      <w:bookmarkEnd w:id="1929"/>
      <w:bookmarkEnd w:id="1930"/>
      <w:bookmarkEnd w:id="1931"/>
      <w:bookmarkEnd w:id="1932"/>
      <w:bookmarkEnd w:id="1933"/>
      <w:bookmarkEnd w:id="1934"/>
      <w:bookmarkEnd w:id="1935"/>
      <w:bookmarkEnd w:id="1936"/>
      <w:bookmarkEnd w:id="1937"/>
    </w:p>
    <w:p>
      <w:pPr>
        <w:pStyle w:val="yFootnoteheading"/>
      </w:pPr>
      <w:r>
        <w:tab/>
        <w:t>[Heading inserted: No. 60 of 2011 s. 87(2).]</w:t>
      </w:r>
    </w:p>
    <w:p>
      <w:pPr>
        <w:pStyle w:val="yHeading5"/>
        <w:rPr>
          <w:snapToGrid w:val="0"/>
        </w:rPr>
      </w:pPr>
      <w:bookmarkStart w:id="1938" w:name="_Toc171694473"/>
      <w:bookmarkStart w:id="1939" w:name="_Toc171339220"/>
      <w:r>
        <w:rPr>
          <w:rStyle w:val="CharSClsNo"/>
        </w:rPr>
        <w:t>1</w:t>
      </w:r>
      <w:r>
        <w:rPr>
          <w:snapToGrid w:val="0"/>
        </w:rPr>
        <w:t>.</w:t>
      </w:r>
      <w:r>
        <w:rPr>
          <w:snapToGrid w:val="0"/>
        </w:rPr>
        <w:tab/>
      </w:r>
      <w:r>
        <w:t>Term</w:t>
      </w:r>
      <w:r>
        <w:rPr>
          <w:snapToGrid w:val="0"/>
        </w:rPr>
        <w:t xml:space="preserve"> used: authorised agent</w:t>
      </w:r>
      <w:bookmarkEnd w:id="1938"/>
      <w:bookmarkEnd w:id="1939"/>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No. 31 of 1993 s. 63(a); No. 59 of 1995 s. 54(1)(a); No. 26 of 1999 s. 100(3); No. 60  of 2011 s. 87(3)-(4).] </w:t>
      </w:r>
    </w:p>
    <w:p>
      <w:pPr>
        <w:pStyle w:val="yEdnotesection"/>
      </w:pPr>
      <w:r>
        <w:t>[</w:t>
      </w:r>
      <w:r>
        <w:rPr>
          <w:b/>
        </w:rPr>
        <w:t>2.</w:t>
      </w:r>
      <w:r>
        <w:tab/>
        <w:t>Deleted: No. 60 of 2011 s. 87(5).]</w:t>
      </w:r>
    </w:p>
    <w:p>
      <w:pPr>
        <w:pStyle w:val="yHeading5"/>
        <w:rPr>
          <w:snapToGrid w:val="0"/>
        </w:rPr>
      </w:pPr>
      <w:bookmarkStart w:id="1940" w:name="_Toc171694474"/>
      <w:bookmarkStart w:id="1941" w:name="_Toc171339221"/>
      <w:r>
        <w:rPr>
          <w:rStyle w:val="CharSClsNo"/>
        </w:rPr>
        <w:t>3</w:t>
      </w:r>
      <w:r>
        <w:rPr>
          <w:snapToGrid w:val="0"/>
        </w:rPr>
        <w:t>.</w:t>
      </w:r>
      <w:r>
        <w:rPr>
          <w:snapToGrid w:val="0"/>
        </w:rPr>
        <w:tab/>
        <w:t>Rental Accommodation Account</w:t>
      </w:r>
      <w:bookmarkEnd w:id="1940"/>
      <w:bookmarkEnd w:id="1941"/>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w:t>
      </w:r>
      <w:r>
        <w:rPr>
          <w:szCs w:val="22"/>
        </w:rPr>
        <w:t>102(1)(b);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w:t>
      </w:r>
      <w:r>
        <w:rPr>
          <w:szCs w:val="22"/>
        </w:rPr>
        <w:t>section 76(2), (2A)</w:t>
      </w:r>
      <w:r>
        <w:t xml:space="preserve">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r>
        <w:rPr>
          <w:i/>
          <w:iCs/>
        </w:rPr>
        <w:t>Magistrates Court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w:t>
      </w:r>
      <w:r>
        <w:noBreakHyphen/>
        <w:t>(9); No. 28 of 2020 s. 89.]</w:t>
      </w:r>
    </w:p>
    <w:p>
      <w:pPr>
        <w:pStyle w:val="yHeading5"/>
        <w:rPr>
          <w:snapToGrid w:val="0"/>
        </w:rPr>
      </w:pPr>
      <w:bookmarkStart w:id="1942" w:name="_Toc171694475"/>
      <w:bookmarkStart w:id="1943" w:name="_Toc171339222"/>
      <w:r>
        <w:rPr>
          <w:rStyle w:val="CharSClsNo"/>
        </w:rPr>
        <w:t>4</w:t>
      </w:r>
      <w:r>
        <w:rPr>
          <w:snapToGrid w:val="0"/>
        </w:rPr>
        <w:t>.</w:t>
      </w:r>
      <w:r>
        <w:rPr>
          <w:snapToGrid w:val="0"/>
        </w:rPr>
        <w:tab/>
        <w:t>Duties of bond administrator</w:t>
      </w:r>
      <w:bookmarkEnd w:id="1942"/>
      <w:bookmarkEnd w:id="1943"/>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No. 77 of 2006 Sch. 1 cl. 149(5); No. 60 of 2011 s. 87(10) and 89.] </w:t>
      </w:r>
    </w:p>
    <w:p>
      <w:pPr>
        <w:pStyle w:val="yHeading3"/>
      </w:pPr>
      <w:bookmarkStart w:id="1944" w:name="_Toc171674112"/>
      <w:bookmarkStart w:id="1945" w:name="_Toc171680729"/>
      <w:bookmarkStart w:id="1946" w:name="_Toc171680994"/>
      <w:bookmarkStart w:id="1947" w:name="_Toc171681545"/>
      <w:bookmarkStart w:id="1948" w:name="_Toc171681961"/>
      <w:bookmarkStart w:id="1949" w:name="_Toc171682225"/>
      <w:bookmarkStart w:id="1950" w:name="_Toc171694476"/>
      <w:bookmarkStart w:id="1951" w:name="_Toc171089973"/>
      <w:bookmarkStart w:id="1952" w:name="_Toc171338420"/>
      <w:bookmarkStart w:id="1953" w:name="_Toc171339223"/>
      <w:r>
        <w:rPr>
          <w:rStyle w:val="CharSDivNo"/>
        </w:rPr>
        <w:t>Division 2</w:t>
      </w:r>
      <w:r>
        <w:t> — </w:t>
      </w:r>
      <w:r>
        <w:rPr>
          <w:rStyle w:val="CharSDivText"/>
        </w:rPr>
        <w:t>Security bonds</w:t>
      </w:r>
      <w:bookmarkEnd w:id="1944"/>
      <w:bookmarkEnd w:id="1945"/>
      <w:bookmarkEnd w:id="1946"/>
      <w:bookmarkEnd w:id="1947"/>
      <w:bookmarkEnd w:id="1948"/>
      <w:bookmarkEnd w:id="1949"/>
      <w:bookmarkEnd w:id="1950"/>
      <w:bookmarkEnd w:id="1951"/>
      <w:bookmarkEnd w:id="1952"/>
      <w:bookmarkEnd w:id="1953"/>
    </w:p>
    <w:p>
      <w:pPr>
        <w:pStyle w:val="yFootnoteheading"/>
      </w:pPr>
      <w:r>
        <w:tab/>
        <w:t>[Heading inserted: No. 60 of 2011 s. 87(11).]</w:t>
      </w:r>
    </w:p>
    <w:p>
      <w:pPr>
        <w:pStyle w:val="yHeading5"/>
      </w:pPr>
      <w:bookmarkStart w:id="1954" w:name="_Toc171694477"/>
      <w:bookmarkStart w:id="1955" w:name="_Toc171339224"/>
      <w:r>
        <w:rPr>
          <w:rStyle w:val="CharSClsNo"/>
        </w:rPr>
        <w:t>5A</w:t>
      </w:r>
      <w:r>
        <w:t>.</w:t>
      </w:r>
      <w:r>
        <w:tab/>
        <w:t>Security bond moneys to be paid to bond administrator</w:t>
      </w:r>
      <w:bookmarkEnd w:id="1954"/>
      <w:bookmarkEnd w:id="1955"/>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No. 60 of 2011 s. 87(12).] </w:t>
      </w:r>
    </w:p>
    <w:p>
      <w:pPr>
        <w:pStyle w:val="yHeading5"/>
        <w:rPr>
          <w:snapToGrid w:val="0"/>
        </w:rPr>
      </w:pPr>
      <w:bookmarkStart w:id="1956" w:name="_Toc171694478"/>
      <w:bookmarkStart w:id="1957" w:name="_Toc171339225"/>
      <w:r>
        <w:rPr>
          <w:rStyle w:val="CharSClsNo"/>
        </w:rPr>
        <w:t>5</w:t>
      </w:r>
      <w:r>
        <w:rPr>
          <w:snapToGrid w:val="0"/>
        </w:rPr>
        <w:t>.</w:t>
      </w:r>
      <w:r>
        <w:rPr>
          <w:snapToGrid w:val="0"/>
        </w:rPr>
        <w:tab/>
        <w:t xml:space="preserve">Disposal of </w:t>
      </w:r>
      <w:r>
        <w:t>security</w:t>
      </w:r>
      <w:r>
        <w:rPr>
          <w:snapToGrid w:val="0"/>
        </w:rPr>
        <w:t xml:space="preserve"> bond by bond administrator</w:t>
      </w:r>
      <w:bookmarkEnd w:id="1956"/>
      <w:bookmarkEnd w:id="1957"/>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keepNext/>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No. 69 of 2006 s. 32(2) and (3); No. 60 of 2011 s. 87(13)-(15).] </w:t>
      </w:r>
    </w:p>
    <w:p>
      <w:pPr>
        <w:pStyle w:val="yEdnotesection"/>
      </w:pPr>
      <w:r>
        <w:t>[Part C (cl. 6-7) deleted: No. 60 of 2011 s. 87(16).]</w:t>
      </w:r>
    </w:p>
    <w:p>
      <w:pPr>
        <w:pStyle w:val="yEdnotesection"/>
      </w:pPr>
      <w:r>
        <w:tab/>
        <w:t>[Heading deleted: No. 60 of 2011 s. 87(17).]</w:t>
      </w:r>
    </w:p>
    <w:p>
      <w:pPr>
        <w:pStyle w:val="yHeading5"/>
        <w:rPr>
          <w:snapToGrid w:val="0"/>
        </w:rPr>
      </w:pPr>
      <w:bookmarkStart w:id="1958" w:name="_Toc171694479"/>
      <w:bookmarkStart w:id="1959" w:name="_Toc171339226"/>
      <w:r>
        <w:rPr>
          <w:rStyle w:val="CharSClsNo"/>
        </w:rPr>
        <w:t>8</w:t>
      </w:r>
      <w:r>
        <w:rPr>
          <w:snapToGrid w:val="0"/>
        </w:rPr>
        <w:t>.</w:t>
      </w:r>
      <w:r>
        <w:rPr>
          <w:snapToGrid w:val="0"/>
        </w:rPr>
        <w:tab/>
      </w:r>
      <w:r>
        <w:t>Court</w:t>
      </w:r>
      <w:r>
        <w:rPr>
          <w:snapToGrid w:val="0"/>
        </w:rPr>
        <w:t xml:space="preserve"> may determine disposal of security bond</w:t>
      </w:r>
      <w:bookmarkEnd w:id="1958"/>
      <w:bookmarkEnd w:id="1959"/>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1960" w:name="_Toc171674116"/>
      <w:bookmarkStart w:id="1961" w:name="_Toc171680733"/>
      <w:bookmarkStart w:id="1962" w:name="_Toc171680998"/>
      <w:bookmarkStart w:id="1963" w:name="_Toc171681549"/>
      <w:bookmarkStart w:id="1964" w:name="_Toc171681965"/>
      <w:bookmarkStart w:id="1965" w:name="_Toc171682229"/>
      <w:bookmarkStart w:id="1966" w:name="_Toc171694480"/>
      <w:bookmarkStart w:id="1967" w:name="_Toc171089977"/>
      <w:bookmarkStart w:id="1968" w:name="_Toc171338424"/>
      <w:bookmarkStart w:id="1969" w:name="_Toc171339227"/>
      <w:r>
        <w:rPr>
          <w:rStyle w:val="CharSDivNo"/>
        </w:rPr>
        <w:t>Division 3</w:t>
      </w:r>
      <w:r>
        <w:t> — </w:t>
      </w:r>
      <w:r>
        <w:rPr>
          <w:rStyle w:val="CharSDivText"/>
        </w:rPr>
        <w:t>Tenant compensation bonds</w:t>
      </w:r>
      <w:bookmarkEnd w:id="1960"/>
      <w:bookmarkEnd w:id="1961"/>
      <w:bookmarkEnd w:id="1962"/>
      <w:bookmarkEnd w:id="1963"/>
      <w:bookmarkEnd w:id="1964"/>
      <w:bookmarkEnd w:id="1965"/>
      <w:bookmarkEnd w:id="1966"/>
      <w:bookmarkEnd w:id="1967"/>
      <w:bookmarkEnd w:id="1968"/>
      <w:bookmarkEnd w:id="1969"/>
    </w:p>
    <w:p>
      <w:pPr>
        <w:pStyle w:val="yFootnoteheading"/>
      </w:pPr>
      <w:r>
        <w:tab/>
        <w:t>[Heading inserted: No. 60 of 2011 s. 87(23).]</w:t>
      </w:r>
    </w:p>
    <w:p>
      <w:pPr>
        <w:pStyle w:val="yHeading5"/>
      </w:pPr>
      <w:bookmarkStart w:id="1970" w:name="_Toc171694481"/>
      <w:bookmarkStart w:id="1971" w:name="_Toc171339228"/>
      <w:r>
        <w:rPr>
          <w:rStyle w:val="CharSClsNo"/>
        </w:rPr>
        <w:t>9</w:t>
      </w:r>
      <w:r>
        <w:t>.</w:t>
      </w:r>
      <w:r>
        <w:tab/>
        <w:t>Application of Division</w:t>
      </w:r>
      <w:bookmarkEnd w:id="1970"/>
      <w:bookmarkEnd w:id="1971"/>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1972" w:name="_Toc171694482"/>
      <w:bookmarkStart w:id="1973" w:name="_Toc171339229"/>
      <w:r>
        <w:rPr>
          <w:rStyle w:val="CharSClsNo"/>
        </w:rPr>
        <w:t>10</w:t>
      </w:r>
      <w:r>
        <w:t>.</w:t>
      </w:r>
      <w:r>
        <w:tab/>
        <w:t>Disposal of tenant compensation bond to tenant by bond administrator</w:t>
      </w:r>
      <w:bookmarkEnd w:id="1972"/>
      <w:bookmarkEnd w:id="1973"/>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keepNext/>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w:t>
      </w:r>
    </w:p>
    <w:p>
      <w:pPr>
        <w:pStyle w:val="yHeading5"/>
      </w:pPr>
      <w:bookmarkStart w:id="1974" w:name="_Toc171694483"/>
      <w:bookmarkStart w:id="1975" w:name="_Toc171339230"/>
      <w:r>
        <w:rPr>
          <w:rStyle w:val="CharSClsNo"/>
        </w:rPr>
        <w:t>11</w:t>
      </w:r>
      <w:r>
        <w:t>.</w:t>
      </w:r>
      <w:r>
        <w:tab/>
        <w:t>Disposal of tenant compensation bond to lessor by bond administrator</w:t>
      </w:r>
      <w:bookmarkEnd w:id="1974"/>
      <w:bookmarkEnd w:id="1975"/>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No. 60 of 2011 s. 87(23).]</w:t>
      </w:r>
    </w:p>
    <w:p>
      <w:pPr>
        <w:pStyle w:val="yEdnotesection"/>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1977" w:name="_Toc171674120"/>
      <w:bookmarkStart w:id="1978" w:name="_Toc171680737"/>
      <w:bookmarkStart w:id="1979" w:name="_Toc171681002"/>
      <w:bookmarkStart w:id="1980" w:name="_Toc171681553"/>
      <w:bookmarkStart w:id="1981" w:name="_Toc171681969"/>
      <w:bookmarkStart w:id="1982" w:name="_Toc171682233"/>
      <w:bookmarkStart w:id="1983" w:name="_Toc171694484"/>
      <w:bookmarkStart w:id="1984" w:name="_Toc171089981"/>
      <w:bookmarkStart w:id="1985" w:name="_Toc171338428"/>
      <w:bookmarkStart w:id="1986" w:name="_Toc171339231"/>
      <w:r>
        <w:t>Notes</w:t>
      </w:r>
      <w:bookmarkEnd w:id="1977"/>
      <w:bookmarkEnd w:id="1978"/>
      <w:bookmarkEnd w:id="1979"/>
      <w:bookmarkEnd w:id="1980"/>
      <w:bookmarkEnd w:id="1981"/>
      <w:bookmarkEnd w:id="1982"/>
      <w:bookmarkEnd w:id="1983"/>
      <w:bookmarkEnd w:id="1984"/>
      <w:bookmarkEnd w:id="1985"/>
      <w:bookmarkEnd w:id="1986"/>
    </w:p>
    <w:p>
      <w:pPr>
        <w:pStyle w:val="nStatement"/>
      </w:pPr>
      <w:r>
        <w:t xml:space="preserve">This is a compilation of the </w:t>
      </w:r>
      <w:r>
        <w:rPr>
          <w:i/>
          <w:noProof/>
        </w:rPr>
        <w:t>Residential Tenancies Act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987" w:name="_Toc171694485"/>
      <w:bookmarkStart w:id="1988" w:name="_Toc171339232"/>
      <w:r>
        <w:t>Compilation table</w:t>
      </w:r>
      <w:bookmarkEnd w:id="1987"/>
      <w:bookmarkEnd w:id="1988"/>
    </w:p>
    <w:tbl>
      <w:tblPr>
        <w:tblW w:w="7090" w:type="dxa"/>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53"/>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3"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3" w:type="dxa"/>
          </w:tcPr>
          <w:p>
            <w:pPr>
              <w:pStyle w:val="nTable"/>
              <w:spacing w:after="40"/>
            </w:pPr>
            <w:r>
              <w:t>8 Dec 1988 (see s. 2)</w:t>
            </w:r>
          </w:p>
        </w:tc>
      </w:tr>
      <w:tr>
        <w:trPr>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3" w:type="dxa"/>
          </w:tcPr>
          <w:p>
            <w:pPr>
              <w:pStyle w:val="nTable"/>
              <w:spacing w:after="40"/>
            </w:pPr>
            <w:r>
              <w:t>1 Jul 1993 (see s. 2(1))</w:t>
            </w:r>
          </w:p>
        </w:tc>
      </w:tr>
      <w:tr>
        <w:trPr>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2</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3" w:type="dxa"/>
          </w:tcPr>
          <w:p>
            <w:pPr>
              <w:pStyle w:val="nTable"/>
              <w:spacing w:after="40"/>
            </w:pPr>
            <w:r>
              <w:t>1 Jul 1993 (see s. 2)</w:t>
            </w:r>
          </w:p>
        </w:tc>
      </w:tr>
      <w:tr>
        <w:trPr>
          <w:cantSplit/>
        </w:trPr>
        <w:tc>
          <w:tcPr>
            <w:tcW w:w="2268" w:type="dxa"/>
            <w:gridSpan w:val="2"/>
          </w:tcPr>
          <w:p>
            <w:pPr>
              <w:pStyle w:val="nTable"/>
              <w:spacing w:after="40"/>
            </w:pPr>
            <w:r>
              <w:rPr>
                <w:i/>
              </w:rPr>
              <w:t>Caravan Parks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3" w:type="dxa"/>
          </w:tcPr>
          <w:p>
            <w:pPr>
              <w:pStyle w:val="nTable"/>
              <w:spacing w:after="40"/>
            </w:pPr>
            <w:r>
              <w:t>1 Jul 1997 (see s. 2 and </w:t>
            </w:r>
            <w:r>
              <w:rPr>
                <w:i/>
              </w:rPr>
              <w:t>Gazette</w:t>
            </w:r>
            <w:r>
              <w:t xml:space="preserve"> 20 Jun 1997 p. 2805)</w:t>
            </w:r>
          </w:p>
        </w:tc>
      </w:tr>
      <w:tr>
        <w:trPr>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3,</w:t>
            </w:r>
            <w:r>
              <w:rPr>
                <w:vertAlign w:val="superscript"/>
              </w:rPr>
              <w:t> 4</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3"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3" w:type="dxa"/>
          </w:tcPr>
          <w:p>
            <w:pPr>
              <w:pStyle w:val="nTable"/>
              <w:keepNext/>
              <w:keepLines/>
              <w:spacing w:after="40"/>
            </w:pPr>
            <w:r>
              <w:t xml:space="preserve">1 Jan 1996 (see s. 2(2) and </w:t>
            </w:r>
            <w:r>
              <w:rPr>
                <w:i/>
              </w:rPr>
              <w:t>Gazette</w:t>
            </w:r>
            <w:r>
              <w:t xml:space="preserve"> 29 Dec 1995 p. 6291)</w:t>
            </w:r>
          </w:p>
        </w:tc>
      </w:tr>
      <w:tr>
        <w:trPr>
          <w:cantSplit/>
        </w:trPr>
        <w:tc>
          <w:tcPr>
            <w:tcW w:w="7090" w:type="dxa"/>
            <w:gridSpan w:val="7"/>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3" w:type="dxa"/>
          </w:tcPr>
          <w:p>
            <w:pPr>
              <w:pStyle w:val="nTable"/>
              <w:spacing w:after="40"/>
            </w:pPr>
            <w:r>
              <w:t>1 Jul 1996 (see s. 2)</w:t>
            </w:r>
          </w:p>
        </w:tc>
      </w:tr>
      <w:tr>
        <w:trPr>
          <w:cantSplit/>
        </w:trPr>
        <w:tc>
          <w:tcPr>
            <w:tcW w:w="2268" w:type="dxa"/>
            <w:gridSpan w:val="2"/>
          </w:tcPr>
          <w:p>
            <w:pPr>
              <w:pStyle w:val="nTable"/>
              <w:spacing w:after="40"/>
            </w:pPr>
            <w:r>
              <w:rPr>
                <w:i/>
              </w:rPr>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3" w:type="dxa"/>
          </w:tcPr>
          <w:p>
            <w:pPr>
              <w:pStyle w:val="nTable"/>
              <w:spacing w:after="40"/>
            </w:pPr>
            <w:r>
              <w:t>15 Dec 1997 (see s. 2(1))</w:t>
            </w:r>
          </w:p>
        </w:tc>
      </w:tr>
      <w:tr>
        <w:trPr>
          <w:cantSplit/>
        </w:trPr>
        <w:tc>
          <w:tcPr>
            <w:tcW w:w="7090" w:type="dxa"/>
            <w:gridSpan w:val="7"/>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3" w:type="dxa"/>
          </w:tcPr>
          <w:p>
            <w:pPr>
              <w:pStyle w:val="nTable"/>
              <w:spacing w:after="40"/>
            </w:pPr>
            <w:r>
              <w:t xml:space="preserve">1 Jul 1999 (see s. 2(1) and </w:t>
            </w:r>
            <w:r>
              <w:rPr>
                <w:i/>
              </w:rPr>
              <w:t>Gazette</w:t>
            </w:r>
            <w:r>
              <w:t xml:space="preserve"> 30 Jun 1999 p. 2905)</w:t>
            </w:r>
          </w:p>
        </w:tc>
      </w:tr>
      <w:tr>
        <w:trPr>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5</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3" w:type="dxa"/>
          </w:tcPr>
          <w:p>
            <w:pPr>
              <w:pStyle w:val="nTable"/>
              <w:spacing w:after="40"/>
            </w:pPr>
            <w:r>
              <w:t xml:space="preserve">1 Jul 2003 (see s. 2 and </w:t>
            </w:r>
            <w:r>
              <w:rPr>
                <w:i/>
              </w:rPr>
              <w:t>Gazette</w:t>
            </w:r>
            <w:r>
              <w:t xml:space="preserve"> 27 Jun 2003 p. 2383)</w:t>
            </w:r>
          </w:p>
        </w:tc>
      </w:tr>
      <w:tr>
        <w:trPr>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3" w:type="dxa"/>
          </w:tcPr>
          <w:p>
            <w:pPr>
              <w:pStyle w:val="nTable"/>
              <w:spacing w:after="40"/>
            </w:pPr>
            <w:r>
              <w:t xml:space="preserve">1 Jan 2004 (see s. 2 and </w:t>
            </w:r>
            <w:r>
              <w:rPr>
                <w:i/>
              </w:rPr>
              <w:t>Gazette</w:t>
            </w:r>
            <w:r>
              <w:t xml:space="preserve"> 30 Dec 2003 p. 5722)</w:t>
            </w:r>
          </w:p>
        </w:tc>
      </w:tr>
      <w:tr>
        <w:trPr>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3"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90" w:type="dxa"/>
            <w:gridSpan w:val="7"/>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3" w:type="dxa"/>
          </w:tcPr>
          <w:p>
            <w:pPr>
              <w:pStyle w:val="nTable"/>
              <w:spacing w:after="40"/>
              <w:rPr>
                <w:snapToGrid w:val="0"/>
              </w:rPr>
            </w:pPr>
            <w:r>
              <w:rPr>
                <w:snapToGrid w:val="0"/>
              </w:rPr>
              <w:t>15 Nov 2005 (see s. 2)</w:t>
            </w:r>
          </w:p>
        </w:tc>
      </w:tr>
      <w:t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6</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3"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3"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3"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c>
          <w:tcPr>
            <w:tcW w:w="2268" w:type="dxa"/>
            <w:gridSpan w:val="2"/>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3"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90" w:type="dxa"/>
            <w:gridSpan w:val="7"/>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3"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3"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gridSpan w:val="2"/>
            <w:shd w:val="clear" w:color="auto" w:fill="auto"/>
          </w:tcPr>
          <w:p>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3" w:type="dxa"/>
            <w:shd w:val="clear" w:color="auto" w:fill="auto"/>
          </w:tcPr>
          <w:p>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90" w:type="dxa"/>
            <w:gridSpan w:val="7"/>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gridSpan w:val="2"/>
            <w:shd w:val="clear" w:color="auto" w:fill="auto"/>
          </w:tcPr>
          <w:p>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3" w:type="dxa"/>
            <w:shd w:val="clear" w:color="auto" w:fill="auto"/>
          </w:tcPr>
          <w:p>
            <w:pPr>
              <w:pStyle w:val="nTable"/>
              <w:spacing w:after="40"/>
            </w:pPr>
            <w:r>
              <w:t xml:space="preserve">1 Nov 2013 (see s. 2(b) and </w:t>
            </w:r>
            <w:r>
              <w:rPr>
                <w:i/>
              </w:rPr>
              <w:t>Gazette</w:t>
            </w:r>
            <w:r>
              <w:t xml:space="preserve"> 31 Oct 2013 p. 4829)</w:t>
            </w:r>
          </w:p>
        </w:tc>
      </w:tr>
      <w:tr>
        <w:trPr>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3"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3"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90" w:type="dxa"/>
            <w:gridSpan w:val="7"/>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t>Residential Tenancies Amendment Act 2016</w:t>
            </w:r>
            <w:r>
              <w:t xml:space="preserve"> </w:t>
            </w:r>
          </w:p>
        </w:tc>
        <w:tc>
          <w:tcPr>
            <w:tcW w:w="1134" w:type="dxa"/>
            <w:gridSpan w:val="2"/>
            <w:tcBorders>
              <w:top w:val="nil"/>
              <w:bottom w:val="nil"/>
            </w:tcBorders>
          </w:tcPr>
          <w:p>
            <w:pPr>
              <w:pStyle w:val="nTable"/>
              <w:spacing w:after="40"/>
            </w:pPr>
            <w:r>
              <w:t>42 of 2016</w:t>
            </w:r>
          </w:p>
        </w:tc>
        <w:tc>
          <w:tcPr>
            <w:tcW w:w="1134" w:type="dxa"/>
            <w:gridSpan w:val="2"/>
            <w:tcBorders>
              <w:top w:val="nil"/>
              <w:bottom w:val="nil"/>
            </w:tcBorders>
          </w:tcPr>
          <w:p>
            <w:pPr>
              <w:pStyle w:val="nTable"/>
              <w:spacing w:after="40"/>
            </w:pPr>
            <w:r>
              <w:t>1 Dec 2016</w:t>
            </w:r>
          </w:p>
        </w:tc>
        <w:tc>
          <w:tcPr>
            <w:tcW w:w="2582" w:type="dxa"/>
            <w:gridSpan w:val="2"/>
            <w:tcBorders>
              <w:top w:val="nil"/>
              <w:bottom w:val="nil"/>
            </w:tcBorders>
          </w:tcPr>
          <w:p>
            <w:pPr>
              <w:pStyle w:val="nTable"/>
              <w:keepNext/>
              <w:spacing w:after="40"/>
            </w:pPr>
            <w:r>
              <w:t>s. 1 and 2: 1 Dec 2016 (see s. 2(a));</w:t>
            </w:r>
            <w:r>
              <w:br/>
              <w:t xml:space="preserve">Act other than s. 1 and 2: 3 Jul 2017 (see s. 2(b) and </w:t>
            </w:r>
            <w:r>
              <w:rPr>
                <w:i/>
              </w:rPr>
              <w:t>Gazette</w:t>
            </w:r>
            <w:r>
              <w:t xml:space="preserve"> 30 Jun 2017 p. 3551</w:t>
            </w:r>
            <w:r>
              <w:noBreakHyphen/>
              <w:t>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t>Strata Titles Amendment Act 2018</w:t>
            </w:r>
            <w:r>
              <w:t xml:space="preserve"> Pt. 3 Div. 18</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82" w:type="dxa"/>
            <w:gridSpan w:val="2"/>
            <w:tcBorders>
              <w:top w:val="nil"/>
              <w:bottom w:val="nil"/>
            </w:tcBorders>
          </w:tcPr>
          <w:p>
            <w:pPr>
              <w:pStyle w:val="nTable"/>
              <w:spacing w:after="40"/>
            </w:pPr>
            <w:r>
              <w:t>1 May 2020 (see s. 2(b) and SL 2020/39 cl. 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rPr>
                <w:i/>
              </w:rPr>
            </w:pPr>
            <w:r>
              <w:rPr>
                <w:i/>
              </w:rPr>
              <w:t>Community Titles Act 2018</w:t>
            </w:r>
            <w:r>
              <w:t xml:space="preserve"> Pt. 14 Div. 18</w:t>
            </w:r>
          </w:p>
        </w:tc>
        <w:tc>
          <w:tcPr>
            <w:tcW w:w="1134" w:type="dxa"/>
            <w:gridSpan w:val="2"/>
            <w:tcBorders>
              <w:top w:val="nil"/>
              <w:bottom w:val="nil"/>
            </w:tcBorders>
          </w:tcPr>
          <w:p>
            <w:pPr>
              <w:pStyle w:val="nTable"/>
              <w:spacing w:after="40"/>
            </w:pPr>
            <w:r>
              <w:t>32 of 2018</w:t>
            </w:r>
          </w:p>
        </w:tc>
        <w:tc>
          <w:tcPr>
            <w:tcW w:w="1134" w:type="dxa"/>
            <w:gridSpan w:val="2"/>
            <w:tcBorders>
              <w:top w:val="nil"/>
              <w:bottom w:val="nil"/>
            </w:tcBorders>
          </w:tcPr>
          <w:p>
            <w:pPr>
              <w:pStyle w:val="nTable"/>
              <w:spacing w:after="40"/>
            </w:pPr>
            <w:r>
              <w:t>19 Nov 2018</w:t>
            </w:r>
          </w:p>
        </w:tc>
        <w:tc>
          <w:tcPr>
            <w:tcW w:w="2582" w:type="dxa"/>
            <w:gridSpan w:val="2"/>
            <w:tcBorders>
              <w:top w:val="nil"/>
              <w:bottom w:val="nil"/>
            </w:tcBorders>
          </w:tcPr>
          <w:p>
            <w:pPr>
              <w:pStyle w:val="nTable"/>
              <w:spacing w:after="40"/>
            </w:pPr>
            <w:r>
              <w:t>30 Jun 2021 (see s. 2(b) and SL 2021/69 cl. 2)</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rPr>
                <w:i/>
              </w:rPr>
            </w:pPr>
            <w:r>
              <w:rPr>
                <w:i/>
              </w:rPr>
              <w:t xml:space="preserve">Residential Tenancies Legislation Amendment (Family Violence) Act 2019 </w:t>
            </w:r>
            <w:r>
              <w:t>Pt. 2</w:t>
            </w:r>
          </w:p>
        </w:tc>
        <w:tc>
          <w:tcPr>
            <w:tcW w:w="1134" w:type="dxa"/>
            <w:gridSpan w:val="2"/>
            <w:tcBorders>
              <w:top w:val="nil"/>
              <w:bottom w:val="nil"/>
            </w:tcBorders>
          </w:tcPr>
          <w:p>
            <w:pPr>
              <w:pStyle w:val="nTable"/>
              <w:keepNext/>
              <w:spacing w:after="40"/>
            </w:pPr>
            <w:r>
              <w:t>3 of 2019</w:t>
            </w:r>
          </w:p>
        </w:tc>
        <w:tc>
          <w:tcPr>
            <w:tcW w:w="1134" w:type="dxa"/>
            <w:gridSpan w:val="2"/>
            <w:tcBorders>
              <w:top w:val="nil"/>
              <w:bottom w:val="nil"/>
            </w:tcBorders>
          </w:tcPr>
          <w:p>
            <w:pPr>
              <w:pStyle w:val="nTable"/>
              <w:keepNext/>
              <w:spacing w:after="40"/>
            </w:pPr>
            <w:r>
              <w:t>26 Feb 2019</w:t>
            </w:r>
          </w:p>
        </w:tc>
        <w:tc>
          <w:tcPr>
            <w:tcW w:w="2582" w:type="dxa"/>
            <w:gridSpan w:val="2"/>
            <w:tcBorders>
              <w:top w:val="nil"/>
              <w:bottom w:val="nil"/>
            </w:tcBorders>
          </w:tcPr>
          <w:p>
            <w:pPr>
              <w:pStyle w:val="nTable"/>
              <w:keepNext/>
              <w:spacing w:after="40"/>
            </w:pPr>
            <w:r>
              <w:t xml:space="preserve">15 Apr 2019 (see s. 2(b) and </w:t>
            </w:r>
            <w:r>
              <w:rPr>
                <w:i/>
              </w:rPr>
              <w:t>Gazette</w:t>
            </w:r>
            <w:r>
              <w:t xml:space="preserve"> 9 Apr 2019 p. 1041-2)</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rPr>
                <w:i/>
              </w:rPr>
            </w:pPr>
            <w:r>
              <w:rPr>
                <w:i/>
              </w:rPr>
              <w:t xml:space="preserve">Consumer Protection Legislation Amendment Act 2019 </w:t>
            </w:r>
            <w:r>
              <w:t>Pt. 9</w:t>
            </w:r>
          </w:p>
        </w:tc>
        <w:tc>
          <w:tcPr>
            <w:tcW w:w="1134" w:type="dxa"/>
            <w:gridSpan w:val="2"/>
            <w:tcBorders>
              <w:top w:val="nil"/>
              <w:bottom w:val="nil"/>
            </w:tcBorders>
          </w:tcPr>
          <w:p>
            <w:pPr>
              <w:pStyle w:val="nTable"/>
              <w:keepNext/>
              <w:spacing w:after="40"/>
            </w:pPr>
            <w:r>
              <w:t>25 of 2019</w:t>
            </w:r>
          </w:p>
        </w:tc>
        <w:tc>
          <w:tcPr>
            <w:tcW w:w="1134" w:type="dxa"/>
            <w:gridSpan w:val="2"/>
            <w:tcBorders>
              <w:top w:val="nil"/>
              <w:bottom w:val="nil"/>
            </w:tcBorders>
          </w:tcPr>
          <w:p>
            <w:pPr>
              <w:pStyle w:val="nTable"/>
              <w:keepNext/>
              <w:spacing w:after="40"/>
            </w:pPr>
            <w:r>
              <w:t>24 Oct 2019</w:t>
            </w:r>
          </w:p>
        </w:tc>
        <w:tc>
          <w:tcPr>
            <w:tcW w:w="2582" w:type="dxa"/>
            <w:gridSpan w:val="2"/>
            <w:tcBorders>
              <w:top w:val="nil"/>
              <w:bottom w:val="nil"/>
            </w:tcBorders>
          </w:tcPr>
          <w:p>
            <w:pPr>
              <w:pStyle w:val="nTable"/>
              <w:keepNext/>
              <w:spacing w:after="40"/>
            </w:pPr>
            <w:r>
              <w:rPr>
                <w:snapToGrid w:val="0"/>
              </w:rPr>
              <w:t xml:space="preserve">s. 67: 30 Nov 2019 (see s. 2(b) and </w:t>
            </w:r>
            <w:r>
              <w:rPr>
                <w:i/>
                <w:snapToGrid w:val="0"/>
              </w:rPr>
              <w:t>Gazette</w:t>
            </w:r>
            <w:r>
              <w:rPr>
                <w:snapToGrid w:val="0"/>
              </w:rPr>
              <w:t xml:space="preserve"> 29 Nov 2019 p. 4101);</w:t>
            </w:r>
            <w:r>
              <w:rPr>
                <w:snapToGrid w:val="0"/>
              </w:rPr>
              <w:br/>
              <w:t xml:space="preserve">Pt. 9 other than s. 67: 1 Jan 2020 (see s. 2(b) and </w:t>
            </w:r>
            <w:r>
              <w:rPr>
                <w:i/>
                <w:snapToGrid w:val="0"/>
              </w:rPr>
              <w:t>Gazette</w:t>
            </w:r>
            <w:r>
              <w:rPr>
                <w:snapToGrid w:val="0"/>
              </w:rPr>
              <w:t xml:space="preserve"> 24 Dec 2019 p. 4415)</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keepLines/>
              <w:spacing w:after="40"/>
            </w:pPr>
            <w:r>
              <w:rPr>
                <w:i/>
                <w:noProof/>
              </w:rPr>
              <w:t>Residential Tenancies (COVID-19 Response) Act 2020</w:t>
            </w:r>
            <w:r>
              <w:rPr>
                <w:noProof/>
              </w:rPr>
              <w:t xml:space="preserve"> Pt. 8</w:t>
            </w:r>
          </w:p>
        </w:tc>
        <w:tc>
          <w:tcPr>
            <w:tcW w:w="1134" w:type="dxa"/>
            <w:gridSpan w:val="2"/>
            <w:tcBorders>
              <w:top w:val="nil"/>
              <w:bottom w:val="nil"/>
            </w:tcBorders>
          </w:tcPr>
          <w:p>
            <w:pPr>
              <w:pStyle w:val="nTable"/>
              <w:keepLines/>
              <w:spacing w:after="40"/>
            </w:pPr>
            <w:r>
              <w:t>18 of 2020</w:t>
            </w:r>
          </w:p>
        </w:tc>
        <w:tc>
          <w:tcPr>
            <w:tcW w:w="1134" w:type="dxa"/>
            <w:gridSpan w:val="2"/>
            <w:tcBorders>
              <w:top w:val="nil"/>
              <w:bottom w:val="nil"/>
            </w:tcBorders>
          </w:tcPr>
          <w:p>
            <w:pPr>
              <w:pStyle w:val="nTable"/>
              <w:keepLines/>
              <w:spacing w:after="40"/>
            </w:pPr>
            <w:r>
              <w:t>23 Apr 2020</w:t>
            </w:r>
          </w:p>
        </w:tc>
        <w:tc>
          <w:tcPr>
            <w:tcW w:w="2582" w:type="dxa"/>
            <w:gridSpan w:val="2"/>
            <w:tcBorders>
              <w:top w:val="nil"/>
              <w:bottom w:val="nil"/>
            </w:tcBorders>
          </w:tcPr>
          <w:p>
            <w:pPr>
              <w:pStyle w:val="nTable"/>
              <w:keepNext/>
              <w:keepLines/>
              <w:spacing w:after="40"/>
              <w:rPr>
                <w:snapToGrid w:val="0"/>
              </w:rPr>
            </w:pPr>
            <w:r>
              <w:t>30 Mar 2020 (see s. 2(d))</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pPr>
            <w:r>
              <w:rPr>
                <w:i/>
              </w:rPr>
              <w:t>Residential Parks (Long</w:t>
            </w:r>
            <w:r>
              <w:rPr>
                <w:i/>
              </w:rPr>
              <w:noBreakHyphen/>
              <w:t xml:space="preserve"> stay Tenants) Amendment Act 2020</w:t>
            </w:r>
            <w:r>
              <w:t xml:space="preserve"> Pt. 3 </w:t>
            </w:r>
          </w:p>
        </w:tc>
        <w:tc>
          <w:tcPr>
            <w:tcW w:w="1134" w:type="dxa"/>
            <w:gridSpan w:val="2"/>
            <w:tcBorders>
              <w:top w:val="nil"/>
              <w:bottom w:val="nil"/>
            </w:tcBorders>
          </w:tcPr>
          <w:p>
            <w:pPr>
              <w:pStyle w:val="nTable"/>
              <w:spacing w:after="40"/>
            </w:pPr>
            <w:r>
              <w:t>28 of 2020</w:t>
            </w:r>
          </w:p>
        </w:tc>
        <w:tc>
          <w:tcPr>
            <w:tcW w:w="1134" w:type="dxa"/>
            <w:gridSpan w:val="2"/>
            <w:tcBorders>
              <w:top w:val="nil"/>
              <w:bottom w:val="nil"/>
            </w:tcBorders>
          </w:tcPr>
          <w:p>
            <w:pPr>
              <w:pStyle w:val="nTable"/>
              <w:spacing w:after="40"/>
            </w:pPr>
            <w:r>
              <w:t>9 Jul 2020</w:t>
            </w:r>
          </w:p>
        </w:tc>
        <w:tc>
          <w:tcPr>
            <w:tcW w:w="2582" w:type="dxa"/>
            <w:gridSpan w:val="2"/>
            <w:tcBorders>
              <w:top w:val="nil"/>
              <w:bottom w:val="nil"/>
            </w:tcBorders>
          </w:tcPr>
          <w:p>
            <w:pPr>
              <w:pStyle w:val="nTable"/>
              <w:spacing w:after="40"/>
            </w:pPr>
            <w:r>
              <w:t>s. 88: 10 Jul 2020 (see s. 2(1)(b));</w:t>
            </w:r>
            <w:r>
              <w:br/>
              <w:t>s. 89: 31 Jan 2022 (see s. 2(1)(c) and SL 2021/195 cl. 2)</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keepLines/>
              <w:spacing w:after="40"/>
              <w:rPr>
                <w:i/>
                <w:noProof/>
              </w:rPr>
            </w:pPr>
            <w:r>
              <w:rPr>
                <w:i/>
              </w:rPr>
              <w:t>Legal Profession Uniform Law Application Act 2022</w:t>
            </w:r>
            <w:r>
              <w:t xml:space="preserve"> s. 424</w:t>
            </w:r>
          </w:p>
        </w:tc>
        <w:tc>
          <w:tcPr>
            <w:tcW w:w="1134" w:type="dxa"/>
            <w:gridSpan w:val="2"/>
            <w:tcBorders>
              <w:top w:val="nil"/>
              <w:bottom w:val="nil"/>
            </w:tcBorders>
          </w:tcPr>
          <w:p>
            <w:pPr>
              <w:pStyle w:val="nTable"/>
              <w:keepLines/>
              <w:spacing w:after="40"/>
            </w:pPr>
            <w:r>
              <w:t>9 of 2022</w:t>
            </w:r>
          </w:p>
        </w:tc>
        <w:tc>
          <w:tcPr>
            <w:tcW w:w="1134" w:type="dxa"/>
            <w:gridSpan w:val="2"/>
            <w:tcBorders>
              <w:top w:val="nil"/>
              <w:bottom w:val="nil"/>
            </w:tcBorders>
          </w:tcPr>
          <w:p>
            <w:pPr>
              <w:pStyle w:val="nTable"/>
              <w:keepLines/>
              <w:spacing w:after="40"/>
            </w:pPr>
            <w:r>
              <w:t>14 Apr 2022</w:t>
            </w:r>
          </w:p>
        </w:tc>
        <w:tc>
          <w:tcPr>
            <w:tcW w:w="2582" w:type="dxa"/>
            <w:gridSpan w:val="2"/>
            <w:tcBorders>
              <w:top w:val="nil"/>
              <w:bottom w:val="nil"/>
            </w:tcBorders>
          </w:tcPr>
          <w:p>
            <w:pPr>
              <w:pStyle w:val="nTable"/>
              <w:keepNext/>
              <w:keepLines/>
              <w:spacing w:after="40"/>
            </w:pPr>
            <w:r>
              <w:rPr>
                <w:snapToGrid w:val="0"/>
              </w:rPr>
              <w:t>1 Jul 2022 (see s. 2(c) and SL 2022/113 cl. 2)</w:t>
            </w:r>
          </w:p>
        </w:tc>
      </w:tr>
      <w:tr>
        <w:tblPrEx>
          <w:tblBorders>
            <w:top w:val="single" w:sz="8" w:space="0" w:color="auto"/>
            <w:bottom w:val="single" w:sz="8" w:space="0" w:color="auto"/>
            <w:insideH w:val="single" w:sz="8" w:space="0" w:color="auto"/>
          </w:tblBorders>
        </w:tblPrEx>
        <w:tc>
          <w:tcPr>
            <w:tcW w:w="2240" w:type="dxa"/>
            <w:tcBorders>
              <w:top w:val="nil"/>
              <w:bottom w:val="single" w:sz="4" w:space="0" w:color="auto"/>
            </w:tcBorders>
          </w:tcPr>
          <w:p>
            <w:pPr>
              <w:pStyle w:val="nTable"/>
              <w:keepLines/>
              <w:spacing w:after="40"/>
              <w:rPr>
                <w:i/>
              </w:rPr>
            </w:pPr>
            <w:r>
              <w:rPr>
                <w:i/>
                <w:iCs/>
              </w:rPr>
              <w:t>Residential Tenancies Amendment Act 2024</w:t>
            </w:r>
            <w:r>
              <w:t xml:space="preserve"> Pt. 2 (</w:t>
            </w:r>
            <w:del w:id="1989" w:author="Master Repository Process" w:date="2025-06-25T10:45:00Z">
              <w:r>
                <w:delText>but only</w:delText>
              </w:r>
            </w:del>
            <w:ins w:id="1990" w:author="Master Repository Process" w:date="2025-06-25T10:45:00Z">
              <w:r>
                <w:t>other than</w:t>
              </w:r>
            </w:ins>
            <w:r>
              <w:t xml:space="preserve"> s. </w:t>
            </w:r>
            <w:del w:id="1991" w:author="Master Repository Process" w:date="2025-06-25T10:45:00Z">
              <w:r>
                <w:delText>3-10, 17, 19</w:delText>
              </w:r>
              <w:r>
                <w:noBreakHyphen/>
                <w:delText>23</w:delText>
              </w:r>
            </w:del>
            <w:ins w:id="1992" w:author="Master Repository Process" w:date="2025-06-25T10:45:00Z">
              <w:r>
                <w:t>13(2), 15(2), 16</w:t>
              </w:r>
            </w:ins>
            <w:r>
              <w:t>, 24(</w:t>
            </w:r>
            <w:del w:id="1993" w:author="Master Repository Process" w:date="2025-06-25T10:45:00Z">
              <w:r>
                <w:delText>1), 32, 34, 36, 44, 45</w:delText>
              </w:r>
            </w:del>
            <w:ins w:id="1994" w:author="Master Repository Process" w:date="2025-06-25T10:45:00Z">
              <w:r>
                <w:t>2)</w:t>
              </w:r>
              <w:r>
                <w:noBreakHyphen/>
                <w:t>(5), 38, 43</w:t>
              </w:r>
            </w:ins>
            <w:r>
              <w:t xml:space="preserve"> and </w:t>
            </w:r>
            <w:del w:id="1995" w:author="Master Repository Process" w:date="2025-06-25T10:45:00Z">
              <w:r>
                <w:delText>47-55</w:delText>
              </w:r>
            </w:del>
            <w:ins w:id="1996" w:author="Master Repository Process" w:date="2025-06-25T10:45:00Z">
              <w:r>
                <w:t>56</w:t>
              </w:r>
              <w:r>
                <w:noBreakHyphen/>
                <w:t>61</w:t>
              </w:r>
            </w:ins>
            <w:r>
              <w:t>)</w:t>
            </w:r>
          </w:p>
        </w:tc>
        <w:tc>
          <w:tcPr>
            <w:tcW w:w="1134" w:type="dxa"/>
            <w:gridSpan w:val="2"/>
            <w:tcBorders>
              <w:top w:val="nil"/>
              <w:bottom w:val="single" w:sz="4" w:space="0" w:color="auto"/>
            </w:tcBorders>
          </w:tcPr>
          <w:p>
            <w:pPr>
              <w:pStyle w:val="nTable"/>
              <w:keepLines/>
              <w:spacing w:after="40"/>
            </w:pPr>
            <w:r>
              <w:t>11 of 2024</w:t>
            </w:r>
          </w:p>
        </w:tc>
        <w:tc>
          <w:tcPr>
            <w:tcW w:w="1134" w:type="dxa"/>
            <w:gridSpan w:val="2"/>
            <w:tcBorders>
              <w:top w:val="nil"/>
              <w:bottom w:val="single" w:sz="4" w:space="0" w:color="auto"/>
            </w:tcBorders>
          </w:tcPr>
          <w:p>
            <w:pPr>
              <w:pStyle w:val="nTable"/>
              <w:keepLines/>
              <w:spacing w:after="40"/>
            </w:pPr>
            <w:r>
              <w:t>22 Apr 2024</w:t>
            </w:r>
          </w:p>
        </w:tc>
        <w:tc>
          <w:tcPr>
            <w:tcW w:w="2582" w:type="dxa"/>
            <w:gridSpan w:val="2"/>
            <w:tcBorders>
              <w:top w:val="nil"/>
              <w:bottom w:val="single" w:sz="4" w:space="0" w:color="auto"/>
            </w:tcBorders>
          </w:tcPr>
          <w:p>
            <w:pPr>
              <w:pStyle w:val="nTable"/>
              <w:keepNext/>
              <w:keepLines/>
              <w:spacing w:after="40"/>
              <w:rPr>
                <w:snapToGrid w:val="0"/>
              </w:rPr>
            </w:pPr>
            <w:ins w:id="1997" w:author="Master Repository Process" w:date="2025-06-25T10:45:00Z">
              <w:r>
                <w:t>s. 3-10, 17, 19</w:t>
              </w:r>
              <w:r>
                <w:noBreakHyphen/>
                <w:t xml:space="preserve">23, 24(1), 32, 34, 36, 44, 45 and 47-55): </w:t>
              </w:r>
            </w:ins>
            <w:r>
              <w:t>16 May 2024 (see s. 2(b) and SL 2024/75 cl. 2(a</w:t>
            </w:r>
            <w:del w:id="1998" w:author="Master Repository Process" w:date="2025-06-25T10:45:00Z">
              <w:r>
                <w:delText>))</w:delText>
              </w:r>
            </w:del>
            <w:ins w:id="1999" w:author="Master Repository Process" w:date="2025-06-25T10:45:00Z">
              <w:r>
                <w:t>));</w:t>
              </w:r>
              <w:r>
                <w:br/>
                <w:t>s. 11, 12, 13(1), 14, 15(1), 18, 25-31, 33, 35, 37, 39</w:t>
              </w:r>
              <w:r>
                <w:noBreakHyphen/>
                <w:t>42 and 46: 29 Jul 2024 (see s. 2(b) and SL 2024/143 cl. 2)</w:t>
              </w:r>
            </w:ins>
          </w:p>
        </w:tc>
      </w:tr>
    </w:tbl>
    <w:p>
      <w:pPr>
        <w:pStyle w:val="nHeading3"/>
      </w:pPr>
      <w:bookmarkStart w:id="2000" w:name="_Toc171694486"/>
      <w:bookmarkStart w:id="2001" w:name="_Toc171339233"/>
      <w:r>
        <w:t>Uncommenced provisions table</w:t>
      </w:r>
      <w:bookmarkEnd w:id="2000"/>
      <w:bookmarkEnd w:id="200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48" w:type="dxa"/>
          </w:tcPr>
          <w:p>
            <w:pPr>
              <w:pStyle w:val="nTable"/>
              <w:spacing w:after="40"/>
              <w:rPr>
                <w:b/>
              </w:rPr>
            </w:pPr>
            <w:r>
              <w:rPr>
                <w:b/>
              </w:rPr>
              <w:t>Assent</w:t>
            </w:r>
          </w:p>
        </w:tc>
        <w:tc>
          <w:tcPr>
            <w:tcW w:w="2438" w:type="dxa"/>
          </w:tcPr>
          <w:p>
            <w:pPr>
              <w:pStyle w:val="nTable"/>
              <w:spacing w:after="40"/>
              <w:rPr>
                <w:b/>
              </w:rPr>
            </w:pPr>
            <w:r>
              <w:rPr>
                <w:b/>
              </w:rPr>
              <w:t>Commencement</w:t>
            </w:r>
          </w:p>
        </w:tc>
      </w:tr>
      <w:tr>
        <w:tc>
          <w:tcPr>
            <w:tcW w:w="2268" w:type="dxa"/>
          </w:tcPr>
          <w:p>
            <w:pPr>
              <w:pStyle w:val="nTable"/>
              <w:spacing w:after="40"/>
            </w:pPr>
            <w:r>
              <w:rPr>
                <w:i/>
                <w:iCs/>
              </w:rPr>
              <w:t>Residential Tenancies Amendment Act 2024</w:t>
            </w:r>
            <w:r>
              <w:t xml:space="preserve"> s. </w:t>
            </w:r>
            <w:del w:id="2002" w:author="Master Repository Process" w:date="2025-06-25T10:45:00Z">
              <w:r>
                <w:delText>11</w:delText>
              </w:r>
              <w:r>
                <w:noBreakHyphen/>
              </w:r>
            </w:del>
            <w:ins w:id="2003" w:author="Master Repository Process" w:date="2025-06-25T10:45:00Z">
              <w:r>
                <w:t xml:space="preserve">13(2), 15(2), </w:t>
              </w:r>
            </w:ins>
            <w:r>
              <w:t xml:space="preserve">16, </w:t>
            </w:r>
            <w:del w:id="2004" w:author="Master Repository Process" w:date="2025-06-25T10:45:00Z">
              <w:r>
                <w:delText xml:space="preserve">18, </w:delText>
              </w:r>
            </w:del>
            <w:r>
              <w:t>24(2)</w:t>
            </w:r>
            <w:r>
              <w:noBreakHyphen/>
              <w:t xml:space="preserve">(5), </w:t>
            </w:r>
            <w:del w:id="2005" w:author="Master Repository Process" w:date="2025-06-25T10:45:00Z">
              <w:r>
                <w:delText>25</w:delText>
              </w:r>
              <w:r>
                <w:noBreakHyphen/>
                <w:delText>31, 33, 35, 37</w:delText>
              </w:r>
              <w:r>
                <w:noBreakHyphen/>
              </w:r>
            </w:del>
            <w:ins w:id="2006" w:author="Master Repository Process" w:date="2025-06-25T10:45:00Z">
              <w:r>
                <w:t xml:space="preserve">38, </w:t>
              </w:r>
            </w:ins>
            <w:r>
              <w:t>43</w:t>
            </w:r>
            <w:del w:id="2007" w:author="Master Repository Process" w:date="2025-06-25T10:45:00Z">
              <w:r>
                <w:delText>, 46</w:delText>
              </w:r>
            </w:del>
            <w:r>
              <w:t xml:space="preserve"> and 56</w:t>
            </w:r>
            <w:r>
              <w:noBreakHyphen/>
              <w:t>61</w:t>
            </w:r>
          </w:p>
        </w:tc>
        <w:tc>
          <w:tcPr>
            <w:tcW w:w="1134" w:type="dxa"/>
          </w:tcPr>
          <w:p>
            <w:pPr>
              <w:pStyle w:val="nTable"/>
              <w:spacing w:after="40"/>
            </w:pPr>
            <w:r>
              <w:t>11 of 2024</w:t>
            </w:r>
          </w:p>
        </w:tc>
        <w:tc>
          <w:tcPr>
            <w:tcW w:w="1248" w:type="dxa"/>
          </w:tcPr>
          <w:p>
            <w:pPr>
              <w:pStyle w:val="nTable"/>
              <w:spacing w:after="40"/>
            </w:pPr>
            <w:r>
              <w:t>22 Apr 2024</w:t>
            </w:r>
          </w:p>
        </w:tc>
        <w:tc>
          <w:tcPr>
            <w:tcW w:w="2438" w:type="dxa"/>
          </w:tcPr>
          <w:p>
            <w:pPr>
              <w:pStyle w:val="nTable"/>
              <w:spacing w:after="40"/>
            </w:pPr>
            <w:del w:id="2008" w:author="Master Repository Process" w:date="2025-06-25T10:45:00Z">
              <w:r>
                <w:delText>s. 11, 12, 13(1), 14, 15(1), 18, 25-31, 33, 35, 37, 39</w:delText>
              </w:r>
              <w:r>
                <w:noBreakHyphen/>
                <w:delText>42 and 46: 29 Jul 2024 (see s. 2(b) and SL 2024/143 cl. 2);</w:delText>
              </w:r>
              <w:r>
                <w:br/>
                <w:delText>s. 13(2), 15(2), 16, 24(2)</w:delText>
              </w:r>
              <w:r>
                <w:noBreakHyphen/>
                <w:delText>(5), 38, 43 and 56</w:delText>
              </w:r>
              <w:r>
                <w:noBreakHyphen/>
                <w:delText>61: to be proclaimed (see s. 2(b))</w:delText>
              </w:r>
            </w:del>
            <w:ins w:id="2009" w:author="Master Repository Process" w:date="2025-06-25T10:45:00Z">
              <w:r>
                <w:t>To be proclaimed (see s. 2(b))</w:t>
              </w:r>
            </w:ins>
          </w:p>
        </w:tc>
      </w:tr>
    </w:tbl>
    <w:p>
      <w:pPr>
        <w:pStyle w:val="nHeading3"/>
      </w:pPr>
      <w:bookmarkStart w:id="2010" w:name="_Toc171694487"/>
      <w:bookmarkStart w:id="2011" w:name="_Toc171339234"/>
      <w:r>
        <w:t>Other notes</w:t>
      </w:r>
      <w:bookmarkEnd w:id="2010"/>
      <w:bookmarkEnd w:id="2011"/>
    </w:p>
    <w:p>
      <w:pPr>
        <w:pStyle w:val="nNote"/>
        <w:rPr>
          <w:snapToGrid w:val="0"/>
        </w:rPr>
      </w:pPr>
      <w:r>
        <w:rPr>
          <w:snapToGrid w:val="0"/>
          <w:vertAlign w:val="superscript"/>
        </w:rPr>
        <w:t>1</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Note"/>
        <w:keepNext/>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Note"/>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Note"/>
      </w:pPr>
      <w:r>
        <w:rPr>
          <w:vertAlign w:val="superscript"/>
        </w:rPr>
        <w:t>5</w:t>
      </w:r>
      <w:r>
        <w:tab/>
        <w:t xml:space="preserve">The </w:t>
      </w:r>
      <w:r>
        <w:rPr>
          <w:i/>
        </w:rPr>
        <w:t>Taxation Administration (Consequential Provisions) Act 2002</w:t>
      </w:r>
      <w:r>
        <w:t xml:space="preserve"> s. 3 and 4 and Pt. 4 are transitional provisions that are of no further effect.</w:t>
      </w:r>
    </w:p>
    <w:p>
      <w:pPr>
        <w:pStyle w:val="nNote"/>
      </w:pPr>
      <w:r>
        <w:rPr>
          <w:vertAlign w:val="superscript"/>
        </w:rPr>
        <w:t>6</w:t>
      </w:r>
      <w:r>
        <w:tab/>
        <w:t xml:space="preserve">The </w:t>
      </w:r>
      <w:r>
        <w:rPr>
          <w:i/>
        </w:rPr>
        <w:t>Machinery of Government (Miscellaneous Amendments) Act 2006</w:t>
      </w:r>
      <w:r>
        <w:t xml:space="preserve"> Pt. 4 Div. 23 is a transitional provision that is of no further effect.</w:t>
      </w:r>
    </w:p>
    <w:p>
      <w:pPr>
        <w:rPr>
          <w:del w:id="2012" w:author="Master Repository Process" w:date="2025-06-25T10:45:00Z"/>
        </w:rPr>
      </w:pP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rPr>
          <w:rFonts w:ascii="Arial" w:hAnsi="Arial" w:cs="Arial"/>
          <w:szCs w:val="24"/>
        </w:rPr>
      </w:pPr>
      <w:r>
        <w:rPr>
          <w:rFonts w:ascii="Arial" w:hAnsi="Arial" w:cs="Arial"/>
          <w:noProof/>
          <w:szCs w:val="24"/>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76" w:name="Schedule"/>
    <w:bookmarkEnd w:id="19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13" w:name="Compilation"/>
    <w:bookmarkEnd w:id="20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14" w:name="Coversheet"/>
    <w:bookmarkEnd w:id="20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23"/>
  </w:num>
  <w:num w:numId="26">
    <w:abstractNumId w:val="11"/>
  </w:num>
  <w:num w:numId="27">
    <w:abstractNumId w:val="12"/>
  </w:num>
  <w:num w:numId="28">
    <w:abstractNumId w:val="22"/>
  </w:num>
  <w:num w:numId="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12104633"/>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 w:name="WAFER_20191128100250" w:val="ConvertStyles"/>
    <w:docVar w:name="WAFER_20191128100250_GUID" w:val="6dc124b6-7224-4fde-a182-0963952e9f7b"/>
    <w:docVar w:name="WAFER_20191219152003" w:val="RemoveTocBookmarks,RemoveUnusedBookmarks,RemoveLanguageTags,ResetPageSize,RunningHeaders,UpdateStyles,UsedStyles"/>
    <w:docVar w:name="WAFER_20191219152003_GUID" w:val="59eace5f-3d5b-47a9-8fcb-6fa60cbaa3b2"/>
    <w:docVar w:name="WAFER_202002101617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715_GUID" w:val="a0f843cc-39c4-4383-ae9c-ce2895f79857"/>
    <w:docVar w:name="WAFER_20200417085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503_GUID" w:val="a9292c5d-0871-444f-bba1-ed764abbf7b4"/>
    <w:docVar w:name="WAFER_20200710090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727_GUID" w:val="4cfec290-c514-4e18-a405-e263513d000e"/>
    <w:docVar w:name="WAFER_20210615132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08_GUID" w:val="0ed3849a-8df9-4be9-b0b5-ad739e1dab4f"/>
    <w:docVar w:name="WAFER_202106231201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152_GUID" w:val="a24fb2fc-4cdd-486d-8a7f-d86ce6a73a8e"/>
    <w:docVar w:name="WAFER_20210623120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214_GUID" w:val="86d21f55-5697-4677-af7b-5985647a374b"/>
    <w:docVar w:name="WAFER_20211130163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3612_GUID" w:val="32a7de37-779c-4dce-8a07-1fb2f70b0182"/>
    <w:docVar w:name="WAFER_20220124103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03919_GUID" w:val="1c01a689-e8be-4f60-9e3e-93b2b4cf221b"/>
    <w:docVar w:name="WAFER_202204081441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11_GUID" w:val="b86e1f85-03a5-45fa-a458-12c96bc2c546"/>
    <w:docVar w:name="WAFER_20240422122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2122209_GUID" w:val="22975788-c23f-4574-9d91-43d93188f4a6"/>
    <w:docVar w:name="WAFER_20240509114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14904_GUID" w:val="fc7209c9-fd76-4836-b6d3-2f3dd3920beb"/>
    <w:docVar w:name="WAFER_202405091149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14925_GUID" w:val="65716311-7128-4408-8e4e-3374a3e4316d"/>
    <w:docVar w:name="WAFER_20240705163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63404_GUID" w:val="a946490c-47be-4667-88f4-874e95f130d5"/>
    <w:docVar w:name="WAFER_202407121046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2104633_GUID" w:val="0e2ea5e4-5358-425c-9553-8873569ff3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E6FED-7E99-414D-9728-BED23C34C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49806</Words>
  <Characters>235090</Characters>
  <Application>Microsoft Office Word</Application>
  <DocSecurity>0</DocSecurity>
  <Lines>6186</Lines>
  <Paragraphs>3274</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281622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06-r0-01 - 06-s0-00</dc:title>
  <dc:subject/>
  <dc:creator/>
  <cp:keywords/>
  <dc:description/>
  <cp:lastModifiedBy>Master Repository Process</cp:lastModifiedBy>
  <cp:revision>2</cp:revision>
  <cp:lastPrinted>2019-04-15T08:42:00Z</cp:lastPrinted>
  <dcterms:created xsi:type="dcterms:W3CDTF">2025-06-25T02:44:00Z</dcterms:created>
  <dcterms:modified xsi:type="dcterms:W3CDTF">2025-06-25T02:45:00Z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Official">
    <vt:lpwstr/>
  </property>
  <property fmtid="{D5CDD505-2E9C-101B-9397-08002B2CF9AE}" pid="8" name="CommencementDate">
    <vt:lpwstr>20240729</vt:lpwstr>
  </property>
  <property fmtid="{D5CDD505-2E9C-101B-9397-08002B2CF9AE}" pid="9" name="CommencementAsAt">
    <vt:filetime>2024-07-28T16:00:00Z</vt:filetime>
  </property>
  <property fmtid="{D5CDD505-2E9C-101B-9397-08002B2CF9AE}" pid="10" name="CommencementYear">
    <vt:lpwstr>2024</vt:lpwstr>
  </property>
  <property fmtid="{D5CDD505-2E9C-101B-9397-08002B2CF9AE}" pid="11" name="FromSuffix">
    <vt:lpwstr>06-r0-01</vt:lpwstr>
  </property>
  <property fmtid="{D5CDD505-2E9C-101B-9397-08002B2CF9AE}" pid="12" name="FromAsAtDate">
    <vt:lpwstr>16 May 2024</vt:lpwstr>
  </property>
  <property fmtid="{D5CDD505-2E9C-101B-9397-08002B2CF9AE}" pid="13" name="ToSuffix">
    <vt:lpwstr>06-s0-00</vt:lpwstr>
  </property>
  <property fmtid="{D5CDD505-2E9C-101B-9397-08002B2CF9AE}" pid="14" name="ToAsAtDate">
    <vt:lpwstr>29 Jul 2024</vt:lpwstr>
  </property>
</Properties>
</file>