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07 Aug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1" w:name="_Toc173498458"/>
      <w:bookmarkStart w:id="2" w:name="_Toc173499594"/>
      <w:bookmarkStart w:id="3" w:name="_Toc173502666"/>
      <w:bookmarkStart w:id="4" w:name="_Toc98501285"/>
      <w:bookmarkStart w:id="5" w:name="_Toc98501793"/>
      <w:bookmarkStart w:id="6" w:name="_Toc985085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240"/>
        <w:rPr>
          <w:snapToGrid w:val="0"/>
        </w:rPr>
      </w:pPr>
      <w:bookmarkStart w:id="7" w:name="_Toc173502667"/>
      <w:bookmarkStart w:id="8" w:name="_Toc98508565"/>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9" w:name="_Toc173502668"/>
      <w:bookmarkStart w:id="10" w:name="_Toc98508566"/>
      <w:r>
        <w:rPr>
          <w:rStyle w:val="CharSectno"/>
        </w:rPr>
        <w:t>2</w:t>
      </w:r>
      <w:r>
        <w:rPr>
          <w:snapToGrid w:val="0"/>
        </w:rPr>
        <w:t xml:space="preserve">. </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w:t>
      </w:r>
      <w:bookmarkStart w:id="11" w:name="_Hlk98501404"/>
      <w:r>
        <w:t>section 4(1);</w:t>
      </w:r>
      <w:bookmarkEnd w:id="11"/>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12" w:name="_Toc173502669"/>
      <w:bookmarkStart w:id="13" w:name="_Toc98508567"/>
      <w:r>
        <w:rPr>
          <w:rStyle w:val="CharSectno"/>
        </w:rPr>
        <w:t>3</w:t>
      </w:r>
      <w:r>
        <w:t>.</w:t>
      </w:r>
      <w:r>
        <w:tab/>
        <w:t>Regulations do not apply to certain noise emissions</w:t>
      </w:r>
      <w:bookmarkEnd w:id="12"/>
      <w:bookmarkEnd w:id="13"/>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14" w:name="_Toc173498462"/>
      <w:bookmarkStart w:id="15" w:name="_Toc173499598"/>
      <w:bookmarkStart w:id="16" w:name="_Toc173502670"/>
      <w:bookmarkStart w:id="17" w:name="_Toc98501289"/>
      <w:bookmarkStart w:id="18" w:name="_Toc98501797"/>
      <w:bookmarkStart w:id="19" w:name="_Toc98508568"/>
      <w:r>
        <w:rPr>
          <w:rStyle w:val="CharPartNo"/>
        </w:rPr>
        <w:t>Part 2</w:t>
      </w:r>
      <w:r>
        <w:t> — </w:t>
      </w:r>
      <w:r>
        <w:rPr>
          <w:rStyle w:val="CharPartText"/>
        </w:rPr>
        <w:t>Allowable noise emissions</w:t>
      </w:r>
      <w:bookmarkEnd w:id="14"/>
      <w:bookmarkEnd w:id="15"/>
      <w:bookmarkEnd w:id="16"/>
      <w:bookmarkEnd w:id="17"/>
      <w:bookmarkEnd w:id="18"/>
      <w:bookmarkEnd w:id="19"/>
      <w:r>
        <w:rPr>
          <w:rStyle w:val="CharPartText"/>
        </w:rPr>
        <w:t xml:space="preserve"> </w:t>
      </w:r>
    </w:p>
    <w:p>
      <w:pPr>
        <w:pStyle w:val="Heading3"/>
      </w:pPr>
      <w:bookmarkStart w:id="20" w:name="_Toc173498463"/>
      <w:bookmarkStart w:id="21" w:name="_Toc173499599"/>
      <w:bookmarkStart w:id="22" w:name="_Toc173502671"/>
      <w:bookmarkStart w:id="23" w:name="_Toc98501290"/>
      <w:bookmarkStart w:id="24" w:name="_Toc98501798"/>
      <w:bookmarkStart w:id="25" w:name="_Toc98508569"/>
      <w:r>
        <w:rPr>
          <w:rStyle w:val="CharDivNo"/>
        </w:rPr>
        <w:t>Division 1</w:t>
      </w:r>
      <w:r>
        <w:t> — </w:t>
      </w:r>
      <w:r>
        <w:rPr>
          <w:rStyle w:val="CharDivText"/>
        </w:rPr>
        <w:t>General provisions</w:t>
      </w:r>
      <w:bookmarkEnd w:id="20"/>
      <w:bookmarkEnd w:id="21"/>
      <w:bookmarkEnd w:id="22"/>
      <w:bookmarkEnd w:id="23"/>
      <w:bookmarkEnd w:id="24"/>
      <w:bookmarkEnd w:id="25"/>
    </w:p>
    <w:p>
      <w:pPr>
        <w:pStyle w:val="Footnoteheading"/>
      </w:pPr>
      <w:r>
        <w:tab/>
        <w:t>[Heading inserted: Gazette 5 Dec 2013 p. 5651.]</w:t>
      </w:r>
    </w:p>
    <w:p>
      <w:pPr>
        <w:pStyle w:val="Heading5"/>
        <w:rPr>
          <w:snapToGrid w:val="0"/>
        </w:rPr>
      </w:pPr>
      <w:bookmarkStart w:id="26" w:name="_Toc173502672"/>
      <w:bookmarkStart w:id="27" w:name="_Toc98508570"/>
      <w:r>
        <w:rPr>
          <w:rStyle w:val="CharSectno"/>
        </w:rPr>
        <w:t>4</w:t>
      </w:r>
      <w:r>
        <w:rPr>
          <w:snapToGrid w:val="0"/>
        </w:rPr>
        <w:t xml:space="preserve">. </w:t>
      </w:r>
      <w:r>
        <w:rPr>
          <w:snapToGrid w:val="0"/>
        </w:rPr>
        <w:tab/>
        <w:t>General effect of this Part</w:t>
      </w:r>
      <w:bookmarkEnd w:id="26"/>
      <w:bookmarkEnd w:id="27"/>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28" w:name="_Toc173502673"/>
      <w:bookmarkStart w:id="29" w:name="_Toc98508571"/>
      <w:r>
        <w:rPr>
          <w:rStyle w:val="CharSectno"/>
        </w:rPr>
        <w:t>5</w:t>
      </w:r>
      <w:r>
        <w:t>.</w:t>
      </w:r>
      <w:r>
        <w:tab/>
        <w:t>Unreasonable noise</w:t>
      </w:r>
      <w:bookmarkEnd w:id="28"/>
      <w:bookmarkEnd w:id="29"/>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30" w:name="_Toc173502674"/>
      <w:bookmarkStart w:id="31" w:name="_Toc98508572"/>
      <w:r>
        <w:rPr>
          <w:rStyle w:val="CharSectno"/>
        </w:rPr>
        <w:t>6</w:t>
      </w:r>
      <w:r>
        <w:rPr>
          <w:snapToGrid w:val="0"/>
        </w:rPr>
        <w:t xml:space="preserve">. </w:t>
      </w:r>
      <w:r>
        <w:rPr>
          <w:snapToGrid w:val="0"/>
        </w:rPr>
        <w:tab/>
        <w:t>Regulation of noise from public places</w:t>
      </w:r>
      <w:bookmarkEnd w:id="30"/>
      <w:bookmarkEnd w:id="31"/>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32" w:name="_Toc173502675"/>
      <w:bookmarkStart w:id="33" w:name="_Toc98508573"/>
      <w:r>
        <w:rPr>
          <w:rStyle w:val="CharSectno"/>
        </w:rPr>
        <w:t>7</w:t>
      </w:r>
      <w:r>
        <w:rPr>
          <w:snapToGrid w:val="0"/>
        </w:rPr>
        <w:t xml:space="preserve">. </w:t>
      </w:r>
      <w:r>
        <w:rPr>
          <w:snapToGrid w:val="0"/>
        </w:rPr>
        <w:tab/>
        <w:t>Prescribed standard for noise emissions</w:t>
      </w:r>
      <w:bookmarkEnd w:id="32"/>
      <w:bookmarkEnd w:id="33"/>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4" w:name="_Toc173502676"/>
      <w:bookmarkStart w:id="35" w:name="_Toc98508574"/>
      <w:r>
        <w:rPr>
          <w:rStyle w:val="CharSectno"/>
        </w:rPr>
        <w:t>8</w:t>
      </w:r>
      <w:r>
        <w:t>.</w:t>
      </w:r>
      <w:r>
        <w:tab/>
        <w:t>Assigned levels</w:t>
      </w:r>
      <w:bookmarkEnd w:id="34"/>
      <w:bookmarkEnd w:id="35"/>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36" w:name="_Toc173502677"/>
      <w:bookmarkStart w:id="37" w:name="_Toc98508575"/>
      <w:r>
        <w:rPr>
          <w:rStyle w:val="CharSectno"/>
        </w:rPr>
        <w:t>9</w:t>
      </w:r>
      <w:r>
        <w:rPr>
          <w:snapToGrid w:val="0"/>
        </w:rPr>
        <w:t xml:space="preserve">. </w:t>
      </w:r>
      <w:r>
        <w:rPr>
          <w:snapToGrid w:val="0"/>
        </w:rPr>
        <w:tab/>
        <w:t>Intrusive or dominant noise characteristics</w:t>
      </w:r>
      <w:bookmarkEnd w:id="36"/>
      <w:bookmarkEnd w:id="37"/>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38" w:name="_Toc173502678"/>
      <w:bookmarkStart w:id="39" w:name="_Toc98508576"/>
      <w:r>
        <w:rPr>
          <w:rStyle w:val="CharSectno"/>
        </w:rPr>
        <w:t>10</w:t>
      </w:r>
      <w:r>
        <w:rPr>
          <w:snapToGrid w:val="0"/>
        </w:rPr>
        <w:t xml:space="preserve">. </w:t>
      </w:r>
      <w:r>
        <w:rPr>
          <w:snapToGrid w:val="0"/>
        </w:rPr>
        <w:tab/>
        <w:t>Non</w:t>
      </w:r>
      <w:r>
        <w:rPr>
          <w:snapToGrid w:val="0"/>
        </w:rPr>
        <w:noBreakHyphen/>
        <w:t>conforming uses and changes of zoning</w:t>
      </w:r>
      <w:bookmarkEnd w:id="38"/>
      <w:bookmarkEnd w:id="39"/>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40" w:name="_Toc173498471"/>
      <w:bookmarkStart w:id="41" w:name="_Toc173499607"/>
      <w:bookmarkStart w:id="42" w:name="_Toc173502679"/>
      <w:bookmarkStart w:id="43" w:name="_Toc98501298"/>
      <w:bookmarkStart w:id="44" w:name="_Toc98501806"/>
      <w:bookmarkStart w:id="45" w:name="_Toc98508577"/>
      <w:r>
        <w:rPr>
          <w:rStyle w:val="CharDivNo"/>
        </w:rPr>
        <w:t>Division 2</w:t>
      </w:r>
      <w:r>
        <w:t> — </w:t>
      </w:r>
      <w:r>
        <w:rPr>
          <w:rStyle w:val="CharDivText"/>
        </w:rPr>
        <w:t>Various premises and activities</w:t>
      </w:r>
      <w:bookmarkEnd w:id="40"/>
      <w:bookmarkEnd w:id="41"/>
      <w:bookmarkEnd w:id="42"/>
      <w:bookmarkEnd w:id="43"/>
      <w:bookmarkEnd w:id="44"/>
      <w:bookmarkEnd w:id="45"/>
    </w:p>
    <w:p>
      <w:pPr>
        <w:pStyle w:val="Footnoteheading"/>
        <w:rPr>
          <w:snapToGrid w:val="0"/>
        </w:rPr>
      </w:pPr>
      <w:r>
        <w:tab/>
        <w:t>[Heading inserted: Gazette 5 Dec 2013 p. 5659.]</w:t>
      </w:r>
    </w:p>
    <w:p>
      <w:pPr>
        <w:pStyle w:val="Heading5"/>
      </w:pPr>
      <w:bookmarkStart w:id="46" w:name="_Toc173502680"/>
      <w:bookmarkStart w:id="47" w:name="_Toc98508578"/>
      <w:r>
        <w:rPr>
          <w:rStyle w:val="CharSectno"/>
        </w:rPr>
        <w:t>11</w:t>
      </w:r>
      <w:r>
        <w:t>.</w:t>
      </w:r>
      <w:r>
        <w:tab/>
        <w:t>Airblast levels due to blasting</w:t>
      </w:r>
      <w:bookmarkEnd w:id="46"/>
      <w:bookmarkEnd w:id="47"/>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48" w:name="_Toc173502681"/>
      <w:bookmarkStart w:id="49" w:name="_Toc98508579"/>
      <w:r>
        <w:rPr>
          <w:rStyle w:val="CharSectno"/>
        </w:rPr>
        <w:t>12</w:t>
      </w:r>
      <w:r>
        <w:rPr>
          <w:snapToGrid w:val="0"/>
        </w:rPr>
        <w:t xml:space="preserve">. </w:t>
      </w:r>
      <w:r>
        <w:rPr>
          <w:snapToGrid w:val="0"/>
        </w:rPr>
        <w:tab/>
        <w:t>Rural premises</w:t>
      </w:r>
      <w:bookmarkEnd w:id="48"/>
      <w:bookmarkEnd w:id="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50" w:name="_Toc173502682"/>
      <w:bookmarkStart w:id="51" w:name="_Toc98508580"/>
      <w:r>
        <w:rPr>
          <w:rStyle w:val="CharSectno"/>
        </w:rPr>
        <w:t>13</w:t>
      </w:r>
      <w:r>
        <w:rPr>
          <w:snapToGrid w:val="0"/>
        </w:rPr>
        <w:t xml:space="preserve">. </w:t>
      </w:r>
      <w:r>
        <w:rPr>
          <w:snapToGrid w:val="0"/>
        </w:rPr>
        <w:tab/>
        <w:t>Construction sites</w:t>
      </w:r>
      <w:bookmarkEnd w:id="50"/>
      <w:bookmarkEnd w:id="5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52" w:name="_Toc173502683"/>
      <w:bookmarkStart w:id="53" w:name="_Toc98508581"/>
      <w:r>
        <w:rPr>
          <w:rStyle w:val="CharSectno"/>
        </w:rPr>
        <w:t>14A</w:t>
      </w:r>
      <w:r>
        <w:t>.</w:t>
      </w:r>
      <w:r>
        <w:tab/>
        <w:t>Waste collection and other works</w:t>
      </w:r>
      <w:bookmarkEnd w:id="52"/>
      <w:bookmarkEnd w:id="53"/>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54" w:name="_Toc173502684"/>
      <w:bookmarkStart w:id="55" w:name="_Toc98508582"/>
      <w:r>
        <w:rPr>
          <w:rStyle w:val="CharSectno"/>
        </w:rPr>
        <w:t>14B</w:t>
      </w:r>
      <w:r>
        <w:t>.</w:t>
      </w:r>
      <w:r>
        <w:tab/>
        <w:t>Ancillary measures: waste collection and other works</w:t>
      </w:r>
      <w:bookmarkEnd w:id="54"/>
      <w:bookmarkEnd w:id="55"/>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56" w:name="_Toc173502685"/>
      <w:bookmarkStart w:id="57" w:name="_Toc98508583"/>
      <w:r>
        <w:rPr>
          <w:rStyle w:val="CharSectno"/>
        </w:rPr>
        <w:t>14</w:t>
      </w:r>
      <w:r>
        <w:rPr>
          <w:snapToGrid w:val="0"/>
        </w:rPr>
        <w:t xml:space="preserve">. </w:t>
      </w:r>
      <w:r>
        <w:rPr>
          <w:snapToGrid w:val="0"/>
        </w:rPr>
        <w:tab/>
        <w:t>Equipment used on residential premises</w:t>
      </w:r>
      <w:bookmarkEnd w:id="56"/>
      <w:bookmarkEnd w:id="5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58" w:name="_Toc173502686"/>
      <w:bookmarkStart w:id="59" w:name="_Toc98508584"/>
      <w:r>
        <w:rPr>
          <w:rStyle w:val="CharSectno"/>
        </w:rPr>
        <w:t>15</w:t>
      </w:r>
      <w:r>
        <w:rPr>
          <w:snapToGrid w:val="0"/>
        </w:rPr>
        <w:t xml:space="preserve">. </w:t>
      </w:r>
      <w:r>
        <w:rPr>
          <w:snapToGrid w:val="0"/>
        </w:rPr>
        <w:tab/>
        <w:t>Bellringing and calls to worship</w:t>
      </w:r>
      <w:bookmarkEnd w:id="58"/>
      <w:bookmarkEnd w:id="5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60" w:name="_Toc173498479"/>
      <w:bookmarkStart w:id="61" w:name="_Toc173499615"/>
      <w:bookmarkStart w:id="62" w:name="_Toc173502687"/>
      <w:bookmarkStart w:id="63" w:name="_Toc98501306"/>
      <w:bookmarkStart w:id="64" w:name="_Toc98501814"/>
      <w:bookmarkStart w:id="65" w:name="_Toc98508585"/>
      <w:r>
        <w:rPr>
          <w:rStyle w:val="CharDivNo"/>
        </w:rPr>
        <w:t>Division 3</w:t>
      </w:r>
      <w:r>
        <w:t> — </w:t>
      </w:r>
      <w:r>
        <w:rPr>
          <w:rStyle w:val="CharDivText"/>
        </w:rPr>
        <w:t>Motor sport venues</w:t>
      </w:r>
      <w:bookmarkEnd w:id="60"/>
      <w:bookmarkEnd w:id="61"/>
      <w:bookmarkEnd w:id="62"/>
      <w:bookmarkEnd w:id="63"/>
      <w:bookmarkEnd w:id="64"/>
      <w:bookmarkEnd w:id="65"/>
    </w:p>
    <w:p>
      <w:pPr>
        <w:pStyle w:val="Footnoteheading"/>
        <w:keepNext/>
        <w:rPr>
          <w:snapToGrid w:val="0"/>
        </w:rPr>
      </w:pPr>
      <w:r>
        <w:tab/>
        <w:t>[Heading inserted: Gazette 5 Dec 2013 p. 5673.]</w:t>
      </w:r>
    </w:p>
    <w:p>
      <w:pPr>
        <w:pStyle w:val="Heading5"/>
      </w:pPr>
      <w:bookmarkStart w:id="66" w:name="_Toc173502688"/>
      <w:bookmarkStart w:id="67" w:name="_Toc98508586"/>
      <w:r>
        <w:rPr>
          <w:rStyle w:val="CharSectno"/>
        </w:rPr>
        <w:t>16A</w:t>
      </w:r>
      <w:r>
        <w:t>.</w:t>
      </w:r>
      <w:r>
        <w:tab/>
        <w:t>Terms used</w:t>
      </w:r>
      <w:bookmarkEnd w:id="66"/>
      <w:bookmarkEnd w:id="67"/>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68" w:name="_Toc173502689"/>
      <w:bookmarkStart w:id="69" w:name="_Toc98508587"/>
      <w:r>
        <w:rPr>
          <w:rStyle w:val="CharSectno"/>
        </w:rPr>
        <w:t>16AA</w:t>
      </w:r>
      <w:r>
        <w:t>.</w:t>
      </w:r>
      <w:r>
        <w:tab/>
        <w:t>Approval of noise management plan: motor sport venue</w:t>
      </w:r>
      <w:bookmarkEnd w:id="68"/>
      <w:bookmarkEnd w:id="69"/>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70" w:name="_Toc173502690"/>
      <w:bookmarkStart w:id="71" w:name="_Toc98508588"/>
      <w:r>
        <w:rPr>
          <w:rStyle w:val="CharSectno"/>
        </w:rPr>
        <w:t>16AB</w:t>
      </w:r>
      <w:r>
        <w:t>.</w:t>
      </w:r>
      <w:r>
        <w:tab/>
        <w:t>Ancillary measures: motor sport venue</w:t>
      </w:r>
      <w:bookmarkEnd w:id="70"/>
      <w:bookmarkEnd w:id="71"/>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72" w:name="_Toc173502691"/>
      <w:bookmarkStart w:id="73" w:name="_Toc98508589"/>
      <w:r>
        <w:rPr>
          <w:rStyle w:val="CharSectno"/>
        </w:rPr>
        <w:t>16AC</w:t>
      </w:r>
      <w:r>
        <w:t>.</w:t>
      </w:r>
      <w:r>
        <w:tab/>
        <w:t>Revocation of noise management plan for motor sport venue</w:t>
      </w:r>
      <w:bookmarkEnd w:id="72"/>
      <w:bookmarkEnd w:id="73"/>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74" w:name="_Toc173502692"/>
      <w:bookmarkStart w:id="75" w:name="_Toc98508590"/>
      <w:r>
        <w:rPr>
          <w:rStyle w:val="CharSectno"/>
        </w:rPr>
        <w:t>16AD</w:t>
      </w:r>
      <w:r>
        <w:t>.</w:t>
      </w:r>
      <w:r>
        <w:tab/>
        <w:t>Notice of appellable decision</w:t>
      </w:r>
      <w:bookmarkEnd w:id="74"/>
      <w:bookmarkEnd w:id="75"/>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76" w:name="_Toc173502693"/>
      <w:bookmarkStart w:id="77" w:name="_Toc98508591"/>
      <w:r>
        <w:rPr>
          <w:rStyle w:val="CharSectno"/>
        </w:rPr>
        <w:t>16AE</w:t>
      </w:r>
      <w:r>
        <w:t>.</w:t>
      </w:r>
      <w:r>
        <w:tab/>
        <w:t>Appeals against decisions in respect of noise management plan for motor sport venue</w:t>
      </w:r>
      <w:bookmarkEnd w:id="76"/>
      <w:bookmarkEnd w:id="77"/>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78" w:name="_Toc173498486"/>
      <w:bookmarkStart w:id="79" w:name="_Toc173499622"/>
      <w:bookmarkStart w:id="80" w:name="_Toc173502694"/>
      <w:bookmarkStart w:id="81" w:name="_Toc98501313"/>
      <w:bookmarkStart w:id="82" w:name="_Toc98501821"/>
      <w:bookmarkStart w:id="83" w:name="_Toc98508592"/>
      <w:r>
        <w:rPr>
          <w:rStyle w:val="CharDivNo"/>
        </w:rPr>
        <w:t>Division 4</w:t>
      </w:r>
      <w:r>
        <w:t> — </w:t>
      </w:r>
      <w:r>
        <w:rPr>
          <w:rStyle w:val="CharDivText"/>
        </w:rPr>
        <w:t>Shooting venues</w:t>
      </w:r>
      <w:bookmarkEnd w:id="78"/>
      <w:bookmarkEnd w:id="79"/>
      <w:bookmarkEnd w:id="80"/>
      <w:bookmarkEnd w:id="81"/>
      <w:bookmarkEnd w:id="82"/>
      <w:bookmarkEnd w:id="83"/>
    </w:p>
    <w:p>
      <w:pPr>
        <w:pStyle w:val="Footnoteheading"/>
        <w:rPr>
          <w:snapToGrid w:val="0"/>
        </w:rPr>
      </w:pPr>
      <w:r>
        <w:tab/>
        <w:t>[Heading inserted: Gazette 5 Dec 2013 p. 5681.]</w:t>
      </w:r>
    </w:p>
    <w:p>
      <w:pPr>
        <w:pStyle w:val="Heading5"/>
      </w:pPr>
      <w:bookmarkStart w:id="84" w:name="_Toc173502695"/>
      <w:bookmarkStart w:id="85" w:name="_Toc98508593"/>
      <w:r>
        <w:rPr>
          <w:rStyle w:val="CharSectno"/>
        </w:rPr>
        <w:t>16B</w:t>
      </w:r>
      <w:r>
        <w:t>.</w:t>
      </w:r>
      <w:r>
        <w:tab/>
        <w:t>Terms used</w:t>
      </w:r>
      <w:bookmarkEnd w:id="84"/>
      <w:bookmarkEnd w:id="85"/>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86" w:name="_Toc173502696"/>
      <w:bookmarkStart w:id="87" w:name="_Toc98508594"/>
      <w:r>
        <w:rPr>
          <w:rStyle w:val="CharSectno"/>
        </w:rPr>
        <w:t>16BA</w:t>
      </w:r>
      <w:r>
        <w:t>.</w:t>
      </w:r>
      <w:r>
        <w:tab/>
        <w:t>Approval of noise management plan: shooting venue</w:t>
      </w:r>
      <w:bookmarkEnd w:id="86"/>
      <w:bookmarkEnd w:id="87"/>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88" w:name="_Toc173502697"/>
      <w:bookmarkStart w:id="89" w:name="_Toc98508595"/>
      <w:r>
        <w:rPr>
          <w:rStyle w:val="CharSectno"/>
        </w:rPr>
        <w:t>16BB</w:t>
      </w:r>
      <w:r>
        <w:t>.</w:t>
      </w:r>
      <w:r>
        <w:tab/>
        <w:t>Ancillary measures: shooting venue</w:t>
      </w:r>
      <w:bookmarkEnd w:id="88"/>
      <w:bookmarkEnd w:id="89"/>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90" w:name="_Toc173502698"/>
      <w:bookmarkStart w:id="91" w:name="_Toc98508596"/>
      <w:r>
        <w:rPr>
          <w:rStyle w:val="CharSectno"/>
        </w:rPr>
        <w:t>16BC</w:t>
      </w:r>
      <w:r>
        <w:t>.</w:t>
      </w:r>
      <w:r>
        <w:tab/>
        <w:t>Revocation of noise management plan for shooting venue</w:t>
      </w:r>
      <w:bookmarkEnd w:id="90"/>
      <w:bookmarkEnd w:id="91"/>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92" w:name="_Toc173502699"/>
      <w:bookmarkStart w:id="93" w:name="_Toc98508597"/>
      <w:r>
        <w:rPr>
          <w:rStyle w:val="CharSectno"/>
        </w:rPr>
        <w:t>16BD</w:t>
      </w:r>
      <w:r>
        <w:t>.</w:t>
      </w:r>
      <w:r>
        <w:tab/>
        <w:t>Notice of appellable decision</w:t>
      </w:r>
      <w:bookmarkEnd w:id="92"/>
      <w:bookmarkEnd w:id="93"/>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94" w:name="_Toc173502700"/>
      <w:bookmarkStart w:id="95" w:name="_Toc98508598"/>
      <w:r>
        <w:rPr>
          <w:rStyle w:val="CharSectno"/>
        </w:rPr>
        <w:t>16BE</w:t>
      </w:r>
      <w:r>
        <w:t>.</w:t>
      </w:r>
      <w:r>
        <w:tab/>
        <w:t>Appeals against decisions in respect of noise management plan for shooting venue</w:t>
      </w:r>
      <w:bookmarkEnd w:id="94"/>
      <w:bookmarkEnd w:id="95"/>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96" w:name="_Toc173498493"/>
      <w:bookmarkStart w:id="97" w:name="_Toc173499629"/>
      <w:bookmarkStart w:id="98" w:name="_Toc173502701"/>
      <w:bookmarkStart w:id="99" w:name="_Toc98501320"/>
      <w:bookmarkStart w:id="100" w:name="_Toc98501828"/>
      <w:bookmarkStart w:id="101" w:name="_Toc98508599"/>
      <w:r>
        <w:rPr>
          <w:rStyle w:val="CharDivNo"/>
        </w:rPr>
        <w:t>Division 5</w:t>
      </w:r>
      <w:r>
        <w:t> — </w:t>
      </w:r>
      <w:r>
        <w:rPr>
          <w:rStyle w:val="CharDivText"/>
        </w:rPr>
        <w:t>Community activities</w:t>
      </w:r>
      <w:bookmarkEnd w:id="96"/>
      <w:bookmarkEnd w:id="97"/>
      <w:bookmarkEnd w:id="98"/>
      <w:bookmarkEnd w:id="99"/>
      <w:bookmarkEnd w:id="100"/>
      <w:bookmarkEnd w:id="101"/>
    </w:p>
    <w:p>
      <w:pPr>
        <w:pStyle w:val="Footnoteheading"/>
        <w:rPr>
          <w:snapToGrid w:val="0"/>
        </w:rPr>
      </w:pPr>
      <w:r>
        <w:tab/>
        <w:t>[Heading inserted: Gazette 5 Dec 2013 p. 5688.]</w:t>
      </w:r>
    </w:p>
    <w:p>
      <w:pPr>
        <w:pStyle w:val="Heading5"/>
        <w:rPr>
          <w:snapToGrid w:val="0"/>
        </w:rPr>
      </w:pPr>
      <w:bookmarkStart w:id="102" w:name="_Toc173502702"/>
      <w:bookmarkStart w:id="103" w:name="_Toc98508600"/>
      <w:r>
        <w:rPr>
          <w:rStyle w:val="CharSectno"/>
        </w:rPr>
        <w:t>16</w:t>
      </w:r>
      <w:r>
        <w:rPr>
          <w:snapToGrid w:val="0"/>
        </w:rPr>
        <w:t xml:space="preserve">. </w:t>
      </w:r>
      <w:r>
        <w:rPr>
          <w:snapToGrid w:val="0"/>
        </w:rPr>
        <w:tab/>
        <w:t>Community noise</w:t>
      </w:r>
      <w:bookmarkEnd w:id="102"/>
      <w:bookmarkEnd w:id="103"/>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104" w:name="_Toc173498495"/>
      <w:bookmarkStart w:id="105" w:name="_Toc173499631"/>
      <w:bookmarkStart w:id="106" w:name="_Toc173502703"/>
      <w:bookmarkStart w:id="107" w:name="_Toc98501322"/>
      <w:bookmarkStart w:id="108" w:name="_Toc98501830"/>
      <w:bookmarkStart w:id="109" w:name="_Toc98508601"/>
      <w:r>
        <w:rPr>
          <w:rStyle w:val="CharDivNo"/>
        </w:rPr>
        <w:t>Division 6</w:t>
      </w:r>
      <w:r>
        <w:t> — </w:t>
      </w:r>
      <w:r>
        <w:rPr>
          <w:rStyle w:val="CharDivText"/>
        </w:rPr>
        <w:t>Where standard cannot reasonably be met</w:t>
      </w:r>
      <w:bookmarkEnd w:id="104"/>
      <w:bookmarkEnd w:id="105"/>
      <w:bookmarkEnd w:id="106"/>
      <w:bookmarkEnd w:id="107"/>
      <w:bookmarkEnd w:id="108"/>
      <w:bookmarkEnd w:id="109"/>
    </w:p>
    <w:p>
      <w:pPr>
        <w:pStyle w:val="Footnoteheading"/>
        <w:rPr>
          <w:snapToGrid w:val="0"/>
        </w:rPr>
      </w:pPr>
      <w:r>
        <w:tab/>
        <w:t>[Heading inserted: Gazette 5 Dec 2013 p. 5691.]</w:t>
      </w:r>
    </w:p>
    <w:p>
      <w:pPr>
        <w:pStyle w:val="Heading5"/>
        <w:spacing w:before="180"/>
      </w:pPr>
      <w:bookmarkStart w:id="110" w:name="_Toc173502704"/>
      <w:bookmarkStart w:id="111" w:name="_Toc98508602"/>
      <w:r>
        <w:rPr>
          <w:rStyle w:val="CharSectno"/>
        </w:rPr>
        <w:t>17</w:t>
      </w:r>
      <w:r>
        <w:t>.</w:t>
      </w:r>
      <w:r>
        <w:tab/>
        <w:t>Approval to allow emission of noise to exceed or vary from standard: application and referral</w:t>
      </w:r>
      <w:bookmarkEnd w:id="110"/>
      <w:bookmarkEnd w:id="111"/>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112" w:name="_Toc173502705"/>
      <w:bookmarkStart w:id="113" w:name="_Toc98508603"/>
      <w:r>
        <w:rPr>
          <w:rStyle w:val="CharSectno"/>
        </w:rPr>
        <w:t>18A</w:t>
      </w:r>
      <w:r>
        <w:t>.</w:t>
      </w:r>
      <w:r>
        <w:tab/>
        <w:t>Assessment by CEO</w:t>
      </w:r>
      <w:bookmarkEnd w:id="112"/>
      <w:bookmarkEnd w:id="113"/>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114" w:name="_Toc173502706"/>
      <w:bookmarkStart w:id="115" w:name="_Toc98508604"/>
      <w:r>
        <w:rPr>
          <w:rStyle w:val="CharSectno"/>
        </w:rPr>
        <w:t>18B</w:t>
      </w:r>
      <w:r>
        <w:t>.</w:t>
      </w:r>
      <w:r>
        <w:tab/>
        <w:t>Decision by Minister</w:t>
      </w:r>
      <w:bookmarkEnd w:id="114"/>
      <w:bookmarkEnd w:id="115"/>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116" w:name="_Toc173502707"/>
      <w:bookmarkStart w:id="117" w:name="_Toc98508605"/>
      <w:r>
        <w:rPr>
          <w:rStyle w:val="CharSectno"/>
        </w:rPr>
        <w:t>18C</w:t>
      </w:r>
      <w:r>
        <w:t>.</w:t>
      </w:r>
      <w:r>
        <w:tab/>
        <w:t>Notification of approval, amendment or revocation</w:t>
      </w:r>
      <w:bookmarkEnd w:id="116"/>
      <w:bookmarkEnd w:id="117"/>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118" w:name="_Toc173502708"/>
      <w:bookmarkStart w:id="119" w:name="_Toc98508606"/>
      <w:r>
        <w:rPr>
          <w:rStyle w:val="CharSectno"/>
        </w:rPr>
        <w:t>18D</w:t>
      </w:r>
      <w:r>
        <w:t>.</w:t>
      </w:r>
      <w:r>
        <w:tab/>
        <w:t>Ancillary conditions</w:t>
      </w:r>
      <w:bookmarkEnd w:id="118"/>
      <w:bookmarkEnd w:id="119"/>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120" w:name="_Toc173502709"/>
      <w:bookmarkStart w:id="121" w:name="_Toc98508607"/>
      <w:r>
        <w:rPr>
          <w:rStyle w:val="CharSectno"/>
        </w:rPr>
        <w:t>18E</w:t>
      </w:r>
      <w:r>
        <w:t>.</w:t>
      </w:r>
      <w:r>
        <w:tab/>
        <w:t>Amendment or revocation of approval</w:t>
      </w:r>
      <w:bookmarkEnd w:id="120"/>
      <w:bookmarkEnd w:id="121"/>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122" w:name="_Toc173502710"/>
      <w:bookmarkStart w:id="123" w:name="_Toc98508608"/>
      <w:r>
        <w:rPr>
          <w:rStyle w:val="CharSectno"/>
        </w:rPr>
        <w:t>18F</w:t>
      </w:r>
      <w:r>
        <w:t>.</w:t>
      </w:r>
      <w:r>
        <w:tab/>
        <w:t>Effect of breach of condition or revocation of approval</w:t>
      </w:r>
      <w:bookmarkEnd w:id="122"/>
      <w:bookmarkEnd w:id="123"/>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124" w:name="_Toc173502711"/>
      <w:bookmarkStart w:id="125" w:name="_Toc98508609"/>
      <w:r>
        <w:rPr>
          <w:rStyle w:val="CharSectno"/>
        </w:rPr>
        <w:t>18G</w:t>
      </w:r>
      <w:r>
        <w:t>.</w:t>
      </w:r>
      <w:r>
        <w:tab/>
        <w:t>Noise monitoring fees</w:t>
      </w:r>
      <w:bookmarkEnd w:id="124"/>
      <w:bookmarkEnd w:id="125"/>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126" w:name="_Toc173502712"/>
      <w:bookmarkStart w:id="127" w:name="_Toc98508610"/>
      <w:r>
        <w:rPr>
          <w:rStyle w:val="CharSectno"/>
        </w:rPr>
        <w:t>18H</w:t>
      </w:r>
      <w:r>
        <w:t>.</w:t>
      </w:r>
      <w:r>
        <w:tab/>
        <w:t>Appeals against decisions under this Division</w:t>
      </w:r>
      <w:bookmarkEnd w:id="126"/>
      <w:bookmarkEnd w:id="127"/>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128" w:name="_Toc173502713"/>
      <w:bookmarkStart w:id="129" w:name="_Toc98508611"/>
      <w:r>
        <w:rPr>
          <w:rStyle w:val="CharSectno"/>
        </w:rPr>
        <w:t>18I</w:t>
      </w:r>
      <w:r>
        <w:t>.</w:t>
      </w:r>
      <w:r>
        <w:tab/>
        <w:t>Transitional provisions</w:t>
      </w:r>
      <w:bookmarkEnd w:id="128"/>
      <w:bookmarkEnd w:id="129"/>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130" w:name="_Toc173498506"/>
      <w:bookmarkStart w:id="131" w:name="_Toc173499642"/>
      <w:bookmarkStart w:id="132" w:name="_Toc173502714"/>
      <w:bookmarkStart w:id="133" w:name="_Toc98501333"/>
      <w:bookmarkStart w:id="134" w:name="_Toc98501841"/>
      <w:bookmarkStart w:id="135" w:name="_Toc98508612"/>
      <w:r>
        <w:rPr>
          <w:rStyle w:val="CharDivNo"/>
        </w:rPr>
        <w:t>Division 7</w:t>
      </w:r>
      <w:r>
        <w:t> — </w:t>
      </w:r>
      <w:r>
        <w:rPr>
          <w:rStyle w:val="CharDivText"/>
        </w:rPr>
        <w:t>Sporting, cultural and entertainment events</w:t>
      </w:r>
      <w:bookmarkEnd w:id="130"/>
      <w:bookmarkEnd w:id="131"/>
      <w:bookmarkEnd w:id="132"/>
      <w:bookmarkEnd w:id="133"/>
      <w:bookmarkEnd w:id="134"/>
      <w:bookmarkEnd w:id="135"/>
    </w:p>
    <w:p>
      <w:pPr>
        <w:pStyle w:val="Footnoteheading"/>
        <w:rPr>
          <w:snapToGrid w:val="0"/>
        </w:rPr>
      </w:pPr>
      <w:r>
        <w:tab/>
        <w:t>[Heading inserted: Gazette 5 Dec 2013 p. 5700.]</w:t>
      </w:r>
    </w:p>
    <w:p>
      <w:pPr>
        <w:pStyle w:val="Heading5"/>
      </w:pPr>
      <w:bookmarkStart w:id="136" w:name="_Toc173502715"/>
      <w:bookmarkStart w:id="137" w:name="_Toc98508613"/>
      <w:r>
        <w:rPr>
          <w:rStyle w:val="CharSectno"/>
        </w:rPr>
        <w:t>18J</w:t>
      </w:r>
      <w:r>
        <w:t>.</w:t>
      </w:r>
      <w:r>
        <w:tab/>
        <w:t>Terms used</w:t>
      </w:r>
      <w:bookmarkEnd w:id="136"/>
      <w:bookmarkEnd w:id="137"/>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138" w:name="_Toc173502716"/>
      <w:bookmarkStart w:id="139" w:name="_Toc98508614"/>
      <w:r>
        <w:rPr>
          <w:rStyle w:val="CharSectno"/>
        </w:rPr>
        <w:t>18</w:t>
      </w:r>
      <w:r>
        <w:rPr>
          <w:snapToGrid w:val="0"/>
        </w:rPr>
        <w:t xml:space="preserve">. </w:t>
      </w:r>
      <w:r>
        <w:rPr>
          <w:snapToGrid w:val="0"/>
        </w:rPr>
        <w:tab/>
        <w:t>Approved sporting, cultural and entertainment events</w:t>
      </w:r>
      <w:bookmarkEnd w:id="138"/>
      <w:bookmarkEnd w:id="139"/>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140" w:name="_Toc173502717"/>
      <w:bookmarkStart w:id="141" w:name="_Toc98508615"/>
      <w:r>
        <w:rPr>
          <w:rStyle w:val="CharSectno"/>
        </w:rPr>
        <w:t>19A</w:t>
      </w:r>
      <w:r>
        <w:t>.</w:t>
      </w:r>
      <w:r>
        <w:tab/>
        <w:t>Ancillary conditions: approved events</w:t>
      </w:r>
      <w:bookmarkEnd w:id="140"/>
      <w:bookmarkEnd w:id="141"/>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142" w:name="_Toc173502718"/>
      <w:bookmarkStart w:id="143" w:name="_Toc98508616"/>
      <w:r>
        <w:rPr>
          <w:rStyle w:val="CharSectno"/>
        </w:rPr>
        <w:t>19B</w:t>
      </w:r>
      <w:r>
        <w:t>.</w:t>
      </w:r>
      <w:r>
        <w:tab/>
        <w:t>Approved venues for sporting, cultural or entertainment events</w:t>
      </w:r>
      <w:bookmarkEnd w:id="142"/>
      <w:bookmarkEnd w:id="143"/>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144" w:name="_Toc173502719"/>
      <w:bookmarkStart w:id="145" w:name="_Toc98508617"/>
      <w:r>
        <w:rPr>
          <w:rStyle w:val="CharSectno"/>
        </w:rPr>
        <w:t>19C</w:t>
      </w:r>
      <w:r>
        <w:t>.</w:t>
      </w:r>
      <w:r>
        <w:tab/>
        <w:t>Ancillary conditions: venue approval</w:t>
      </w:r>
      <w:bookmarkEnd w:id="144"/>
      <w:bookmarkEnd w:id="145"/>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146" w:name="_Toc173502720"/>
      <w:bookmarkStart w:id="147" w:name="_Toc98508618"/>
      <w:r>
        <w:rPr>
          <w:rStyle w:val="CharSectno"/>
        </w:rPr>
        <w:t>19D</w:t>
      </w:r>
      <w:r>
        <w:t>.</w:t>
      </w:r>
      <w:r>
        <w:tab/>
        <w:t>Notifiable event at approved venue</w:t>
      </w:r>
      <w:bookmarkEnd w:id="146"/>
      <w:bookmarkEnd w:id="147"/>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148" w:name="_Toc173502721"/>
      <w:bookmarkStart w:id="149" w:name="_Toc98508619"/>
      <w:r>
        <w:rPr>
          <w:rStyle w:val="CharSectno"/>
        </w:rPr>
        <w:t>19E</w:t>
      </w:r>
      <w:r>
        <w:t>.</w:t>
      </w:r>
      <w:r>
        <w:tab/>
        <w:t>Amendment or revocation of venue approval</w:t>
      </w:r>
      <w:bookmarkEnd w:id="148"/>
      <w:bookmarkEnd w:id="149"/>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150" w:name="_Toc173502722"/>
      <w:bookmarkStart w:id="151" w:name="_Toc98508620"/>
      <w:r>
        <w:rPr>
          <w:rStyle w:val="CharSectno"/>
        </w:rPr>
        <w:t>19F</w:t>
      </w:r>
      <w:r>
        <w:t>.</w:t>
      </w:r>
      <w:r>
        <w:tab/>
        <w:t>Notice of appellable decision</w:t>
      </w:r>
      <w:bookmarkEnd w:id="150"/>
      <w:bookmarkEnd w:id="151"/>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152" w:name="_Toc173502723"/>
      <w:bookmarkStart w:id="153" w:name="_Toc98508621"/>
      <w:r>
        <w:rPr>
          <w:rStyle w:val="CharSectno"/>
        </w:rPr>
        <w:t>19G</w:t>
      </w:r>
      <w:r>
        <w:t>.</w:t>
      </w:r>
      <w:r>
        <w:tab/>
        <w:t>Appeals against decisions under this Division</w:t>
      </w:r>
      <w:bookmarkEnd w:id="152"/>
      <w:bookmarkEnd w:id="153"/>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154" w:name="_Toc173498516"/>
      <w:bookmarkStart w:id="155" w:name="_Toc173499652"/>
      <w:bookmarkStart w:id="156" w:name="_Toc173502724"/>
      <w:bookmarkStart w:id="157" w:name="_Toc98501343"/>
      <w:bookmarkStart w:id="158" w:name="_Toc98501851"/>
      <w:bookmarkStart w:id="159" w:name="_Toc98508622"/>
      <w:r>
        <w:rPr>
          <w:rStyle w:val="CharPartNo"/>
        </w:rPr>
        <w:t>Part 3</w:t>
      </w:r>
      <w:r>
        <w:rPr>
          <w:rStyle w:val="CharDivNo"/>
        </w:rPr>
        <w:t> </w:t>
      </w:r>
      <w:r>
        <w:t>—</w:t>
      </w:r>
      <w:r>
        <w:rPr>
          <w:rStyle w:val="CharDivText"/>
        </w:rPr>
        <w:t> </w:t>
      </w:r>
      <w:r>
        <w:rPr>
          <w:rStyle w:val="CharPartText"/>
        </w:rPr>
        <w:t>Noise measurement</w:t>
      </w:r>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173502725"/>
      <w:bookmarkStart w:id="161" w:name="_Toc98508623"/>
      <w:r>
        <w:rPr>
          <w:rStyle w:val="CharSectno"/>
        </w:rPr>
        <w:t>19</w:t>
      </w:r>
      <w:r>
        <w:rPr>
          <w:snapToGrid w:val="0"/>
        </w:rPr>
        <w:t xml:space="preserve">. </w:t>
      </w:r>
      <w:r>
        <w:rPr>
          <w:snapToGrid w:val="0"/>
        </w:rPr>
        <w:tab/>
        <w:t>Place of measurement of noise</w:t>
      </w:r>
      <w:bookmarkEnd w:id="160"/>
      <w:bookmarkEnd w:id="1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62" w:name="_Toc173502726"/>
      <w:bookmarkStart w:id="163" w:name="_Toc98508624"/>
      <w:r>
        <w:rPr>
          <w:rStyle w:val="CharSectno"/>
        </w:rPr>
        <w:t>20</w:t>
      </w:r>
      <w:r>
        <w:rPr>
          <w:snapToGrid w:val="0"/>
        </w:rPr>
        <w:t xml:space="preserve">. </w:t>
      </w:r>
      <w:r>
        <w:rPr>
          <w:snapToGrid w:val="0"/>
        </w:rPr>
        <w:tab/>
        <w:t>Measurement of noise at premises</w:t>
      </w:r>
      <w:bookmarkEnd w:id="162"/>
      <w:bookmarkEnd w:id="163"/>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164" w:name="_Toc173502727"/>
      <w:bookmarkStart w:id="165" w:name="_Toc98508625"/>
      <w:r>
        <w:rPr>
          <w:rStyle w:val="CharSectno"/>
        </w:rPr>
        <w:t>21</w:t>
      </w:r>
      <w:r>
        <w:rPr>
          <w:snapToGrid w:val="0"/>
        </w:rPr>
        <w:t xml:space="preserve">. </w:t>
      </w:r>
      <w:r>
        <w:rPr>
          <w:snapToGrid w:val="0"/>
        </w:rPr>
        <w:tab/>
        <w:t>Measurement of airblast levels</w:t>
      </w:r>
      <w:bookmarkEnd w:id="164"/>
      <w:bookmarkEnd w:id="165"/>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166" w:name="_Toc173502728"/>
      <w:bookmarkStart w:id="167" w:name="_Toc98508626"/>
      <w:r>
        <w:rPr>
          <w:rStyle w:val="CharSectno"/>
        </w:rPr>
        <w:t>22</w:t>
      </w:r>
      <w:r>
        <w:rPr>
          <w:snapToGrid w:val="0"/>
        </w:rPr>
        <w:t>.</w:t>
      </w:r>
      <w:r>
        <w:rPr>
          <w:snapToGrid w:val="0"/>
        </w:rPr>
        <w:tab/>
        <w:t>Sound measuring equipment must comply with Schedule 4</w:t>
      </w:r>
      <w:bookmarkEnd w:id="166"/>
      <w:bookmarkEnd w:id="167"/>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168" w:name="_Toc173502729"/>
      <w:bookmarkStart w:id="169" w:name="_Toc98508627"/>
      <w:r>
        <w:rPr>
          <w:rStyle w:val="CharSectno"/>
        </w:rPr>
        <w:t>23</w:t>
      </w:r>
      <w:r>
        <w:rPr>
          <w:snapToGrid w:val="0"/>
        </w:rPr>
        <w:t xml:space="preserve">. </w:t>
      </w:r>
      <w:r>
        <w:rPr>
          <w:snapToGrid w:val="0"/>
        </w:rPr>
        <w:tab/>
        <w:t>Calibration results to be available</w:t>
      </w:r>
      <w:bookmarkEnd w:id="168"/>
      <w:bookmarkEnd w:id="169"/>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0" w:name="_Toc173498522"/>
      <w:bookmarkStart w:id="171" w:name="_Toc173499658"/>
      <w:bookmarkStart w:id="172" w:name="_Toc173502730"/>
      <w:bookmarkStart w:id="173" w:name="_Toc98501349"/>
      <w:bookmarkStart w:id="174" w:name="_Toc98501857"/>
      <w:bookmarkStart w:id="175" w:name="_Toc98508628"/>
      <w:r>
        <w:rPr>
          <w:rStyle w:val="CharSchNo"/>
        </w:rPr>
        <w:t>Schedule 1</w:t>
      </w:r>
      <w:r>
        <w:t> — </w:t>
      </w:r>
      <w:r>
        <w:rPr>
          <w:rStyle w:val="CharSchText"/>
        </w:rPr>
        <w:t>Classification of premises</w:t>
      </w:r>
      <w:bookmarkEnd w:id="170"/>
      <w:bookmarkEnd w:id="171"/>
      <w:bookmarkEnd w:id="172"/>
      <w:bookmarkEnd w:id="173"/>
      <w:bookmarkEnd w:id="174"/>
      <w:bookmarkEnd w:id="175"/>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76" w:name="_Toc173498523"/>
      <w:bookmarkStart w:id="177" w:name="_Toc173499659"/>
      <w:bookmarkStart w:id="178" w:name="_Toc173502731"/>
      <w:bookmarkStart w:id="179" w:name="_Toc98501350"/>
      <w:bookmarkStart w:id="180" w:name="_Toc98501858"/>
      <w:bookmarkStart w:id="181" w:name="_Toc98508629"/>
      <w:r>
        <w:rPr>
          <w:rStyle w:val="CharSchNo"/>
        </w:rPr>
        <w:t>Schedule 2</w:t>
      </w:r>
      <w:r>
        <w:rPr>
          <w:rStyle w:val="CharSDivNo"/>
        </w:rPr>
        <w:t> </w:t>
      </w:r>
      <w:r>
        <w:t>—</w:t>
      </w:r>
      <w:r>
        <w:rPr>
          <w:rStyle w:val="CharSDivText"/>
        </w:rPr>
        <w:t> </w:t>
      </w:r>
      <w:r>
        <w:rPr>
          <w:rStyle w:val="CharSchText"/>
        </w:rPr>
        <w:t>Community noise</w:t>
      </w:r>
      <w:bookmarkEnd w:id="176"/>
      <w:bookmarkEnd w:id="177"/>
      <w:bookmarkEnd w:id="178"/>
      <w:bookmarkEnd w:id="179"/>
      <w:bookmarkEnd w:id="180"/>
      <w:bookmarkEnd w:id="181"/>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183" w:name="_Toc173498524"/>
      <w:bookmarkStart w:id="184" w:name="_Toc173499660"/>
      <w:bookmarkStart w:id="185" w:name="_Toc173502732"/>
      <w:bookmarkStart w:id="186" w:name="_Toc98501351"/>
      <w:bookmarkStart w:id="187" w:name="_Toc98501859"/>
      <w:bookmarkStart w:id="188" w:name="_Toc98508630"/>
      <w:r>
        <w:rPr>
          <w:rStyle w:val="CharSchNo"/>
        </w:rPr>
        <w:t>Schedule 3</w:t>
      </w:r>
      <w:r>
        <w:t> — </w:t>
      </w:r>
      <w:r>
        <w:rPr>
          <w:rStyle w:val="CharSchText"/>
        </w:rPr>
        <w:t>Determination of influencing factor on noise sensitive premises</w:t>
      </w:r>
      <w:bookmarkEnd w:id="183"/>
      <w:bookmarkEnd w:id="184"/>
      <w:bookmarkEnd w:id="185"/>
      <w:bookmarkEnd w:id="186"/>
      <w:bookmarkEnd w:id="187"/>
      <w:bookmarkEnd w:id="188"/>
    </w:p>
    <w:p>
      <w:pPr>
        <w:pStyle w:val="yShoulderClause"/>
      </w:pPr>
      <w:r>
        <w:t>[r. 8]</w:t>
      </w:r>
    </w:p>
    <w:p>
      <w:pPr>
        <w:pStyle w:val="yFootnoteheading"/>
      </w:pPr>
      <w:r>
        <w:tab/>
        <w:t>[Heading inserted: Gazette 5 Dec 2013 p. 5716</w:t>
      </w:r>
      <w:r>
        <w:noBreakHyphen/>
        <w:t>17.]</w:t>
      </w:r>
    </w:p>
    <w:p>
      <w:pPr>
        <w:pStyle w:val="yHeading5"/>
        <w:spacing w:before="240"/>
        <w:rPr>
          <w:snapToGrid w:val="0"/>
        </w:rPr>
      </w:pPr>
      <w:bookmarkStart w:id="189" w:name="_Toc173502733"/>
      <w:bookmarkStart w:id="190" w:name="_Toc98508631"/>
      <w:r>
        <w:rPr>
          <w:rStyle w:val="CharSClsNo"/>
        </w:rPr>
        <w:t>1</w:t>
      </w:r>
      <w:r>
        <w:rPr>
          <w:snapToGrid w:val="0"/>
        </w:rPr>
        <w:t xml:space="preserve">. </w:t>
      </w:r>
      <w:r>
        <w:rPr>
          <w:snapToGrid w:val="0"/>
        </w:rPr>
        <w:tab/>
        <w:t>Terms used</w:t>
      </w:r>
      <w:bookmarkEnd w:id="189"/>
      <w:bookmarkEnd w:id="190"/>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rPr>
          <w:snapToGrid w:val="0"/>
        </w:rPr>
      </w:pPr>
      <w:bookmarkStart w:id="191" w:name="_Toc173502734"/>
      <w:bookmarkStart w:id="192" w:name="_Toc98508632"/>
      <w:r>
        <w:rPr>
          <w:rStyle w:val="CharSClsNo"/>
        </w:rPr>
        <w:t>2</w:t>
      </w:r>
      <w:r>
        <w:rPr>
          <w:snapToGrid w:val="0"/>
        </w:rPr>
        <w:t xml:space="preserve">. </w:t>
      </w:r>
      <w:r>
        <w:rPr>
          <w:snapToGrid w:val="0"/>
        </w:rPr>
        <w:tab/>
        <w:t>Influencing factor</w:t>
      </w:r>
      <w:bookmarkEnd w:id="191"/>
      <w:bookmarkEnd w:id="192"/>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193" w:name="_Toc173498527"/>
      <w:bookmarkStart w:id="194" w:name="_Toc173499663"/>
      <w:bookmarkStart w:id="195" w:name="_Toc173502735"/>
      <w:bookmarkStart w:id="196" w:name="_Toc98501354"/>
      <w:bookmarkStart w:id="197" w:name="_Toc98501862"/>
      <w:bookmarkStart w:id="198" w:name="_Toc98508633"/>
      <w:r>
        <w:rPr>
          <w:rStyle w:val="CharSchNo"/>
        </w:rPr>
        <w:t>Schedule 4</w:t>
      </w:r>
      <w:r>
        <w:t> — </w:t>
      </w:r>
      <w:r>
        <w:rPr>
          <w:rStyle w:val="CharSchText"/>
        </w:rPr>
        <w:t>Rules for sound measuring equipment</w:t>
      </w:r>
      <w:bookmarkEnd w:id="193"/>
      <w:bookmarkEnd w:id="194"/>
      <w:bookmarkEnd w:id="195"/>
      <w:bookmarkEnd w:id="196"/>
      <w:bookmarkEnd w:id="197"/>
      <w:bookmarkEnd w:id="198"/>
    </w:p>
    <w:p>
      <w:pPr>
        <w:pStyle w:val="yShoulderClause"/>
      </w:pPr>
      <w:r>
        <w:t>[r. 22]</w:t>
      </w:r>
    </w:p>
    <w:p>
      <w:pPr>
        <w:pStyle w:val="yFootnoteheading"/>
      </w:pPr>
      <w:r>
        <w:tab/>
        <w:t>[Heading inserted: Gazette 5 Dec 2013 p. 5720.]</w:t>
      </w:r>
    </w:p>
    <w:p>
      <w:pPr>
        <w:pStyle w:val="yHeading5"/>
        <w:spacing w:before="180"/>
      </w:pPr>
      <w:bookmarkStart w:id="199" w:name="_Toc173502736"/>
      <w:bookmarkStart w:id="200" w:name="_Toc98508634"/>
      <w:r>
        <w:rPr>
          <w:rStyle w:val="CharSClsNo"/>
        </w:rPr>
        <w:t>1</w:t>
      </w:r>
      <w:r>
        <w:t>.</w:t>
      </w:r>
      <w:r>
        <w:tab/>
        <w:t>Sound measuring equipment</w:t>
      </w:r>
      <w:bookmarkEnd w:id="199"/>
      <w:bookmarkEnd w:id="200"/>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201" w:name="_Toc173502737"/>
      <w:bookmarkStart w:id="202" w:name="_Toc98508635"/>
      <w:r>
        <w:rPr>
          <w:rStyle w:val="CharSClsNo"/>
        </w:rPr>
        <w:t>2</w:t>
      </w:r>
      <w:r>
        <w:t>.</w:t>
      </w:r>
      <w:r>
        <w:tab/>
        <w:t>Calibration of sound measuring equipment</w:t>
      </w:r>
      <w:bookmarkEnd w:id="201"/>
      <w:bookmarkEnd w:id="202"/>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203" w:name="_Toc173502738"/>
      <w:bookmarkStart w:id="204" w:name="_Toc98508636"/>
      <w:r>
        <w:rPr>
          <w:rStyle w:val="CharSClsNo"/>
        </w:rPr>
        <w:t>3</w:t>
      </w:r>
      <w:r>
        <w:t>.</w:t>
      </w:r>
      <w:r>
        <w:tab/>
        <w:t>Field performance checks</w:t>
      </w:r>
      <w:bookmarkEnd w:id="203"/>
      <w:bookmarkEnd w:id="204"/>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205" w:name="_Toc173502739"/>
      <w:bookmarkStart w:id="206" w:name="_Toc98508637"/>
      <w:r>
        <w:rPr>
          <w:rStyle w:val="CharSClsNo"/>
        </w:rPr>
        <w:t>4</w:t>
      </w:r>
      <w:r>
        <w:t>.</w:t>
      </w:r>
      <w:r>
        <w:tab/>
        <w:t>Equipment</w:t>
      </w:r>
      <w:r>
        <w:rPr>
          <w:snapToGrid w:val="0"/>
        </w:rPr>
        <w:t xml:space="preserve"> used for measurement of airblast levels</w:t>
      </w:r>
      <w:bookmarkEnd w:id="205"/>
      <w:bookmarkEnd w:id="206"/>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207" w:name="_Toc173498532"/>
      <w:bookmarkStart w:id="208" w:name="_Toc173499668"/>
      <w:bookmarkStart w:id="209" w:name="_Toc173502740"/>
      <w:bookmarkStart w:id="210" w:name="_Toc98501359"/>
      <w:bookmarkStart w:id="211" w:name="_Toc98501867"/>
      <w:bookmarkStart w:id="212" w:name="_Toc98508638"/>
      <w:r>
        <w:t>Notes</w:t>
      </w:r>
      <w:bookmarkEnd w:id="207"/>
      <w:bookmarkEnd w:id="208"/>
      <w:bookmarkEnd w:id="209"/>
      <w:bookmarkEnd w:id="210"/>
      <w:bookmarkEnd w:id="211"/>
      <w:bookmarkEnd w:id="212"/>
    </w:p>
    <w:p>
      <w:pPr>
        <w:pStyle w:val="nStatement"/>
      </w:pPr>
      <w:r>
        <w:t xml:space="preserve">This is a compilation of the </w:t>
      </w:r>
      <w:r>
        <w:rPr>
          <w:i/>
          <w:noProof/>
        </w:rPr>
        <w:t>Environmental Protection (Noise) Regulations</w:t>
      </w:r>
      <w:del w:id="213" w:author="Master Repository Process" w:date="2025-06-25T11:00:00Z">
        <w:r>
          <w:rPr>
            <w:i/>
            <w:noProof/>
          </w:rPr>
          <w:delText> </w:delText>
        </w:r>
      </w:del>
      <w:ins w:id="214" w:author="Master Repository Process" w:date="2025-06-25T11:00:00Z">
        <w:r>
          <w:rPr>
            <w:i/>
            <w:noProof/>
          </w:rPr>
          <w:t xml:space="preserve"> </w:t>
        </w:r>
      </w:ins>
      <w:r>
        <w:rPr>
          <w:i/>
          <w:noProof/>
        </w:rPr>
        <w:t>1997</w:t>
      </w:r>
      <w:r>
        <w:t xml:space="preserve"> and includes amendments made by other written laws. For provisions that have come into operation, and for information about any reprints, see the compilation table.</w:t>
      </w:r>
      <w:ins w:id="215" w:author="Master Repository Process" w:date="2025-06-25T11:00:00Z">
        <w:r>
          <w:t xml:space="preserve"> For provisions that have not yet come into operation see the uncommenced provisions table.</w:t>
        </w:r>
      </w:ins>
    </w:p>
    <w:p>
      <w:pPr>
        <w:pStyle w:val="nHeading3"/>
      </w:pPr>
      <w:bookmarkStart w:id="216" w:name="_Toc173502741"/>
      <w:bookmarkStart w:id="217" w:name="_Toc98508639"/>
      <w:r>
        <w:t>Compilation table</w:t>
      </w:r>
      <w:bookmarkEnd w:id="216"/>
      <w:bookmarkEnd w:id="2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single" w:sz="4" w:space="0" w:color="auto"/>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single" w:sz="4" w:space="0" w:color="auto"/>
            </w:tcBorders>
          </w:tcPr>
          <w:p>
            <w:pPr>
              <w:pStyle w:val="nTable"/>
              <w:spacing w:after="40"/>
            </w:pPr>
            <w:r>
              <w:t>SL 2022/25 11 Mar 2022</w:t>
            </w:r>
          </w:p>
        </w:tc>
        <w:tc>
          <w:tcPr>
            <w:tcW w:w="2693" w:type="dxa"/>
            <w:tcBorders>
              <w:top w:val="nil"/>
              <w:bottom w:val="single" w:sz="4" w:space="0" w:color="auto"/>
            </w:tcBorders>
          </w:tcPr>
          <w:p>
            <w:pPr>
              <w:pStyle w:val="nTable"/>
              <w:spacing w:after="40"/>
            </w:pPr>
            <w:r>
              <w:t>31 Mar 2022 (see r. 2(b) and SL 2022/18 cl. 2)</w:t>
            </w:r>
          </w:p>
        </w:tc>
      </w:tr>
    </w:tbl>
    <w:p>
      <w:pPr>
        <w:rPr>
          <w:del w:id="218" w:author="Master Repository Process" w:date="2025-06-25T11:00:00Z"/>
        </w:rPr>
      </w:pPr>
      <w:bookmarkStart w:id="219" w:name="_Toc173502742"/>
    </w:p>
    <w:p>
      <w:pPr>
        <w:rPr>
          <w:del w:id="220" w:author="Master Repository Process" w:date="2025-06-25T11:00:00Z"/>
        </w:r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3"/>
        <w:rPr>
          <w:ins w:id="221" w:author="Master Repository Process" w:date="2025-06-25T11:00:00Z"/>
        </w:rPr>
      </w:pPr>
      <w:ins w:id="222" w:author="Master Repository Process" w:date="2025-06-25T11:00:00Z">
        <w:r>
          <w:t>Uncommenced provisions table</w:t>
        </w:r>
        <w:bookmarkEnd w:id="219"/>
      </w:ins>
    </w:p>
    <w:p>
      <w:pPr>
        <w:pStyle w:val="nStatement"/>
        <w:keepNext/>
        <w:spacing w:after="240"/>
        <w:rPr>
          <w:ins w:id="223" w:author="Master Repository Process" w:date="2025-06-25T11:00:00Z"/>
        </w:rPr>
      </w:pPr>
      <w:ins w:id="224" w:author="Master Repository Process" w:date="2025-06-25T11:0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5" w:author="Master Repository Process" w:date="2025-06-25T11:00:00Z"/>
        </w:trPr>
        <w:tc>
          <w:tcPr>
            <w:tcW w:w="3118" w:type="dxa"/>
          </w:tcPr>
          <w:p>
            <w:pPr>
              <w:pStyle w:val="nTable"/>
              <w:spacing w:after="40"/>
              <w:rPr>
                <w:ins w:id="226" w:author="Master Repository Process" w:date="2025-06-25T11:00:00Z"/>
                <w:b/>
              </w:rPr>
            </w:pPr>
            <w:ins w:id="227" w:author="Master Repository Process" w:date="2025-06-25T11:00:00Z">
              <w:r>
                <w:rPr>
                  <w:b/>
                </w:rPr>
                <w:t>Citation</w:t>
              </w:r>
            </w:ins>
          </w:p>
        </w:tc>
        <w:tc>
          <w:tcPr>
            <w:tcW w:w="1276" w:type="dxa"/>
          </w:tcPr>
          <w:p>
            <w:pPr>
              <w:pStyle w:val="nTable"/>
              <w:spacing w:after="40"/>
              <w:rPr>
                <w:ins w:id="228" w:author="Master Repository Process" w:date="2025-06-25T11:00:00Z"/>
                <w:b/>
              </w:rPr>
            </w:pPr>
            <w:ins w:id="229" w:author="Master Repository Process" w:date="2025-06-25T11:00:00Z">
              <w:r>
                <w:rPr>
                  <w:b/>
                </w:rPr>
                <w:t>Published</w:t>
              </w:r>
            </w:ins>
          </w:p>
        </w:tc>
        <w:tc>
          <w:tcPr>
            <w:tcW w:w="2693" w:type="dxa"/>
          </w:tcPr>
          <w:p>
            <w:pPr>
              <w:pStyle w:val="nTable"/>
              <w:spacing w:after="40"/>
              <w:rPr>
                <w:ins w:id="230" w:author="Master Repository Process" w:date="2025-06-25T11:00:00Z"/>
                <w:b/>
              </w:rPr>
            </w:pPr>
            <w:ins w:id="231" w:author="Master Repository Process" w:date="2025-06-25T11:00:00Z">
              <w:r>
                <w:rPr>
                  <w:b/>
                </w:rPr>
                <w:t>Commencement</w:t>
              </w:r>
            </w:ins>
          </w:p>
        </w:tc>
      </w:tr>
      <w:tr>
        <w:trPr>
          <w:ins w:id="232" w:author="Master Repository Process" w:date="2025-06-25T11:00:00Z"/>
        </w:trPr>
        <w:tc>
          <w:tcPr>
            <w:tcW w:w="3118" w:type="dxa"/>
          </w:tcPr>
          <w:p>
            <w:pPr>
              <w:pStyle w:val="nTable"/>
              <w:spacing w:after="40"/>
              <w:rPr>
                <w:ins w:id="233" w:author="Master Repository Process" w:date="2025-06-25T11:00:00Z"/>
                <w:iCs/>
              </w:rPr>
            </w:pPr>
            <w:ins w:id="234" w:author="Master Repository Process" w:date="2025-06-25T11:00:00Z">
              <w:r>
                <w:rPr>
                  <w:i/>
                </w:rPr>
                <w:t xml:space="preserve">Environmental Protection (Noise) Amendment Regulations (No. 2) 2024 </w:t>
              </w:r>
              <w:r>
                <w:rPr>
                  <w:iCs/>
                </w:rPr>
                <w:t>r. 3 and 4</w:t>
              </w:r>
            </w:ins>
          </w:p>
        </w:tc>
        <w:tc>
          <w:tcPr>
            <w:tcW w:w="1276" w:type="dxa"/>
          </w:tcPr>
          <w:p>
            <w:pPr>
              <w:pStyle w:val="nTable"/>
              <w:spacing w:after="40"/>
              <w:rPr>
                <w:ins w:id="235" w:author="Master Repository Process" w:date="2025-06-25T11:00:00Z"/>
              </w:rPr>
            </w:pPr>
            <w:ins w:id="236" w:author="Master Repository Process" w:date="2025-06-25T11:00:00Z">
              <w:r>
                <w:t>SL 2024/159 7 Aug 2024</w:t>
              </w:r>
            </w:ins>
          </w:p>
        </w:tc>
        <w:tc>
          <w:tcPr>
            <w:tcW w:w="2693" w:type="dxa"/>
          </w:tcPr>
          <w:p>
            <w:pPr>
              <w:pStyle w:val="nTable"/>
              <w:spacing w:after="40"/>
              <w:rPr>
                <w:ins w:id="237" w:author="Master Repository Process" w:date="2025-06-25T11:00:00Z"/>
              </w:rPr>
            </w:pPr>
            <w:ins w:id="238" w:author="Master Repository Process" w:date="2025-06-25T11:00:00Z">
              <w:r>
                <w:t>1 Sep 2024 (see r. 2(b))</w:t>
              </w:r>
            </w:ins>
          </w:p>
        </w:tc>
      </w:tr>
    </w:tbl>
    <w:p>
      <w:pPr>
        <w:rPr>
          <w:ins w:id="239" w:author="Master Repository Process" w:date="2025-06-25T11:00:00Z"/>
        </w:rPr>
        <w:sectPr>
          <w:headerReference w:type="even" r:id="rId29"/>
          <w:headerReference w:type="default" r:id="rId30"/>
          <w:pgSz w:w="11907" w:h="16840" w:code="9"/>
          <w:pgMar w:top="2376" w:right="2404" w:bottom="3544" w:left="2404" w:header="720" w:footer="3544" w:gutter="0"/>
          <w:cols w:space="720"/>
          <w:noEndnote/>
          <w:docGrid w:linePitch="326"/>
        </w:sectPr>
      </w:pPr>
    </w:p>
    <w:p>
      <w:ins w:id="241" w:author="Master Repository Process" w:date="2025-06-25T11: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2" w:author="Master Repository Process" w:date="2025-06-25T11:00:00Z"/>
                                  <w:sz w:val="16"/>
                                </w:rPr>
                              </w:pPr>
                              <w:ins w:id="243" w:author="Master Repository Process" w:date="2025-06-25T11: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44" w:author="Master Repository Process" w:date="2025-06-25T11:00:00Z"/>
                                  <w:sz w:val="16"/>
                                </w:rPr>
                              </w:pPr>
                              <w:ins w:id="245" w:author="Master Repository Process" w:date="2025-06-25T11: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6" w:author="Master Repository Process" w:date="2025-06-25T11:00:00Z"/>
                                  <w:sz w:val="16"/>
                                </w:rPr>
                              </w:pPr>
                              <w:ins w:id="247" w:author="Master Repository Process" w:date="2025-06-25T11: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48" w:author="Master Repository Process" w:date="2025-06-25T11:00:00Z"/>
                                  <w:rFonts w:ascii="Arial" w:hAnsi="Arial" w:cs="Arial"/>
                                  <w:sz w:val="12"/>
                                </w:rPr>
                              </w:pPr>
                              <w:ins w:id="249" w:author="Master Repository Process" w:date="2025-06-25T11: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50" w:author="Master Repository Process" w:date="2025-06-25T11:00:00Z"/>
                            <w:sz w:val="16"/>
                          </w:rPr>
                        </w:pPr>
                        <w:ins w:id="251" w:author="Master Repository Process" w:date="2025-06-25T11: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52" w:author="Master Repository Process" w:date="2025-06-25T11:00:00Z"/>
                            <w:sz w:val="16"/>
                          </w:rPr>
                        </w:pPr>
                        <w:ins w:id="253" w:author="Master Repository Process" w:date="2025-06-25T11: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4" w:author="Master Repository Process" w:date="2025-06-25T11:00:00Z"/>
                            <w:sz w:val="16"/>
                          </w:rPr>
                        </w:pPr>
                        <w:ins w:id="255" w:author="Master Repository Process" w:date="2025-06-25T11: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56" w:author="Master Repository Process" w:date="2025-06-25T11:00:00Z"/>
                            <w:rFonts w:ascii="Arial" w:hAnsi="Arial" w:cs="Arial"/>
                            <w:sz w:val="12"/>
                          </w:rPr>
                        </w:pPr>
                        <w:ins w:id="257" w:author="Master Repository Process" w:date="2025-06-25T11: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2" w:name="Schedule"/>
    <w:bookmarkEnd w:id="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33916"/>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21324</Words>
  <Characters>104275</Characters>
  <Application>Microsoft Office Word</Application>
  <DocSecurity>0</DocSecurity>
  <Lines>2818</Lines>
  <Paragraphs>1495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02-e0-00 - 02-f0-00</dc:title>
  <dc:subject/>
  <dc:creator/>
  <cp:keywords/>
  <dc:description/>
  <cp:lastModifiedBy>Master Repository Process</cp:lastModifiedBy>
  <cp:revision>2</cp:revision>
  <cp:lastPrinted>2022-03-18T06:43:00Z</cp:lastPrinted>
  <dcterms:created xsi:type="dcterms:W3CDTF">2025-06-25T03:00:00Z</dcterms:created>
  <dcterms:modified xsi:type="dcterms:W3CDTF">2025-06-25T03:01:00Z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Official">
    <vt:lpwstr/>
  </property>
  <property fmtid="{D5CDD505-2E9C-101B-9397-08002B2CF9AE}" pid="8" name="CommencementDate">
    <vt:lpwstr>20240807</vt:lpwstr>
  </property>
  <property fmtid="{D5CDD505-2E9C-101B-9397-08002B2CF9AE}" pid="9" name="CommencementAsAt">
    <vt:filetime>2024-08-06T16:00:00Z</vt:filetime>
  </property>
  <property fmtid="{D5CDD505-2E9C-101B-9397-08002B2CF9AE}" pid="10" name="CommencementYear">
    <vt:lpwstr>2024</vt:lpwstr>
  </property>
  <property fmtid="{D5CDD505-2E9C-101B-9397-08002B2CF9AE}" pid="11" name="FromSuffix">
    <vt:lpwstr>02-e0-00</vt:lpwstr>
  </property>
  <property fmtid="{D5CDD505-2E9C-101B-9397-08002B2CF9AE}" pid="12" name="FromAsAtDate">
    <vt:lpwstr>31 Mar 2022</vt:lpwstr>
  </property>
  <property fmtid="{D5CDD505-2E9C-101B-9397-08002B2CF9AE}" pid="13" name="ToSuffix">
    <vt:lpwstr>02-f0-00</vt:lpwstr>
  </property>
  <property fmtid="{D5CDD505-2E9C-101B-9397-08002B2CF9AE}" pid="14" name="ToAsAtDate">
    <vt:lpwstr>07 Aug 2024</vt:lpwstr>
  </property>
</Properties>
</file>