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Victims of Crime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Apr 2023</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Victims of Crime Act 1994</w:t>
      </w:r>
    </w:p>
    <w:p>
      <w:pPr>
        <w:pStyle w:val="LongTitle"/>
        <w:spacing w:before="480" w:after="600"/>
        <w:rPr>
          <w:snapToGrid w:val="0"/>
        </w:rPr>
      </w:pPr>
      <w:r>
        <w:rPr>
          <w:snapToGrid w:val="0"/>
        </w:rPr>
        <w:t>An Act about victims of crime.</w:t>
      </w:r>
    </w:p>
    <w:p>
      <w:pPr>
        <w:pStyle w:val="Heading5"/>
        <w:rPr>
          <w:snapToGrid w:val="0"/>
        </w:rPr>
      </w:pPr>
      <w:bookmarkStart w:id="1" w:name="_Toc175655270"/>
      <w:bookmarkStart w:id="2" w:name="_Toc174718374"/>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rPr>
        <w:t>.</w:t>
      </w:r>
    </w:p>
    <w:p>
      <w:pPr>
        <w:pStyle w:val="Heading5"/>
        <w:rPr>
          <w:snapToGrid w:val="0"/>
        </w:rPr>
      </w:pPr>
      <w:bookmarkStart w:id="3" w:name="_Toc175655271"/>
      <w:bookmarkStart w:id="4" w:name="_Toc174718375"/>
      <w:r>
        <w:rPr>
          <w:rStyle w:val="CharSectno"/>
        </w:rPr>
        <w:t>2</w:t>
      </w:r>
      <w:r>
        <w:rPr>
          <w:snapToGrid w:val="0"/>
        </w:rPr>
        <w:t>.</w:t>
      </w:r>
      <w:r>
        <w:rPr>
          <w:snapToGrid w:val="0"/>
        </w:rPr>
        <w:tab/>
        <w:t>Terms used</w:t>
      </w:r>
      <w:bookmarkEnd w:id="3"/>
      <w:bookmarkEnd w:id="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guidelines</w:t>
      </w:r>
      <w:r>
        <w:t xml:space="preserve"> means the guidelines in Schedule 1;</w:t>
      </w:r>
    </w:p>
    <w:p>
      <w:pPr>
        <w:pStyle w:val="Defstart"/>
      </w:pPr>
      <w:r>
        <w:rPr>
          <w:b/>
        </w:rPr>
        <w:tab/>
      </w:r>
      <w:r>
        <w:rPr>
          <w:rStyle w:val="CharDefText"/>
        </w:rPr>
        <w:t>offence</w:t>
      </w:r>
      <w:r>
        <w:t xml:space="preserve"> includes an alleged offence;</w:t>
      </w:r>
    </w:p>
    <w:p>
      <w:pPr>
        <w:pStyle w:val="Defstart"/>
      </w:pPr>
      <w:r>
        <w:rPr>
          <w:b/>
        </w:rPr>
        <w:tab/>
      </w:r>
      <w:r>
        <w:rPr>
          <w:rStyle w:val="CharDefText"/>
        </w:rPr>
        <w:t>public officers and bodies</w:t>
      </w:r>
      <w:r>
        <w:t xml:space="preserve"> includes — </w:t>
      </w:r>
    </w:p>
    <w:p>
      <w:pPr>
        <w:pStyle w:val="Defpara"/>
      </w:pPr>
      <w:r>
        <w:tab/>
        <w:t>(a)</w:t>
      </w:r>
      <w:r>
        <w:tab/>
        <w:t>Ministers of the Crown; and</w:t>
      </w:r>
    </w:p>
    <w:p>
      <w:pPr>
        <w:pStyle w:val="Defpara"/>
      </w:pPr>
      <w:r>
        <w:tab/>
        <w:t>(b)</w:t>
      </w:r>
      <w:r>
        <w:tab/>
        <w:t>judges, magistrates and other judicial officers; and</w:t>
      </w:r>
    </w:p>
    <w:p>
      <w:pPr>
        <w:pStyle w:val="Defpara"/>
      </w:pPr>
      <w:r>
        <w:tab/>
        <w:t>(c)</w:t>
      </w:r>
      <w:r>
        <w:tab/>
        <w:t>officers of courts; and</w:t>
      </w:r>
    </w:p>
    <w:p>
      <w:pPr>
        <w:pStyle w:val="Defpara"/>
      </w:pPr>
      <w:r>
        <w:tab/>
        <w:t>(d)</w:t>
      </w:r>
      <w:r>
        <w:tab/>
        <w:t>the Director of Public Prosecutions and other people who are involved in the prosecution of offences; and</w:t>
      </w:r>
    </w:p>
    <w:p>
      <w:pPr>
        <w:pStyle w:val="Defpara"/>
      </w:pPr>
      <w:r>
        <w:tab/>
        <w:t>(e)</w:t>
      </w:r>
      <w:r>
        <w:tab/>
        <w:t>the Commissioner of Police and members of the Police Force; and</w:t>
      </w:r>
    </w:p>
    <w:p>
      <w:pPr>
        <w:pStyle w:val="Defpara"/>
      </w:pPr>
      <w:r>
        <w:tab/>
        <w:t>(f)</w:t>
      </w:r>
      <w:r>
        <w:tab/>
        <w:t>the Prisoners Review Board; and</w:t>
      </w:r>
    </w:p>
    <w:p>
      <w:pPr>
        <w:pStyle w:val="Defpara"/>
      </w:pPr>
      <w:r>
        <w:tab/>
        <w:t>(fa)</w:t>
      </w:r>
      <w:r>
        <w:tab/>
        <w:t xml:space="preserve">the </w:t>
      </w:r>
      <w:bookmarkStart w:id="5" w:name="_Hlk175220246"/>
      <w:del w:id="6" w:author="Master Repository Process" w:date="2025-06-17T10:29:00Z">
        <w:r>
          <w:delText>Mentally Impaired Accused</w:delText>
        </w:r>
      </w:del>
      <w:ins w:id="7" w:author="Master Repository Process" w:date="2025-06-17T10:29:00Z">
        <w:r>
          <w:t>Mental Impairment</w:t>
        </w:r>
      </w:ins>
      <w:r>
        <w:t xml:space="preserve"> Review </w:t>
      </w:r>
      <w:del w:id="8" w:author="Master Repository Process" w:date="2025-06-17T10:29:00Z">
        <w:r>
          <w:delText>Board</w:delText>
        </w:r>
      </w:del>
      <w:ins w:id="9" w:author="Master Repository Process" w:date="2025-06-17T10:29:00Z">
        <w:r>
          <w:t>Tribunal</w:t>
        </w:r>
      </w:ins>
      <w:bookmarkEnd w:id="5"/>
      <w:r>
        <w:t>; and</w:t>
      </w:r>
    </w:p>
    <w:p>
      <w:pPr>
        <w:pStyle w:val="Defpara"/>
      </w:pPr>
      <w:r>
        <w:tab/>
        <w:t>(g)</w:t>
      </w:r>
      <w:r>
        <w:tab/>
        <w:t>the Supervised Release Review Board; and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keepNext/>
      </w:pPr>
      <w:r>
        <w:rPr>
          <w:b/>
        </w:rPr>
        <w:lastRenderedPageBreak/>
        <w:tab/>
      </w:r>
      <w:r>
        <w:rPr>
          <w:rStyle w:val="CharDefText"/>
        </w:rPr>
        <w:t>victim</w:t>
      </w:r>
      <w:r>
        <w:t xml:space="preserve"> means — </w:t>
      </w:r>
    </w:p>
    <w:p>
      <w:pPr>
        <w:pStyle w:val="Defpara"/>
        <w:keepNext/>
      </w:pPr>
      <w:r>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Footnotesection"/>
      </w:pPr>
      <w:r>
        <w:tab/>
        <w:t>[Section 2 amended: No. 41 of 2006 s. </w:t>
      </w:r>
      <w:del w:id="10" w:author="Master Repository Process" w:date="2025-06-17T10:29:00Z">
        <w:r>
          <w:delText>97</w:delText>
        </w:r>
      </w:del>
      <w:ins w:id="11" w:author="Master Repository Process" w:date="2025-06-17T10:29:00Z">
        <w:r>
          <w:t>97; No. 10 of 2023 s. 411</w:t>
        </w:r>
      </w:ins>
      <w:r>
        <w:t>.]</w:t>
      </w:r>
    </w:p>
    <w:p>
      <w:pPr>
        <w:pStyle w:val="Heading5"/>
        <w:rPr>
          <w:snapToGrid w:val="0"/>
        </w:rPr>
      </w:pPr>
      <w:bookmarkStart w:id="12" w:name="_Toc175655272"/>
      <w:bookmarkStart w:id="13" w:name="_Toc174718376"/>
      <w:r>
        <w:rPr>
          <w:rStyle w:val="CharSectno"/>
        </w:rPr>
        <w:t>3</w:t>
      </w:r>
      <w:r>
        <w:rPr>
          <w:snapToGrid w:val="0"/>
        </w:rPr>
        <w:t>.</w:t>
      </w:r>
      <w:r>
        <w:rPr>
          <w:snapToGrid w:val="0"/>
        </w:rPr>
        <w:tab/>
        <w:t>Guidelines about treatment of victims</w:t>
      </w:r>
      <w:bookmarkEnd w:id="12"/>
      <w:bookmarkEnd w:id="13"/>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 xml:space="preserve">provide grounds for any act, omission or decision to be challenged, appealed against, reviewed, quashed or called in question in or by any court or tribunal or for any injunctive, declaratory or other relief, remedy or </w:t>
      </w:r>
      <w:r>
        <w:rPr>
          <w:snapToGrid w:val="0"/>
        </w:rPr>
        <w:lastRenderedPageBreak/>
        <w:t>order to be asked for or granted whether by way of prerogative writ or otherwise.</w:t>
      </w:r>
    </w:p>
    <w:p>
      <w:pPr>
        <w:pStyle w:val="Heading5"/>
      </w:pPr>
      <w:bookmarkStart w:id="14" w:name="_Toc175655273"/>
      <w:bookmarkStart w:id="15" w:name="_Toc174718377"/>
      <w:r>
        <w:rPr>
          <w:rStyle w:val="CharSectno"/>
        </w:rPr>
        <w:t>4</w:t>
      </w:r>
      <w:r>
        <w:t>.</w:t>
      </w:r>
      <w:r>
        <w:tab/>
        <w:t>Information about victims, provision of by police and DPP</w:t>
      </w:r>
      <w:bookmarkEnd w:id="14"/>
      <w:bookmarkEnd w:id="15"/>
    </w:p>
    <w:p>
      <w:pPr>
        <w:pStyle w:val="Subsection"/>
      </w:pPr>
      <w:r>
        <w:tab/>
        <w:t>(1)</w:t>
      </w:r>
      <w:r>
        <w:tab/>
        <w:t xml:space="preserve">In this section — </w:t>
      </w:r>
    </w:p>
    <w:p>
      <w:pPr>
        <w:pStyle w:val="Defstart"/>
      </w:pPr>
      <w:r>
        <w:rPr>
          <w:b/>
        </w:rPr>
        <w:tab/>
      </w:r>
      <w:r>
        <w:rPr>
          <w:rStyle w:val="CharDefText"/>
        </w:rPr>
        <w:t>agency</w:t>
      </w:r>
      <w:r>
        <w:t xml:space="preserve"> means the Public Sector agency principally assisting the Minister administering a relevant enactment in its administration;</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tab/>
      </w:r>
      <w:r>
        <w:rPr>
          <w:rStyle w:val="CharDefText"/>
        </w:rPr>
        <w:t>prescribed information</w:t>
      </w:r>
      <w:r>
        <w:t>, in relation to a victim, means —</w:t>
      </w:r>
    </w:p>
    <w:p>
      <w:pPr>
        <w:pStyle w:val="Defpara"/>
      </w:pPr>
      <w:r>
        <w:tab/>
        <w:t>(a)</w:t>
      </w:r>
      <w:r>
        <w:tab/>
        <w:t>the name, address, telephone number, age and ethnicity of the victim; and</w:t>
      </w:r>
    </w:p>
    <w:p>
      <w:pPr>
        <w:pStyle w:val="Defpara"/>
      </w:pPr>
      <w:r>
        <w:tab/>
        <w:t>(b)</w:t>
      </w:r>
      <w:r>
        <w:tab/>
        <w:t>a description of the offence and an abridged description of the circumstances of its commission; and</w:t>
      </w:r>
    </w:p>
    <w:p>
      <w:pPr>
        <w:pStyle w:val="Defpara"/>
      </w:pPr>
      <w:r>
        <w:tab/>
        <w:t>(c)</w:t>
      </w:r>
      <w:r>
        <w:tab/>
        <w:t>the name of the offender or alleged offender, if known; and</w:t>
      </w:r>
    </w:p>
    <w:p>
      <w:pPr>
        <w:pStyle w:val="Defpara"/>
      </w:pPr>
      <w:r>
        <w:tab/>
        <w:t>(d)</w:t>
      </w:r>
      <w:r>
        <w:tab/>
        <w:t xml:space="preserve">the name, rank and registered number of the member of the Police Force in charge of investigating the offence; and </w:t>
      </w:r>
    </w:p>
    <w:p>
      <w:pPr>
        <w:pStyle w:val="Defpara"/>
      </w:pPr>
      <w:r>
        <w:tab/>
        <w:t>(e)</w:t>
      </w:r>
      <w:r>
        <w:tab/>
        <w:t>the police station or office where information about the investigation of the offence is held; and</w:t>
      </w:r>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Defstart"/>
      </w:pPr>
      <w:r>
        <w:rPr>
          <w:b/>
        </w:rPr>
        <w:tab/>
      </w:r>
      <w:r>
        <w:rPr>
          <w:rStyle w:val="CharDefText"/>
        </w:rPr>
        <w:t>relevant enactment</w:t>
      </w:r>
      <w:r>
        <w:t xml:space="preserve"> means any provision of this Act, the </w:t>
      </w:r>
      <w:r>
        <w:rPr>
          <w:i/>
        </w:rPr>
        <w:t>Prisons Act </w:t>
      </w:r>
      <w:r>
        <w:rPr>
          <w:i/>
          <w:iCs/>
        </w:rPr>
        <w:t>1981</w:t>
      </w:r>
      <w:r>
        <w:t xml:space="preserve"> or the </w:t>
      </w:r>
      <w:r>
        <w:rPr>
          <w:i/>
        </w:rPr>
        <w:t>Sentence Administration Act </w:t>
      </w:r>
      <w:r>
        <w:rPr>
          <w:i/>
          <w:iCs/>
        </w:rPr>
        <w:t>2003</w:t>
      </w:r>
      <w:r>
        <w:t>.</w:t>
      </w:r>
    </w:p>
    <w:p>
      <w:pPr>
        <w:pStyle w:val="Subsection"/>
        <w:keepLines/>
      </w:pPr>
      <w:r>
        <w:tab/>
        <w:t>(2)</w:t>
      </w:r>
      <w:r>
        <w:tab/>
        <w:t>The Commissioner of Police may provide the chief executive officer of an agency with prescribed information in relation to a victim so that the agency can offer the victim the services it has available for victims.</w:t>
      </w:r>
    </w:p>
    <w:p>
      <w:pPr>
        <w:pStyle w:val="Subsection"/>
      </w:pPr>
      <w:r>
        <w:tab/>
        <w:t>(3)</w:t>
      </w:r>
      <w:r>
        <w:tab/>
        <w:t>The DPP may provide the chief executive officer of an agency with such information in relation to a victim as the DPP thinks fit so that the agency can offer the victim the services it has available for victims.</w:t>
      </w:r>
    </w:p>
    <w:p>
      <w:pPr>
        <w:pStyle w:val="Subsection"/>
      </w:pPr>
      <w:r>
        <w:tab/>
        <w:t>(4)</w:t>
      </w:r>
      <w:r>
        <w:tab/>
        <w:t>Any information provided under subsection (2) or (3) must be provided in confidence.</w:t>
      </w:r>
    </w:p>
    <w:p>
      <w:pPr>
        <w:pStyle w:val="Subsection"/>
      </w:pPr>
      <w:r>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an agency for purposes other than those specified in subsection (2) or (3).</w:t>
      </w:r>
    </w:p>
    <w:p>
      <w:pPr>
        <w:pStyle w:val="Footnotesection"/>
      </w:pPr>
      <w:r>
        <w:tab/>
        <w:t>[Section 4 inserted: No. 30 of 2004 s. 4; amended: No. 65 of 2006 s. 72.]</w:t>
      </w:r>
    </w:p>
    <w:p>
      <w:pPr>
        <w:pStyle w:val="Heading5"/>
      </w:pPr>
      <w:bookmarkStart w:id="16" w:name="_Toc175655274"/>
      <w:bookmarkStart w:id="17" w:name="_Toc174718378"/>
      <w:r>
        <w:rPr>
          <w:rStyle w:val="CharSectno"/>
        </w:rPr>
        <w:t>5</w:t>
      </w:r>
      <w:r>
        <w:t>.</w:t>
      </w:r>
      <w:r>
        <w:tab/>
        <w:t>Regulations</w:t>
      </w:r>
      <w:bookmarkEnd w:id="16"/>
      <w:bookmarkEnd w:id="17"/>
    </w:p>
    <w:p>
      <w:pPr>
        <w:pStyle w:val="Subsection"/>
      </w:pPr>
      <w:r>
        <w:tab/>
      </w:r>
      <w:r>
        <w:tab/>
        <w:t>The Governor may make regulations prescribing all matters that are required or permitted by this Act to be prescribed, or are necessary or convenient to be prescribed, for carrying out or giving effect to the purposes of this Act.</w:t>
      </w:r>
    </w:p>
    <w:p>
      <w:pPr>
        <w:pStyle w:val="Footnotesection"/>
      </w:pPr>
      <w:r>
        <w:tab/>
        <w:t>[Section 5 inserted: No. 65 of 2006 s. 73.]</w:t>
      </w:r>
    </w:p>
    <w:p>
      <w:pPr>
        <w:pStyle w:val="Heading5"/>
        <w:rPr>
          <w:snapToGrid w:val="0"/>
        </w:rPr>
      </w:pPr>
      <w:bookmarkStart w:id="18" w:name="_Toc175655275"/>
      <w:bookmarkStart w:id="19" w:name="_Toc174718379"/>
      <w:r>
        <w:rPr>
          <w:rStyle w:val="CharSectno"/>
        </w:rPr>
        <w:t>6</w:t>
      </w:r>
      <w:r>
        <w:rPr>
          <w:snapToGrid w:val="0"/>
        </w:rPr>
        <w:t>.</w:t>
      </w:r>
      <w:r>
        <w:rPr>
          <w:snapToGrid w:val="0"/>
        </w:rPr>
        <w:tab/>
        <w:t>Review of Act</w:t>
      </w:r>
      <w:bookmarkEnd w:id="18"/>
      <w:bookmarkEnd w:id="19"/>
    </w:p>
    <w:p>
      <w:pPr>
        <w:pStyle w:val="Subsection"/>
      </w:pPr>
      <w:r>
        <w:tab/>
        <w:t>(1)</w:t>
      </w:r>
      <w:r>
        <w:tab/>
        <w:t xml:space="preserve">The Minister is to carry out a review of the operation and effectiveness of this Act as soon as is practicable after — </w:t>
      </w:r>
    </w:p>
    <w:p>
      <w:pPr>
        <w:pStyle w:val="Indenta"/>
      </w:pPr>
      <w:r>
        <w:tab/>
        <w:t>(a)</w:t>
      </w:r>
      <w:r>
        <w:tab/>
        <w:t>1 January 2010; and</w:t>
      </w:r>
    </w:p>
    <w:p>
      <w:pPr>
        <w:pStyle w:val="Indenta"/>
      </w:pPr>
      <w:r>
        <w:tab/>
        <w:t>(b)</w:t>
      </w:r>
      <w:r>
        <w:tab/>
        <w:t xml:space="preserve">the expiry of each 5 year period after that day. </w:t>
      </w:r>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pStyle w:val="Footnotesection"/>
      </w:pPr>
      <w:r>
        <w:tab/>
        <w:t>[Section 6 amended: No. 5 of 2008 s. 126.]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0" w:name="_Toc175226990"/>
      <w:bookmarkStart w:id="21" w:name="_Toc175227517"/>
      <w:bookmarkStart w:id="22" w:name="_Toc175655276"/>
      <w:bookmarkStart w:id="23" w:name="_Toc132200451"/>
      <w:bookmarkStart w:id="24" w:name="_Toc132200613"/>
      <w:bookmarkStart w:id="25" w:name="_Toc132316137"/>
      <w:bookmarkStart w:id="26" w:name="_Toc174712360"/>
      <w:bookmarkStart w:id="27" w:name="_Toc174712404"/>
      <w:bookmarkStart w:id="28" w:name="_Toc174713086"/>
      <w:bookmarkStart w:id="29" w:name="_Toc174713176"/>
      <w:bookmarkStart w:id="30" w:name="_Toc174718380"/>
      <w:r>
        <w:rPr>
          <w:rStyle w:val="CharSchNo"/>
        </w:rPr>
        <w:t>Schedule 1</w:t>
      </w:r>
      <w:r>
        <w:t> — </w:t>
      </w:r>
      <w:r>
        <w:rPr>
          <w:rStyle w:val="CharSchText"/>
        </w:rPr>
        <w:t>Guidelines as to how victims should be treated</w:t>
      </w:r>
      <w:bookmarkEnd w:id="20"/>
      <w:bookmarkEnd w:id="21"/>
      <w:bookmarkEnd w:id="22"/>
      <w:bookmarkEnd w:id="23"/>
      <w:bookmarkEnd w:id="24"/>
      <w:bookmarkEnd w:id="25"/>
      <w:bookmarkEnd w:id="26"/>
      <w:bookmarkEnd w:id="27"/>
      <w:bookmarkEnd w:id="28"/>
      <w:bookmarkEnd w:id="29"/>
      <w:bookmarkEnd w:id="30"/>
    </w:p>
    <w:p>
      <w:pPr>
        <w:pStyle w:val="yShoulderClause"/>
        <w:rPr>
          <w:snapToGrid w:val="0"/>
        </w:rPr>
      </w:pPr>
      <w:r>
        <w:rPr>
          <w:snapToGrid w:val="0"/>
        </w:rPr>
        <w:t>[s. 3]</w:t>
      </w:r>
    </w:p>
    <w:p>
      <w:pPr>
        <w:pStyle w:val="yFootnoteheading"/>
        <w:rPr>
          <w:snapToGrid w:val="0"/>
        </w:rPr>
      </w:pPr>
      <w:r>
        <w:tab/>
        <w:t>[Heading amended: No. 19 of 2010 s. 4.]</w:t>
      </w: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 and</w:t>
      </w:r>
    </w:p>
    <w:p>
      <w:pPr>
        <w:pStyle w:val="yIndenta"/>
        <w:rPr>
          <w:snapToGrid w:val="0"/>
        </w:rPr>
      </w:pPr>
      <w:r>
        <w:rPr>
          <w:snapToGrid w:val="0"/>
        </w:rPr>
        <w:tab/>
        <w:t>(b)</w:t>
      </w:r>
      <w:r>
        <w:rPr>
          <w:snapToGrid w:val="0"/>
        </w:rPr>
        <w:tab/>
        <w:t>charges laid; and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32" w:name="_Toc175226991"/>
      <w:bookmarkStart w:id="33" w:name="_Toc175227518"/>
      <w:bookmarkStart w:id="34" w:name="_Toc175655277"/>
      <w:bookmarkStart w:id="35" w:name="_Toc132200614"/>
      <w:bookmarkStart w:id="36" w:name="_Toc132316138"/>
      <w:bookmarkStart w:id="37" w:name="_Toc174712361"/>
      <w:bookmarkStart w:id="38" w:name="_Toc174712405"/>
      <w:bookmarkStart w:id="39" w:name="_Toc174713087"/>
      <w:bookmarkStart w:id="40" w:name="_Toc174713177"/>
      <w:bookmarkStart w:id="41" w:name="_Toc174718381"/>
      <w:bookmarkStart w:id="42" w:name="_Toc132200454"/>
      <w:r>
        <w:t>Notes</w:t>
      </w:r>
      <w:bookmarkEnd w:id="32"/>
      <w:bookmarkEnd w:id="33"/>
      <w:bookmarkEnd w:id="34"/>
      <w:bookmarkEnd w:id="35"/>
      <w:bookmarkEnd w:id="36"/>
      <w:bookmarkEnd w:id="37"/>
      <w:bookmarkEnd w:id="38"/>
      <w:bookmarkEnd w:id="39"/>
      <w:bookmarkEnd w:id="40"/>
      <w:bookmarkEnd w:id="41"/>
    </w:p>
    <w:p>
      <w:pPr>
        <w:pStyle w:val="nStatement"/>
      </w:pPr>
      <w:r>
        <w:t xml:space="preserve">This is a compilation of the </w:t>
      </w:r>
      <w:r>
        <w:rPr>
          <w:i/>
          <w:noProof/>
        </w:rPr>
        <w:t>Victims of Crime Act 1994</w:t>
      </w:r>
      <w:r>
        <w:t xml:space="preserve"> and includes amendments made by other written laws. For provisions that have come into operation, and for information about any reprints, see the compilation table. </w:t>
      </w:r>
      <w:del w:id="43" w:author="Master Repository Process" w:date="2025-06-17T10:29:00Z">
        <w:r>
          <w:delText>For provisions that have not yet come into operation see the uncommenced provisions table.</w:delText>
        </w:r>
      </w:del>
    </w:p>
    <w:p>
      <w:pPr>
        <w:pStyle w:val="nHeading3"/>
      </w:pPr>
      <w:bookmarkStart w:id="44" w:name="_Toc175655278"/>
      <w:bookmarkStart w:id="45" w:name="_Toc174718382"/>
      <w:r>
        <w:t>Compilation table</w:t>
      </w:r>
      <w:bookmarkEnd w:id="44"/>
      <w:bookmarkEnd w:id="45"/>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8"/>
        <w:gridCol w:w="1138"/>
        <w:gridCol w:w="256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Victims of Crime Act 1994</w:t>
            </w:r>
          </w:p>
        </w:tc>
        <w:tc>
          <w:tcPr>
            <w:tcW w:w="1134" w:type="dxa"/>
            <w:tcBorders>
              <w:top w:val="single" w:sz="8" w:space="0" w:color="auto"/>
            </w:tcBorders>
          </w:tcPr>
          <w:p>
            <w:pPr>
              <w:pStyle w:val="nTable"/>
              <w:spacing w:after="40"/>
            </w:pPr>
            <w:r>
              <w:t>81 of 1994</w:t>
            </w:r>
          </w:p>
        </w:tc>
        <w:tc>
          <w:tcPr>
            <w:tcW w:w="1134" w:type="dxa"/>
            <w:tcBorders>
              <w:top w:val="single" w:sz="8" w:space="0" w:color="auto"/>
            </w:tcBorders>
          </w:tcPr>
          <w:p>
            <w:pPr>
              <w:pStyle w:val="nTable"/>
              <w:spacing w:after="40"/>
            </w:pPr>
            <w:r>
              <w:t>23 Dec 1994</w:t>
            </w:r>
          </w:p>
        </w:tc>
        <w:tc>
          <w:tcPr>
            <w:tcW w:w="2552" w:type="dxa"/>
            <w:tcBorders>
              <w:top w:val="single" w:sz="8" w:space="0" w:color="auto"/>
            </w:tcBorders>
          </w:tcPr>
          <w:p>
            <w:pPr>
              <w:pStyle w:val="nTable"/>
              <w:spacing w:after="40"/>
            </w:pPr>
            <w:r>
              <w:t>20 Jan 1995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(Consequential Provisions) Act 1995</w:t>
            </w:r>
            <w:r>
              <w:t xml:space="preserve"> Pt. 79</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Victims of Crime Amendment Act 2004</w:t>
            </w:r>
          </w:p>
        </w:tc>
        <w:tc>
          <w:tcPr>
            <w:tcW w:w="1134" w:type="dxa"/>
          </w:tcPr>
          <w:p>
            <w:pPr>
              <w:pStyle w:val="nTable"/>
              <w:spacing w:after="40"/>
            </w:pPr>
            <w:r>
              <w:t>30 of 2004</w:t>
            </w:r>
          </w:p>
        </w:tc>
        <w:tc>
          <w:tcPr>
            <w:tcW w:w="1134" w:type="dxa"/>
          </w:tcPr>
          <w:p>
            <w:pPr>
              <w:pStyle w:val="nTable"/>
              <w:spacing w:after="40"/>
            </w:pPr>
            <w:r>
              <w:t>14 Oct 2004</w:t>
            </w:r>
          </w:p>
        </w:tc>
        <w:tc>
          <w:tcPr>
            <w:tcW w:w="2552" w:type="dxa"/>
          </w:tcPr>
          <w:p>
            <w:pPr>
              <w:pStyle w:val="nTable"/>
              <w:spacing w:after="40"/>
            </w:pPr>
            <w:r>
              <w:t>14 Oct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1: The </w:t>
            </w:r>
            <w:r>
              <w:rPr>
                <w:b/>
                <w:i/>
              </w:rPr>
              <w:t>Victims of Crime Act 1994</w:t>
            </w:r>
            <w:r>
              <w:rPr>
                <w:b/>
              </w:rPr>
              <w:t xml:space="preserve"> as at 4 Mar 2005</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Parole and Sentencing Legislation Amendment Act 2006 </w:t>
            </w:r>
            <w:r>
              <w:rPr>
                <w:snapToGrid w:val="0"/>
              </w:rPr>
              <w:t>s. 97</w:t>
            </w:r>
          </w:p>
        </w:tc>
        <w:tc>
          <w:tcPr>
            <w:tcW w:w="1134" w:type="dxa"/>
          </w:tcPr>
          <w:p>
            <w:pPr>
              <w:pStyle w:val="nTable"/>
              <w:spacing w:after="40"/>
            </w:pPr>
            <w:r>
              <w:t>41 of 2006</w:t>
            </w:r>
          </w:p>
        </w:tc>
        <w:tc>
          <w:tcPr>
            <w:tcW w:w="1134" w:type="dxa"/>
          </w:tcPr>
          <w:p>
            <w:pPr>
              <w:pStyle w:val="nTable"/>
              <w:spacing w:after="40"/>
            </w:pPr>
            <w:r>
              <w:t>22 Sep 2006</w:t>
            </w:r>
          </w:p>
        </w:tc>
        <w:tc>
          <w:tcPr>
            <w:tcW w:w="2552" w:type="dxa"/>
          </w:tcPr>
          <w:p>
            <w:pPr>
              <w:pStyle w:val="nTable"/>
              <w:spacing w:after="40"/>
            </w:pPr>
            <w:r>
              <w:t xml:space="preserve">28 Jan 2007 (see s. 2 and </w:t>
            </w:r>
            <w:r>
              <w:rPr>
                <w:i/>
                <w:iCs/>
              </w:rPr>
              <w:t>Gazette</w:t>
            </w:r>
            <w: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snapToGrid w:val="0"/>
              </w:rPr>
              <w:t xml:space="preserve"> Pt. 12 </w:t>
            </w:r>
          </w:p>
        </w:tc>
        <w:tc>
          <w:tcPr>
            <w:tcW w:w="1134" w:type="dxa"/>
          </w:tcPr>
          <w:p>
            <w:pPr>
              <w:pStyle w:val="nTable"/>
              <w:spacing w:after="40"/>
            </w:pPr>
            <w:r>
              <w:rPr>
                <w:snapToGrid w:val="0"/>
              </w:rPr>
              <w:t>65 of 2006</w:t>
            </w:r>
          </w:p>
        </w:tc>
        <w:tc>
          <w:tcPr>
            <w:tcW w:w="1134" w:type="dxa"/>
          </w:tcPr>
          <w:p>
            <w:pPr>
              <w:pStyle w:val="nTable"/>
              <w:spacing w:after="40"/>
            </w:pPr>
            <w:r>
              <w:rPr>
                <w:snapToGrid w:val="0"/>
              </w:rPr>
              <w:t>8 Dec 2006</w:t>
            </w:r>
          </w:p>
        </w:tc>
        <w:tc>
          <w:tcPr>
            <w:tcW w:w="2552" w:type="dxa"/>
          </w:tcPr>
          <w:p>
            <w:pPr>
              <w:pStyle w:val="nTable"/>
              <w:spacing w:after="40"/>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rPr>
              <w:t>Acts Amendment (Justice) Act 2008</w:t>
            </w:r>
            <w:r>
              <w:t xml:space="preserve"> Pt. 25</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Borders>
              <w:top w:val="nil"/>
              <w:bottom w:val="nil"/>
            </w:tcBorders>
          </w:tcPr>
          <w:p>
            <w:pPr>
              <w:pStyle w:val="nTable"/>
              <w:spacing w:after="40"/>
              <w:rPr>
                <w:snapToGrid w:val="0"/>
              </w:rPr>
            </w:pPr>
            <w:r>
              <w:rPr>
                <w:b/>
              </w:rPr>
              <w:t xml:space="preserve">Reprint 2: The </w:t>
            </w:r>
            <w:r>
              <w:rPr>
                <w:b/>
                <w:i/>
              </w:rPr>
              <w:t>Victims of Crime Act 1994</w:t>
            </w:r>
            <w:r>
              <w:rPr>
                <w:b/>
              </w:rPr>
              <w:t xml:space="preserve"> as at 28 Oct 2011</w:t>
            </w:r>
            <w:r>
              <w:t xml:space="preserve"> (includes amendments listed above)</w:t>
            </w:r>
          </w:p>
        </w:tc>
      </w:tr>
    </w:tbl>
    <w:p>
      <w:pPr>
        <w:pStyle w:val="nHeading3"/>
        <w:rPr>
          <w:del w:id="46" w:author="Master Repository Process" w:date="2025-06-17T10:29:00Z"/>
        </w:rPr>
      </w:pPr>
      <w:bookmarkStart w:id="47" w:name="_Toc174718383"/>
      <w:del w:id="48" w:author="Master Repository Process" w:date="2025-06-17T10:29:00Z">
        <w:r>
          <w:delText>Uncommenced provisions table</w:delText>
        </w:r>
        <w:bookmarkEnd w:id="47"/>
      </w:del>
    </w:p>
    <w:p>
      <w:pPr>
        <w:pStyle w:val="nStatement"/>
        <w:keepNext/>
        <w:spacing w:after="240"/>
        <w:rPr>
          <w:del w:id="49" w:author="Master Repository Process" w:date="2025-06-17T10:29:00Z"/>
        </w:rPr>
      </w:pPr>
      <w:del w:id="50" w:author="Master Repository Process" w:date="2025-06-17T10:29: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1" w:author="Master Repository Process" w:date="2025-06-17T10:29:00Z"/>
        </w:trPr>
        <w:tc>
          <w:tcPr>
            <w:tcW w:w="2268" w:type="dxa"/>
          </w:tcPr>
          <w:p>
            <w:pPr>
              <w:pStyle w:val="nTable"/>
              <w:keepNext/>
              <w:spacing w:after="40"/>
              <w:rPr>
                <w:del w:id="52" w:author="Master Repository Process" w:date="2025-06-17T10:29:00Z"/>
                <w:b/>
              </w:rPr>
            </w:pPr>
            <w:del w:id="53" w:author="Master Repository Process" w:date="2025-06-17T10:29:00Z">
              <w:r>
                <w:rPr>
                  <w:b/>
                </w:rPr>
                <w:delText>Short title</w:delText>
              </w:r>
            </w:del>
          </w:p>
        </w:tc>
        <w:tc>
          <w:tcPr>
            <w:tcW w:w="1134" w:type="dxa"/>
          </w:tcPr>
          <w:p>
            <w:pPr>
              <w:pStyle w:val="nTable"/>
              <w:keepNext/>
              <w:spacing w:after="40"/>
              <w:rPr>
                <w:del w:id="54" w:author="Master Repository Process" w:date="2025-06-17T10:29:00Z"/>
                <w:b/>
              </w:rPr>
            </w:pPr>
            <w:del w:id="55" w:author="Master Repository Process" w:date="2025-06-17T10:29:00Z">
              <w:r>
                <w:rPr>
                  <w:b/>
                </w:rPr>
                <w:delText>Number and year</w:delText>
              </w:r>
            </w:del>
          </w:p>
        </w:tc>
        <w:tc>
          <w:tcPr>
            <w:tcW w:w="1134" w:type="dxa"/>
          </w:tcPr>
          <w:p>
            <w:pPr>
              <w:pStyle w:val="nTable"/>
              <w:keepNext/>
              <w:spacing w:after="40"/>
              <w:rPr>
                <w:del w:id="56" w:author="Master Repository Process" w:date="2025-06-17T10:29:00Z"/>
                <w:b/>
              </w:rPr>
            </w:pPr>
            <w:del w:id="57" w:author="Master Repository Process" w:date="2025-06-17T10:29:00Z">
              <w:r>
                <w:rPr>
                  <w:b/>
                </w:rPr>
                <w:delText>Assent</w:delText>
              </w:r>
            </w:del>
          </w:p>
        </w:tc>
        <w:tc>
          <w:tcPr>
            <w:tcW w:w="2552" w:type="dxa"/>
          </w:tcPr>
          <w:p>
            <w:pPr>
              <w:pStyle w:val="nTable"/>
              <w:keepNext/>
              <w:spacing w:after="40"/>
              <w:rPr>
                <w:del w:id="58" w:author="Master Repository Process" w:date="2025-06-17T10:29:00Z"/>
                <w:b/>
              </w:rPr>
            </w:pPr>
            <w:del w:id="59" w:author="Master Repository Process" w:date="2025-06-17T10:29:00Z">
              <w:r>
                <w:rPr>
                  <w:b/>
                </w:rPr>
                <w:delText>Commencement</w:delText>
              </w:r>
            </w:del>
          </w:p>
        </w:tc>
      </w:tr>
      <w:tr>
        <w:tc>
          <w:tcPr>
            <w:tcW w:w="2268" w:type="dxa"/>
            <w:tcBorders>
              <w:top w:val="nil"/>
            </w:tcBorders>
          </w:tcPr>
          <w:p>
            <w:pPr>
              <w:pStyle w:val="nTable"/>
              <w:spacing w:after="40"/>
            </w:pPr>
            <w:r>
              <w:rPr>
                <w:i/>
              </w:rPr>
              <w:t>Criminal Law (Mental Impairment) Act 2023</w:t>
            </w:r>
            <w:r>
              <w:t xml:space="preserve"> s. 411</w:t>
            </w:r>
          </w:p>
        </w:tc>
        <w:tc>
          <w:tcPr>
            <w:tcW w:w="1134" w:type="dxa"/>
            <w:tcBorders>
              <w:top w:val="nil"/>
            </w:tcBorders>
          </w:tcPr>
          <w:p>
            <w:pPr>
              <w:pStyle w:val="nTable"/>
              <w:spacing w:after="40"/>
            </w:pPr>
            <w:r>
              <w:t>10 of 2023</w:t>
            </w:r>
          </w:p>
        </w:tc>
        <w:tc>
          <w:tcPr>
            <w:tcW w:w="1134" w:type="dxa"/>
            <w:tcBorders>
              <w:top w:val="nil"/>
            </w:tcBorders>
          </w:tcPr>
          <w:p>
            <w:pPr>
              <w:pStyle w:val="nTable"/>
              <w:spacing w:after="40"/>
            </w:pPr>
            <w:r>
              <w:t>13 Apr 2023</w:t>
            </w:r>
          </w:p>
        </w:tc>
        <w:tc>
          <w:tcPr>
            <w:tcW w:w="2552" w:type="dxa"/>
            <w:tcBorders>
              <w:top w:val="nil"/>
            </w:tcBorders>
          </w:tcPr>
          <w:p>
            <w:pPr>
              <w:pStyle w:val="nTable"/>
              <w:spacing w:after="40"/>
            </w:pPr>
            <w:r>
              <w:t>1 Sep 2024 (see s. 2(b) and SL 2024/175 cl. 2)</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bookmarkEnd w:id="42"/>
    <w:p>
      <w:ins w:id="61" w:author="Master Repository Process" w:date="2025-06-17T10:2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2" w:author="Master Repository Process" w:date="2025-06-17T10:29:00Z"/>
                                  <w:sz w:val="16"/>
                                </w:rPr>
                              </w:pPr>
                              <w:ins w:id="63" w:author="Master Repository Process" w:date="2025-06-17T10: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4" w:author="Master Repository Process" w:date="2025-06-17T10:29:00Z"/>
                                  <w:sz w:val="16"/>
                                </w:rPr>
                              </w:pPr>
                              <w:ins w:id="65" w:author="Master Repository Process" w:date="2025-06-17T10: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6" w:author="Master Repository Process" w:date="2025-06-17T10:29:00Z"/>
                                  <w:sz w:val="16"/>
                                </w:rPr>
                              </w:pPr>
                              <w:ins w:id="67" w:author="Master Repository Process" w:date="2025-06-17T10: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8" w:author="Master Repository Process" w:date="2025-06-17T10:29:00Z"/>
                                  <w:rFonts w:ascii="Arial" w:hAnsi="Arial" w:cs="Arial"/>
                                  <w:sz w:val="12"/>
                                </w:rPr>
                              </w:pPr>
                              <w:ins w:id="69" w:author="Master Repository Process" w:date="2025-06-17T10:2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70" w:author="Master Repository Process" w:date="2025-06-17T10:29:00Z"/>
                            <w:sz w:val="16"/>
                          </w:rPr>
                        </w:pPr>
                        <w:ins w:id="71" w:author="Master Repository Process" w:date="2025-06-17T10: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72" w:author="Master Repository Process" w:date="2025-06-17T10:29:00Z"/>
                            <w:sz w:val="16"/>
                          </w:rPr>
                        </w:pPr>
                        <w:ins w:id="73" w:author="Master Repository Process" w:date="2025-06-17T10: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4" w:author="Master Repository Process" w:date="2025-06-17T10:29:00Z"/>
                            <w:sz w:val="16"/>
                          </w:rPr>
                        </w:pPr>
                        <w:ins w:id="75" w:author="Master Repository Process" w:date="2025-06-17T10: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6" w:author="Master Repository Process" w:date="2025-06-17T10:29:00Z"/>
                            <w:rFonts w:ascii="Arial" w:hAnsi="Arial" w:cs="Arial"/>
                            <w:sz w:val="12"/>
                          </w:rPr>
                        </w:pPr>
                        <w:ins w:id="77" w:author="Master Repository Process" w:date="2025-06-17T10:29: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Victims of Crime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Victims of Crime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Victims of Crime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 w:numId="1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34815"/>
    <w:docVar w:name="WAFER_20140204094456" w:val="RemoveTocBookmarks,RemoveUnusedBookmarks,RemoveLanguageTags,UsedStyles,ResetPageSize,UpdateArrangement"/>
    <w:docVar w:name="WAFER_20140204094456_GUID" w:val="3e4082f4-ac4d-4ed0-b1e9-640302c6c50e"/>
    <w:docVar w:name="WAFER_20140204095015" w:val="RemoveTocBookmarks,RunningHeaders"/>
    <w:docVar w:name="WAFER_20140204095015_GUID" w:val="01dddf73-866d-4d7d-ab5f-d2ee64013ace"/>
    <w:docVar w:name="WAFER_20150713155753" w:val="ResetPageSize,UpdateArrangement,UpdateNTable"/>
    <w:docVar w:name="WAFER_20150713155753_GUID" w:val="723f552a-a4a7-44a3-bd97-1c096cda5986"/>
    <w:docVar w:name="WAFER_20151110152820" w:val="UpdateStyles,UsedStyles"/>
    <w:docVar w:name="WAFER_20151110152820_GUID" w:val="a7946faf-61d3-4f32-a1fd-d51d25a23c47"/>
    <w:docVar w:name="WAFER_20151201142351" w:val="RemoveTrackChanges"/>
    <w:docVar w:name="WAFER_20151201142351_GUID" w:val="e0fb3d5a-82ad-4f84-8871-a597cb236157"/>
    <w:docVar w:name="WAFER_202304121343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34328_GUID" w:val="70b8a0e6-0504-4c16-b887-b858afaacef6"/>
    <w:docVar w:name="WAFER_20240822134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2134815_GUID" w:val="fbc560c3-8d80-4e25-80ff-f1b2a43ded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1F5DE61-B5AE-4C4D-9D72-51F92F9F4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1658</Words>
  <Characters>7695</Characters>
  <Application>Microsoft Office Word</Application>
  <DocSecurity>0</DocSecurity>
  <Lines>248</Lines>
  <Paragraphs>155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02-b0-01 - 02-c0-00</dc:title>
  <dc:subject/>
  <dc:creator/>
  <cp:keywords/>
  <dc:description/>
  <cp:lastModifiedBy>Master Repository Process</cp:lastModifiedBy>
  <cp:revision>2</cp:revision>
  <cp:lastPrinted>2011-10-24T06:59:00Z</cp:lastPrinted>
  <dcterms:created xsi:type="dcterms:W3CDTF">2025-06-17T02:29:00Z</dcterms:created>
  <dcterms:modified xsi:type="dcterms:W3CDTF">2025-06-17T02:29:00Z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DocumentType">
    <vt:lpwstr>Act</vt:lpwstr>
  </property>
  <property fmtid="{D5CDD505-2E9C-101B-9397-08002B2CF9AE}" pid="4" name="OwlsUID">
    <vt:i4>857</vt:i4>
  </property>
  <property fmtid="{D5CDD505-2E9C-101B-9397-08002B2CF9AE}" pid="5" name="ReprintNo">
    <vt:lpwstr>2</vt:lpwstr>
  </property>
  <property fmtid="{D5CDD505-2E9C-101B-9397-08002B2CF9AE}" pid="6" name="ReprintedAsAt">
    <vt:filetime>2011-10-27T16:00:00Z</vt:filetime>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02-b0-01</vt:lpwstr>
  </property>
  <property fmtid="{D5CDD505-2E9C-101B-9397-08002B2CF9AE}" pid="12" name="FromAsAtDate">
    <vt:lpwstr>13 Apr 2023</vt:lpwstr>
  </property>
  <property fmtid="{D5CDD505-2E9C-101B-9397-08002B2CF9AE}" pid="13" name="ToSuffix">
    <vt:lpwstr>02-c0-00</vt:lpwstr>
  </property>
  <property fmtid="{D5CDD505-2E9C-101B-9397-08002B2CF9AE}" pid="14" name="ToAsAtDate">
    <vt:lpwstr>01 Sep 2024</vt:lpwstr>
  </property>
</Properties>
</file>