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05 Sep 2024</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175835510"/>
      <w:bookmarkStart w:id="2" w:name="_Toc175836287"/>
      <w:bookmarkStart w:id="3" w:name="_Toc175837440"/>
      <w:bookmarkStart w:id="4" w:name="_Toc20009603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5" w:name="_Toc175837441"/>
      <w:bookmarkStart w:id="6" w:name="_Toc200096034"/>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175837442"/>
      <w:bookmarkStart w:id="9" w:name="_Toc20009603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0" w:name="_Toc175837443"/>
      <w:bookmarkStart w:id="11" w:name="_Toc200096036"/>
      <w:r>
        <w:rPr>
          <w:rStyle w:val="CharSectno"/>
        </w:rPr>
        <w:t>3</w:t>
      </w:r>
      <w:r>
        <w:t>.</w:t>
      </w:r>
      <w:r>
        <w:tab/>
        <w:t>Terms used</w:t>
      </w:r>
      <w:bookmarkEnd w:id="10"/>
      <w:bookmarkEnd w:id="11"/>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2" w:name="_Toc175835514"/>
      <w:bookmarkStart w:id="13" w:name="_Toc175836291"/>
      <w:bookmarkStart w:id="14" w:name="_Toc175837444"/>
      <w:bookmarkStart w:id="15" w:name="_Toc200096037"/>
      <w:r>
        <w:rPr>
          <w:rStyle w:val="CharPartNo"/>
        </w:rPr>
        <w:lastRenderedPageBreak/>
        <w:t>Part 2</w:t>
      </w:r>
      <w:r>
        <w:t> — </w:t>
      </w:r>
      <w:r>
        <w:rPr>
          <w:rStyle w:val="CharPartText"/>
        </w:rPr>
        <w:t>Places at colleges</w:t>
      </w:r>
      <w:bookmarkEnd w:id="12"/>
      <w:bookmarkEnd w:id="13"/>
      <w:bookmarkEnd w:id="14"/>
      <w:bookmarkEnd w:id="15"/>
    </w:p>
    <w:p>
      <w:pPr>
        <w:pStyle w:val="Heading3"/>
      </w:pPr>
      <w:bookmarkStart w:id="16" w:name="_Toc175835515"/>
      <w:bookmarkStart w:id="17" w:name="_Toc175836292"/>
      <w:bookmarkStart w:id="18" w:name="_Toc175837445"/>
      <w:bookmarkStart w:id="19" w:name="_Toc200096038"/>
      <w:r>
        <w:rPr>
          <w:rStyle w:val="CharDivNo"/>
        </w:rPr>
        <w:t>Division 1</w:t>
      </w:r>
      <w:r>
        <w:t> — </w:t>
      </w:r>
      <w:r>
        <w:rPr>
          <w:rStyle w:val="CharDivText"/>
        </w:rPr>
        <w:t>General provisions</w:t>
      </w:r>
      <w:bookmarkEnd w:id="16"/>
      <w:bookmarkEnd w:id="17"/>
      <w:bookmarkEnd w:id="18"/>
      <w:bookmarkEnd w:id="19"/>
    </w:p>
    <w:p>
      <w:pPr>
        <w:pStyle w:val="Heading5"/>
      </w:pPr>
      <w:bookmarkStart w:id="20" w:name="_Toc175837446"/>
      <w:bookmarkStart w:id="21" w:name="_Toc200096039"/>
      <w:r>
        <w:rPr>
          <w:rStyle w:val="CharSectno"/>
        </w:rPr>
        <w:t>4</w:t>
      </w:r>
      <w:r>
        <w:t>.</w:t>
      </w:r>
      <w:r>
        <w:tab/>
        <w:t>Terms used</w:t>
      </w:r>
      <w:bookmarkEnd w:id="20"/>
      <w:bookmarkEnd w:id="21"/>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2" w:name="_Toc175837447"/>
      <w:bookmarkStart w:id="23" w:name="_Toc200096040"/>
      <w:r>
        <w:rPr>
          <w:rStyle w:val="CharSectno"/>
        </w:rPr>
        <w:t>5</w:t>
      </w:r>
      <w:r>
        <w:t>.</w:t>
      </w:r>
      <w:r>
        <w:tab/>
        <w:t>Terms of boarding agreements to be made public</w:t>
      </w:r>
      <w:bookmarkEnd w:id="22"/>
      <w:bookmarkEnd w:id="23"/>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24" w:name="_Toc175835518"/>
      <w:bookmarkStart w:id="25" w:name="_Toc175836295"/>
      <w:bookmarkStart w:id="26" w:name="_Toc175837448"/>
      <w:bookmarkStart w:id="27" w:name="_Toc200096041"/>
      <w:r>
        <w:rPr>
          <w:rStyle w:val="CharDivNo"/>
        </w:rPr>
        <w:t>Division 2</w:t>
      </w:r>
      <w:r>
        <w:t> — </w:t>
      </w:r>
      <w:r>
        <w:rPr>
          <w:rStyle w:val="CharDivText"/>
        </w:rPr>
        <w:t>Applying for places</w:t>
      </w:r>
      <w:bookmarkEnd w:id="24"/>
      <w:bookmarkEnd w:id="25"/>
      <w:bookmarkEnd w:id="26"/>
      <w:bookmarkEnd w:id="27"/>
    </w:p>
    <w:p>
      <w:pPr>
        <w:pStyle w:val="Heading5"/>
      </w:pPr>
      <w:bookmarkStart w:id="28" w:name="_Toc175837449"/>
      <w:bookmarkStart w:id="29" w:name="_Toc200096042"/>
      <w:r>
        <w:rPr>
          <w:rStyle w:val="CharSectno"/>
        </w:rPr>
        <w:t>6</w:t>
      </w:r>
      <w:r>
        <w:t>.</w:t>
      </w:r>
      <w:r>
        <w:tab/>
        <w:t>Applying for a place</w:t>
      </w:r>
      <w:bookmarkEnd w:id="28"/>
      <w:bookmarkEnd w:id="29"/>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w:t>
      </w:r>
      <w:del w:id="30" w:author="Master Repository Process" w:date="2025-06-26T10:00:00Z">
        <w:r>
          <w:delText xml:space="preserve"> the student is or will be enrolled as specified in regulation 13(2)(a).</w:delText>
        </w:r>
      </w:del>
      <w:ins w:id="31" w:author="Master Repository Process" w:date="2025-06-26T10:00:00Z">
        <w:r>
          <w:t xml:space="preserve"> — </w:t>
        </w:r>
      </w:ins>
    </w:p>
    <w:p>
      <w:pPr>
        <w:pStyle w:val="Indenta"/>
        <w:rPr>
          <w:ins w:id="32" w:author="Master Repository Process" w:date="2025-06-26T10:00:00Z"/>
        </w:rPr>
      </w:pPr>
      <w:ins w:id="33" w:author="Master Repository Process" w:date="2025-06-26T10:00:00Z">
        <w:r>
          <w:tab/>
          <w:t>(a)</w:t>
        </w:r>
        <w:r>
          <w:tab/>
          <w:t>the student is, or will be, enrolled as specified in regulation 13(2)(a); or</w:t>
        </w:r>
      </w:ins>
    </w:p>
    <w:p>
      <w:pPr>
        <w:pStyle w:val="Indenta"/>
        <w:rPr>
          <w:ins w:id="34" w:author="Master Repository Process" w:date="2025-06-26T10:00:00Z"/>
        </w:rPr>
      </w:pPr>
      <w:ins w:id="35" w:author="Master Repository Process" w:date="2025-06-26T10:00:00Z">
        <w:r>
          <w:tab/>
          <w:t>(b)</w:t>
        </w:r>
        <w:r>
          <w:tab/>
          <w:t>the student meets all of the criteria in regulation 13(4).</w:t>
        </w:r>
      </w:ins>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 xml:space="preserve">whether the student is </w:t>
      </w:r>
      <w:del w:id="36" w:author="Master Repository Process" w:date="2025-06-26T10:00:00Z">
        <w:r>
          <w:delText>an</w:delText>
        </w:r>
      </w:del>
      <w:ins w:id="37" w:author="Master Repository Process" w:date="2025-06-26T10:00:00Z">
        <w:r>
          <w:t>of</w:t>
        </w:r>
      </w:ins>
      <w:r>
        <w:t xml:space="preserve"> Aboriginal or Torres Strait Islander</w:t>
      </w:r>
      <w:ins w:id="38" w:author="Master Repository Process" w:date="2025-06-26T10:00:00Z">
        <w:r>
          <w:t xml:space="preserve"> descent</w:t>
        </w:r>
      </w:ins>
      <w:r>
        <w:t>;</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rPr>
          <w:ins w:id="39" w:author="Master Repository Process" w:date="2025-06-26T10:00:00Z"/>
        </w:rPr>
      </w:pPr>
      <w:ins w:id="40" w:author="Master Repository Process" w:date="2025-06-26T10:00:00Z">
        <w:r>
          <w:tab/>
          <w:t>(ra)</w:t>
        </w:r>
        <w:r>
          <w:tab/>
          <w:t>if the student has been awarded a scholarship to pay or help pay the costs and charges for residing at a college, the name and amount of the scholarship;</w:t>
        </w:r>
      </w:ins>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ins w:id="41" w:author="Master Repository Process" w:date="2025-06-26T10:00:00Z">
        <w:r>
          <w:t>; SL 2024/181 r. 4</w:t>
        </w:r>
      </w:ins>
      <w:r>
        <w:t>.]</w:t>
      </w:r>
    </w:p>
    <w:p>
      <w:pPr>
        <w:pStyle w:val="Heading5"/>
      </w:pPr>
      <w:bookmarkStart w:id="42" w:name="_Toc175837450"/>
      <w:bookmarkStart w:id="43" w:name="_Toc200096043"/>
      <w:r>
        <w:rPr>
          <w:rStyle w:val="CharSectno"/>
        </w:rPr>
        <w:t>7</w:t>
      </w:r>
      <w:r>
        <w:t>.</w:t>
      </w:r>
      <w:r>
        <w:tab/>
        <w:t>Objecting to an application or boarding agreement</w:t>
      </w:r>
      <w:bookmarkEnd w:id="42"/>
      <w:bookmarkEnd w:id="43"/>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44" w:name="_Toc175837451"/>
      <w:bookmarkStart w:id="45" w:name="_Toc200096044"/>
      <w:r>
        <w:rPr>
          <w:rStyle w:val="CharSectno"/>
        </w:rPr>
        <w:t>8</w:t>
      </w:r>
      <w:r>
        <w:t>.</w:t>
      </w:r>
      <w:r>
        <w:tab/>
        <w:t>Withdrawing applications</w:t>
      </w:r>
      <w:bookmarkEnd w:id="44"/>
      <w:bookmarkEnd w:id="45"/>
    </w:p>
    <w:p>
      <w:pPr>
        <w:pStyle w:val="Subsection"/>
      </w:pPr>
      <w:r>
        <w:tab/>
      </w:r>
      <w:r>
        <w:tab/>
        <w:t>An applicant may withdraw an application by giving the CEO notice in writing.</w:t>
      </w:r>
    </w:p>
    <w:p>
      <w:pPr>
        <w:pStyle w:val="Heading5"/>
      </w:pPr>
      <w:bookmarkStart w:id="46" w:name="_Toc175837452"/>
      <w:bookmarkStart w:id="47" w:name="_Toc200096045"/>
      <w:r>
        <w:rPr>
          <w:rStyle w:val="CharSectno"/>
        </w:rPr>
        <w:t>9</w:t>
      </w:r>
      <w:r>
        <w:t>.</w:t>
      </w:r>
      <w:r>
        <w:tab/>
        <w:t>CEO may ask for certain information and evidence</w:t>
      </w:r>
      <w:bookmarkEnd w:id="46"/>
      <w:bookmarkEnd w:id="47"/>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keepNext/>
      </w:pPr>
      <w:r>
        <w:tab/>
        <w:t>(2)</w:t>
      </w:r>
      <w:r>
        <w:tab/>
        <w:t>The CEO may refuse to further deal with an application until a request made under subregulation (1) is obeyed.</w:t>
      </w:r>
    </w:p>
    <w:p>
      <w:pPr>
        <w:pStyle w:val="Heading3"/>
      </w:pPr>
      <w:bookmarkStart w:id="48" w:name="_Toc175835523"/>
      <w:bookmarkStart w:id="49" w:name="_Toc175836300"/>
      <w:bookmarkStart w:id="50" w:name="_Toc175837453"/>
      <w:bookmarkStart w:id="51" w:name="_Toc200096046"/>
      <w:r>
        <w:rPr>
          <w:rStyle w:val="CharDivNo"/>
        </w:rPr>
        <w:t>Division 3</w:t>
      </w:r>
      <w:r>
        <w:t> — </w:t>
      </w:r>
      <w:r>
        <w:rPr>
          <w:rStyle w:val="CharDivText"/>
        </w:rPr>
        <w:t>Dealing with applications</w:t>
      </w:r>
      <w:bookmarkEnd w:id="48"/>
      <w:bookmarkEnd w:id="49"/>
      <w:bookmarkEnd w:id="50"/>
      <w:bookmarkEnd w:id="51"/>
    </w:p>
    <w:p>
      <w:pPr>
        <w:pStyle w:val="Heading5"/>
      </w:pPr>
      <w:bookmarkStart w:id="52" w:name="_Toc175837454"/>
      <w:bookmarkStart w:id="53" w:name="_Toc200096047"/>
      <w:r>
        <w:rPr>
          <w:rStyle w:val="CharSectno"/>
        </w:rPr>
        <w:t>10</w:t>
      </w:r>
      <w:r>
        <w:t>.</w:t>
      </w:r>
      <w:r>
        <w:tab/>
        <w:t>Term used: application</w:t>
      </w:r>
      <w:bookmarkEnd w:id="52"/>
      <w:bookmarkEnd w:id="53"/>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54" w:name="_Toc175837455"/>
      <w:bookmarkStart w:id="55" w:name="_Toc200096048"/>
      <w:r>
        <w:rPr>
          <w:rStyle w:val="CharSectno"/>
        </w:rPr>
        <w:t>11</w:t>
      </w:r>
      <w:r>
        <w:t>.</w:t>
      </w:r>
      <w:r>
        <w:tab/>
        <w:t>General provisions on dealing with applications</w:t>
      </w:r>
      <w:bookmarkEnd w:id="54"/>
      <w:bookmarkEnd w:id="55"/>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keepNext/>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56" w:name="_Toc175837456"/>
      <w:bookmarkStart w:id="57" w:name="_Toc200096049"/>
      <w:r>
        <w:rPr>
          <w:rStyle w:val="CharSectno"/>
        </w:rPr>
        <w:t>12</w:t>
      </w:r>
      <w:r>
        <w:t>.</w:t>
      </w:r>
      <w:r>
        <w:tab/>
        <w:t>Order in which places for regional colleges to be offered</w:t>
      </w:r>
      <w:bookmarkEnd w:id="56"/>
      <w:bookmarkEnd w:id="57"/>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keepNext/>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58" w:name="_Toc175837457"/>
      <w:bookmarkStart w:id="59" w:name="_Toc200096050"/>
      <w:r>
        <w:rPr>
          <w:rStyle w:val="CharSectno"/>
        </w:rPr>
        <w:t>13</w:t>
      </w:r>
      <w:r>
        <w:t>.</w:t>
      </w:r>
      <w:r>
        <w:tab/>
        <w:t>Order in which places at City Beach Residential College to be offered</w:t>
      </w:r>
      <w:bookmarkEnd w:id="58"/>
      <w:bookmarkEnd w:id="59"/>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keepNext/>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Subsection"/>
        <w:rPr>
          <w:ins w:id="60" w:author="Master Repository Process" w:date="2025-06-26T10:00:00Z"/>
        </w:rPr>
      </w:pPr>
      <w:ins w:id="61" w:author="Master Repository Process" w:date="2025-06-26T10:00:00Z">
        <w:r>
          <w:tab/>
          <w:t>(4)</w:t>
        </w:r>
        <w:r>
          <w:tab/>
          <w:t xml:space="preserve">Despite subregulations (2) and (3), the CEO may offer a student a place at the college if the student meets all of the following criteria — </w:t>
        </w:r>
      </w:ins>
    </w:p>
    <w:p>
      <w:pPr>
        <w:pStyle w:val="Indenta"/>
        <w:rPr>
          <w:ins w:id="62" w:author="Master Repository Process" w:date="2025-06-26T10:00:00Z"/>
        </w:rPr>
      </w:pPr>
      <w:ins w:id="63" w:author="Master Repository Process" w:date="2025-06-26T10:00:00Z">
        <w:r>
          <w:tab/>
          <w:t>(a)</w:t>
        </w:r>
        <w:r>
          <w:tab/>
          <w:t>the student is of Aboriginal or Torres Strait Islander descent;</w:t>
        </w:r>
      </w:ins>
    </w:p>
    <w:p>
      <w:pPr>
        <w:pStyle w:val="Indenta"/>
        <w:rPr>
          <w:ins w:id="64" w:author="Master Repository Process" w:date="2025-06-26T10:00:00Z"/>
          <w:rStyle w:val="DraftersNotes"/>
          <w:b w:val="0"/>
          <w:i w:val="0"/>
          <w:sz w:val="24"/>
        </w:rPr>
      </w:pPr>
      <w:ins w:id="65" w:author="Master Repository Process" w:date="2025-06-26T10:00:00Z">
        <w:r>
          <w:tab/>
          <w:t>(b)</w:t>
        </w:r>
        <w:r>
          <w:tab/>
          <w:t>the student’s usual place of residence is in the State;</w:t>
        </w:r>
      </w:ins>
    </w:p>
    <w:p>
      <w:pPr>
        <w:pStyle w:val="Indenta"/>
        <w:rPr>
          <w:ins w:id="66" w:author="Master Repository Process" w:date="2025-06-26T10:00:00Z"/>
        </w:rPr>
      </w:pPr>
      <w:ins w:id="67" w:author="Master Repository Process" w:date="2025-06-26T10:00:00Z">
        <w:r>
          <w:tab/>
          <w:t>(c)</w:t>
        </w:r>
        <w:r>
          <w:tab/>
          <w:t>the time to travel by public transport one way between the student’s usual place of residence and the college is at least 90 minutes;</w:t>
        </w:r>
      </w:ins>
    </w:p>
    <w:p>
      <w:pPr>
        <w:pStyle w:val="Indenta"/>
        <w:rPr>
          <w:ins w:id="68" w:author="Master Repository Process" w:date="2025-06-26T10:00:00Z"/>
        </w:rPr>
      </w:pPr>
      <w:ins w:id="69" w:author="Master Repository Process" w:date="2025-06-26T10:00:00Z">
        <w:r>
          <w:tab/>
          <w:t>(d)</w:t>
        </w:r>
        <w:r>
          <w:tab/>
          <w:t>the student is, or the CEO reasonably expects the student will be, enrolled at a secondary school that is a government school;</w:t>
        </w:r>
      </w:ins>
    </w:p>
    <w:p>
      <w:pPr>
        <w:pStyle w:val="Indenta"/>
        <w:rPr>
          <w:ins w:id="70" w:author="Master Repository Process" w:date="2025-06-26T10:00:00Z"/>
        </w:rPr>
      </w:pPr>
      <w:ins w:id="71" w:author="Master Repository Process" w:date="2025-06-26T10:00:00Z">
        <w:r>
          <w:tab/>
          <w:t>(e)</w:t>
        </w:r>
        <w:r>
          <w:tab/>
          <w:t>the student has been awarded a scholarship that will fund some or all of the student’s costs and charges for residing at the college for the period during which a place at the college for the student is wanted.</w:t>
        </w:r>
      </w:ins>
    </w:p>
    <w:p>
      <w:pPr>
        <w:pStyle w:val="Footnotesection"/>
      </w:pPr>
      <w:r>
        <w:tab/>
        <w:t>[Regulation</w:t>
      </w:r>
      <w:del w:id="72" w:author="Master Repository Process" w:date="2025-06-26T10:00:00Z">
        <w:r>
          <w:delText xml:space="preserve"> </w:delText>
        </w:r>
      </w:del>
      <w:ins w:id="73" w:author="Master Repository Process" w:date="2025-06-26T10:00:00Z">
        <w:r>
          <w:t> </w:t>
        </w:r>
      </w:ins>
      <w:r>
        <w:t>13 amended: SL</w:t>
      </w:r>
      <w:del w:id="74" w:author="Master Repository Process" w:date="2025-06-26T10:00:00Z">
        <w:r>
          <w:delText xml:space="preserve"> </w:delText>
        </w:r>
      </w:del>
      <w:ins w:id="75" w:author="Master Repository Process" w:date="2025-06-26T10:00:00Z">
        <w:r>
          <w:t> </w:t>
        </w:r>
      </w:ins>
      <w:r>
        <w:t>2020/7 r.</w:t>
      </w:r>
      <w:del w:id="76" w:author="Master Repository Process" w:date="2025-06-26T10:00:00Z">
        <w:r>
          <w:delText xml:space="preserve"> </w:delText>
        </w:r>
      </w:del>
      <w:ins w:id="77" w:author="Master Repository Process" w:date="2025-06-26T10:00:00Z">
        <w:r>
          <w:t> 5; SL 2024/181 r. </w:t>
        </w:r>
      </w:ins>
      <w:r>
        <w:t>5.]</w:t>
      </w:r>
    </w:p>
    <w:p>
      <w:pPr>
        <w:pStyle w:val="Heading3"/>
      </w:pPr>
      <w:bookmarkStart w:id="78" w:name="_Toc175835528"/>
      <w:bookmarkStart w:id="79" w:name="_Toc175836305"/>
      <w:bookmarkStart w:id="80" w:name="_Toc175837458"/>
      <w:bookmarkStart w:id="81" w:name="_Toc200096051"/>
      <w:r>
        <w:rPr>
          <w:rStyle w:val="CharDivNo"/>
        </w:rPr>
        <w:t>Division 4</w:t>
      </w:r>
      <w:r>
        <w:t> — </w:t>
      </w:r>
      <w:r>
        <w:rPr>
          <w:rStyle w:val="CharDivText"/>
        </w:rPr>
        <w:t>Boarding agreements</w:t>
      </w:r>
      <w:bookmarkEnd w:id="78"/>
      <w:bookmarkEnd w:id="79"/>
      <w:bookmarkEnd w:id="80"/>
      <w:bookmarkEnd w:id="81"/>
    </w:p>
    <w:p>
      <w:pPr>
        <w:pStyle w:val="Heading5"/>
      </w:pPr>
      <w:bookmarkStart w:id="82" w:name="_Toc175837459"/>
      <w:bookmarkStart w:id="83" w:name="_Toc200096052"/>
      <w:r>
        <w:rPr>
          <w:rStyle w:val="CharSectno"/>
        </w:rPr>
        <w:t>14</w:t>
      </w:r>
      <w:r>
        <w:t>.</w:t>
      </w:r>
      <w:r>
        <w:tab/>
        <w:t>Boarding agreements</w:t>
      </w:r>
      <w:bookmarkEnd w:id="82"/>
      <w:bookmarkEnd w:id="83"/>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rPr>
          <w:ins w:id="84" w:author="Master Repository Process" w:date="2025-06-26T10:00:00Z"/>
        </w:rPr>
      </w:pPr>
      <w:r>
        <w:tab/>
        <w:t>(4)</w:t>
      </w:r>
      <w:r>
        <w:tab/>
        <w:t>A boarding agreement may contain an agreement by a parent of the student to assign to the CEO</w:t>
      </w:r>
      <w:del w:id="85" w:author="Master Repository Process" w:date="2025-06-26T10:00:00Z">
        <w:r>
          <w:delText xml:space="preserve"> </w:delText>
        </w:r>
      </w:del>
      <w:ins w:id="86" w:author="Master Repository Process" w:date="2025-06-26T10:00:00Z">
        <w:r>
          <w:t xml:space="preserve"> — </w:t>
        </w:r>
      </w:ins>
    </w:p>
    <w:p>
      <w:pPr>
        <w:pStyle w:val="Indenta"/>
      </w:pPr>
      <w:ins w:id="87" w:author="Master Repository Process" w:date="2025-06-26T10:00:00Z">
        <w:r>
          <w:tab/>
          <w:t>(a)</w:t>
        </w:r>
        <w:r>
          <w:tab/>
        </w:r>
      </w:ins>
      <w:r>
        <w:t>specified subsidies or other payments to which the student or a parent of the student is entitled as a result of the student residing at the college</w:t>
      </w:r>
      <w:del w:id="88" w:author="Master Repository Process" w:date="2025-06-26T10:00:00Z">
        <w:r>
          <w:delText>.</w:delText>
        </w:r>
      </w:del>
      <w:ins w:id="89" w:author="Master Repository Process" w:date="2025-06-26T10:00:00Z">
        <w:r>
          <w:t>; or</w:t>
        </w:r>
      </w:ins>
    </w:p>
    <w:p>
      <w:pPr>
        <w:pStyle w:val="Indenta"/>
        <w:rPr>
          <w:ins w:id="90" w:author="Master Repository Process" w:date="2025-06-26T10:00:00Z"/>
          <w:rStyle w:val="DraftersNotes"/>
          <w:b w:val="0"/>
          <w:i w:val="0"/>
          <w:sz w:val="24"/>
        </w:rPr>
      </w:pPr>
      <w:ins w:id="91" w:author="Master Repository Process" w:date="2025-06-26T10:00:00Z">
        <w:r>
          <w:tab/>
          <w:t>(b)</w:t>
        </w:r>
        <w:r>
          <w:tab/>
          <w:t>specified payments to which the student is entitled as a result of being awarded a scholarship to fund some or all of the student’s costs and charges for residing at the college.</w:t>
        </w:r>
      </w:ins>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keepNext/>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 xml:space="preserve">for the 2024 school year — $26 202; or </w:t>
      </w:r>
    </w:p>
    <w:p>
      <w:pPr>
        <w:pStyle w:val="Indenti"/>
        <w:keepNext/>
      </w:pPr>
      <w:r>
        <w:tab/>
        <w:t>(ii)</w:t>
      </w:r>
      <w:r>
        <w:tab/>
        <w:t xml:space="preserve">for a subsequent school year — $26 857; </w:t>
      </w:r>
    </w:p>
    <w:p>
      <w:pPr>
        <w:pStyle w:val="Indenta"/>
      </w:pPr>
      <w:r>
        <w:tab/>
      </w:r>
      <w:r>
        <w:tab/>
        <w:t>or</w:t>
      </w:r>
    </w:p>
    <w:p>
      <w:pPr>
        <w:pStyle w:val="Indenta"/>
        <w:keepNext/>
      </w:pPr>
      <w:r>
        <w:tab/>
        <w:t>(b)</w:t>
      </w:r>
      <w:r>
        <w:tab/>
        <w:t xml:space="preserve">for any other student — </w:t>
      </w:r>
    </w:p>
    <w:p>
      <w:pPr>
        <w:pStyle w:val="Indenti"/>
      </w:pPr>
      <w:r>
        <w:tab/>
        <w:t>(i)</w:t>
      </w:r>
      <w:r>
        <w:tab/>
        <w:t xml:space="preserve">for the 2024 school year — $15 157; or </w:t>
      </w:r>
    </w:p>
    <w:p>
      <w:pPr>
        <w:pStyle w:val="Indenti"/>
      </w:pPr>
      <w:r>
        <w:tab/>
        <w:t>(ii)</w:t>
      </w:r>
      <w:r>
        <w:tab/>
        <w:t xml:space="preserve">for a subsequent school year — $15 536. </w:t>
      </w:r>
    </w:p>
    <w:p>
      <w:pPr>
        <w:pStyle w:val="Subsection"/>
        <w:keepNext/>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4; SL 2023/67 r. </w:t>
      </w:r>
      <w:del w:id="92" w:author="Master Repository Process" w:date="2025-06-26T10:00:00Z">
        <w:r>
          <w:delText>10</w:delText>
        </w:r>
      </w:del>
      <w:ins w:id="93" w:author="Master Repository Process" w:date="2025-06-26T10:00:00Z">
        <w:r>
          <w:t>10; SL 2024/181 r. 6</w:t>
        </w:r>
      </w:ins>
      <w:r>
        <w:t>.]</w:t>
      </w:r>
    </w:p>
    <w:p>
      <w:pPr>
        <w:pStyle w:val="Heading5"/>
      </w:pPr>
      <w:bookmarkStart w:id="94" w:name="_Toc175837460"/>
      <w:bookmarkStart w:id="95" w:name="_Toc200096053"/>
      <w:r>
        <w:rPr>
          <w:rStyle w:val="CharSectno"/>
        </w:rPr>
        <w:t>15</w:t>
      </w:r>
      <w:r>
        <w:t>.</w:t>
      </w:r>
      <w:r>
        <w:tab/>
        <w:t>Boarding agreements to be signed</w:t>
      </w:r>
      <w:bookmarkEnd w:id="94"/>
      <w:bookmarkEnd w:id="95"/>
    </w:p>
    <w:p>
      <w:pPr>
        <w:pStyle w:val="Subsection"/>
      </w:pPr>
      <w:r>
        <w:tab/>
        <w:t>(1)</w:t>
      </w:r>
      <w:r>
        <w:tab/>
        <w:t>To be valid, a boarding agreement must be signed in accordance with this regulation.</w:t>
      </w:r>
    </w:p>
    <w:p>
      <w:pPr>
        <w:pStyle w:val="Subsection"/>
        <w:keepNext/>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keepNext/>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96" w:name="_Toc175837461"/>
      <w:bookmarkStart w:id="97" w:name="_Toc200096054"/>
      <w:r>
        <w:rPr>
          <w:rStyle w:val="CharSectno"/>
        </w:rPr>
        <w:t>16</w:t>
      </w:r>
      <w:r>
        <w:t>.</w:t>
      </w:r>
      <w:r>
        <w:tab/>
        <w:t>CEO may terminate boarding agreement</w:t>
      </w:r>
      <w:bookmarkEnd w:id="96"/>
      <w:bookmarkEnd w:id="97"/>
    </w:p>
    <w:p>
      <w:pPr>
        <w:pStyle w:val="Subsection"/>
      </w:pPr>
      <w:r>
        <w:tab/>
        <w:t>(1)</w:t>
      </w:r>
      <w:r>
        <w:tab/>
        <w:t>Under this regulation the CEO cannot terminate a boarding agreement on any ground on which the CEO could suspend the student or terminate the agreement under Part 5.</w:t>
      </w:r>
    </w:p>
    <w:p>
      <w:pPr>
        <w:pStyle w:val="Subsection"/>
        <w:keepNext/>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98" w:name="_Toc175837462"/>
      <w:bookmarkStart w:id="99" w:name="_Toc200096055"/>
      <w:r>
        <w:rPr>
          <w:rStyle w:val="CharSectno"/>
        </w:rPr>
        <w:t>17</w:t>
      </w:r>
      <w:r>
        <w:t>.</w:t>
      </w:r>
      <w:r>
        <w:tab/>
        <w:t>Parent may terminate boarding agreement</w:t>
      </w:r>
      <w:bookmarkEnd w:id="98"/>
      <w:bookmarkEnd w:id="99"/>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100" w:name="_Toc175837463"/>
      <w:bookmarkStart w:id="101" w:name="_Toc200096056"/>
      <w:r>
        <w:rPr>
          <w:rStyle w:val="CharSectno"/>
        </w:rPr>
        <w:t>18</w:t>
      </w:r>
      <w:r>
        <w:t>.</w:t>
      </w:r>
      <w:r>
        <w:tab/>
        <w:t>Effect of terminating boarding agreement</w:t>
      </w:r>
      <w:bookmarkEnd w:id="100"/>
      <w:bookmarkEnd w:id="101"/>
    </w:p>
    <w:p>
      <w:pPr>
        <w:pStyle w:val="Subsection"/>
        <w:keepLines/>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102" w:name="_Toc175835534"/>
      <w:bookmarkStart w:id="103" w:name="_Toc175836311"/>
      <w:bookmarkStart w:id="104" w:name="_Toc175837464"/>
      <w:bookmarkStart w:id="105" w:name="_Toc200096057"/>
      <w:r>
        <w:rPr>
          <w:rStyle w:val="CharPartNo"/>
        </w:rPr>
        <w:t>Part 3</w:t>
      </w:r>
      <w:r>
        <w:rPr>
          <w:rStyle w:val="CharDivNo"/>
        </w:rPr>
        <w:t> </w:t>
      </w:r>
      <w:r>
        <w:t>—</w:t>
      </w:r>
      <w:r>
        <w:rPr>
          <w:rStyle w:val="CharDivText"/>
        </w:rPr>
        <w:t> </w:t>
      </w:r>
      <w:r>
        <w:rPr>
          <w:rStyle w:val="CharPartText"/>
        </w:rPr>
        <w:t>Individual services</w:t>
      </w:r>
      <w:bookmarkEnd w:id="102"/>
      <w:bookmarkEnd w:id="103"/>
      <w:bookmarkEnd w:id="104"/>
      <w:bookmarkEnd w:id="105"/>
    </w:p>
    <w:p>
      <w:pPr>
        <w:pStyle w:val="Heading5"/>
      </w:pPr>
      <w:bookmarkStart w:id="106" w:name="_Toc175837465"/>
      <w:bookmarkStart w:id="107" w:name="_Toc200096058"/>
      <w:r>
        <w:rPr>
          <w:rStyle w:val="CharSectno"/>
        </w:rPr>
        <w:t>19</w:t>
      </w:r>
      <w:r>
        <w:t>.</w:t>
      </w:r>
      <w:r>
        <w:tab/>
        <w:t>Minister may provide individual services</w:t>
      </w:r>
      <w:bookmarkEnd w:id="106"/>
      <w:bookmarkEnd w:id="107"/>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108" w:name="_Toc175837466"/>
      <w:bookmarkStart w:id="109" w:name="_Toc200096059"/>
      <w:r>
        <w:rPr>
          <w:rStyle w:val="CharSectno"/>
        </w:rPr>
        <w:t>20</w:t>
      </w:r>
      <w:r>
        <w:t>.</w:t>
      </w:r>
      <w:r>
        <w:tab/>
        <w:t>Costs of individual services</w:t>
      </w:r>
      <w:bookmarkEnd w:id="108"/>
      <w:bookmarkEnd w:id="109"/>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10" w:name="_Toc175835537"/>
      <w:bookmarkStart w:id="111" w:name="_Toc175836314"/>
      <w:bookmarkStart w:id="112" w:name="_Toc175837467"/>
      <w:bookmarkStart w:id="113" w:name="_Toc200096060"/>
      <w:r>
        <w:rPr>
          <w:rStyle w:val="CharPartNo"/>
        </w:rPr>
        <w:t>Part 4</w:t>
      </w:r>
      <w:r>
        <w:rPr>
          <w:rStyle w:val="CharDivNo"/>
        </w:rPr>
        <w:t> </w:t>
      </w:r>
      <w:r>
        <w:t>—</w:t>
      </w:r>
      <w:r>
        <w:rPr>
          <w:rStyle w:val="CharDivText"/>
        </w:rPr>
        <w:t> </w:t>
      </w:r>
      <w:r>
        <w:rPr>
          <w:rStyle w:val="CharPartText"/>
        </w:rPr>
        <w:t>Health and safety</w:t>
      </w:r>
      <w:bookmarkEnd w:id="110"/>
      <w:bookmarkEnd w:id="111"/>
      <w:bookmarkEnd w:id="112"/>
      <w:bookmarkEnd w:id="113"/>
    </w:p>
    <w:p>
      <w:pPr>
        <w:pStyle w:val="Heading5"/>
      </w:pPr>
      <w:bookmarkStart w:id="114" w:name="_Toc175837468"/>
      <w:bookmarkStart w:id="115" w:name="_Toc200096061"/>
      <w:r>
        <w:rPr>
          <w:rStyle w:val="CharSectno"/>
        </w:rPr>
        <w:t>21</w:t>
      </w:r>
      <w:r>
        <w:t>.</w:t>
      </w:r>
      <w:r>
        <w:tab/>
        <w:t>Health and safety of students</w:t>
      </w:r>
      <w:bookmarkEnd w:id="114"/>
      <w:bookmarkEnd w:id="115"/>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16" w:name="_Toc175835539"/>
      <w:bookmarkStart w:id="117" w:name="_Toc175836316"/>
      <w:bookmarkStart w:id="118" w:name="_Toc175837469"/>
      <w:bookmarkStart w:id="119" w:name="_Toc200096062"/>
      <w:r>
        <w:rPr>
          <w:rStyle w:val="CharPartNo"/>
        </w:rPr>
        <w:t>Part 5</w:t>
      </w:r>
      <w:r>
        <w:rPr>
          <w:rStyle w:val="CharDivNo"/>
        </w:rPr>
        <w:t> </w:t>
      </w:r>
      <w:r>
        <w:t>—</w:t>
      </w:r>
      <w:r>
        <w:rPr>
          <w:rStyle w:val="CharDivText"/>
        </w:rPr>
        <w:t> </w:t>
      </w:r>
      <w:r>
        <w:rPr>
          <w:rStyle w:val="CharPartText"/>
        </w:rPr>
        <w:t>Suspending students and terminating boarding agreements</w:t>
      </w:r>
      <w:bookmarkEnd w:id="116"/>
      <w:bookmarkEnd w:id="117"/>
      <w:bookmarkEnd w:id="118"/>
      <w:bookmarkEnd w:id="119"/>
    </w:p>
    <w:p>
      <w:pPr>
        <w:pStyle w:val="Heading5"/>
      </w:pPr>
      <w:bookmarkStart w:id="120" w:name="_Toc175837470"/>
      <w:bookmarkStart w:id="121" w:name="_Toc200096063"/>
      <w:r>
        <w:rPr>
          <w:rStyle w:val="CharSectno"/>
        </w:rPr>
        <w:t>22</w:t>
      </w:r>
      <w:r>
        <w:t>.</w:t>
      </w:r>
      <w:r>
        <w:tab/>
        <w:t>Term used: suspend</w:t>
      </w:r>
      <w:bookmarkEnd w:id="120"/>
      <w:bookmarkEnd w:id="121"/>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22" w:name="_Toc175837471"/>
      <w:bookmarkStart w:id="123" w:name="_Toc200096064"/>
      <w:r>
        <w:rPr>
          <w:rStyle w:val="CharSectno"/>
        </w:rPr>
        <w:t>23</w:t>
      </w:r>
      <w:r>
        <w:t>.</w:t>
      </w:r>
      <w:r>
        <w:tab/>
        <w:t>Powers to suspend and terminate</w:t>
      </w:r>
      <w:bookmarkEnd w:id="122"/>
      <w:bookmarkEnd w:id="12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24" w:name="_Toc175837472"/>
      <w:bookmarkStart w:id="125" w:name="_Toc200096065"/>
      <w:r>
        <w:rPr>
          <w:rStyle w:val="CharSectno"/>
        </w:rPr>
        <w:t>24</w:t>
      </w:r>
      <w:r>
        <w:t>.</w:t>
      </w:r>
      <w:r>
        <w:tab/>
        <w:t>Suspending students</w:t>
      </w:r>
      <w:bookmarkEnd w:id="124"/>
      <w:bookmarkEnd w:id="125"/>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26" w:name="_Toc175837473"/>
      <w:bookmarkStart w:id="127" w:name="_Toc200096066"/>
      <w:r>
        <w:rPr>
          <w:rStyle w:val="CharSectno"/>
        </w:rPr>
        <w:t>25</w:t>
      </w:r>
      <w:r>
        <w:t>.</w:t>
      </w:r>
      <w:r>
        <w:tab/>
        <w:t>Terminating boarding agreements</w:t>
      </w:r>
      <w:bookmarkEnd w:id="126"/>
      <w:bookmarkEnd w:id="127"/>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28" w:name="_Toc175837474"/>
      <w:bookmarkStart w:id="129" w:name="_Toc200096067"/>
      <w:r>
        <w:rPr>
          <w:rStyle w:val="CharSectno"/>
        </w:rPr>
        <w:t>26</w:t>
      </w:r>
      <w:r>
        <w:t>.</w:t>
      </w:r>
      <w:r>
        <w:tab/>
        <w:t>Review of termination</w:t>
      </w:r>
      <w:bookmarkEnd w:id="128"/>
      <w:bookmarkEnd w:id="129"/>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30" w:name="_Toc175837475"/>
      <w:bookmarkStart w:id="131" w:name="_Toc200096068"/>
      <w:r>
        <w:rPr>
          <w:rStyle w:val="CharSectno"/>
        </w:rPr>
        <w:t>27</w:t>
      </w:r>
      <w:r>
        <w:t>.</w:t>
      </w:r>
      <w:r>
        <w:tab/>
        <w:t>Review Advisory Panel</w:t>
      </w:r>
      <w:bookmarkEnd w:id="130"/>
      <w:bookmarkEnd w:id="131"/>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32" w:name="_Toc175835546"/>
      <w:bookmarkStart w:id="133" w:name="_Toc175836323"/>
      <w:bookmarkStart w:id="134" w:name="_Toc175837476"/>
      <w:bookmarkStart w:id="135" w:name="_Toc200096069"/>
      <w:r>
        <w:rPr>
          <w:rStyle w:val="CharPartNo"/>
        </w:rPr>
        <w:t>Part 6</w:t>
      </w:r>
      <w:r>
        <w:t> — </w:t>
      </w:r>
      <w:r>
        <w:rPr>
          <w:rStyle w:val="CharPartText"/>
        </w:rPr>
        <w:t>Operation and management of colleges</w:t>
      </w:r>
      <w:bookmarkEnd w:id="132"/>
      <w:bookmarkEnd w:id="133"/>
      <w:bookmarkEnd w:id="134"/>
      <w:bookmarkEnd w:id="135"/>
    </w:p>
    <w:p>
      <w:pPr>
        <w:pStyle w:val="Heading3"/>
      </w:pPr>
      <w:bookmarkStart w:id="136" w:name="_Toc175835547"/>
      <w:bookmarkStart w:id="137" w:name="_Toc175836324"/>
      <w:bookmarkStart w:id="138" w:name="_Toc175837477"/>
      <w:bookmarkStart w:id="139" w:name="_Toc200096070"/>
      <w:r>
        <w:rPr>
          <w:rStyle w:val="CharDivNo"/>
        </w:rPr>
        <w:t>Division 1</w:t>
      </w:r>
      <w:r>
        <w:t> — </w:t>
      </w:r>
      <w:r>
        <w:rPr>
          <w:rStyle w:val="CharDivText"/>
        </w:rPr>
        <w:t>Disputes and complaints</w:t>
      </w:r>
      <w:bookmarkEnd w:id="136"/>
      <w:bookmarkEnd w:id="137"/>
      <w:bookmarkEnd w:id="138"/>
      <w:bookmarkEnd w:id="139"/>
    </w:p>
    <w:p>
      <w:pPr>
        <w:pStyle w:val="Heading5"/>
      </w:pPr>
      <w:bookmarkStart w:id="140" w:name="_Toc175837478"/>
      <w:bookmarkStart w:id="141" w:name="_Toc200096071"/>
      <w:r>
        <w:rPr>
          <w:rStyle w:val="CharSectno"/>
        </w:rPr>
        <w:t>28</w:t>
      </w:r>
      <w:r>
        <w:t>.</w:t>
      </w:r>
      <w:r>
        <w:tab/>
        <w:t>Term used: scheme</w:t>
      </w:r>
      <w:bookmarkEnd w:id="140"/>
      <w:bookmarkEnd w:id="141"/>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42" w:name="_Toc175837479"/>
      <w:bookmarkStart w:id="143" w:name="_Toc200096072"/>
      <w:r>
        <w:rPr>
          <w:rStyle w:val="CharSectno"/>
        </w:rPr>
        <w:t>29</w:t>
      </w:r>
      <w:r>
        <w:t>.</w:t>
      </w:r>
      <w:r>
        <w:tab/>
        <w:t>Scheme to deal with disputes and complaints</w:t>
      </w:r>
      <w:bookmarkEnd w:id="142"/>
      <w:bookmarkEnd w:id="143"/>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44" w:name="_Toc175837480"/>
      <w:bookmarkStart w:id="145" w:name="_Toc200096073"/>
      <w:r>
        <w:rPr>
          <w:rStyle w:val="CharSectno"/>
        </w:rPr>
        <w:t>30</w:t>
      </w:r>
      <w:r>
        <w:t>.</w:t>
      </w:r>
      <w:r>
        <w:tab/>
        <w:t>Protection of complainants from civil liability</w:t>
      </w:r>
      <w:bookmarkEnd w:id="144"/>
      <w:bookmarkEnd w:id="145"/>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46" w:name="_Toc175837481"/>
      <w:bookmarkStart w:id="147" w:name="_Toc200096074"/>
      <w:r>
        <w:rPr>
          <w:rStyle w:val="CharSectno"/>
        </w:rPr>
        <w:t>31</w:t>
      </w:r>
      <w:r>
        <w:t>.</w:t>
      </w:r>
      <w:r>
        <w:tab/>
        <w:t>Detrimental action against complainant</w:t>
      </w:r>
      <w:bookmarkEnd w:id="146"/>
      <w:bookmarkEnd w:id="147"/>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48" w:name="_Toc175835552"/>
      <w:bookmarkStart w:id="149" w:name="_Toc175836329"/>
      <w:bookmarkStart w:id="150" w:name="_Toc175837482"/>
      <w:bookmarkStart w:id="151" w:name="_Toc200096075"/>
      <w:r>
        <w:rPr>
          <w:rStyle w:val="CharDivNo"/>
        </w:rPr>
        <w:t>Division 2</w:t>
      </w:r>
      <w:r>
        <w:t> — </w:t>
      </w:r>
      <w:r>
        <w:rPr>
          <w:rStyle w:val="CharDivText"/>
        </w:rPr>
        <w:t>Advertising and sponsorship</w:t>
      </w:r>
      <w:bookmarkEnd w:id="148"/>
      <w:bookmarkEnd w:id="149"/>
      <w:bookmarkEnd w:id="150"/>
      <w:bookmarkEnd w:id="151"/>
    </w:p>
    <w:p>
      <w:pPr>
        <w:pStyle w:val="Heading5"/>
      </w:pPr>
      <w:bookmarkStart w:id="152" w:name="_Toc175837483"/>
      <w:bookmarkStart w:id="153" w:name="_Toc200096076"/>
      <w:r>
        <w:rPr>
          <w:rStyle w:val="CharSectno"/>
        </w:rPr>
        <w:t>32</w:t>
      </w:r>
      <w:r>
        <w:t>.</w:t>
      </w:r>
      <w:r>
        <w:tab/>
        <w:t>Term used: arrangement</w:t>
      </w:r>
      <w:bookmarkEnd w:id="152"/>
      <w:bookmarkEnd w:id="153"/>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54" w:name="_Toc175837484"/>
      <w:bookmarkStart w:id="155" w:name="_Toc200096077"/>
      <w:r>
        <w:rPr>
          <w:rStyle w:val="CharSectno"/>
        </w:rPr>
        <w:t>33</w:t>
      </w:r>
      <w:r>
        <w:t>.</w:t>
      </w:r>
      <w:r>
        <w:tab/>
        <w:t>Duration and form of arrangements</w:t>
      </w:r>
      <w:bookmarkEnd w:id="154"/>
      <w:bookmarkEnd w:id="155"/>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56" w:name="_Toc175837485"/>
      <w:bookmarkStart w:id="157" w:name="_Toc200096078"/>
      <w:r>
        <w:rPr>
          <w:rStyle w:val="CharSectno"/>
        </w:rPr>
        <w:t>34</w:t>
      </w:r>
      <w:r>
        <w:t>.</w:t>
      </w:r>
      <w:r>
        <w:tab/>
        <w:t>Contents of arrangements</w:t>
      </w:r>
      <w:bookmarkEnd w:id="156"/>
      <w:bookmarkEnd w:id="157"/>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58" w:name="_Toc175837486"/>
      <w:bookmarkStart w:id="159" w:name="_Toc200096079"/>
      <w:r>
        <w:rPr>
          <w:rStyle w:val="CharSectno"/>
        </w:rPr>
        <w:t>35</w:t>
      </w:r>
      <w:r>
        <w:t>.</w:t>
      </w:r>
      <w:r>
        <w:tab/>
        <w:t>Naming rights in arrangements</w:t>
      </w:r>
      <w:bookmarkEnd w:id="158"/>
      <w:bookmarkEnd w:id="159"/>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60" w:name="_Toc175837487"/>
      <w:bookmarkStart w:id="161" w:name="_Toc200096080"/>
      <w:r>
        <w:rPr>
          <w:rStyle w:val="CharSectno"/>
        </w:rPr>
        <w:t>36</w:t>
      </w:r>
      <w:r>
        <w:t>.</w:t>
      </w:r>
      <w:r>
        <w:tab/>
        <w:t>Arrangements that contravene Division of no effect</w:t>
      </w:r>
      <w:bookmarkEnd w:id="160"/>
      <w:bookmarkEnd w:id="161"/>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62" w:name="_Toc175835558"/>
      <w:bookmarkStart w:id="163" w:name="_Toc175836335"/>
      <w:bookmarkStart w:id="164" w:name="_Toc175837488"/>
      <w:bookmarkStart w:id="165" w:name="_Toc200096081"/>
      <w:r>
        <w:t>Notes</w:t>
      </w:r>
      <w:bookmarkEnd w:id="162"/>
      <w:bookmarkEnd w:id="163"/>
      <w:bookmarkEnd w:id="164"/>
      <w:bookmarkEnd w:id="165"/>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p>
    <w:p>
      <w:pPr>
        <w:pStyle w:val="nHeading3"/>
      </w:pPr>
      <w:bookmarkStart w:id="166" w:name="_Toc175837489"/>
      <w:bookmarkStart w:id="167" w:name="_Toc200096082"/>
      <w:r>
        <w:t>Compilation table</w:t>
      </w:r>
      <w:bookmarkEnd w:id="166"/>
      <w:bookmarkEnd w:id="16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2021</w:t>
            </w:r>
          </w:p>
        </w:tc>
        <w:tc>
          <w:tcPr>
            <w:tcW w:w="1276" w:type="dxa"/>
            <w:tcBorders>
              <w:top w:val="nil"/>
              <w:bottom w:val="nil"/>
            </w:tcBorders>
          </w:tcPr>
          <w:p>
            <w:pPr>
              <w:pStyle w:val="nTable"/>
              <w:spacing w:after="40"/>
            </w:pPr>
            <w:r>
              <w:t>SL 2021/197 3 Dec 2021</w:t>
            </w:r>
          </w:p>
        </w:tc>
        <w:tc>
          <w:tcPr>
            <w:tcW w:w="2693" w:type="dxa"/>
            <w:tcBorders>
              <w:top w:val="nil"/>
              <w:bottom w:val="nil"/>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r>
        <w:trPr>
          <w:cantSplit/>
        </w:trPr>
        <w:tc>
          <w:tcPr>
            <w:tcW w:w="3119" w:type="dxa"/>
            <w:tcBorders>
              <w:top w:val="nil"/>
              <w:bottom w:val="nil"/>
            </w:tcBorders>
          </w:tcPr>
          <w:p>
            <w:pPr>
              <w:pStyle w:val="nTable"/>
              <w:spacing w:after="40"/>
              <w:rPr>
                <w:i/>
              </w:rPr>
            </w:pPr>
            <w:r>
              <w:rPr>
                <w:i/>
              </w:rPr>
              <w:t>Education Regulations Amendment (Fees and Charges) Regulations 2023</w:t>
            </w:r>
            <w:r>
              <w:t xml:space="preserve"> Pt. 4</w:t>
            </w:r>
          </w:p>
        </w:tc>
        <w:tc>
          <w:tcPr>
            <w:tcW w:w="1276" w:type="dxa"/>
            <w:tcBorders>
              <w:top w:val="nil"/>
              <w:bottom w:val="nil"/>
            </w:tcBorders>
          </w:tcPr>
          <w:p>
            <w:pPr>
              <w:pStyle w:val="nTable"/>
              <w:spacing w:after="40"/>
            </w:pPr>
            <w:r>
              <w:t>SL 2023/67 16 Jun 2023</w:t>
            </w:r>
          </w:p>
        </w:tc>
        <w:tc>
          <w:tcPr>
            <w:tcW w:w="2693" w:type="dxa"/>
            <w:tcBorders>
              <w:top w:val="nil"/>
              <w:bottom w:val="nil"/>
            </w:tcBorders>
          </w:tcPr>
          <w:p>
            <w:pPr>
              <w:pStyle w:val="nTable"/>
              <w:spacing w:after="40"/>
              <w:rPr>
                <w:bCs/>
                <w:snapToGrid w:val="0"/>
                <w:spacing w:val="-2"/>
              </w:rPr>
            </w:pPr>
            <w:r>
              <w:t>1 Jul 2023 (see r. 2(b))</w:t>
            </w:r>
          </w:p>
        </w:tc>
      </w:tr>
    </w:tbl>
    <w:p>
      <w:pPr>
        <w:rPr>
          <w:del w:id="168" w:author="Master Repository Process" w:date="2025-06-26T10:00:00Z"/>
        </w:rPr>
      </w:pPr>
    </w:p>
    <w:p>
      <w:pPr>
        <w:rPr>
          <w:del w:id="169" w:author="Master Repository Process" w:date="2025-06-26T10:00:00Z"/>
        </w:rPr>
        <w:sectPr>
          <w:headerReference w:type="even" r:id="rId21"/>
          <w:headerReference w:type="default" r:id="rId22"/>
          <w:pgSz w:w="11907" w:h="16840" w:code="9"/>
          <w:pgMar w:top="2376" w:right="2404" w:bottom="3544" w:left="2404" w:header="720" w:footer="3544" w:gutter="0"/>
          <w:cols w:space="720"/>
          <w:noEndnote/>
          <w:docGrid w:linePitch="326"/>
        </w:sectPr>
      </w:pPr>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70" w:author="Master Repository Process" w:date="2025-06-26T10:00:00Z"/>
        </w:trPr>
        <w:tc>
          <w:tcPr>
            <w:tcW w:w="3119" w:type="dxa"/>
            <w:tcBorders>
              <w:bottom w:val="single" w:sz="4" w:space="0" w:color="auto"/>
            </w:tcBorders>
          </w:tcPr>
          <w:p>
            <w:pPr>
              <w:pStyle w:val="nTable"/>
              <w:spacing w:after="40"/>
              <w:rPr>
                <w:ins w:id="171" w:author="Master Repository Process" w:date="2025-06-26T10:00:00Z"/>
                <w:i/>
              </w:rPr>
            </w:pPr>
            <w:ins w:id="172" w:author="Master Repository Process" w:date="2025-06-26T10:00:00Z">
              <w:r>
                <w:rPr>
                  <w:i/>
                </w:rPr>
                <w:t>School Education (Student Residential Colleges) Amendment Regulations 2024</w:t>
              </w:r>
            </w:ins>
          </w:p>
        </w:tc>
        <w:tc>
          <w:tcPr>
            <w:tcW w:w="1276" w:type="dxa"/>
            <w:tcBorders>
              <w:bottom w:val="single" w:sz="4" w:space="0" w:color="auto"/>
            </w:tcBorders>
          </w:tcPr>
          <w:p>
            <w:pPr>
              <w:pStyle w:val="nTable"/>
              <w:spacing w:after="40"/>
              <w:rPr>
                <w:ins w:id="173" w:author="Master Repository Process" w:date="2025-06-26T10:00:00Z"/>
              </w:rPr>
            </w:pPr>
            <w:ins w:id="174" w:author="Master Repository Process" w:date="2025-06-26T10:00:00Z">
              <w:r>
                <w:t>SL 2024/181 4 Sep 2024</w:t>
              </w:r>
            </w:ins>
          </w:p>
        </w:tc>
        <w:tc>
          <w:tcPr>
            <w:tcW w:w="2693" w:type="dxa"/>
            <w:tcBorders>
              <w:bottom w:val="single" w:sz="4" w:space="0" w:color="auto"/>
            </w:tcBorders>
          </w:tcPr>
          <w:p>
            <w:pPr>
              <w:pStyle w:val="nTable"/>
              <w:spacing w:after="40"/>
              <w:rPr>
                <w:ins w:id="175" w:author="Master Repository Process" w:date="2025-06-26T10:00:00Z"/>
                <w:bCs/>
                <w:snapToGrid w:val="0"/>
              </w:rPr>
            </w:pPr>
            <w:ins w:id="176" w:author="Master Repository Process" w:date="2025-06-26T10:00:00Z">
              <w:r>
                <w:rPr>
                  <w:bCs/>
                  <w:snapToGrid w:val="0"/>
                </w:rPr>
                <w:t>r. 1 and 2: 4 Sep 2024 (see r. 2(a));</w:t>
              </w:r>
            </w:ins>
          </w:p>
          <w:p>
            <w:pPr>
              <w:pStyle w:val="nTable"/>
              <w:spacing w:after="40"/>
              <w:rPr>
                <w:ins w:id="177" w:author="Master Repository Process" w:date="2025-06-26T10:00:00Z"/>
              </w:rPr>
            </w:pPr>
            <w:ins w:id="178" w:author="Master Repository Process" w:date="2025-06-26T10:00:00Z">
              <w:r>
                <w:rPr>
                  <w:bCs/>
                  <w:snapToGrid w:val="0"/>
                </w:rPr>
                <w:t>Regulations other than r. 1 and 2: 5 Sep 2024 (see r. 2(b))</w:t>
              </w:r>
            </w:ins>
          </w:p>
        </w:tc>
      </w:tr>
    </w:tbl>
    <w:p>
      <w:pPr>
        <w:rPr>
          <w:ins w:id="179" w:author="Master Repository Process" w:date="2025-06-26T10:00:00Z"/>
        </w:r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1" w:author="Master Repository Process" w:date="2025-06-26T10:00:00Z">
                              <w:r>
                                <w:rPr>
                                  <w:sz w:val="16"/>
                                </w:rPr>
                                <w:delText>2023</w:delText>
                              </w:r>
                            </w:del>
                            <w:ins w:id="182" w:author="Master Repository Process" w:date="2025-06-26T10:0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5-06-26T10:00:00Z">
                              <w:r>
                                <w:rPr>
                                  <w:sz w:val="16"/>
                                </w:rPr>
                                <w:delText>2023</w:delText>
                              </w:r>
                            </w:del>
                            <w:ins w:id="184" w:author="Master Repository Process" w:date="2025-06-26T10:0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5" w:author="Master Repository Process" w:date="2025-06-26T10:00:00Z">
                        <w:r>
                          <w:rPr>
                            <w:sz w:val="16"/>
                          </w:rPr>
                          <w:delText>2023</w:delText>
                        </w:r>
                      </w:del>
                      <w:ins w:id="186" w:author="Master Repository Process" w:date="2025-06-26T10:0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7" w:author="Master Repository Process" w:date="2025-06-26T10:00:00Z">
                        <w:r>
                          <w:rPr>
                            <w:sz w:val="16"/>
                          </w:rPr>
                          <w:delText>2023</w:delText>
                        </w:r>
                      </w:del>
                      <w:ins w:id="188" w:author="Master Repository Process" w:date="2025-06-26T10:0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 matters</w: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91450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 w:name="WAFER_20230613151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23_GUID" w:val="d034a6cf-3938-4e2b-aa19-598fae1dba63"/>
    <w:docVar w:name="WAFER_20230626145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10_GUID" w:val="30ed38d9-82c4-4d16-b1ac-ec7c26513494"/>
    <w:docVar w:name="WAFER_20231228144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39_GUID" w:val="72ac2e17-a125-4a46-afbc-2f47bd083db8"/>
    <w:docVar w:name="WAFER_20240829145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45005_GUID" w:val="a132721a-2e25-4ce2-bc06-86a318210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6D513-2164-4F3B-A57B-4C25150F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6411</Words>
  <Characters>30518</Characters>
  <Application>Microsoft Office Word</Application>
  <DocSecurity>0</DocSecurity>
  <Lines>871</Lines>
  <Paragraphs>505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00-i0-01 - 00-j0-00</dc:title>
  <dc:subject/>
  <dc:creator/>
  <cp:keywords/>
  <dc:description/>
  <cp:lastModifiedBy>Master Repository Process</cp:lastModifiedBy>
  <cp:revision>2</cp:revision>
  <cp:lastPrinted>2017-06-13T05:59:00Z</cp:lastPrinted>
  <dcterms:created xsi:type="dcterms:W3CDTF">2025-06-26T02:00:00Z</dcterms:created>
  <dcterms:modified xsi:type="dcterms:W3CDTF">2025-06-26T02:00:00Z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Official">
    <vt:lpwstr/>
  </property>
  <property fmtid="{D5CDD505-2E9C-101B-9397-08002B2CF9AE}" pid="5" name="CommencementDate">
    <vt:lpwstr>20240905</vt:lpwstr>
  </property>
  <property fmtid="{D5CDD505-2E9C-101B-9397-08002B2CF9AE}" pid="6" name="CommencementAsAt">
    <vt:filetime>2024-09-04T16:00:00Z</vt:filetime>
  </property>
  <property fmtid="{D5CDD505-2E9C-101B-9397-08002B2CF9AE}" pid="7" name="CommencementYear">
    <vt:lpwstr>2024</vt:lpwstr>
  </property>
  <property fmtid="{D5CDD505-2E9C-101B-9397-08002B2CF9AE}" pid="8" name="FromSuffix">
    <vt:lpwstr>00-i0-01</vt:lpwstr>
  </property>
  <property fmtid="{D5CDD505-2E9C-101B-9397-08002B2CF9AE}" pid="9" name="FromAsAtDate">
    <vt:lpwstr>01 Jul 2023</vt:lpwstr>
  </property>
  <property fmtid="{D5CDD505-2E9C-101B-9397-08002B2CF9AE}" pid="10" name="ToSuffix">
    <vt:lpwstr>00-j0-00</vt:lpwstr>
  </property>
  <property fmtid="{D5CDD505-2E9C-101B-9397-08002B2CF9AE}" pid="11" name="ToAsAtDate">
    <vt:lpwstr>05 Sep 2024</vt:lpwstr>
  </property>
</Properties>
</file>