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2024</w:t>
      </w:r>
      <w:r>
        <w:fldChar w:fldCharType="end"/>
      </w:r>
      <w:r>
        <w:t xml:space="preserve">, </w:t>
      </w:r>
      <w:r>
        <w:fldChar w:fldCharType="begin"/>
      </w:r>
      <w:r>
        <w:instrText xml:space="preserve"> DocProperty FromSuffix </w:instrText>
      </w:r>
      <w:r>
        <w:fldChar w:fldCharType="separate"/>
      </w:r>
      <w:r>
        <w:t>01-e0-00</w:t>
      </w:r>
      <w:r>
        <w:fldChar w:fldCharType="end"/>
      </w:r>
      <w:r>
        <w:t>] and [</w:t>
      </w:r>
      <w:r>
        <w:fldChar w:fldCharType="begin"/>
      </w:r>
      <w:r>
        <w:instrText xml:space="preserve"> DocProperty ToAsAtDate</w:instrText>
      </w:r>
      <w:r>
        <w:fldChar w:fldCharType="separate"/>
      </w:r>
      <w:r>
        <w:t>26 Sep 2024</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 xml:space="preserve">An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1</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1</w:t>
      </w:r>
      <w:r>
        <w:rPr>
          <w:snapToGrid w:val="0"/>
        </w:rPr>
        <w:t>,</w:t>
      </w:r>
    </w:p>
    <w:p>
      <w:pPr>
        <w:pStyle w:val="LongTitle"/>
        <w:suppressLineNumbers/>
        <w:rPr>
          <w:snapToGrid w:val="0"/>
        </w:rPr>
      </w:pPr>
      <w:r>
        <w:rPr>
          <w:snapToGrid w:val="0"/>
        </w:rPr>
        <w:t>and for related purposes.</w:t>
      </w:r>
    </w:p>
    <w:p>
      <w:pPr>
        <w:pStyle w:val="Heading2"/>
      </w:pPr>
      <w:bookmarkStart w:id="1" w:name="_Toc178155292"/>
      <w:bookmarkStart w:id="2" w:name="_Toc178155530"/>
      <w:bookmarkStart w:id="3" w:name="_Toc178155924"/>
      <w:bookmarkStart w:id="4" w:name="_Toc178257595"/>
      <w:bookmarkStart w:id="5" w:name="_Toc170374998"/>
      <w:bookmarkStart w:id="6" w:name="_Toc170375491"/>
      <w:bookmarkStart w:id="7" w:name="_Toc170379851"/>
      <w:bookmarkStart w:id="8" w:name="_Toc170380008"/>
      <w:bookmarkStart w:id="9" w:name="_Toc170380783"/>
      <w:bookmarkStart w:id="10" w:name="_Toc170380988"/>
      <w:r>
        <w:rPr>
          <w:rStyle w:val="CharPartNo"/>
        </w:rPr>
        <w:lastRenderedPageBreak/>
        <w:t>Part 1</w:t>
      </w:r>
      <w:r>
        <w:t xml:space="preserve"> — </w:t>
      </w:r>
      <w:r>
        <w:rPr>
          <w:rStyle w:val="CharPartText"/>
        </w:rPr>
        <w:t>Preliminary</w:t>
      </w:r>
      <w:bookmarkEnd w:id="1"/>
      <w:bookmarkEnd w:id="2"/>
      <w:bookmarkEnd w:id="3"/>
      <w:bookmarkEnd w:id="4"/>
      <w:bookmarkEnd w:id="5"/>
      <w:bookmarkEnd w:id="6"/>
      <w:bookmarkEnd w:id="7"/>
      <w:bookmarkEnd w:id="8"/>
      <w:bookmarkEnd w:id="9"/>
      <w:bookmarkEnd w:id="10"/>
    </w:p>
    <w:p>
      <w:pPr>
        <w:pStyle w:val="Heading5"/>
        <w:rPr>
          <w:snapToGrid w:val="0"/>
        </w:rPr>
      </w:pPr>
      <w:bookmarkStart w:id="11" w:name="_Toc178257596"/>
      <w:bookmarkStart w:id="12" w:name="_Toc170380989"/>
      <w:r>
        <w:rPr>
          <w:rStyle w:val="CharSectno"/>
        </w:rPr>
        <w:t>1</w:t>
      </w:r>
      <w:r>
        <w:rPr>
          <w:snapToGrid w:val="0"/>
        </w:rPr>
        <w:t>.</w:t>
      </w:r>
      <w:r>
        <w:rPr>
          <w:snapToGrid w:val="0"/>
        </w:rPr>
        <w:tab/>
        <w:t>Short title</w:t>
      </w:r>
      <w:bookmarkEnd w:id="11"/>
      <w:bookmarkEnd w:id="12"/>
    </w:p>
    <w:p>
      <w:pPr>
        <w:pStyle w:val="Subsection"/>
      </w:pPr>
      <w:r>
        <w:rPr>
          <w:snapToGrid w:val="0"/>
        </w:rPr>
        <w:tab/>
      </w:r>
      <w:r>
        <w:rPr>
          <w:snapToGrid w:val="0"/>
        </w:rPr>
        <w:tab/>
        <w:t>This Act may be cited as the</w:t>
      </w:r>
      <w:r>
        <w:rPr>
          <w:i/>
          <w:snapToGrid w:val="0"/>
        </w:rPr>
        <w:t xml:space="preserve"> Weapons Act 1999.</w:t>
      </w:r>
    </w:p>
    <w:p>
      <w:pPr>
        <w:pStyle w:val="Heading5"/>
        <w:rPr>
          <w:snapToGrid w:val="0"/>
        </w:rPr>
      </w:pPr>
      <w:bookmarkStart w:id="13" w:name="_Toc178257597"/>
      <w:bookmarkStart w:id="14" w:name="_Toc170380990"/>
      <w:r>
        <w:rPr>
          <w:rStyle w:val="CharSectno"/>
        </w:rPr>
        <w:t>2</w:t>
      </w:r>
      <w:r>
        <w:rPr>
          <w:snapToGrid w:val="0"/>
        </w:rPr>
        <w:t>.</w:t>
      </w:r>
      <w:r>
        <w:rPr>
          <w:snapToGrid w:val="0"/>
        </w:rPr>
        <w:tab/>
        <w:t>Commencement</w:t>
      </w:r>
      <w:bookmarkEnd w:id="13"/>
      <w:bookmarkEnd w:id="14"/>
    </w:p>
    <w:p>
      <w:pPr>
        <w:pStyle w:val="Subsection"/>
      </w:pPr>
      <w:r>
        <w:tab/>
        <w:t>(1)</w:t>
      </w:r>
      <w:r>
        <w:tab/>
        <w:t>Subject to subsection (2), this Act comes into operation on such day as is fixed by proclamation.</w:t>
      </w:r>
    </w:p>
    <w:p>
      <w:pPr>
        <w:pStyle w:val="Subsection"/>
      </w:pPr>
      <w:r>
        <w:tab/>
        <w:t>(2)</w:t>
      </w:r>
      <w:r>
        <w:tab/>
        <w:t>Sections 6, 7 and 8 and item 2 of Schedule 1 come into operation on the day 6 months after the day fixed under subsection (1).</w:t>
      </w:r>
    </w:p>
    <w:p>
      <w:pPr>
        <w:pStyle w:val="Heading5"/>
      </w:pPr>
      <w:bookmarkStart w:id="15" w:name="_Toc178257598"/>
      <w:bookmarkStart w:id="16" w:name="_Toc170380991"/>
      <w:r>
        <w:rPr>
          <w:rStyle w:val="CharSectno"/>
        </w:rPr>
        <w:t>3</w:t>
      </w:r>
      <w:r>
        <w:t>.</w:t>
      </w:r>
      <w:r>
        <w:tab/>
        <w:t>Interpretation</w:t>
      </w:r>
      <w:bookmarkEnd w:id="15"/>
      <w:bookmarkEnd w:id="16"/>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17" w:name="_Toc178257599"/>
      <w:bookmarkStart w:id="18" w:name="_Toc170380992"/>
      <w:r>
        <w:rPr>
          <w:rStyle w:val="CharSectno"/>
        </w:rPr>
        <w:t>4</w:t>
      </w:r>
      <w:r>
        <w:t>.</w:t>
      </w:r>
      <w:r>
        <w:tab/>
        <w:t>Relationship to other laws</w:t>
      </w:r>
      <w:bookmarkEnd w:id="17"/>
      <w:bookmarkEnd w:id="18"/>
    </w:p>
    <w:p>
      <w:pPr>
        <w:pStyle w:val="Subsection"/>
        <w:rPr>
          <w:spacing w:val="-2"/>
        </w:rPr>
      </w:pPr>
      <w:r>
        <w:tab/>
      </w:r>
      <w:r>
        <w:tab/>
      </w:r>
      <w:r>
        <w:rPr>
          <w:spacing w:val="-2"/>
        </w:rPr>
        <w:t>This Act is in addition to and not instead of any other written law relating to weapons.</w:t>
      </w:r>
    </w:p>
    <w:p>
      <w:pPr>
        <w:pStyle w:val="Heading5"/>
      </w:pPr>
      <w:bookmarkStart w:id="19" w:name="_Toc178257600"/>
      <w:bookmarkStart w:id="20" w:name="_Toc170380993"/>
      <w:r>
        <w:rPr>
          <w:rStyle w:val="CharSectno"/>
        </w:rPr>
        <w:t>5</w:t>
      </w:r>
      <w:r>
        <w:t>.</w:t>
      </w:r>
      <w:r>
        <w:tab/>
        <w:t>Crown bound</w:t>
      </w:r>
      <w:bookmarkEnd w:id="19"/>
      <w:bookmarkEnd w:id="20"/>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21" w:name="_Toc178155298"/>
      <w:bookmarkStart w:id="22" w:name="_Toc178155536"/>
      <w:bookmarkStart w:id="23" w:name="_Toc178155930"/>
      <w:bookmarkStart w:id="24" w:name="_Toc178257601"/>
      <w:bookmarkStart w:id="25" w:name="_Toc170375004"/>
      <w:bookmarkStart w:id="26" w:name="_Toc170375497"/>
      <w:bookmarkStart w:id="27" w:name="_Toc170379857"/>
      <w:bookmarkStart w:id="28" w:name="_Toc170380014"/>
      <w:bookmarkStart w:id="29" w:name="_Toc170380789"/>
      <w:bookmarkStart w:id="30" w:name="_Toc170380994"/>
      <w:r>
        <w:rPr>
          <w:rStyle w:val="CharPartNo"/>
        </w:rPr>
        <w:t>Part 2</w:t>
      </w:r>
      <w:r>
        <w:t xml:space="preserve"> — </w:t>
      </w:r>
      <w:r>
        <w:rPr>
          <w:rStyle w:val="CharPartText"/>
        </w:rPr>
        <w:t>Offences</w:t>
      </w:r>
      <w:bookmarkEnd w:id="21"/>
      <w:bookmarkEnd w:id="22"/>
      <w:bookmarkEnd w:id="23"/>
      <w:bookmarkEnd w:id="24"/>
      <w:bookmarkEnd w:id="25"/>
      <w:bookmarkEnd w:id="26"/>
      <w:bookmarkEnd w:id="27"/>
      <w:bookmarkEnd w:id="28"/>
      <w:bookmarkEnd w:id="29"/>
      <w:bookmarkEnd w:id="30"/>
    </w:p>
    <w:p>
      <w:pPr>
        <w:pStyle w:val="Heading5"/>
      </w:pPr>
      <w:bookmarkStart w:id="31" w:name="_Toc178257602"/>
      <w:bookmarkStart w:id="32" w:name="_Toc170380995"/>
      <w:r>
        <w:rPr>
          <w:rStyle w:val="CharSectno"/>
        </w:rPr>
        <w:t>6</w:t>
      </w:r>
      <w:r>
        <w:t>.</w:t>
      </w:r>
      <w:r>
        <w:tab/>
        <w:t>Prohibited weapons</w:t>
      </w:r>
      <w:bookmarkEnd w:id="31"/>
      <w:bookmarkEnd w:id="32"/>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r>
        <w:tab/>
        <w:t>[Section 6 amended: No. 34 of 2009 s. 6.]</w:t>
      </w:r>
    </w:p>
    <w:p>
      <w:pPr>
        <w:pStyle w:val="Heading5"/>
        <w:spacing w:before="240"/>
      </w:pPr>
      <w:bookmarkStart w:id="33" w:name="_Toc178257603"/>
      <w:bookmarkStart w:id="34" w:name="_Toc170380996"/>
      <w:r>
        <w:rPr>
          <w:rStyle w:val="CharSectno"/>
        </w:rPr>
        <w:t>7</w:t>
      </w:r>
      <w:r>
        <w:t>.</w:t>
      </w:r>
      <w:r>
        <w:tab/>
        <w:t>Controlled weapons</w:t>
      </w:r>
      <w:bookmarkEnd w:id="33"/>
      <w:bookmarkEnd w:id="34"/>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spacing w:val="-2"/>
        </w:rPr>
      </w:pPr>
      <w:r>
        <w:tab/>
        <w:t>[Section 7 amended: No. 34 of 2009 s. 7.]</w:t>
      </w:r>
    </w:p>
    <w:p>
      <w:pPr>
        <w:pStyle w:val="Heading5"/>
      </w:pPr>
      <w:bookmarkStart w:id="35" w:name="_Toc178257604"/>
      <w:bookmarkStart w:id="36" w:name="_Toc170380997"/>
      <w:r>
        <w:rPr>
          <w:rStyle w:val="CharSectno"/>
        </w:rPr>
        <w:t>8A</w:t>
      </w:r>
      <w:r>
        <w:t>.</w:t>
      </w:r>
      <w:r>
        <w:tab/>
        <w:t>Selling and supplying controlled weapons to children</w:t>
      </w:r>
      <w:bookmarkEnd w:id="35"/>
      <w:bookmarkEnd w:id="36"/>
    </w:p>
    <w:p>
      <w:pPr>
        <w:pStyle w:val="Subsection"/>
      </w:pPr>
      <w:r>
        <w:tab/>
        <w:t>(1)</w:t>
      </w:r>
      <w:r>
        <w:tab/>
        <w:t>In this section —</w:t>
      </w:r>
    </w:p>
    <w:p>
      <w:pPr>
        <w:pStyle w:val="Defstart"/>
      </w:pPr>
      <w:r>
        <w:tab/>
      </w:r>
      <w:r>
        <w:rPr>
          <w:rStyle w:val="CharDefText"/>
        </w:rPr>
        <w:t>child</w:t>
      </w:r>
      <w:r>
        <w:t xml:space="preserve"> means a person under 18 years of age.</w:t>
      </w:r>
    </w:p>
    <w:p>
      <w:pPr>
        <w:pStyle w:val="Subsection"/>
      </w:pPr>
      <w:r>
        <w:tab/>
        <w:t>(2)</w:t>
      </w:r>
      <w:r>
        <w:tab/>
        <w:t>A person who sells a controlled weapon to a child commits an offence.</w:t>
      </w:r>
    </w:p>
    <w:p>
      <w:pPr>
        <w:pStyle w:val="Penstart"/>
      </w:pPr>
      <w:r>
        <w:tab/>
        <w:t>Penalty: imprisonment for 2 years and a fine of $24 000.</w:t>
      </w:r>
    </w:p>
    <w:p>
      <w:pPr>
        <w:pStyle w:val="Subsection"/>
      </w:pPr>
      <w:r>
        <w:tab/>
        <w:t>(3)</w:t>
      </w:r>
      <w:r>
        <w:tab/>
        <w:t>A person who supplies a controlled weapon to a child commits an offence.</w:t>
      </w:r>
    </w:p>
    <w:p>
      <w:pPr>
        <w:pStyle w:val="Penstart"/>
      </w:pPr>
      <w:r>
        <w:tab/>
        <w:t>Penalty: imprisonment for 2 years and a fine of $24 000.</w:t>
      </w:r>
    </w:p>
    <w:p>
      <w:pPr>
        <w:pStyle w:val="Subsection"/>
      </w:pPr>
      <w:r>
        <w:tab/>
        <w:t>(4)</w:t>
      </w:r>
      <w:r>
        <w:tab/>
        <w:t>It is a defence to a charge of an offence under subsection (3) to prove the accused believed on reasonable grounds that —</w:t>
      </w:r>
    </w:p>
    <w:p>
      <w:pPr>
        <w:pStyle w:val="Indenta"/>
      </w:pPr>
      <w:r>
        <w:tab/>
        <w:t>(a)</w:t>
      </w:r>
      <w:r>
        <w:tab/>
        <w:t>possession by the child of the weapon would be lawful under section 7; or</w:t>
      </w:r>
    </w:p>
    <w:p>
      <w:pPr>
        <w:pStyle w:val="Indenta"/>
      </w:pPr>
      <w:r>
        <w:tab/>
        <w:t>(b)</w:t>
      </w:r>
      <w:r>
        <w:tab/>
        <w:t>the child supplied with the weapon intended to use it only —</w:t>
      </w:r>
    </w:p>
    <w:p>
      <w:pPr>
        <w:pStyle w:val="Indenti"/>
      </w:pPr>
      <w:r>
        <w:tab/>
        <w:t>(i)</w:t>
      </w:r>
      <w:r>
        <w:tab/>
        <w:t>to commit lawful acts in the course of a sporting or recreational activity; or</w:t>
      </w:r>
    </w:p>
    <w:p>
      <w:pPr>
        <w:pStyle w:val="Indenti"/>
      </w:pPr>
      <w:r>
        <w:tab/>
        <w:t>(ii)</w:t>
      </w:r>
      <w:r>
        <w:tab/>
        <w:t>in circumstances, if any, prescribed by the regulations.</w:t>
      </w:r>
    </w:p>
    <w:p>
      <w:pPr>
        <w:pStyle w:val="Footnotesection"/>
      </w:pPr>
      <w:r>
        <w:tab/>
        <w:t>[Section 8A inserted: No. 34 of 2009 s. 8.]</w:t>
      </w:r>
    </w:p>
    <w:p>
      <w:pPr>
        <w:pStyle w:val="Heading5"/>
        <w:spacing w:before="240"/>
      </w:pPr>
      <w:bookmarkStart w:id="37" w:name="_Toc178257605"/>
      <w:bookmarkStart w:id="38" w:name="_Toc170380998"/>
      <w:r>
        <w:rPr>
          <w:rStyle w:val="CharSectno"/>
        </w:rPr>
        <w:t>8</w:t>
      </w:r>
      <w:r>
        <w:t>.</w:t>
      </w:r>
      <w:r>
        <w:tab/>
        <w:t>Other articles carried or possessed as weapons</w:t>
      </w:r>
      <w:bookmarkEnd w:id="37"/>
      <w:bookmarkEnd w:id="38"/>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r>
        <w:tab/>
        <w:t>[Section 8 amended: No. 34 of 2009 s. 9.]</w:t>
      </w:r>
    </w:p>
    <w:p>
      <w:pPr>
        <w:pStyle w:val="Heading5"/>
      </w:pPr>
      <w:bookmarkStart w:id="39" w:name="_Toc178257606"/>
      <w:bookmarkStart w:id="40" w:name="_Toc170380999"/>
      <w:r>
        <w:rPr>
          <w:rStyle w:val="CharSectno"/>
        </w:rPr>
        <w:t>9</w:t>
      </w:r>
      <w:r>
        <w:t>.</w:t>
      </w:r>
      <w:r>
        <w:tab/>
        <w:t xml:space="preserve">Sections 25 and 31 of </w:t>
      </w:r>
      <w:r>
        <w:rPr>
          <w:i/>
        </w:rPr>
        <w:t>The Criminal Code</w:t>
      </w:r>
      <w:r>
        <w:t xml:space="preserve"> not affected</w:t>
      </w:r>
      <w:bookmarkEnd w:id="39"/>
      <w:bookmarkEnd w:id="40"/>
    </w:p>
    <w:p>
      <w:pPr>
        <w:pStyle w:val="Subsection"/>
      </w:pPr>
      <w:r>
        <w:tab/>
      </w:r>
      <w:r>
        <w:tab/>
        <w:t xml:space="preserve">Sections 7(3) and 8(1) do not affect the operation of sections 25 and 31 of </w:t>
      </w:r>
      <w:r>
        <w:rPr>
          <w:i/>
        </w:rPr>
        <w:t>The Criminal Code</w:t>
      </w:r>
      <w:r>
        <w:t>.</w:t>
      </w:r>
    </w:p>
    <w:p>
      <w:pPr>
        <w:pStyle w:val="Heading5"/>
      </w:pPr>
      <w:bookmarkStart w:id="41" w:name="_Toc178257607"/>
      <w:bookmarkStart w:id="42" w:name="_Toc170381000"/>
      <w:r>
        <w:rPr>
          <w:rStyle w:val="CharSectno"/>
        </w:rPr>
        <w:t>10</w:t>
      </w:r>
      <w:r>
        <w:t>.</w:t>
      </w:r>
      <w:r>
        <w:tab/>
        <w:t>Exceptions</w:t>
      </w:r>
      <w:bookmarkEnd w:id="41"/>
      <w:bookmarkEnd w:id="42"/>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 No. 31 of 2003 s. 209(2); No. 34 of 2009 s. 10.]</w:t>
      </w:r>
    </w:p>
    <w:p>
      <w:pPr>
        <w:pStyle w:val="Heading5"/>
      </w:pPr>
      <w:bookmarkStart w:id="43" w:name="_Toc178257608"/>
      <w:bookmarkStart w:id="44" w:name="_Toc170381001"/>
      <w:r>
        <w:rPr>
          <w:rStyle w:val="CharSectno"/>
        </w:rPr>
        <w:t>11</w:t>
      </w:r>
      <w:r>
        <w:t>.</w:t>
      </w:r>
      <w:r>
        <w:tab/>
        <w:t>Proof of exceptions or lawful excuses</w:t>
      </w:r>
      <w:bookmarkEnd w:id="43"/>
      <w:bookmarkEnd w:id="44"/>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r>
        <w:tab/>
        <w:t>[Section 11 amended: No. 34 of 2009 s. 11.]</w:t>
      </w:r>
    </w:p>
    <w:p>
      <w:pPr>
        <w:pStyle w:val="Heading2"/>
      </w:pPr>
      <w:bookmarkStart w:id="45" w:name="_Toc178155306"/>
      <w:bookmarkStart w:id="46" w:name="_Toc178155544"/>
      <w:bookmarkStart w:id="47" w:name="_Toc178155938"/>
      <w:bookmarkStart w:id="48" w:name="_Toc178257609"/>
      <w:bookmarkStart w:id="49" w:name="_Toc170375012"/>
      <w:bookmarkStart w:id="50" w:name="_Toc170375505"/>
      <w:bookmarkStart w:id="51" w:name="_Toc170379865"/>
      <w:bookmarkStart w:id="52" w:name="_Toc170380022"/>
      <w:bookmarkStart w:id="53" w:name="_Toc170380797"/>
      <w:bookmarkStart w:id="54" w:name="_Toc170381002"/>
      <w:r>
        <w:rPr>
          <w:rStyle w:val="CharPartNo"/>
        </w:rPr>
        <w:t>Part 3</w:t>
      </w:r>
      <w:r>
        <w:t xml:space="preserve"> — </w:t>
      </w:r>
      <w:r>
        <w:rPr>
          <w:rStyle w:val="CharPartText"/>
        </w:rPr>
        <w:t>Enforcement</w:t>
      </w:r>
      <w:bookmarkEnd w:id="45"/>
      <w:bookmarkEnd w:id="46"/>
      <w:bookmarkEnd w:id="47"/>
      <w:bookmarkEnd w:id="48"/>
      <w:bookmarkEnd w:id="49"/>
      <w:bookmarkEnd w:id="50"/>
      <w:bookmarkEnd w:id="51"/>
      <w:bookmarkEnd w:id="52"/>
      <w:bookmarkEnd w:id="53"/>
      <w:bookmarkEnd w:id="54"/>
    </w:p>
    <w:p>
      <w:pPr>
        <w:pStyle w:val="Heading5"/>
      </w:pPr>
      <w:bookmarkStart w:id="55" w:name="_Toc178257610"/>
      <w:bookmarkStart w:id="56" w:name="_Toc170381003"/>
      <w:r>
        <w:rPr>
          <w:rStyle w:val="CharSectno"/>
        </w:rPr>
        <w:t>12</w:t>
      </w:r>
      <w:r>
        <w:t>.</w:t>
      </w:r>
      <w:r>
        <w:tab/>
        <w:t>Interpretation</w:t>
      </w:r>
      <w:bookmarkEnd w:id="55"/>
      <w:bookmarkEnd w:id="56"/>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r>
        <w:tab/>
        <w:t>[Section 12 amended: No. 34 of 2009 s. 12.]</w:t>
      </w:r>
    </w:p>
    <w:p>
      <w:pPr>
        <w:pStyle w:val="Heading5"/>
      </w:pPr>
      <w:bookmarkStart w:id="57" w:name="_Toc178257611"/>
      <w:bookmarkStart w:id="58" w:name="_Toc170381004"/>
      <w:r>
        <w:rPr>
          <w:rStyle w:val="CharSectno"/>
        </w:rPr>
        <w:t>13</w:t>
      </w:r>
      <w:r>
        <w:t>.</w:t>
      </w:r>
      <w:r>
        <w:tab/>
        <w:t>Search and seizure without a warrant</w:t>
      </w:r>
      <w:bookmarkEnd w:id="57"/>
      <w:bookmarkEnd w:id="58"/>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59" w:name="_Toc178257612"/>
      <w:bookmarkStart w:id="60" w:name="_Toc170381005"/>
      <w:r>
        <w:rPr>
          <w:rStyle w:val="CharSectno"/>
        </w:rPr>
        <w:t>14</w:t>
      </w:r>
      <w:r>
        <w:t>.</w:t>
      </w:r>
      <w:r>
        <w:tab/>
        <w:t>Search and seizure with a warrant</w:t>
      </w:r>
      <w:bookmarkEnd w:id="59"/>
      <w:bookmarkEnd w:id="60"/>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61" w:name="_Toc178257613"/>
      <w:bookmarkStart w:id="62" w:name="_Toc170381006"/>
      <w:r>
        <w:rPr>
          <w:rStyle w:val="CharSectno"/>
        </w:rPr>
        <w:t>15</w:t>
      </w:r>
      <w:r>
        <w:t>.</w:t>
      </w:r>
      <w:r>
        <w:tab/>
        <w:t>Retaining something seized but not forfeited</w:t>
      </w:r>
      <w:bookmarkEnd w:id="61"/>
      <w:bookmarkEnd w:id="62"/>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63" w:name="_Toc178257614"/>
      <w:bookmarkStart w:id="64" w:name="_Toc170381007"/>
      <w:r>
        <w:rPr>
          <w:rStyle w:val="CharSectno"/>
        </w:rPr>
        <w:t>16</w:t>
      </w:r>
      <w:r>
        <w:t>.</w:t>
      </w:r>
      <w:r>
        <w:tab/>
        <w:t>Forfeiture and delivery of a weapon on conviction</w:t>
      </w:r>
      <w:bookmarkEnd w:id="63"/>
      <w:bookmarkEnd w:id="64"/>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 No. 59 of 2004 s. 141; No. 84 of 2004 s. 78.]</w:t>
      </w:r>
    </w:p>
    <w:p>
      <w:pPr>
        <w:pStyle w:val="Heading5"/>
      </w:pPr>
      <w:bookmarkStart w:id="65" w:name="_Toc178257615"/>
      <w:bookmarkStart w:id="66" w:name="_Toc170381008"/>
      <w:r>
        <w:rPr>
          <w:rStyle w:val="CharSectno"/>
        </w:rPr>
        <w:t>17</w:t>
      </w:r>
      <w:r>
        <w:t>.</w:t>
      </w:r>
      <w:r>
        <w:tab/>
        <w:t>Forfeiture and delivery of a weapon other than on conviction</w:t>
      </w:r>
      <w:bookmarkEnd w:id="65"/>
      <w:bookmarkEnd w:id="66"/>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r>
        <w:tab/>
        <w:t>[Section 17 amended: No. 59 of 2004 s. 141.]</w:t>
      </w:r>
    </w:p>
    <w:p>
      <w:pPr>
        <w:pStyle w:val="Heading5"/>
      </w:pPr>
      <w:bookmarkStart w:id="67" w:name="_Toc178257616"/>
      <w:bookmarkStart w:id="68" w:name="_Toc170381009"/>
      <w:r>
        <w:rPr>
          <w:rStyle w:val="CharSectno"/>
        </w:rPr>
        <w:t>18</w:t>
      </w:r>
      <w:r>
        <w:t>.</w:t>
      </w:r>
      <w:r>
        <w:tab/>
        <w:t>Disposal of a forfeited weapon</w:t>
      </w:r>
      <w:bookmarkEnd w:id="67"/>
      <w:bookmarkEnd w:id="68"/>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69" w:name="_Toc178257617"/>
      <w:bookmarkStart w:id="70" w:name="_Toc170381010"/>
      <w:r>
        <w:rPr>
          <w:rStyle w:val="CharSectno"/>
        </w:rPr>
        <w:t>19</w:t>
      </w:r>
      <w:r>
        <w:t>.</w:t>
      </w:r>
      <w:r>
        <w:tab/>
        <w:t>Commissioner may delegate a function</w:t>
      </w:r>
      <w:bookmarkEnd w:id="69"/>
      <w:bookmarkEnd w:id="70"/>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71" w:name="_Toc178155315"/>
      <w:bookmarkStart w:id="72" w:name="_Toc178155553"/>
      <w:bookmarkStart w:id="73" w:name="_Toc178155947"/>
      <w:bookmarkStart w:id="74" w:name="_Toc178257618"/>
      <w:bookmarkStart w:id="75" w:name="_Toc170375021"/>
      <w:bookmarkStart w:id="76" w:name="_Toc170375514"/>
      <w:bookmarkStart w:id="77" w:name="_Toc170379874"/>
      <w:bookmarkStart w:id="78" w:name="_Toc170380031"/>
      <w:bookmarkStart w:id="79" w:name="_Toc170380806"/>
      <w:bookmarkStart w:id="80" w:name="_Toc170381011"/>
      <w:r>
        <w:rPr>
          <w:rStyle w:val="CharPartNo"/>
        </w:rPr>
        <w:t>Part 4</w:t>
      </w:r>
      <w:r>
        <w:t xml:space="preserve"> — </w:t>
      </w:r>
      <w:r>
        <w:rPr>
          <w:rStyle w:val="CharPartText"/>
        </w:rPr>
        <w:t>Miscellaneous</w:t>
      </w:r>
      <w:bookmarkEnd w:id="71"/>
      <w:bookmarkEnd w:id="72"/>
      <w:bookmarkEnd w:id="73"/>
      <w:bookmarkEnd w:id="74"/>
      <w:bookmarkEnd w:id="75"/>
      <w:bookmarkEnd w:id="76"/>
      <w:bookmarkEnd w:id="77"/>
      <w:bookmarkEnd w:id="78"/>
      <w:bookmarkEnd w:id="79"/>
      <w:bookmarkEnd w:id="80"/>
    </w:p>
    <w:p>
      <w:pPr>
        <w:pStyle w:val="Heading5"/>
      </w:pPr>
      <w:bookmarkStart w:id="81" w:name="_Toc178257619"/>
      <w:bookmarkStart w:id="82" w:name="_Toc170381012"/>
      <w:r>
        <w:rPr>
          <w:rStyle w:val="CharSectno"/>
        </w:rPr>
        <w:t>20</w:t>
      </w:r>
      <w:r>
        <w:t>.</w:t>
      </w:r>
      <w:r>
        <w:tab/>
        <w:t>Regulations</w:t>
      </w:r>
      <w:bookmarkEnd w:id="81"/>
      <w:bookmarkEnd w:id="82"/>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544" w:gutter="0"/>
          <w:pgNumType w:start="1"/>
          <w:cols w:space="720"/>
          <w:titlePg/>
          <w:docGrid w:linePitch="326"/>
        </w:sectPr>
      </w:pPr>
      <w:bookmarkStart w:id="83" w:name="_Toc170375516"/>
      <w:bookmarkStart w:id="84" w:name="_Toc170379876"/>
      <w:bookmarkStart w:id="85" w:name="_Toc170375025"/>
    </w:p>
    <w:p>
      <w:pPr>
        <w:pStyle w:val="nHeading2"/>
      </w:pPr>
      <w:bookmarkStart w:id="86" w:name="_Toc178155317"/>
      <w:bookmarkStart w:id="87" w:name="_Toc178155555"/>
      <w:bookmarkStart w:id="88" w:name="_Toc178155949"/>
      <w:bookmarkStart w:id="89" w:name="_Toc178257620"/>
      <w:bookmarkStart w:id="90" w:name="_Toc170380033"/>
      <w:bookmarkStart w:id="91" w:name="_Toc170380808"/>
      <w:bookmarkStart w:id="92" w:name="_Toc170381013"/>
      <w:r>
        <w:t>Notes</w:t>
      </w:r>
      <w:bookmarkEnd w:id="86"/>
      <w:bookmarkEnd w:id="87"/>
      <w:bookmarkEnd w:id="88"/>
      <w:bookmarkEnd w:id="89"/>
      <w:bookmarkEnd w:id="83"/>
      <w:bookmarkEnd w:id="84"/>
      <w:bookmarkEnd w:id="90"/>
      <w:bookmarkEnd w:id="91"/>
      <w:bookmarkEnd w:id="92"/>
    </w:p>
    <w:p>
      <w:pPr>
        <w:pStyle w:val="nStatement"/>
      </w:pPr>
      <w:r>
        <w:t xml:space="preserve">This is a compilation of the </w:t>
      </w:r>
      <w:r>
        <w:rPr>
          <w:i/>
          <w:noProof/>
        </w:rPr>
        <w:t>Weapons Act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rPr>
          <w:snapToGrid w:val="0"/>
        </w:rPr>
      </w:pPr>
      <w:bookmarkStart w:id="93" w:name="_Toc178257621"/>
      <w:bookmarkStart w:id="94" w:name="_Toc170381014"/>
      <w:r>
        <w:t>Compilation table</w:t>
      </w:r>
      <w:bookmarkEnd w:id="93"/>
      <w:bookmarkEnd w:id="9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Pt. 3</w:t>
            </w:r>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r>
              <w:rPr>
                <w:iCs/>
                <w:snapToGrid w:val="0"/>
              </w:rPr>
              <w:t xml:space="preserve">s. 5-7 and 9-12: </w:t>
            </w:r>
            <w:r>
              <w:t>4 Dec 2009 (see s. 2(c));</w:t>
            </w:r>
            <w:r>
              <w:br/>
              <w:t>s. 8: 31 Dec 2009 (see s. 2(b))</w:t>
            </w:r>
          </w:p>
        </w:tc>
      </w:tr>
    </w:tbl>
    <w:p>
      <w:pPr>
        <w:pStyle w:val="nHeading3"/>
      </w:pPr>
      <w:bookmarkStart w:id="95" w:name="_Toc178257622"/>
      <w:bookmarkStart w:id="96" w:name="_Toc170381015"/>
      <w:r>
        <w:t>Uncommenced provisions table</w:t>
      </w:r>
      <w:bookmarkEnd w:id="95"/>
      <w:bookmarkEnd w:id="9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rPr>
                <w:iCs/>
              </w:rPr>
            </w:pPr>
            <w:r>
              <w:rPr>
                <w:i/>
              </w:rPr>
              <w:t>Firearms Act 2024</w:t>
            </w:r>
            <w:r>
              <w:rPr>
                <w:iCs/>
              </w:rPr>
              <w:t xml:space="preserve"> Pt. 17 Div. 3 Subdiv. 20</w:t>
            </w:r>
          </w:p>
        </w:tc>
        <w:tc>
          <w:tcPr>
            <w:tcW w:w="1134" w:type="dxa"/>
            <w:tcBorders>
              <w:bottom w:val="nil"/>
            </w:tcBorders>
          </w:tcPr>
          <w:p>
            <w:pPr>
              <w:pStyle w:val="nTable"/>
              <w:spacing w:after="40"/>
            </w:pPr>
            <w:r>
              <w:t>23 of 2024</w:t>
            </w:r>
          </w:p>
        </w:tc>
        <w:tc>
          <w:tcPr>
            <w:tcW w:w="1134" w:type="dxa"/>
            <w:tcBorders>
              <w:bottom w:val="nil"/>
            </w:tcBorders>
          </w:tcPr>
          <w:p>
            <w:pPr>
              <w:pStyle w:val="nTable"/>
              <w:spacing w:after="40"/>
            </w:pPr>
            <w:r>
              <w:t>27 Jun 2024</w:t>
            </w:r>
          </w:p>
        </w:tc>
        <w:tc>
          <w:tcPr>
            <w:tcW w:w="2552" w:type="dxa"/>
            <w:tcBorders>
              <w:bottom w:val="nil"/>
            </w:tcBorders>
          </w:tcPr>
          <w:p>
            <w:pPr>
              <w:pStyle w:val="nTable"/>
              <w:spacing w:after="40"/>
            </w:pPr>
            <w:r>
              <w:t>To be proclaimed (see s. 2(d))</w:t>
            </w:r>
          </w:p>
        </w:tc>
      </w:tr>
      <w:tr>
        <w:trPr>
          <w:ins w:id="97" w:author="Master Repository Process" w:date="2025-06-20T12:25:00Z"/>
        </w:trPr>
        <w:tc>
          <w:tcPr>
            <w:tcW w:w="2268" w:type="dxa"/>
            <w:tcBorders>
              <w:top w:val="nil"/>
            </w:tcBorders>
          </w:tcPr>
          <w:p>
            <w:pPr>
              <w:pStyle w:val="nTable"/>
              <w:spacing w:after="40"/>
              <w:rPr>
                <w:ins w:id="98" w:author="Master Repository Process" w:date="2025-06-20T12:25:00Z"/>
                <w:iCs/>
              </w:rPr>
            </w:pPr>
            <w:ins w:id="99" w:author="Master Repository Process" w:date="2025-06-20T12:25:00Z">
              <w:r>
                <w:rPr>
                  <w:i/>
                </w:rPr>
                <w:t xml:space="preserve">Police Legislation Amendment Act 2024 </w:t>
              </w:r>
              <w:r>
                <w:rPr>
                  <w:iCs/>
                </w:rPr>
                <w:t>Pt. 3</w:t>
              </w:r>
            </w:ins>
          </w:p>
        </w:tc>
        <w:tc>
          <w:tcPr>
            <w:tcW w:w="1134" w:type="dxa"/>
            <w:tcBorders>
              <w:top w:val="nil"/>
            </w:tcBorders>
          </w:tcPr>
          <w:p>
            <w:pPr>
              <w:pStyle w:val="nTable"/>
              <w:spacing w:after="40"/>
              <w:rPr>
                <w:ins w:id="100" w:author="Master Repository Process" w:date="2025-06-20T12:25:00Z"/>
              </w:rPr>
            </w:pPr>
            <w:ins w:id="101" w:author="Master Repository Process" w:date="2025-06-20T12:25:00Z">
              <w:r>
                <w:t>33 of 2024</w:t>
              </w:r>
            </w:ins>
          </w:p>
        </w:tc>
        <w:tc>
          <w:tcPr>
            <w:tcW w:w="1134" w:type="dxa"/>
            <w:tcBorders>
              <w:top w:val="nil"/>
            </w:tcBorders>
          </w:tcPr>
          <w:p>
            <w:pPr>
              <w:pStyle w:val="nTable"/>
              <w:spacing w:after="40"/>
              <w:rPr>
                <w:ins w:id="102" w:author="Master Repository Process" w:date="2025-06-20T12:25:00Z"/>
              </w:rPr>
            </w:pPr>
            <w:ins w:id="103" w:author="Master Repository Process" w:date="2025-06-20T12:25:00Z">
              <w:r>
                <w:t>26 Sep 2024</w:t>
              </w:r>
            </w:ins>
          </w:p>
        </w:tc>
        <w:tc>
          <w:tcPr>
            <w:tcW w:w="2552" w:type="dxa"/>
            <w:tcBorders>
              <w:top w:val="nil"/>
            </w:tcBorders>
          </w:tcPr>
          <w:p>
            <w:pPr>
              <w:pStyle w:val="nTable"/>
              <w:spacing w:after="40"/>
              <w:rPr>
                <w:ins w:id="104" w:author="Master Repository Process" w:date="2025-06-20T12:25:00Z"/>
              </w:rPr>
            </w:pPr>
            <w:ins w:id="105" w:author="Master Repository Process" w:date="2025-06-20T12:25:00Z">
              <w:r>
                <w:t>To be proclaimed (see s. 2(1)(b))</w:t>
              </w:r>
            </w:ins>
          </w:p>
        </w:tc>
      </w:tr>
    </w:tbl>
    <w:p>
      <w:pPr>
        <w:pStyle w:val="nHeading3"/>
      </w:pPr>
      <w:bookmarkStart w:id="106" w:name="_Toc178257623"/>
      <w:bookmarkStart w:id="107" w:name="_Toc170381016"/>
      <w:r>
        <w:t>Other notes</w:t>
      </w:r>
      <w:bookmarkEnd w:id="106"/>
      <w:bookmarkEnd w:id="107"/>
    </w:p>
    <w:p>
      <w:pPr>
        <w:pStyle w:val="nNote"/>
        <w:spacing w:before="160"/>
      </w:pPr>
      <w:r>
        <w:rPr>
          <w:vertAlign w:val="superscript"/>
        </w:rPr>
        <w:t>1</w:t>
      </w:r>
      <w:r>
        <w:tab/>
        <w:t xml:space="preserve">The provision in this Act amending these Acts has been omitted under the </w:t>
      </w:r>
      <w:r>
        <w:rPr>
          <w:i/>
        </w:rPr>
        <w:t>Reprints Act 1984</w:t>
      </w:r>
      <w:r>
        <w:t xml:space="preserve"> s. 7(4)(e).</w:t>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bookmarkStart w:id="109" w:name="_Toc170375520"/>
      <w:bookmarkStart w:id="110" w:name="_Toc170379880"/>
    </w:p>
    <w:bookmarkEnd w:id="85"/>
    <w:bookmarkEnd w:id="109"/>
    <w:bookmarkEnd w:id="110"/>
    <w:p>
      <w:pPr>
        <w:rPr>
          <w:ins w:id="111" w:author="Master Repository Process" w:date="2025-06-20T12:25:00Z"/>
        </w:rP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112" w:author="Master Repository Process" w:date="2025-06-20T12:25:00Z"/>
        </w:r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3" w:name="Coversheet"/>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612"/>
    </w:tblGrid>
    <w:tr>
      <w:trPr>
        <w:cantSplit/>
        <w:jc w:val="center"/>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612" w:type="dxa"/>
        </w:tcPr>
        <w:p>
          <w:pPr>
            <w:pStyle w:val="Header"/>
            <w:spacing w:before="40"/>
          </w:pPr>
        </w:p>
      </w:tc>
    </w:tr>
    <w:tr>
      <w:trPr>
        <w:cantSplit/>
        <w:jc w:val="center"/>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400"/>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400" w:type="dxa"/>
        </w:tcPr>
        <w:p>
          <w:pPr>
            <w:pStyle w:val="Header"/>
            <w:spacing w:before="40"/>
            <w:ind w:right="17"/>
            <w:jc w:val="right"/>
          </w:pPr>
        </w:p>
      </w:tc>
    </w:tr>
    <w:tr>
      <w:trPr>
        <w:cantSplit/>
        <w:jc w:val="center"/>
      </w:trPr>
      <w:tc>
        <w:tcPr>
          <w:tcW w:w="7160" w:type="dxa"/>
          <w:gridSpan w:val="2"/>
        </w:tcPr>
        <w:p>
          <w:pPr>
            <w:pStyle w:val="Header"/>
            <w:spacing w:before="40"/>
            <w:ind w:right="17"/>
            <w:jc w:val="right"/>
          </w:pPr>
        </w:p>
      </w:tc>
    </w:tr>
  </w:tbl>
  <w:p>
    <w:pPr>
      <w:pStyle w:val="Header"/>
      <w:pBdr>
        <w:top w:val="single" w:sz="4" w:space="1" w:color="auto"/>
      </w:pBdr>
    </w:pPr>
    <w:bookmarkStart w:id="108" w:name="Compilation"/>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25111326"/>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 w:name="WAFER_202406271001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627100111_GUID" w:val="ddbcfd89-5dbf-462c-9b3c-d805aff729e4"/>
    <w:docVar w:name="WAFER_2024092511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25111326_GUID" w:val="25ba0723-9f0c-46ef-9474-d4676597d2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8564C5-841B-4122-9F6D-665A539C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3275</Words>
  <Characters>14807</Characters>
  <Application>Microsoft Office Word</Application>
  <DocSecurity>0</DocSecurity>
  <Lines>448</Lines>
  <Paragraphs>287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17795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01-e0-00 - 01-f0-00</dc:title>
  <dc:subject/>
  <dc:creator/>
  <cp:keywords/>
  <dc:description/>
  <cp:lastModifiedBy>Master Repository Process</cp:lastModifiedBy>
  <cp:revision>2</cp:revision>
  <cp:lastPrinted>2005-10-31T04:24:00Z</cp:lastPrinted>
  <dcterms:created xsi:type="dcterms:W3CDTF">2025-06-20T04:25:00Z</dcterms:created>
  <dcterms:modified xsi:type="dcterms:W3CDTF">2025-06-20T04:25:00Z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DocumentType">
    <vt:lpwstr>Act</vt:lpwstr>
  </property>
  <property fmtid="{D5CDD505-2E9C-101B-9397-08002B2CF9AE}" pid="4" name="OwlsUID">
    <vt:i4>1942</vt:i4>
  </property>
  <property fmtid="{D5CDD505-2E9C-101B-9397-08002B2CF9AE}" pid="5" name="ReprintNo">
    <vt:lpwstr>1</vt:lpwstr>
  </property>
  <property fmtid="{D5CDD505-2E9C-101B-9397-08002B2CF9AE}" pid="6" name="Official">
    <vt:lpwstr/>
  </property>
  <property fmtid="{D5CDD505-2E9C-101B-9397-08002B2CF9AE}" pid="7" name="CommencementDate">
    <vt:lpwstr>20240926</vt:lpwstr>
  </property>
  <property fmtid="{D5CDD505-2E9C-101B-9397-08002B2CF9AE}" pid="8" name="CommencementAsAt">
    <vt:filetime>2024-09-25T16:00:00Z</vt:filetime>
  </property>
  <property fmtid="{D5CDD505-2E9C-101B-9397-08002B2CF9AE}" pid="9" name="CommencementYear">
    <vt:lpwstr>2024</vt:lpwstr>
  </property>
  <property fmtid="{D5CDD505-2E9C-101B-9397-08002B2CF9AE}" pid="10" name="FromSuffix">
    <vt:lpwstr>01-e0-00</vt:lpwstr>
  </property>
  <property fmtid="{D5CDD505-2E9C-101B-9397-08002B2CF9AE}" pid="11" name="FromAsAtDate">
    <vt:lpwstr>27 Jun 2024</vt:lpwstr>
  </property>
  <property fmtid="{D5CDD505-2E9C-101B-9397-08002B2CF9AE}" pid="12" name="ToSuffix">
    <vt:lpwstr>01-f0-00</vt:lpwstr>
  </property>
  <property fmtid="{D5CDD505-2E9C-101B-9397-08002B2CF9AE}" pid="13" name="ToAsAtDate">
    <vt:lpwstr>26 Sep 2024</vt:lpwstr>
  </property>
</Properties>
</file>