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Limitation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1" w:name="_Toc177639810"/>
      <w:bookmarkStart w:id="2" w:name="_Toc177640451"/>
      <w:bookmarkStart w:id="3" w:name="_Toc177645145"/>
      <w:bookmarkStart w:id="4" w:name="_Toc178257372"/>
      <w:bookmarkStart w:id="5" w:name="_Toc168992986"/>
      <w:bookmarkStart w:id="6" w:name="_Toc168993105"/>
      <w:bookmarkStart w:id="7" w:name="_Toc1690852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78257373"/>
      <w:bookmarkStart w:id="9" w:name="_Toc169085254"/>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10" w:name="_Toc178257374"/>
      <w:bookmarkStart w:id="11" w:name="_Toc169085255"/>
      <w:r>
        <w:rPr>
          <w:rStyle w:val="CharSectno"/>
        </w:rPr>
        <w:t>2</w:t>
      </w:r>
      <w:r>
        <w:t>.</w:t>
      </w:r>
      <w:r>
        <w:tab/>
        <w:t>Commencement</w:t>
      </w:r>
      <w:bookmarkEnd w:id="10"/>
      <w:bookmarkEnd w:id="11"/>
    </w:p>
    <w:p>
      <w:pPr>
        <w:pStyle w:val="Subsection"/>
        <w:rPr>
          <w:spacing w:val="-2"/>
        </w:rPr>
      </w:pPr>
      <w:r>
        <w:tab/>
      </w:r>
      <w:r>
        <w:tab/>
        <w:t xml:space="preserve">This Act </w:t>
      </w:r>
      <w:r>
        <w:rPr>
          <w:spacing w:val="-2"/>
        </w:rPr>
        <w:t>comes into operation on the day on which it receives the Royal Assent.</w:t>
      </w:r>
    </w:p>
    <w:p>
      <w:pPr>
        <w:pStyle w:val="Heading5"/>
      </w:pPr>
      <w:bookmarkStart w:id="12" w:name="_Toc178257375"/>
      <w:bookmarkStart w:id="13" w:name="_Toc169085256"/>
      <w:r>
        <w:rPr>
          <w:rStyle w:val="CharSectno"/>
        </w:rPr>
        <w:t>3</w:t>
      </w:r>
      <w:r>
        <w:t>.</w:t>
      </w:r>
      <w:r>
        <w:tab/>
        <w:t>Interpretation</w:t>
      </w:r>
      <w:bookmarkEnd w:id="12"/>
      <w:bookmarkEnd w:id="13"/>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4" w:name="_Toc178257376"/>
      <w:bookmarkStart w:id="15" w:name="_Toc169085257"/>
      <w:r>
        <w:rPr>
          <w:rStyle w:val="CharSectno"/>
        </w:rPr>
        <w:t>4</w:t>
      </w:r>
      <w:r>
        <w:t>.</w:t>
      </w:r>
      <w:r>
        <w:tab/>
        <w:t>Application of limitation periods under this Act</w:t>
      </w:r>
      <w:bookmarkEnd w:id="14"/>
      <w:bookmarkEnd w:id="15"/>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6" w:name="_Toc178257377"/>
      <w:bookmarkStart w:id="17" w:name="_Toc169085258"/>
      <w:r>
        <w:rPr>
          <w:rStyle w:val="CharSectno"/>
        </w:rPr>
        <w:t>5</w:t>
      </w:r>
      <w:r>
        <w:t>.</w:t>
      </w:r>
      <w:r>
        <w:tab/>
        <w:t>Actions other than personal injury actions do not revive</w:t>
      </w:r>
      <w:bookmarkEnd w:id="16"/>
      <w:bookmarkEnd w:id="17"/>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8" w:name="_Toc178257378"/>
      <w:bookmarkStart w:id="19" w:name="_Toc169085259"/>
      <w:r>
        <w:rPr>
          <w:rStyle w:val="CharSectno"/>
        </w:rPr>
        <w:t>6</w:t>
      </w:r>
      <w:r>
        <w:t>.</w:t>
      </w:r>
      <w:r>
        <w:tab/>
        <w:t>Personal injury actions — accrual, limitation periods</w:t>
      </w:r>
      <w:bookmarkEnd w:id="18"/>
      <w:bookmarkEnd w:id="19"/>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20" w:name="_Toc178257379"/>
      <w:bookmarkStart w:id="21" w:name="_Toc169085260"/>
      <w:r>
        <w:rPr>
          <w:rStyle w:val="CharSectno"/>
        </w:rPr>
        <w:t>6A</w:t>
      </w:r>
      <w:r>
        <w:t>.</w:t>
      </w:r>
      <w:r>
        <w:tab/>
        <w:t>Special provisions for child sexual abuse actions: no limitation period</w:t>
      </w:r>
      <w:bookmarkEnd w:id="20"/>
      <w:bookmarkEnd w:id="21"/>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22" w:name="_Toc178257380"/>
      <w:bookmarkStart w:id="23" w:name="_Toc169085261"/>
      <w:r>
        <w:rPr>
          <w:rStyle w:val="CharSectno"/>
        </w:rPr>
        <w:t>7</w:t>
      </w:r>
      <w:r>
        <w:t>.</w:t>
      </w:r>
      <w:r>
        <w:tab/>
        <w:t>Special provisions for certain personal injury actions relating to childbirth</w:t>
      </w:r>
      <w:bookmarkEnd w:id="22"/>
      <w:bookmarkEnd w:id="23"/>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24" w:name="_Toc178257381"/>
      <w:bookmarkStart w:id="25" w:name="_Toc169085262"/>
      <w:r>
        <w:rPr>
          <w:rStyle w:val="CharSectno"/>
        </w:rPr>
        <w:t>8</w:t>
      </w:r>
      <w:r>
        <w:t>.</w:t>
      </w:r>
      <w:r>
        <w:tab/>
        <w:t>Special provisions for certain defamation actions</w:t>
      </w:r>
      <w:bookmarkEnd w:id="24"/>
      <w:bookmarkEnd w:id="25"/>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26" w:name="_Toc178257382"/>
      <w:bookmarkStart w:id="27" w:name="_Toc169085263"/>
      <w:r>
        <w:rPr>
          <w:rStyle w:val="CharSectno"/>
        </w:rPr>
        <w:t>9</w:t>
      </w:r>
      <w:r>
        <w:t>.</w:t>
      </w:r>
      <w:r>
        <w:tab/>
        <w:t>Limitation periods under other written laws</w:t>
      </w:r>
      <w:bookmarkEnd w:id="26"/>
      <w:bookmarkEnd w:id="27"/>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28" w:name="_Toc178257383"/>
      <w:bookmarkStart w:id="29" w:name="_Toc169085264"/>
      <w:r>
        <w:rPr>
          <w:rStyle w:val="CharSectno"/>
        </w:rPr>
        <w:t>10</w:t>
      </w:r>
      <w:r>
        <w:t>.</w:t>
      </w:r>
      <w:r>
        <w:tab/>
        <w:t>Application to Crown</w:t>
      </w:r>
      <w:bookmarkEnd w:id="28"/>
      <w:bookmarkEnd w:id="29"/>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30" w:name="_Toc177639822"/>
      <w:bookmarkStart w:id="31" w:name="_Toc177640463"/>
      <w:bookmarkStart w:id="32" w:name="_Toc177645157"/>
      <w:bookmarkStart w:id="33" w:name="_Toc178257384"/>
      <w:bookmarkStart w:id="34" w:name="_Toc168992998"/>
      <w:bookmarkStart w:id="35" w:name="_Toc168993117"/>
      <w:bookmarkStart w:id="36" w:name="_Toc169085265"/>
      <w:r>
        <w:rPr>
          <w:rStyle w:val="CharPartNo"/>
        </w:rPr>
        <w:t>Part 2</w:t>
      </w:r>
      <w:r>
        <w:t> — </w:t>
      </w:r>
      <w:r>
        <w:rPr>
          <w:rStyle w:val="CharPartText"/>
        </w:rPr>
        <w:t>Limitation periods</w:t>
      </w:r>
      <w:bookmarkEnd w:id="30"/>
      <w:bookmarkEnd w:id="31"/>
      <w:bookmarkEnd w:id="32"/>
      <w:bookmarkEnd w:id="33"/>
      <w:bookmarkEnd w:id="34"/>
      <w:bookmarkEnd w:id="35"/>
      <w:bookmarkEnd w:id="36"/>
    </w:p>
    <w:p>
      <w:pPr>
        <w:pStyle w:val="Heading3"/>
      </w:pPr>
      <w:bookmarkStart w:id="37" w:name="_Toc177639823"/>
      <w:bookmarkStart w:id="38" w:name="_Toc177640464"/>
      <w:bookmarkStart w:id="39" w:name="_Toc177645158"/>
      <w:bookmarkStart w:id="40" w:name="_Toc178257385"/>
      <w:bookmarkStart w:id="41" w:name="_Toc168992999"/>
      <w:bookmarkStart w:id="42" w:name="_Toc168993118"/>
      <w:bookmarkStart w:id="43" w:name="_Toc169085266"/>
      <w:r>
        <w:rPr>
          <w:rStyle w:val="CharDivNo"/>
        </w:rPr>
        <w:t>Division 1</w:t>
      </w:r>
      <w:r>
        <w:t> — </w:t>
      </w:r>
      <w:r>
        <w:rPr>
          <w:rStyle w:val="CharDivText"/>
        </w:rPr>
        <w:t>Preliminary</w:t>
      </w:r>
      <w:bookmarkEnd w:id="37"/>
      <w:bookmarkEnd w:id="38"/>
      <w:bookmarkEnd w:id="39"/>
      <w:bookmarkEnd w:id="40"/>
      <w:bookmarkEnd w:id="41"/>
      <w:bookmarkEnd w:id="42"/>
      <w:bookmarkEnd w:id="43"/>
    </w:p>
    <w:p>
      <w:pPr>
        <w:pStyle w:val="Heading5"/>
      </w:pPr>
      <w:bookmarkStart w:id="44" w:name="_Toc178257386"/>
      <w:bookmarkStart w:id="45" w:name="_Toc169085267"/>
      <w:r>
        <w:rPr>
          <w:rStyle w:val="CharSectno"/>
        </w:rPr>
        <w:t>11</w:t>
      </w:r>
      <w:r>
        <w:t>.</w:t>
      </w:r>
      <w:r>
        <w:tab/>
        <w:t>Limitation periods under this Part are extendable etc. under Part 3</w:t>
      </w:r>
      <w:bookmarkEnd w:id="44"/>
      <w:bookmarkEnd w:id="45"/>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46" w:name="_Toc178257387"/>
      <w:bookmarkStart w:id="47" w:name="_Toc169085268"/>
      <w:r>
        <w:rPr>
          <w:rStyle w:val="CharSectno"/>
        </w:rPr>
        <w:t>12</w:t>
      </w:r>
      <w:r>
        <w:t>.</w:t>
      </w:r>
      <w:r>
        <w:tab/>
        <w:t>When actions commence</w:t>
      </w:r>
      <w:bookmarkEnd w:id="46"/>
      <w:bookmarkEnd w:id="47"/>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48" w:name="_Toc177639826"/>
      <w:bookmarkStart w:id="49" w:name="_Toc177640467"/>
      <w:bookmarkStart w:id="50" w:name="_Toc177645161"/>
      <w:bookmarkStart w:id="51" w:name="_Toc178257388"/>
      <w:bookmarkStart w:id="52" w:name="_Toc168993002"/>
      <w:bookmarkStart w:id="53" w:name="_Toc168993121"/>
      <w:bookmarkStart w:id="54" w:name="_Toc169085269"/>
      <w:r>
        <w:rPr>
          <w:rStyle w:val="CharDivNo"/>
        </w:rPr>
        <w:t>Division 2</w:t>
      </w:r>
      <w:r>
        <w:t> — </w:t>
      </w:r>
      <w:r>
        <w:rPr>
          <w:rStyle w:val="CharDivText"/>
        </w:rPr>
        <w:t>General limitation period</w:t>
      </w:r>
      <w:bookmarkEnd w:id="48"/>
      <w:bookmarkEnd w:id="49"/>
      <w:bookmarkEnd w:id="50"/>
      <w:bookmarkEnd w:id="51"/>
      <w:bookmarkEnd w:id="52"/>
      <w:bookmarkEnd w:id="53"/>
      <w:bookmarkEnd w:id="54"/>
    </w:p>
    <w:p>
      <w:pPr>
        <w:pStyle w:val="Heading5"/>
      </w:pPr>
      <w:bookmarkStart w:id="55" w:name="_Toc178257389"/>
      <w:bookmarkStart w:id="56" w:name="_Toc169085270"/>
      <w:r>
        <w:rPr>
          <w:rStyle w:val="CharSectno"/>
        </w:rPr>
        <w:t>13</w:t>
      </w:r>
      <w:r>
        <w:t>.</w:t>
      </w:r>
      <w:r>
        <w:tab/>
        <w:t>General limitation period — 6 years</w:t>
      </w:r>
      <w:bookmarkEnd w:id="55"/>
      <w:bookmarkEnd w:id="56"/>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57" w:name="_Toc177639828"/>
      <w:bookmarkStart w:id="58" w:name="_Toc177640469"/>
      <w:bookmarkStart w:id="59" w:name="_Toc177645163"/>
      <w:bookmarkStart w:id="60" w:name="_Toc178257390"/>
      <w:bookmarkStart w:id="61" w:name="_Toc168993004"/>
      <w:bookmarkStart w:id="62" w:name="_Toc168993123"/>
      <w:bookmarkStart w:id="63" w:name="_Toc169085271"/>
      <w:r>
        <w:rPr>
          <w:rStyle w:val="CharDivNo"/>
        </w:rPr>
        <w:t>Division 3</w:t>
      </w:r>
      <w:r>
        <w:t> — </w:t>
      </w:r>
      <w:r>
        <w:rPr>
          <w:rStyle w:val="CharDivText"/>
        </w:rPr>
        <w:t>Limitation periods for particular causes of action</w:t>
      </w:r>
      <w:bookmarkEnd w:id="57"/>
      <w:bookmarkEnd w:id="58"/>
      <w:bookmarkEnd w:id="59"/>
      <w:bookmarkEnd w:id="60"/>
      <w:bookmarkEnd w:id="61"/>
      <w:bookmarkEnd w:id="62"/>
      <w:bookmarkEnd w:id="63"/>
    </w:p>
    <w:p>
      <w:pPr>
        <w:pStyle w:val="Heading5"/>
      </w:pPr>
      <w:bookmarkStart w:id="64" w:name="_Toc178257391"/>
      <w:bookmarkStart w:id="65" w:name="_Toc169085272"/>
      <w:r>
        <w:rPr>
          <w:rStyle w:val="CharSectno"/>
        </w:rPr>
        <w:t>14</w:t>
      </w:r>
      <w:r>
        <w:t>.</w:t>
      </w:r>
      <w:r>
        <w:tab/>
        <w:t xml:space="preserve">Personal injury, </w:t>
      </w:r>
      <w:r>
        <w:rPr>
          <w:i/>
        </w:rPr>
        <w:t xml:space="preserve">Fatal Accidents Act 1959 </w:t>
      </w:r>
      <w:r>
        <w:t>actions — 3 years</w:t>
      </w:r>
      <w:bookmarkEnd w:id="64"/>
      <w:bookmarkEnd w:id="65"/>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66" w:name="_Toc178257392"/>
      <w:bookmarkStart w:id="67" w:name="_Toc169085273"/>
      <w:r>
        <w:rPr>
          <w:rStyle w:val="CharSectno"/>
        </w:rPr>
        <w:t>15</w:t>
      </w:r>
      <w:r>
        <w:t>.</w:t>
      </w:r>
      <w:r>
        <w:tab/>
        <w:t>Defamation — one year from publication</w:t>
      </w:r>
      <w:bookmarkEnd w:id="66"/>
      <w:bookmarkEnd w:id="67"/>
    </w:p>
    <w:p>
      <w:pPr>
        <w:pStyle w:val="Subsection"/>
      </w:pPr>
      <w:r>
        <w:tab/>
      </w:r>
      <w:r>
        <w:tab/>
        <w:t>An action relating to the publication of defamatory matter cannot be commenced if one year has elapsed since the publication.</w:t>
      </w:r>
    </w:p>
    <w:p>
      <w:pPr>
        <w:pStyle w:val="Heading5"/>
      </w:pPr>
      <w:bookmarkStart w:id="68" w:name="_Toc178257393"/>
      <w:bookmarkStart w:id="69" w:name="_Toc169085274"/>
      <w:r>
        <w:rPr>
          <w:rStyle w:val="CharSectno"/>
        </w:rPr>
        <w:t>16</w:t>
      </w:r>
      <w:r>
        <w:t>.</w:t>
      </w:r>
      <w:r>
        <w:tab/>
        <w:t>Trespass to the person etc. — 3 years</w:t>
      </w:r>
      <w:bookmarkEnd w:id="68"/>
      <w:bookmarkEnd w:id="69"/>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70" w:name="_Toc178257394"/>
      <w:bookmarkStart w:id="71" w:name="_Toc169085275"/>
      <w:r>
        <w:rPr>
          <w:rStyle w:val="CharSectno"/>
        </w:rPr>
        <w:t>17</w:t>
      </w:r>
      <w:r>
        <w:t>.</w:t>
      </w:r>
      <w:r>
        <w:tab/>
        <w:t>Contribution between tortfeasors — 2 years</w:t>
      </w:r>
      <w:bookmarkEnd w:id="70"/>
      <w:bookmarkEnd w:id="71"/>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72" w:name="_Toc178257395"/>
      <w:bookmarkStart w:id="73" w:name="_Toc169085276"/>
      <w:r>
        <w:rPr>
          <w:rStyle w:val="CharSectno"/>
        </w:rPr>
        <w:t>18</w:t>
      </w:r>
      <w:r>
        <w:t>.</w:t>
      </w:r>
      <w:r>
        <w:tab/>
        <w:t>Deeds — 12 years</w:t>
      </w:r>
      <w:bookmarkEnd w:id="72"/>
      <w:bookmarkEnd w:id="73"/>
    </w:p>
    <w:p>
      <w:pPr>
        <w:pStyle w:val="Subsection"/>
      </w:pPr>
      <w:r>
        <w:tab/>
      </w:r>
      <w:r>
        <w:tab/>
        <w:t>An action on a cause of action founded on a deed cannot be commenced if 12 years have elapsed since the cause of action accrued.</w:t>
      </w:r>
    </w:p>
    <w:p>
      <w:pPr>
        <w:pStyle w:val="Heading5"/>
      </w:pPr>
      <w:bookmarkStart w:id="74" w:name="_Toc178257396"/>
      <w:bookmarkStart w:id="75" w:name="_Toc169085277"/>
      <w:r>
        <w:rPr>
          <w:rStyle w:val="CharSectno"/>
        </w:rPr>
        <w:t>19</w:t>
      </w:r>
      <w:r>
        <w:t>.</w:t>
      </w:r>
      <w:r>
        <w:tab/>
        <w:t>Recovery of land — 12 years</w:t>
      </w:r>
      <w:bookmarkEnd w:id="74"/>
      <w:bookmarkEnd w:id="75"/>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76" w:name="_Toc178257397"/>
      <w:bookmarkStart w:id="77" w:name="_Toc169085278"/>
      <w:r>
        <w:rPr>
          <w:rStyle w:val="CharSectno"/>
        </w:rPr>
        <w:t>20</w:t>
      </w:r>
      <w:r>
        <w:t>.</w:t>
      </w:r>
      <w:r>
        <w:tab/>
        <w:t>M</w:t>
      </w:r>
      <w:r>
        <w:rPr>
          <w:snapToGrid w:val="0"/>
        </w:rPr>
        <w:t>oney secured on real property or on real and personal property — 12 years</w:t>
      </w:r>
      <w:bookmarkEnd w:id="76"/>
      <w:bookmarkEnd w:id="77"/>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78" w:name="_Toc178257398"/>
      <w:bookmarkStart w:id="79" w:name="_Toc169085279"/>
      <w:r>
        <w:rPr>
          <w:rStyle w:val="CharSectno"/>
        </w:rPr>
        <w:t>21</w:t>
      </w:r>
      <w:r>
        <w:t>.</w:t>
      </w:r>
      <w:r>
        <w:tab/>
        <w:t xml:space="preserve">Interest secured on </w:t>
      </w:r>
      <w:r>
        <w:rPr>
          <w:snapToGrid w:val="0"/>
        </w:rPr>
        <w:t>real property or on real and personal property</w:t>
      </w:r>
      <w:bookmarkEnd w:id="78"/>
      <w:bookmarkEnd w:id="79"/>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80" w:name="_Toc178257399"/>
      <w:bookmarkStart w:id="81" w:name="_Toc169085280"/>
      <w:r>
        <w:rPr>
          <w:rStyle w:val="CharSectno"/>
        </w:rPr>
        <w:t>22</w:t>
      </w:r>
      <w:r>
        <w:t>.</w:t>
      </w:r>
      <w:r>
        <w:tab/>
        <w:t xml:space="preserve">Interest secured on </w:t>
      </w:r>
      <w:r>
        <w:rPr>
          <w:snapToGrid w:val="0"/>
        </w:rPr>
        <w:t>personal property</w:t>
      </w:r>
      <w:bookmarkEnd w:id="80"/>
      <w:bookmarkEnd w:id="81"/>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82" w:name="_Toc178257400"/>
      <w:bookmarkStart w:id="83" w:name="_Toc169085281"/>
      <w:r>
        <w:rPr>
          <w:rStyle w:val="CharSectno"/>
        </w:rPr>
        <w:t>23</w:t>
      </w:r>
      <w:r>
        <w:t>.</w:t>
      </w:r>
      <w:r>
        <w:tab/>
        <w:t>Possession — 12 years</w:t>
      </w:r>
      <w:bookmarkEnd w:id="82"/>
      <w:bookmarkEnd w:id="83"/>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84" w:name="_Toc178257401"/>
      <w:bookmarkStart w:id="85" w:name="_Toc169085282"/>
      <w:r>
        <w:rPr>
          <w:rStyle w:val="CharSectno"/>
        </w:rPr>
        <w:t>24</w:t>
      </w:r>
      <w:r>
        <w:t>.</w:t>
      </w:r>
      <w:r>
        <w:tab/>
        <w:t>Foreclosure — 12 years</w:t>
      </w:r>
      <w:bookmarkEnd w:id="84"/>
      <w:bookmarkEnd w:id="85"/>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86" w:name="_Toc178257402"/>
      <w:bookmarkStart w:id="87" w:name="_Toc169085283"/>
      <w:r>
        <w:rPr>
          <w:rStyle w:val="CharSectno"/>
        </w:rPr>
        <w:t>25</w:t>
      </w:r>
      <w:r>
        <w:t>.</w:t>
      </w:r>
      <w:r>
        <w:tab/>
        <w:t>Redemption — 12 years</w:t>
      </w:r>
      <w:bookmarkEnd w:id="86"/>
      <w:bookmarkEnd w:id="87"/>
    </w:p>
    <w:p>
      <w:pPr>
        <w:pStyle w:val="Subsection"/>
        <w:keepNext/>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88" w:name="_Toc178257403"/>
      <w:bookmarkStart w:id="89" w:name="_Toc169085284"/>
      <w:r>
        <w:rPr>
          <w:rStyle w:val="CharSectno"/>
        </w:rPr>
        <w:t>26</w:t>
      </w:r>
      <w:r>
        <w:t>.</w:t>
      </w:r>
      <w:r>
        <w:tab/>
        <w:t>Accounts — limitation period for the basis of the duty to account applies</w:t>
      </w:r>
      <w:bookmarkEnd w:id="88"/>
      <w:bookmarkEnd w:id="89"/>
    </w:p>
    <w:p>
      <w:pPr>
        <w:pStyle w:val="Subsection"/>
      </w:pPr>
      <w:r>
        <w:tab/>
      </w:r>
      <w:r>
        <w:tab/>
        <w:t>An action for an account cannot be commenced if the limitation period for the cause of action that is the basis of the duty to account has expired.</w:t>
      </w:r>
    </w:p>
    <w:p>
      <w:pPr>
        <w:pStyle w:val="Heading5"/>
      </w:pPr>
      <w:bookmarkStart w:id="90" w:name="_Toc178257404"/>
      <w:bookmarkStart w:id="91" w:name="_Toc169085285"/>
      <w:r>
        <w:rPr>
          <w:rStyle w:val="CharSectno"/>
        </w:rPr>
        <w:t>27</w:t>
      </w:r>
      <w:r>
        <w:t>.</w:t>
      </w:r>
      <w:r>
        <w:tab/>
        <w:t>Equitable actions (not analogous to other actions)</w:t>
      </w:r>
      <w:bookmarkEnd w:id="90"/>
      <w:bookmarkEnd w:id="91"/>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92" w:name="_Toc178257405"/>
      <w:bookmarkStart w:id="93" w:name="_Toc169085286"/>
      <w:r>
        <w:rPr>
          <w:rStyle w:val="CharSectno"/>
        </w:rPr>
        <w:t>28</w:t>
      </w:r>
      <w:r>
        <w:t>.</w:t>
      </w:r>
      <w:r>
        <w:tab/>
        <w:t>T</w:t>
      </w:r>
      <w:r>
        <w:rPr>
          <w:snapToGrid w:val="0"/>
        </w:rPr>
        <w:t>ax mistakenly paid — 12 months or as provided under other Act</w:t>
      </w:r>
      <w:bookmarkEnd w:id="92"/>
      <w:bookmarkEnd w:id="93"/>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94" w:name="_Toc178257406"/>
      <w:bookmarkStart w:id="95" w:name="_Toc169085287"/>
      <w:r>
        <w:rPr>
          <w:rStyle w:val="CharSectno"/>
        </w:rPr>
        <w:t>29</w:t>
      </w:r>
      <w:r>
        <w:t>.</w:t>
      </w:r>
      <w:r>
        <w:tab/>
        <w:t>Arbitration — limitation period for corresponding civil proceeding applies</w:t>
      </w:r>
      <w:bookmarkEnd w:id="94"/>
      <w:bookmarkEnd w:id="95"/>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96" w:name="_Toc177639845"/>
      <w:bookmarkStart w:id="97" w:name="_Toc177640486"/>
      <w:bookmarkStart w:id="98" w:name="_Toc177645180"/>
      <w:bookmarkStart w:id="99" w:name="_Toc178257407"/>
      <w:bookmarkStart w:id="100" w:name="_Toc168993021"/>
      <w:bookmarkStart w:id="101" w:name="_Toc168993140"/>
      <w:bookmarkStart w:id="102" w:name="_Toc169085288"/>
      <w:r>
        <w:rPr>
          <w:rStyle w:val="CharPartNo"/>
        </w:rPr>
        <w:t>Part 3</w:t>
      </w:r>
      <w:r>
        <w:t> — </w:t>
      </w:r>
      <w:r>
        <w:rPr>
          <w:rStyle w:val="CharPartText"/>
        </w:rPr>
        <w:t>Extension or shortening of limitation periods</w:t>
      </w:r>
      <w:bookmarkEnd w:id="96"/>
      <w:bookmarkEnd w:id="97"/>
      <w:bookmarkEnd w:id="98"/>
      <w:bookmarkEnd w:id="99"/>
      <w:bookmarkEnd w:id="100"/>
      <w:bookmarkEnd w:id="101"/>
      <w:bookmarkEnd w:id="102"/>
    </w:p>
    <w:p>
      <w:pPr>
        <w:pStyle w:val="Heading3"/>
      </w:pPr>
      <w:bookmarkStart w:id="103" w:name="_Toc177639846"/>
      <w:bookmarkStart w:id="104" w:name="_Toc177640487"/>
      <w:bookmarkStart w:id="105" w:name="_Toc177645181"/>
      <w:bookmarkStart w:id="106" w:name="_Toc178257408"/>
      <w:bookmarkStart w:id="107" w:name="_Toc168993022"/>
      <w:bookmarkStart w:id="108" w:name="_Toc168993141"/>
      <w:bookmarkStart w:id="109" w:name="_Toc169085289"/>
      <w:r>
        <w:rPr>
          <w:rStyle w:val="CharDivNo"/>
        </w:rPr>
        <w:t>Division 1</w:t>
      </w:r>
      <w:r>
        <w:t> — </w:t>
      </w:r>
      <w:r>
        <w:rPr>
          <w:rStyle w:val="CharDivText"/>
        </w:rPr>
        <w:t>Extension for persons under 18 years when cause of action accrues</w:t>
      </w:r>
      <w:bookmarkEnd w:id="103"/>
      <w:bookmarkEnd w:id="104"/>
      <w:bookmarkEnd w:id="105"/>
      <w:bookmarkEnd w:id="106"/>
      <w:bookmarkEnd w:id="107"/>
      <w:bookmarkEnd w:id="108"/>
      <w:bookmarkEnd w:id="109"/>
    </w:p>
    <w:p>
      <w:pPr>
        <w:pStyle w:val="Heading5"/>
      </w:pPr>
      <w:bookmarkStart w:id="110" w:name="_Toc178257409"/>
      <w:bookmarkStart w:id="111" w:name="_Toc169085290"/>
      <w:r>
        <w:rPr>
          <w:rStyle w:val="CharSectno"/>
        </w:rPr>
        <w:t>30</w:t>
      </w:r>
      <w:r>
        <w:t>.</w:t>
      </w:r>
      <w:r>
        <w:tab/>
        <w:t>Limitation periods applicable to persons under 15 when cause of action accrues</w:t>
      </w:r>
      <w:bookmarkEnd w:id="110"/>
      <w:bookmarkEnd w:id="111"/>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112" w:name="_Toc178257410"/>
      <w:bookmarkStart w:id="113" w:name="_Toc169085291"/>
      <w:r>
        <w:rPr>
          <w:rStyle w:val="CharSectno"/>
        </w:rPr>
        <w:t>31</w:t>
      </w:r>
      <w:r>
        <w:t>.</w:t>
      </w:r>
      <w:r>
        <w:tab/>
        <w:t>Limitation periods applicable to persons between 15 and 18 when cause of action accrues</w:t>
      </w:r>
      <w:bookmarkEnd w:id="112"/>
      <w:bookmarkEnd w:id="113"/>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114" w:name="_Toc178257411"/>
      <w:bookmarkStart w:id="115" w:name="_Toc169085292"/>
      <w:r>
        <w:rPr>
          <w:rStyle w:val="CharSectno"/>
        </w:rPr>
        <w:t>32</w:t>
      </w:r>
      <w:r>
        <w:t>.</w:t>
      </w:r>
      <w:r>
        <w:tab/>
        <w:t>Suspension of time while person under 18 is without guardian</w:t>
      </w:r>
      <w:bookmarkEnd w:id="114"/>
      <w:bookmarkEnd w:id="115"/>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116" w:name="_Toc178257412"/>
      <w:bookmarkStart w:id="117" w:name="_Toc169085293"/>
      <w:r>
        <w:rPr>
          <w:rStyle w:val="CharSectno"/>
        </w:rPr>
        <w:t>33</w:t>
      </w:r>
      <w:r>
        <w:t>.</w:t>
      </w:r>
      <w:r>
        <w:tab/>
        <w:t>Defendant in close relationship with person under 18 when cause of action accrues</w:t>
      </w:r>
      <w:bookmarkEnd w:id="116"/>
      <w:bookmarkEnd w:id="117"/>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118" w:name="_Toc178257413"/>
      <w:bookmarkStart w:id="119" w:name="_Toc169085294"/>
      <w:r>
        <w:rPr>
          <w:rStyle w:val="CharSectno"/>
        </w:rPr>
        <w:t>34</w:t>
      </w:r>
      <w:r>
        <w:t>.</w:t>
      </w:r>
      <w:r>
        <w:tab/>
        <w:t>Defamation</w:t>
      </w:r>
      <w:bookmarkEnd w:id="118"/>
      <w:bookmarkEnd w:id="119"/>
    </w:p>
    <w:p>
      <w:pPr>
        <w:pStyle w:val="Subsection"/>
      </w:pPr>
      <w:r>
        <w:tab/>
      </w:r>
      <w:r>
        <w:tab/>
        <w:t>Sections 30, 31, 32 and 33 do not apply to an action relating to the publication of defamatory matter.</w:t>
      </w:r>
    </w:p>
    <w:p>
      <w:pPr>
        <w:pStyle w:val="Heading3"/>
      </w:pPr>
      <w:bookmarkStart w:id="120" w:name="_Toc177639852"/>
      <w:bookmarkStart w:id="121" w:name="_Toc177640493"/>
      <w:bookmarkStart w:id="122" w:name="_Toc177645187"/>
      <w:bookmarkStart w:id="123" w:name="_Toc178257414"/>
      <w:bookmarkStart w:id="124" w:name="_Toc168993028"/>
      <w:bookmarkStart w:id="125" w:name="_Toc168993147"/>
      <w:bookmarkStart w:id="126" w:name="_Toc169085295"/>
      <w:r>
        <w:rPr>
          <w:rStyle w:val="CharDivNo"/>
        </w:rPr>
        <w:t>Division 2</w:t>
      </w:r>
      <w:r>
        <w:t> — </w:t>
      </w:r>
      <w:r>
        <w:rPr>
          <w:rStyle w:val="CharDivText"/>
        </w:rPr>
        <w:t>Extension for persons with mental disability</w:t>
      </w:r>
      <w:bookmarkEnd w:id="120"/>
      <w:bookmarkEnd w:id="121"/>
      <w:bookmarkEnd w:id="122"/>
      <w:bookmarkEnd w:id="123"/>
      <w:bookmarkEnd w:id="124"/>
      <w:bookmarkEnd w:id="125"/>
      <w:bookmarkEnd w:id="126"/>
    </w:p>
    <w:p>
      <w:pPr>
        <w:pStyle w:val="Heading5"/>
      </w:pPr>
      <w:bookmarkStart w:id="127" w:name="_Toc178257415"/>
      <w:bookmarkStart w:id="128" w:name="_Toc169085296"/>
      <w:r>
        <w:rPr>
          <w:rStyle w:val="CharSectno"/>
        </w:rPr>
        <w:t>35</w:t>
      </w:r>
      <w:r>
        <w:t>.</w:t>
      </w:r>
      <w:r>
        <w:tab/>
        <w:t>Suspension of time while person with mental disability is without guardian</w:t>
      </w:r>
      <w:bookmarkEnd w:id="127"/>
      <w:bookmarkEnd w:id="128"/>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129" w:name="_Toc178257416"/>
      <w:bookmarkStart w:id="130" w:name="_Toc169085297"/>
      <w:r>
        <w:rPr>
          <w:rStyle w:val="CharSectno"/>
        </w:rPr>
        <w:t>36</w:t>
      </w:r>
      <w:r>
        <w:t>.</w:t>
      </w:r>
      <w:r>
        <w:tab/>
        <w:t>Defendant in close relationship with person with mental disability</w:t>
      </w:r>
      <w:bookmarkEnd w:id="129"/>
      <w:bookmarkEnd w:id="130"/>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131" w:name="_Toc178257417"/>
      <w:bookmarkStart w:id="132" w:name="_Toc169085298"/>
      <w:r>
        <w:rPr>
          <w:rStyle w:val="CharSectno"/>
        </w:rPr>
        <w:t>37</w:t>
      </w:r>
      <w:r>
        <w:t>.</w:t>
      </w:r>
      <w:r>
        <w:tab/>
        <w:t>Defamation</w:t>
      </w:r>
      <w:bookmarkEnd w:id="131"/>
      <w:bookmarkEnd w:id="132"/>
    </w:p>
    <w:p>
      <w:pPr>
        <w:pStyle w:val="Subsection"/>
      </w:pPr>
      <w:r>
        <w:tab/>
      </w:r>
      <w:r>
        <w:tab/>
        <w:t>Sections 35 and 36 do not apply to an action relating to the publication of defamatory matter.</w:t>
      </w:r>
    </w:p>
    <w:p>
      <w:pPr>
        <w:pStyle w:val="Heading3"/>
      </w:pPr>
      <w:bookmarkStart w:id="133" w:name="_Toc177639856"/>
      <w:bookmarkStart w:id="134" w:name="_Toc177640497"/>
      <w:bookmarkStart w:id="135" w:name="_Toc177645191"/>
      <w:bookmarkStart w:id="136" w:name="_Toc178257418"/>
      <w:bookmarkStart w:id="137" w:name="_Toc168993032"/>
      <w:bookmarkStart w:id="138" w:name="_Toc168993151"/>
      <w:bookmarkStart w:id="139" w:name="_Toc169085299"/>
      <w:r>
        <w:rPr>
          <w:rStyle w:val="CharDivNo"/>
        </w:rPr>
        <w:t>Division 3</w:t>
      </w:r>
      <w:r>
        <w:t> — </w:t>
      </w:r>
      <w:r>
        <w:rPr>
          <w:rStyle w:val="CharDivText"/>
        </w:rPr>
        <w:t>Extension by courts</w:t>
      </w:r>
      <w:bookmarkEnd w:id="133"/>
      <w:bookmarkEnd w:id="134"/>
      <w:bookmarkEnd w:id="135"/>
      <w:bookmarkEnd w:id="136"/>
      <w:bookmarkEnd w:id="137"/>
      <w:bookmarkEnd w:id="138"/>
      <w:bookmarkEnd w:id="139"/>
    </w:p>
    <w:p>
      <w:pPr>
        <w:pStyle w:val="Heading5"/>
      </w:pPr>
      <w:bookmarkStart w:id="140" w:name="_Toc178257419"/>
      <w:bookmarkStart w:id="141" w:name="_Toc169085300"/>
      <w:r>
        <w:rPr>
          <w:rStyle w:val="CharSectno"/>
        </w:rPr>
        <w:t>38</w:t>
      </w:r>
      <w:r>
        <w:t>.</w:t>
      </w:r>
      <w:r>
        <w:tab/>
        <w:t>Court may extend time to commence actions in cases of fraud or improper conduct</w:t>
      </w:r>
      <w:bookmarkEnd w:id="140"/>
      <w:bookmarkEnd w:id="141"/>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42" w:name="_Toc178257420"/>
      <w:bookmarkStart w:id="143" w:name="_Toc169085301"/>
      <w:r>
        <w:rPr>
          <w:rStyle w:val="CharSectno"/>
        </w:rPr>
        <w:t>39</w:t>
      </w:r>
      <w:r>
        <w:t>.</w:t>
      </w:r>
      <w:r>
        <w:tab/>
        <w:t xml:space="preserve">Court may extend time to commence actions for personal injury or under </w:t>
      </w:r>
      <w:r>
        <w:rPr>
          <w:i/>
        </w:rPr>
        <w:t>Fatal Accidents Act 1959</w:t>
      </w:r>
      <w:bookmarkEnd w:id="142"/>
      <w:bookmarkEnd w:id="143"/>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44" w:name="_Toc178257421"/>
      <w:bookmarkStart w:id="145" w:name="_Toc169085302"/>
      <w:r>
        <w:rPr>
          <w:rStyle w:val="CharSectno"/>
        </w:rPr>
        <w:t>40</w:t>
      </w:r>
      <w:r>
        <w:t>.</w:t>
      </w:r>
      <w:r>
        <w:tab/>
        <w:t>Court may extend time to commence defamation actions</w:t>
      </w:r>
      <w:bookmarkEnd w:id="144"/>
      <w:bookmarkEnd w:id="145"/>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46" w:name="_Toc178257422"/>
      <w:bookmarkStart w:id="147" w:name="_Toc169085303"/>
      <w:r>
        <w:rPr>
          <w:rStyle w:val="CharSectno"/>
        </w:rPr>
        <w:t>41</w:t>
      </w:r>
      <w:r>
        <w:t>.</w:t>
      </w:r>
      <w:r>
        <w:tab/>
        <w:t>Court may extend time to commence action by person under 18 when cause of action accrues, with guardian</w:t>
      </w:r>
      <w:bookmarkEnd w:id="146"/>
      <w:bookmarkEnd w:id="147"/>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48" w:name="_Toc178257423"/>
      <w:bookmarkStart w:id="149" w:name="_Toc169085304"/>
      <w:r>
        <w:rPr>
          <w:rStyle w:val="CharSectno"/>
        </w:rPr>
        <w:t>42</w:t>
      </w:r>
      <w:r>
        <w:t>.</w:t>
      </w:r>
      <w:r>
        <w:tab/>
        <w:t>Court may extend time to commence action by person with a mental disability, with guardian</w:t>
      </w:r>
      <w:bookmarkEnd w:id="148"/>
      <w:bookmarkEnd w:id="149"/>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50" w:name="_Toc178257424"/>
      <w:bookmarkStart w:id="151" w:name="_Toc169085305"/>
      <w:r>
        <w:rPr>
          <w:rStyle w:val="CharSectno"/>
        </w:rPr>
        <w:t>43</w:t>
      </w:r>
      <w:r>
        <w:t>.</w:t>
      </w:r>
      <w:r>
        <w:tab/>
        <w:t>Jurisdiction and procedure</w:t>
      </w:r>
      <w:bookmarkEnd w:id="150"/>
      <w:bookmarkEnd w:id="151"/>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52" w:name="_Toc178257425"/>
      <w:bookmarkStart w:id="153" w:name="_Toc169085306"/>
      <w:r>
        <w:rPr>
          <w:rStyle w:val="CharSectno"/>
        </w:rPr>
        <w:t>44</w:t>
      </w:r>
      <w:r>
        <w:t>.</w:t>
      </w:r>
      <w:r>
        <w:tab/>
        <w:t>Further matters for court’s consideration on extension applications</w:t>
      </w:r>
      <w:bookmarkEnd w:id="152"/>
      <w:bookmarkEnd w:id="153"/>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54" w:name="_Toc177639864"/>
      <w:bookmarkStart w:id="155" w:name="_Toc177640505"/>
      <w:bookmarkStart w:id="156" w:name="_Toc177645199"/>
      <w:bookmarkStart w:id="157" w:name="_Toc178257426"/>
      <w:bookmarkStart w:id="158" w:name="_Toc168993040"/>
      <w:bookmarkStart w:id="159" w:name="_Toc168993159"/>
      <w:bookmarkStart w:id="160" w:name="_Toc169085307"/>
      <w:r>
        <w:rPr>
          <w:rStyle w:val="CharDivNo"/>
        </w:rPr>
        <w:t>Division 4</w:t>
      </w:r>
      <w:r>
        <w:t> — </w:t>
      </w:r>
      <w:r>
        <w:rPr>
          <w:rStyle w:val="CharDivText"/>
        </w:rPr>
        <w:t>Extension or shortening by agreement</w:t>
      </w:r>
      <w:bookmarkEnd w:id="154"/>
      <w:bookmarkEnd w:id="155"/>
      <w:bookmarkEnd w:id="156"/>
      <w:bookmarkEnd w:id="157"/>
      <w:bookmarkEnd w:id="158"/>
      <w:bookmarkEnd w:id="159"/>
      <w:bookmarkEnd w:id="160"/>
    </w:p>
    <w:p>
      <w:pPr>
        <w:pStyle w:val="Heading5"/>
      </w:pPr>
      <w:bookmarkStart w:id="161" w:name="_Toc178257427"/>
      <w:bookmarkStart w:id="162" w:name="_Toc169085308"/>
      <w:r>
        <w:rPr>
          <w:rStyle w:val="CharSectno"/>
        </w:rPr>
        <w:t>45</w:t>
      </w:r>
      <w:r>
        <w:t>.</w:t>
      </w:r>
      <w:r>
        <w:tab/>
        <w:t>Agreement to extend or shorten limitation period</w:t>
      </w:r>
      <w:bookmarkEnd w:id="161"/>
      <w:bookmarkEnd w:id="162"/>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63" w:name="_Toc177639866"/>
      <w:bookmarkStart w:id="164" w:name="_Toc177640507"/>
      <w:bookmarkStart w:id="165" w:name="_Toc177645201"/>
      <w:bookmarkStart w:id="166" w:name="_Toc178257428"/>
      <w:bookmarkStart w:id="167" w:name="_Toc168993042"/>
      <w:bookmarkStart w:id="168" w:name="_Toc168993161"/>
      <w:bookmarkStart w:id="169" w:name="_Toc169085309"/>
      <w:r>
        <w:rPr>
          <w:rStyle w:val="CharDivNo"/>
        </w:rPr>
        <w:t>Division 5</w:t>
      </w:r>
      <w:r>
        <w:t> — </w:t>
      </w:r>
      <w:r>
        <w:rPr>
          <w:rStyle w:val="CharDivText"/>
        </w:rPr>
        <w:t>Extension by confirmation</w:t>
      </w:r>
      <w:bookmarkEnd w:id="163"/>
      <w:bookmarkEnd w:id="164"/>
      <w:bookmarkEnd w:id="165"/>
      <w:bookmarkEnd w:id="166"/>
      <w:bookmarkEnd w:id="167"/>
      <w:bookmarkEnd w:id="168"/>
      <w:bookmarkEnd w:id="169"/>
    </w:p>
    <w:p>
      <w:pPr>
        <w:pStyle w:val="Heading5"/>
      </w:pPr>
      <w:bookmarkStart w:id="170" w:name="_Toc178257429"/>
      <w:bookmarkStart w:id="171" w:name="_Toc169085310"/>
      <w:r>
        <w:rPr>
          <w:rStyle w:val="CharSectno"/>
        </w:rPr>
        <w:t>46</w:t>
      </w:r>
      <w:r>
        <w:t>.</w:t>
      </w:r>
      <w:r>
        <w:tab/>
        <w:t>Meaning of confirmation</w:t>
      </w:r>
      <w:bookmarkEnd w:id="170"/>
      <w:bookmarkEnd w:id="171"/>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172" w:name="_Toc178257430"/>
      <w:bookmarkStart w:id="173" w:name="_Toc169085311"/>
      <w:r>
        <w:rPr>
          <w:rStyle w:val="CharSectno"/>
        </w:rPr>
        <w:t>47</w:t>
      </w:r>
      <w:r>
        <w:t>.</w:t>
      </w:r>
      <w:r>
        <w:tab/>
        <w:t>Limitation period extended by confirmation</w:t>
      </w:r>
      <w:bookmarkEnd w:id="172"/>
      <w:bookmarkEnd w:id="173"/>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174" w:name="_Toc178257431"/>
      <w:bookmarkStart w:id="175" w:name="_Toc169085312"/>
      <w:r>
        <w:rPr>
          <w:rStyle w:val="CharSectno"/>
        </w:rPr>
        <w:t>48</w:t>
      </w:r>
      <w:r>
        <w:t>.</w:t>
      </w:r>
      <w:r>
        <w:tab/>
        <w:t>Formal requirements for acknowledgments</w:t>
      </w:r>
      <w:bookmarkEnd w:id="174"/>
      <w:bookmarkEnd w:id="175"/>
    </w:p>
    <w:p>
      <w:pPr>
        <w:pStyle w:val="Subsection"/>
      </w:pPr>
      <w:r>
        <w:tab/>
      </w:r>
      <w:r>
        <w:tab/>
        <w:t>For the purposes of section 46(1)(a), an acknowledgment is of no effect unless it is in writing and signed by the maker.</w:t>
      </w:r>
    </w:p>
    <w:p>
      <w:pPr>
        <w:pStyle w:val="Heading5"/>
      </w:pPr>
      <w:bookmarkStart w:id="176" w:name="_Toc178257432"/>
      <w:bookmarkStart w:id="177" w:name="_Toc169085313"/>
      <w:r>
        <w:rPr>
          <w:rStyle w:val="CharSectno"/>
        </w:rPr>
        <w:t>49</w:t>
      </w:r>
      <w:r>
        <w:t>.</w:t>
      </w:r>
      <w:r>
        <w:tab/>
        <w:t>Who has benefit of confirmation</w:t>
      </w:r>
      <w:bookmarkEnd w:id="176"/>
      <w:bookmarkEnd w:id="177"/>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178" w:name="_Toc178257433"/>
      <w:bookmarkStart w:id="179" w:name="_Toc169085314"/>
      <w:r>
        <w:rPr>
          <w:rStyle w:val="CharSectno"/>
        </w:rPr>
        <w:t>50</w:t>
      </w:r>
      <w:r>
        <w:t>.</w:t>
      </w:r>
      <w:r>
        <w:tab/>
        <w:t>Who is bound by confirmation</w:t>
      </w:r>
      <w:bookmarkEnd w:id="178"/>
      <w:bookmarkEnd w:id="179"/>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keepLines/>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180" w:name="_Toc178257434"/>
      <w:bookmarkStart w:id="181" w:name="_Toc169085315"/>
      <w:r>
        <w:rPr>
          <w:rStyle w:val="CharSectno"/>
        </w:rPr>
        <w:t>51</w:t>
      </w:r>
      <w:r>
        <w:t>.</w:t>
      </w:r>
      <w:r>
        <w:tab/>
        <w:t>Effects of certain kinds of confirmation</w:t>
      </w:r>
      <w:bookmarkEnd w:id="180"/>
      <w:bookmarkEnd w:id="181"/>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182" w:name="_Toc177639873"/>
      <w:bookmarkStart w:id="183" w:name="_Toc177640514"/>
      <w:bookmarkStart w:id="184" w:name="_Toc177645208"/>
      <w:bookmarkStart w:id="185" w:name="_Toc178257435"/>
      <w:bookmarkStart w:id="186" w:name="_Toc168993049"/>
      <w:bookmarkStart w:id="187" w:name="_Toc168993168"/>
      <w:bookmarkStart w:id="188" w:name="_Toc169085316"/>
      <w:r>
        <w:rPr>
          <w:rStyle w:val="CharDivNo"/>
        </w:rPr>
        <w:t>Division 6</w:t>
      </w:r>
      <w:r>
        <w:t> — </w:t>
      </w:r>
      <w:r>
        <w:rPr>
          <w:rStyle w:val="CharDivText"/>
        </w:rPr>
        <w:t>Extension of limitation periods — other matters</w:t>
      </w:r>
      <w:bookmarkEnd w:id="182"/>
      <w:bookmarkEnd w:id="183"/>
      <w:bookmarkEnd w:id="184"/>
      <w:bookmarkEnd w:id="185"/>
      <w:bookmarkEnd w:id="186"/>
      <w:bookmarkEnd w:id="187"/>
      <w:bookmarkEnd w:id="188"/>
    </w:p>
    <w:p>
      <w:pPr>
        <w:pStyle w:val="Heading5"/>
      </w:pPr>
      <w:bookmarkStart w:id="189" w:name="_Toc178257436"/>
      <w:bookmarkStart w:id="190" w:name="_Toc169085317"/>
      <w:r>
        <w:rPr>
          <w:rStyle w:val="CharSectno"/>
        </w:rPr>
        <w:t>52</w:t>
      </w:r>
      <w:r>
        <w:t>.</w:t>
      </w:r>
      <w:r>
        <w:tab/>
        <w:t>Persons with mental disability under 18 when cause of action accrues — most beneficial limitation period applies</w:t>
      </w:r>
      <w:bookmarkEnd w:id="189"/>
      <w:bookmarkEnd w:id="190"/>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191" w:name="_Toc178257437"/>
      <w:bookmarkStart w:id="192" w:name="_Toc169085318"/>
      <w:r>
        <w:rPr>
          <w:rStyle w:val="CharSectno"/>
        </w:rPr>
        <w:t>53</w:t>
      </w:r>
      <w:r>
        <w:t>.</w:t>
      </w:r>
      <w:r>
        <w:tab/>
        <w:t>Limitation period in case of death of certain persons if cause of action accrues to certain other persons</w:t>
      </w:r>
      <w:bookmarkEnd w:id="191"/>
      <w:bookmarkEnd w:id="192"/>
    </w:p>
    <w:p>
      <w:pPr>
        <w:pStyle w:val="Subsection"/>
        <w:keepNext/>
      </w:pPr>
      <w:r>
        <w:tab/>
        <w:t>(1)</w:t>
      </w:r>
      <w:r>
        <w:tab/>
        <w:t xml:space="preserve">In this section — </w:t>
      </w:r>
    </w:p>
    <w:p>
      <w:pPr>
        <w:pStyle w:val="Defstart"/>
        <w:keepNex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193" w:name="_Toc178257438"/>
      <w:bookmarkStart w:id="194" w:name="_Toc169085319"/>
      <w:r>
        <w:rPr>
          <w:rStyle w:val="CharSectno"/>
        </w:rPr>
        <w:t>54</w:t>
      </w:r>
      <w:r>
        <w:t>.</w:t>
      </w:r>
      <w:r>
        <w:tab/>
        <w:t>Arbitration — extension of limitation period</w:t>
      </w:r>
      <w:bookmarkEnd w:id="193"/>
      <w:bookmarkEnd w:id="194"/>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keepLines/>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195" w:name="_Toc177639877"/>
      <w:bookmarkStart w:id="196" w:name="_Toc177640518"/>
      <w:bookmarkStart w:id="197" w:name="_Toc177645212"/>
      <w:bookmarkStart w:id="198" w:name="_Toc178257439"/>
      <w:bookmarkStart w:id="199" w:name="_Toc168993053"/>
      <w:bookmarkStart w:id="200" w:name="_Toc168993172"/>
      <w:bookmarkStart w:id="201" w:name="_Toc169085320"/>
      <w:r>
        <w:rPr>
          <w:rStyle w:val="CharPartNo"/>
        </w:rPr>
        <w:t>Part 4</w:t>
      </w:r>
      <w:r>
        <w:t> — </w:t>
      </w:r>
      <w:r>
        <w:rPr>
          <w:rStyle w:val="CharPartText"/>
        </w:rPr>
        <w:t>Accrual of particular causes of action</w:t>
      </w:r>
      <w:bookmarkEnd w:id="195"/>
      <w:bookmarkEnd w:id="196"/>
      <w:bookmarkEnd w:id="197"/>
      <w:bookmarkEnd w:id="198"/>
      <w:bookmarkEnd w:id="199"/>
      <w:bookmarkEnd w:id="200"/>
      <w:bookmarkEnd w:id="201"/>
    </w:p>
    <w:p>
      <w:pPr>
        <w:pStyle w:val="Heading3"/>
        <w:spacing w:before="180"/>
      </w:pPr>
      <w:bookmarkStart w:id="202" w:name="_Toc177639878"/>
      <w:bookmarkStart w:id="203" w:name="_Toc177640519"/>
      <w:bookmarkStart w:id="204" w:name="_Toc177645213"/>
      <w:bookmarkStart w:id="205" w:name="_Toc178257440"/>
      <w:bookmarkStart w:id="206" w:name="_Toc168993054"/>
      <w:bookmarkStart w:id="207" w:name="_Toc168993173"/>
      <w:bookmarkStart w:id="208" w:name="_Toc169085321"/>
      <w:r>
        <w:rPr>
          <w:rStyle w:val="CharDivNo"/>
        </w:rPr>
        <w:t>Division 1</w:t>
      </w:r>
      <w:r>
        <w:t> — </w:t>
      </w:r>
      <w:r>
        <w:rPr>
          <w:rStyle w:val="CharDivText"/>
        </w:rPr>
        <w:t>Accrual of certain causes of action other than to recover land</w:t>
      </w:r>
      <w:bookmarkEnd w:id="202"/>
      <w:bookmarkEnd w:id="203"/>
      <w:bookmarkEnd w:id="204"/>
      <w:bookmarkEnd w:id="205"/>
      <w:bookmarkEnd w:id="206"/>
      <w:bookmarkEnd w:id="207"/>
      <w:bookmarkEnd w:id="208"/>
    </w:p>
    <w:p>
      <w:pPr>
        <w:pStyle w:val="Heading5"/>
        <w:spacing w:before="120"/>
      </w:pPr>
      <w:bookmarkStart w:id="209" w:name="_Toc178257441"/>
      <w:bookmarkStart w:id="210" w:name="_Toc169085322"/>
      <w:r>
        <w:rPr>
          <w:rStyle w:val="CharSectno"/>
        </w:rPr>
        <w:t>55</w:t>
      </w:r>
      <w:r>
        <w:t>.</w:t>
      </w:r>
      <w:r>
        <w:tab/>
        <w:t>Personal injury — general</w:t>
      </w:r>
      <w:bookmarkEnd w:id="209"/>
      <w:bookmarkEnd w:id="210"/>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 or silica dust.</w:t>
      </w:r>
    </w:p>
    <w:p>
      <w:pPr>
        <w:pStyle w:val="Footnotesection"/>
      </w:pPr>
      <w:r>
        <w:tab/>
        <w:t>[Section 55 amended: No. 21 of 2023 s. 656.]</w:t>
      </w:r>
    </w:p>
    <w:p>
      <w:pPr>
        <w:pStyle w:val="Heading5"/>
      </w:pPr>
      <w:bookmarkStart w:id="211" w:name="_Toc178257442"/>
      <w:bookmarkStart w:id="212" w:name="_Toc169085323"/>
      <w:r>
        <w:rPr>
          <w:rStyle w:val="CharSectno"/>
        </w:rPr>
        <w:t>56</w:t>
      </w:r>
      <w:r>
        <w:t>.</w:t>
      </w:r>
      <w:r>
        <w:tab/>
        <w:t>Asbestos or silica dust related diseases</w:t>
      </w:r>
      <w:bookmarkEnd w:id="211"/>
      <w:bookmarkEnd w:id="212"/>
    </w:p>
    <w:p>
      <w:pPr>
        <w:pStyle w:val="Subsection"/>
      </w:pPr>
      <w:r>
        <w:tab/>
        <w:t>(1)</w:t>
      </w:r>
      <w:r>
        <w:tab/>
        <w:t>A cause of action for damages relating to a personal injury —</w:t>
      </w:r>
    </w:p>
    <w:p>
      <w:pPr>
        <w:pStyle w:val="Indenta"/>
      </w:pPr>
      <w:r>
        <w:tab/>
        <w:t>(a)</w:t>
      </w:r>
      <w:r>
        <w:tab/>
        <w:t>that is attributable to the inhalation of asbestos or silica dust;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 xml:space="preserve">For the purposes of this section an injury to which this subsection applies must not be treated as significant unless — </w:t>
      </w:r>
    </w:p>
    <w:p>
      <w:pPr>
        <w:pStyle w:val="Indenta"/>
      </w:pPr>
      <w:r>
        <w:tab/>
        <w:t>(a)</w:t>
      </w:r>
      <w:r>
        <w:tab/>
        <w:t>the parties to the proposed action have so agreed; or</w:t>
      </w:r>
    </w:p>
    <w:p>
      <w:pPr>
        <w:pStyle w:val="Indenta"/>
      </w:pPr>
      <w:r>
        <w:tab/>
        <w:t>(b)</w:t>
      </w:r>
      <w:r>
        <w:tab/>
        <w:t xml:space="preserve">a medical panel constituted as described in the </w:t>
      </w:r>
      <w:r>
        <w:rPr>
          <w:i/>
        </w:rPr>
        <w:t xml:space="preserve">Workers’ Compensation and Injury Management Act 1981 </w:t>
      </w:r>
      <w:r>
        <w:t>section 36(1) —</w:t>
      </w:r>
    </w:p>
    <w:p>
      <w:pPr>
        <w:pStyle w:val="Indenti"/>
      </w:pPr>
      <w:r>
        <w:tab/>
        <w:t>(i)</w:t>
      </w:r>
      <w:r>
        <w:tab/>
        <w:t>has determined that the degree of the disability assessed in accordance with section 93D(2) of that Act is 30% or more; or</w:t>
      </w:r>
    </w:p>
    <w:p>
      <w:pPr>
        <w:pStyle w:val="Indenti"/>
      </w:pPr>
      <w:r>
        <w:tab/>
        <w:t>(ii)</w:t>
      </w:r>
      <w:r>
        <w:tab/>
        <w:t>has assessed that the worker’s degree of whole of person impairment evaluated as described in sections 146A and 146C of that Act (on or after 14 November 2005) is 25% or more;</w:t>
      </w:r>
    </w:p>
    <w:p>
      <w:pPr>
        <w:pStyle w:val="Indenta"/>
      </w:pPr>
      <w:r>
        <w:tab/>
      </w:r>
      <w:r>
        <w:tab/>
        <w:t>or</w:t>
      </w:r>
    </w:p>
    <w:p>
      <w:pPr>
        <w:pStyle w:val="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Subsection"/>
      </w:pPr>
      <w:r>
        <w:tab/>
        <w:t>(4A)</w:t>
      </w:r>
      <w:r>
        <w:tab/>
        <w:t>Subsection (4) applies to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Footnotesection"/>
      </w:pPr>
      <w:r>
        <w:tab/>
        <w:t>[Section 56 amended: No. 21 of 2023 s. 657.]</w:t>
      </w:r>
    </w:p>
    <w:p>
      <w:pPr>
        <w:pStyle w:val="Heading5"/>
      </w:pPr>
      <w:bookmarkStart w:id="213" w:name="_Toc178257443"/>
      <w:bookmarkStart w:id="214" w:name="_Toc169085324"/>
      <w:r>
        <w:rPr>
          <w:rStyle w:val="CharSectno"/>
        </w:rPr>
        <w:t>57</w:t>
      </w:r>
      <w:r>
        <w:t>.</w:t>
      </w:r>
      <w:r>
        <w:tab/>
        <w:t>Survival of certain actions</w:t>
      </w:r>
      <w:bookmarkEnd w:id="213"/>
      <w:bookmarkEnd w:id="214"/>
    </w:p>
    <w:p>
      <w:pPr>
        <w:pStyle w:val="Subsection"/>
      </w:pPr>
      <w:r>
        <w:tab/>
        <w:t>(1)</w:t>
      </w:r>
      <w:r>
        <w:tab/>
        <w:t>If a person dies as a result of a personal injury other than an injury that is attributable to the inhalation of asbestos or silica dust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or silica dust but, immediately before the death, a cause of action relating to the personal injury had not accrued under section 56, the cause of action relating to the personal injury is to be taken as having accrued when the person died.</w:t>
      </w:r>
    </w:p>
    <w:p>
      <w:pPr>
        <w:pStyle w:val="Footnotesection"/>
      </w:pPr>
      <w:r>
        <w:tab/>
        <w:t>[Section 57 amended: No. 21 of 2023 s. 658.]</w:t>
      </w:r>
    </w:p>
    <w:p>
      <w:pPr>
        <w:pStyle w:val="Heading5"/>
      </w:pPr>
      <w:bookmarkStart w:id="215" w:name="_Toc178257444"/>
      <w:bookmarkStart w:id="216" w:name="_Toc169085325"/>
      <w:r>
        <w:rPr>
          <w:rStyle w:val="CharSectno"/>
        </w:rPr>
        <w:t>58</w:t>
      </w:r>
      <w:r>
        <w:t>.</w:t>
      </w:r>
      <w:r>
        <w:tab/>
        <w:t>Contributions between tortfeasors</w:t>
      </w:r>
      <w:bookmarkEnd w:id="215"/>
      <w:bookmarkEnd w:id="216"/>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217" w:name="_Toc178257445"/>
      <w:bookmarkStart w:id="218" w:name="_Toc169085326"/>
      <w:r>
        <w:rPr>
          <w:rStyle w:val="CharSectno"/>
        </w:rPr>
        <w:t>59</w:t>
      </w:r>
      <w:r>
        <w:t>.</w:t>
      </w:r>
      <w:r>
        <w:tab/>
        <w:t>Debts repayable on demand</w:t>
      </w:r>
      <w:bookmarkEnd w:id="217"/>
      <w:bookmarkEnd w:id="218"/>
    </w:p>
    <w:p>
      <w:pPr>
        <w:pStyle w:val="Subsection"/>
      </w:pPr>
      <w:r>
        <w:tab/>
      </w:r>
      <w:r>
        <w:tab/>
        <w:t>A cause of action for the repayment of a debt repayable on demand accrues when there is a failure to comply with a demand for repayment.</w:t>
      </w:r>
    </w:p>
    <w:p>
      <w:pPr>
        <w:pStyle w:val="Heading5"/>
      </w:pPr>
      <w:bookmarkStart w:id="219" w:name="_Toc178257446"/>
      <w:bookmarkStart w:id="220" w:name="_Toc169085327"/>
      <w:r>
        <w:rPr>
          <w:rStyle w:val="CharSectno"/>
        </w:rPr>
        <w:t>60</w:t>
      </w:r>
      <w:r>
        <w:t>.</w:t>
      </w:r>
      <w:r>
        <w:tab/>
        <w:t>Successive wrongs to goods</w:t>
      </w:r>
      <w:bookmarkEnd w:id="219"/>
      <w:bookmarkEnd w:id="220"/>
    </w:p>
    <w:p>
      <w:pPr>
        <w:pStyle w:val="Subsection"/>
        <w:keepNext/>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221" w:name="_Toc178257447"/>
      <w:bookmarkStart w:id="222" w:name="_Toc169085328"/>
      <w:r>
        <w:rPr>
          <w:rStyle w:val="CharSectno"/>
        </w:rPr>
        <w:t>61</w:t>
      </w:r>
      <w:r>
        <w:t>.</w:t>
      </w:r>
      <w:r>
        <w:tab/>
        <w:t>Equitable interests</w:t>
      </w:r>
      <w:bookmarkEnd w:id="221"/>
      <w:bookmarkEnd w:id="222"/>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223" w:name="_Toc178257448"/>
      <w:bookmarkStart w:id="224" w:name="_Toc169085329"/>
      <w:r>
        <w:rPr>
          <w:rStyle w:val="CharSectno"/>
        </w:rPr>
        <w:t>62</w:t>
      </w:r>
      <w:r>
        <w:t>.</w:t>
      </w:r>
      <w:r>
        <w:tab/>
        <w:t>Future interests of beneficiaries under trusts</w:t>
      </w:r>
      <w:bookmarkEnd w:id="223"/>
      <w:bookmarkEnd w:id="224"/>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225" w:name="_Toc178257449"/>
      <w:bookmarkStart w:id="226" w:name="_Toc169085330"/>
      <w:r>
        <w:rPr>
          <w:rStyle w:val="CharSectno"/>
        </w:rPr>
        <w:t>63</w:t>
      </w:r>
      <w:r>
        <w:t>.</w:t>
      </w:r>
      <w:r>
        <w:tab/>
        <w:t>Matters referable to arbitration</w:t>
      </w:r>
      <w:bookmarkEnd w:id="225"/>
      <w:bookmarkEnd w:id="226"/>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227" w:name="_Toc178257450"/>
      <w:bookmarkStart w:id="228" w:name="_Toc169085331"/>
      <w:r>
        <w:rPr>
          <w:rStyle w:val="CharSectno"/>
        </w:rPr>
        <w:t>64</w:t>
      </w:r>
      <w:r>
        <w:t>.</w:t>
      </w:r>
      <w:r>
        <w:tab/>
        <w:t>Arbitral awards</w:t>
      </w:r>
      <w:bookmarkEnd w:id="227"/>
      <w:bookmarkEnd w:id="228"/>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229" w:name="_Toc177639889"/>
      <w:bookmarkStart w:id="230" w:name="_Toc177640530"/>
      <w:bookmarkStart w:id="231" w:name="_Toc177645224"/>
      <w:bookmarkStart w:id="232" w:name="_Toc178257451"/>
      <w:bookmarkStart w:id="233" w:name="_Toc168993065"/>
      <w:bookmarkStart w:id="234" w:name="_Toc168993184"/>
      <w:bookmarkStart w:id="235" w:name="_Toc169085332"/>
      <w:r>
        <w:rPr>
          <w:rStyle w:val="CharDivNo"/>
        </w:rPr>
        <w:t>Division 2</w:t>
      </w:r>
      <w:r>
        <w:t> — </w:t>
      </w:r>
      <w:r>
        <w:rPr>
          <w:rStyle w:val="CharDivText"/>
        </w:rPr>
        <w:t>Accrual of certain causes of action to recover land</w:t>
      </w:r>
      <w:bookmarkEnd w:id="229"/>
      <w:bookmarkEnd w:id="230"/>
      <w:bookmarkEnd w:id="231"/>
      <w:bookmarkEnd w:id="232"/>
      <w:bookmarkEnd w:id="233"/>
      <w:bookmarkEnd w:id="234"/>
      <w:bookmarkEnd w:id="235"/>
    </w:p>
    <w:p>
      <w:pPr>
        <w:pStyle w:val="Heading5"/>
      </w:pPr>
      <w:bookmarkStart w:id="236" w:name="_Toc178257452"/>
      <w:bookmarkStart w:id="237" w:name="_Toc169085333"/>
      <w:r>
        <w:rPr>
          <w:rStyle w:val="CharSectno"/>
        </w:rPr>
        <w:t>65</w:t>
      </w:r>
      <w:r>
        <w:t>.</w:t>
      </w:r>
      <w:r>
        <w:tab/>
        <w:t>Adverse possession</w:t>
      </w:r>
      <w:bookmarkEnd w:id="236"/>
      <w:bookmarkEnd w:id="237"/>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238" w:name="_Toc178257453"/>
      <w:bookmarkStart w:id="239" w:name="_Toc169085334"/>
      <w:r>
        <w:rPr>
          <w:rStyle w:val="CharSectno"/>
        </w:rPr>
        <w:t>66</w:t>
      </w:r>
      <w:r>
        <w:t>.</w:t>
      </w:r>
      <w:r>
        <w:tab/>
        <w:t>Dispossession or discontinuance</w:t>
      </w:r>
      <w:bookmarkEnd w:id="238"/>
      <w:bookmarkEnd w:id="239"/>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240" w:name="_Toc178257454"/>
      <w:bookmarkStart w:id="241" w:name="_Toc169085335"/>
      <w:r>
        <w:rPr>
          <w:rStyle w:val="CharSectno"/>
        </w:rPr>
        <w:t>67</w:t>
      </w:r>
      <w:r>
        <w:t>.</w:t>
      </w:r>
      <w:r>
        <w:tab/>
        <w:t>Deceased in possession</w:t>
      </w:r>
      <w:bookmarkEnd w:id="240"/>
      <w:bookmarkEnd w:id="241"/>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242" w:name="_Toc178257455"/>
      <w:bookmarkStart w:id="243" w:name="_Toc169085336"/>
      <w:r>
        <w:rPr>
          <w:rStyle w:val="CharSectno"/>
        </w:rPr>
        <w:t>68</w:t>
      </w:r>
      <w:r>
        <w:t>.</w:t>
      </w:r>
      <w:r>
        <w:tab/>
        <w:t>Grantor in possession</w:t>
      </w:r>
      <w:bookmarkEnd w:id="242"/>
      <w:bookmarkEnd w:id="243"/>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244" w:name="_Toc178257456"/>
      <w:bookmarkStart w:id="245" w:name="_Toc169085337"/>
      <w:r>
        <w:rPr>
          <w:rStyle w:val="CharSectno"/>
        </w:rPr>
        <w:t>69</w:t>
      </w:r>
      <w:r>
        <w:t>.</w:t>
      </w:r>
      <w:r>
        <w:tab/>
        <w:t>Future interests in land</w:t>
      </w:r>
      <w:bookmarkEnd w:id="244"/>
      <w:bookmarkEnd w:id="245"/>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246" w:name="_Toc178257457"/>
      <w:bookmarkStart w:id="247" w:name="_Toc169085338"/>
      <w:r>
        <w:rPr>
          <w:rStyle w:val="CharSectno"/>
        </w:rPr>
        <w:t>70</w:t>
      </w:r>
      <w:r>
        <w:t>.</w:t>
      </w:r>
      <w:r>
        <w:tab/>
        <w:t>Forfeiture</w:t>
      </w:r>
      <w:bookmarkEnd w:id="246"/>
      <w:bookmarkEnd w:id="247"/>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248" w:name="_Toc178257458"/>
      <w:bookmarkStart w:id="249" w:name="_Toc169085339"/>
      <w:r>
        <w:rPr>
          <w:rStyle w:val="CharSectno"/>
        </w:rPr>
        <w:t>71</w:t>
      </w:r>
      <w:r>
        <w:t>.</w:t>
      </w:r>
      <w:r>
        <w:tab/>
        <w:t>Rent wrongly paid</w:t>
      </w:r>
      <w:bookmarkEnd w:id="248"/>
      <w:bookmarkEnd w:id="249"/>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250" w:name="_Toc178257459"/>
      <w:bookmarkStart w:id="251" w:name="_Toc169085340"/>
      <w:r>
        <w:rPr>
          <w:rStyle w:val="CharSectno"/>
        </w:rPr>
        <w:t>72</w:t>
      </w:r>
      <w:r>
        <w:t>.</w:t>
      </w:r>
      <w:r>
        <w:tab/>
        <w:t>Tenancies</w:t>
      </w:r>
      <w:bookmarkEnd w:id="250"/>
      <w:bookmarkEnd w:id="251"/>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252" w:name="_Toc178257460"/>
      <w:bookmarkStart w:id="253" w:name="_Toc169085341"/>
      <w:r>
        <w:rPr>
          <w:rStyle w:val="CharSectno"/>
        </w:rPr>
        <w:t>73</w:t>
      </w:r>
      <w:r>
        <w:t>.</w:t>
      </w:r>
      <w:r>
        <w:tab/>
        <w:t>Beneficial co-owners of land</w:t>
      </w:r>
      <w:bookmarkEnd w:id="252"/>
      <w:bookmarkEnd w:id="253"/>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keepNext/>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254" w:name="_Toc177639899"/>
      <w:bookmarkStart w:id="255" w:name="_Toc177640540"/>
      <w:bookmarkStart w:id="256" w:name="_Toc177645234"/>
      <w:bookmarkStart w:id="257" w:name="_Toc178257461"/>
      <w:bookmarkStart w:id="258" w:name="_Toc168993075"/>
      <w:bookmarkStart w:id="259" w:name="_Toc168993194"/>
      <w:bookmarkStart w:id="260" w:name="_Toc169085342"/>
      <w:r>
        <w:rPr>
          <w:rStyle w:val="CharPartNo"/>
        </w:rPr>
        <w:t>Part 5</w:t>
      </w:r>
      <w:r>
        <w:rPr>
          <w:rStyle w:val="CharDivNo"/>
        </w:rPr>
        <w:t> </w:t>
      </w:r>
      <w:r>
        <w:t>—</w:t>
      </w:r>
      <w:r>
        <w:rPr>
          <w:rStyle w:val="CharDivText"/>
        </w:rPr>
        <w:t> </w:t>
      </w:r>
      <w:r>
        <w:rPr>
          <w:rStyle w:val="CharPartText"/>
        </w:rPr>
        <w:t>Effect of expiration of limitation period</w:t>
      </w:r>
      <w:bookmarkEnd w:id="254"/>
      <w:bookmarkEnd w:id="255"/>
      <w:bookmarkEnd w:id="256"/>
      <w:bookmarkEnd w:id="257"/>
      <w:bookmarkEnd w:id="258"/>
      <w:bookmarkEnd w:id="259"/>
      <w:bookmarkEnd w:id="260"/>
    </w:p>
    <w:p>
      <w:pPr>
        <w:pStyle w:val="Heading5"/>
      </w:pPr>
      <w:bookmarkStart w:id="261" w:name="_Toc178257462"/>
      <w:bookmarkStart w:id="262" w:name="_Toc169085343"/>
      <w:r>
        <w:rPr>
          <w:rStyle w:val="CharSectno"/>
        </w:rPr>
        <w:t>74</w:t>
      </w:r>
      <w:r>
        <w:t>.</w:t>
      </w:r>
      <w:r>
        <w:tab/>
        <w:t>Time to commence actions may be extended despite extinguishment of rights</w:t>
      </w:r>
      <w:bookmarkEnd w:id="261"/>
      <w:bookmarkEnd w:id="262"/>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263" w:name="_Toc178257463"/>
      <w:bookmarkStart w:id="264" w:name="_Toc169085344"/>
      <w:r>
        <w:rPr>
          <w:rStyle w:val="CharSectno"/>
        </w:rPr>
        <w:t>75</w:t>
      </w:r>
      <w:r>
        <w:t>.</w:t>
      </w:r>
      <w:r>
        <w:tab/>
        <w:t>Extinguishment of right and title to land</w:t>
      </w:r>
      <w:bookmarkEnd w:id="263"/>
      <w:bookmarkEnd w:id="264"/>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265" w:name="_Toc178257464"/>
      <w:bookmarkStart w:id="266" w:name="_Toc169085345"/>
      <w:r>
        <w:rPr>
          <w:rStyle w:val="CharSectno"/>
        </w:rPr>
        <w:t>76</w:t>
      </w:r>
      <w:r>
        <w:t>.</w:t>
      </w:r>
      <w:r>
        <w:tab/>
      </w:r>
      <w:r>
        <w:rPr>
          <w:snapToGrid w:val="0"/>
        </w:rPr>
        <w:t>No title by adverse possession against Crown</w:t>
      </w:r>
      <w:bookmarkEnd w:id="265"/>
      <w:bookmarkEnd w:id="266"/>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267" w:name="_Toc178257465"/>
      <w:bookmarkStart w:id="268" w:name="_Toc169085346"/>
      <w:r>
        <w:rPr>
          <w:rStyle w:val="CharSectno"/>
        </w:rPr>
        <w:t>77</w:t>
      </w:r>
      <w:r>
        <w:t>.</w:t>
      </w:r>
      <w:r>
        <w:tab/>
        <w:t>Future interests in land</w:t>
      </w:r>
      <w:bookmarkEnd w:id="267"/>
      <w:bookmarkEnd w:id="268"/>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269" w:name="_Toc178257466"/>
      <w:bookmarkStart w:id="270" w:name="_Toc169085347"/>
      <w:r>
        <w:rPr>
          <w:rStyle w:val="CharSectno"/>
        </w:rPr>
        <w:t>78</w:t>
      </w:r>
      <w:r>
        <w:t>.</w:t>
      </w:r>
      <w:r>
        <w:tab/>
        <w:t>Provisions in case of land held on trust</w:t>
      </w:r>
      <w:bookmarkEnd w:id="269"/>
      <w:bookmarkEnd w:id="270"/>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271" w:name="_Toc177639905"/>
      <w:bookmarkStart w:id="272" w:name="_Toc177640546"/>
      <w:bookmarkStart w:id="273" w:name="_Toc177645240"/>
      <w:bookmarkStart w:id="274" w:name="_Toc178257467"/>
      <w:bookmarkStart w:id="275" w:name="_Toc168993081"/>
      <w:bookmarkStart w:id="276" w:name="_Toc168993200"/>
      <w:bookmarkStart w:id="277" w:name="_Toc169085348"/>
      <w:r>
        <w:rPr>
          <w:rStyle w:val="CharPartNo"/>
        </w:rPr>
        <w:t>Part 6</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p>
    <w:p>
      <w:pPr>
        <w:pStyle w:val="Heading5"/>
      </w:pPr>
      <w:bookmarkStart w:id="278" w:name="_Toc178257468"/>
      <w:bookmarkStart w:id="279" w:name="_Toc169085349"/>
      <w:r>
        <w:rPr>
          <w:rStyle w:val="CharSectno"/>
        </w:rPr>
        <w:t>79</w:t>
      </w:r>
      <w:r>
        <w:t>.</w:t>
      </w:r>
      <w:r>
        <w:tab/>
        <w:t>Burden of proof</w:t>
      </w:r>
      <w:bookmarkEnd w:id="278"/>
      <w:bookmarkEnd w:id="279"/>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280" w:name="_Toc178257469"/>
      <w:bookmarkStart w:id="281" w:name="_Toc169085350"/>
      <w:r>
        <w:rPr>
          <w:rStyle w:val="CharSectno"/>
        </w:rPr>
        <w:t>80</w:t>
      </w:r>
      <w:r>
        <w:t>.</w:t>
      </w:r>
      <w:r>
        <w:tab/>
        <w:t>Grounds in equity upon which to refuse relief preserved</w:t>
      </w:r>
      <w:bookmarkEnd w:id="280"/>
      <w:bookmarkEnd w:id="281"/>
    </w:p>
    <w:p>
      <w:pPr>
        <w:pStyle w:val="Subsection"/>
      </w:pPr>
      <w:r>
        <w:tab/>
      </w:r>
      <w:r>
        <w:tab/>
        <w:t>Nothing in this Act affects any equitable jurisdiction to refuse relief on the ground of laches, acquiescence or otherwise.</w:t>
      </w:r>
    </w:p>
    <w:p>
      <w:pPr>
        <w:pStyle w:val="Heading5"/>
      </w:pPr>
      <w:bookmarkStart w:id="282" w:name="_Toc178257470"/>
      <w:bookmarkStart w:id="283" w:name="_Toc169085351"/>
      <w:r>
        <w:rPr>
          <w:rStyle w:val="CharSectno"/>
        </w:rPr>
        <w:t>81</w:t>
      </w:r>
      <w:r>
        <w:t>.</w:t>
      </w:r>
      <w:r>
        <w:tab/>
        <w:t>Counterclaims — commencement</w:t>
      </w:r>
      <w:bookmarkEnd w:id="282"/>
      <w:bookmarkEnd w:id="283"/>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284" w:name="_Toc178257471"/>
      <w:bookmarkStart w:id="285" w:name="_Toc169085352"/>
      <w:r>
        <w:rPr>
          <w:rStyle w:val="CharSectno"/>
        </w:rPr>
        <w:t>82</w:t>
      </w:r>
      <w:r>
        <w:t>.</w:t>
      </w:r>
      <w:r>
        <w:tab/>
        <w:t>Joint causes of action</w:t>
      </w:r>
      <w:bookmarkEnd w:id="284"/>
      <w:bookmarkEnd w:id="285"/>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286" w:name="_Toc178257472"/>
      <w:bookmarkStart w:id="287" w:name="_Toc169085353"/>
      <w:r>
        <w:rPr>
          <w:rStyle w:val="CharSectno"/>
        </w:rPr>
        <w:t>83</w:t>
      </w:r>
      <w:r>
        <w:t>.</w:t>
      </w:r>
      <w:r>
        <w:tab/>
        <w:t>Joint liability</w:t>
      </w:r>
      <w:bookmarkEnd w:id="286"/>
      <w:bookmarkEnd w:id="287"/>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288" w:name="_Toc178257473"/>
      <w:bookmarkStart w:id="289" w:name="_Toc169085354"/>
      <w:r>
        <w:rPr>
          <w:rStyle w:val="CharSectno"/>
        </w:rPr>
        <w:t>84</w:t>
      </w:r>
      <w:r>
        <w:t>.</w:t>
      </w:r>
      <w:r>
        <w:tab/>
        <w:t>Formal entry and claim</w:t>
      </w:r>
      <w:bookmarkEnd w:id="288"/>
      <w:bookmarkEnd w:id="289"/>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290" w:name="_Toc178257474"/>
      <w:bookmarkStart w:id="291" w:name="_Toc169085355"/>
      <w:r>
        <w:rPr>
          <w:rStyle w:val="CharSectno"/>
        </w:rPr>
        <w:t>85</w:t>
      </w:r>
      <w:r>
        <w:t>.</w:t>
      </w:r>
      <w:r>
        <w:tab/>
        <w:t>Other beneficiaries</w:t>
      </w:r>
      <w:bookmarkEnd w:id="290"/>
      <w:bookmarkEnd w:id="291"/>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292" w:name="_Toc178257475"/>
      <w:bookmarkStart w:id="293" w:name="_Toc169085356"/>
      <w:r>
        <w:rPr>
          <w:rStyle w:val="CharSectno"/>
        </w:rPr>
        <w:t>86</w:t>
      </w:r>
      <w:r>
        <w:t>.</w:t>
      </w:r>
      <w:r>
        <w:tab/>
      </w:r>
      <w:r>
        <w:rPr>
          <w:snapToGrid w:val="0"/>
        </w:rPr>
        <w:t>Limited right to recover tax</w:t>
      </w:r>
      <w:bookmarkEnd w:id="292"/>
      <w:bookmarkEnd w:id="293"/>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keepNext/>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294" w:name="_Toc178257476"/>
      <w:bookmarkStart w:id="295" w:name="_Toc169085357"/>
      <w:r>
        <w:rPr>
          <w:rStyle w:val="CharSectno"/>
        </w:rPr>
        <w:t>87</w:t>
      </w:r>
      <w:r>
        <w:t>.</w:t>
      </w:r>
      <w:r>
        <w:tab/>
      </w:r>
      <w:r>
        <w:rPr>
          <w:snapToGrid w:val="0"/>
        </w:rPr>
        <w:t>Limited operation of certain court orders as to refund of tax</w:t>
      </w:r>
      <w:bookmarkEnd w:id="294"/>
      <w:bookmarkEnd w:id="295"/>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296" w:name="_Toc178257477"/>
      <w:bookmarkStart w:id="297" w:name="_Toc169085358"/>
      <w:r>
        <w:rPr>
          <w:rStyle w:val="CharSectno"/>
        </w:rPr>
        <w:t>88</w:t>
      </w:r>
      <w:r>
        <w:t>.</w:t>
      </w:r>
      <w:r>
        <w:tab/>
        <w:t>Arbitrations — commencement</w:t>
      </w:r>
      <w:bookmarkEnd w:id="296"/>
      <w:bookmarkEnd w:id="297"/>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298" w:name="_Toc177639916"/>
      <w:bookmarkStart w:id="299" w:name="_Toc177640557"/>
      <w:bookmarkStart w:id="300" w:name="_Toc177645251"/>
      <w:bookmarkStart w:id="301" w:name="_Toc178257478"/>
      <w:bookmarkStart w:id="302" w:name="_Toc168993092"/>
      <w:bookmarkStart w:id="303" w:name="_Toc168993211"/>
      <w:bookmarkStart w:id="304" w:name="_Toc169085359"/>
      <w:r>
        <w:rPr>
          <w:rStyle w:val="CharPartNo"/>
        </w:rPr>
        <w:t>Part 7</w:t>
      </w:r>
      <w:r>
        <w:t> — </w:t>
      </w:r>
      <w:r>
        <w:rPr>
          <w:rStyle w:val="CharPartText"/>
        </w:rPr>
        <w:t>Transitional provisions</w:t>
      </w:r>
      <w:bookmarkEnd w:id="298"/>
      <w:bookmarkEnd w:id="299"/>
      <w:bookmarkEnd w:id="300"/>
      <w:bookmarkEnd w:id="301"/>
      <w:bookmarkEnd w:id="302"/>
      <w:bookmarkEnd w:id="303"/>
      <w:bookmarkEnd w:id="304"/>
    </w:p>
    <w:p>
      <w:pPr>
        <w:pStyle w:val="Footnoteheading"/>
      </w:pPr>
      <w:r>
        <w:tab/>
        <w:t>[Heading inserted: No. 3 of 2018 s. 12.]</w:t>
      </w:r>
    </w:p>
    <w:p>
      <w:pPr>
        <w:pStyle w:val="Heading3"/>
      </w:pPr>
      <w:bookmarkStart w:id="305" w:name="_Toc177639917"/>
      <w:bookmarkStart w:id="306" w:name="_Toc177640558"/>
      <w:bookmarkStart w:id="307" w:name="_Toc177645252"/>
      <w:bookmarkStart w:id="308" w:name="_Toc178257479"/>
      <w:bookmarkStart w:id="309" w:name="_Toc168993093"/>
      <w:bookmarkStart w:id="310" w:name="_Toc168993212"/>
      <w:bookmarkStart w:id="311" w:name="_Toc169085360"/>
      <w:r>
        <w:rPr>
          <w:rStyle w:val="CharDivNo"/>
        </w:rPr>
        <w:t>Division 1</w:t>
      </w:r>
      <w:r>
        <w:t> — </w:t>
      </w:r>
      <w:r>
        <w:rPr>
          <w:rStyle w:val="CharDivText"/>
        </w:rPr>
        <w:t>Provisions for Civil Liability Legislation Amendment (Child Sexual Abuse Actions) Act 2018</w:t>
      </w:r>
      <w:bookmarkEnd w:id="305"/>
      <w:bookmarkEnd w:id="306"/>
      <w:bookmarkEnd w:id="307"/>
      <w:bookmarkEnd w:id="308"/>
      <w:bookmarkEnd w:id="309"/>
      <w:bookmarkEnd w:id="310"/>
      <w:bookmarkEnd w:id="311"/>
    </w:p>
    <w:p>
      <w:pPr>
        <w:pStyle w:val="Footnoteheading"/>
      </w:pPr>
      <w:r>
        <w:tab/>
        <w:t>[Heading inserted: No. 3 of 2018 s. 12.]</w:t>
      </w:r>
    </w:p>
    <w:p>
      <w:pPr>
        <w:pStyle w:val="Heading5"/>
      </w:pPr>
      <w:bookmarkStart w:id="312" w:name="_Toc178257480"/>
      <w:bookmarkStart w:id="313" w:name="_Toc169085361"/>
      <w:r>
        <w:rPr>
          <w:rStyle w:val="CharSectno"/>
        </w:rPr>
        <w:t>89</w:t>
      </w:r>
      <w:r>
        <w:t>.</w:t>
      </w:r>
      <w:r>
        <w:tab/>
        <w:t>Terms used</w:t>
      </w:r>
      <w:bookmarkEnd w:id="312"/>
      <w:bookmarkEnd w:id="313"/>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314" w:name="_Toc178257481"/>
      <w:bookmarkStart w:id="315" w:name="_Toc169085362"/>
      <w:r>
        <w:rPr>
          <w:rStyle w:val="CharSectno"/>
        </w:rPr>
        <w:t>90</w:t>
      </w:r>
      <w:r>
        <w:t>.</w:t>
      </w:r>
      <w:r>
        <w:tab/>
        <w:t>Application of section 6A</w:t>
      </w:r>
      <w:bookmarkEnd w:id="314"/>
      <w:bookmarkEnd w:id="315"/>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316" w:name="_Toc178257482"/>
      <w:bookmarkStart w:id="317" w:name="_Toc169085363"/>
      <w:r>
        <w:rPr>
          <w:rStyle w:val="CharSectno"/>
        </w:rPr>
        <w:t>91</w:t>
      </w:r>
      <w:r>
        <w:t>.</w:t>
      </w:r>
      <w:r>
        <w:tab/>
        <w:t>Previously barred causes of action</w:t>
      </w:r>
      <w:bookmarkEnd w:id="316"/>
      <w:bookmarkEnd w:id="317"/>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318" w:name="_Toc178257483"/>
      <w:bookmarkStart w:id="319" w:name="_Toc169085364"/>
      <w:r>
        <w:rPr>
          <w:rStyle w:val="CharSectno"/>
        </w:rPr>
        <w:t>92</w:t>
      </w:r>
      <w:r>
        <w:t>.</w:t>
      </w:r>
      <w:r>
        <w:tab/>
        <w:t>Previously settled causes of action</w:t>
      </w:r>
      <w:bookmarkEnd w:id="318"/>
      <w:bookmarkEnd w:id="319"/>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0" w:name="_Toc177639922"/>
      <w:bookmarkStart w:id="321" w:name="_Toc177640563"/>
      <w:bookmarkStart w:id="322" w:name="_Toc177645257"/>
      <w:bookmarkStart w:id="323" w:name="_Toc178257484"/>
      <w:bookmarkStart w:id="324" w:name="_Toc168993098"/>
      <w:bookmarkStart w:id="325" w:name="_Toc168993217"/>
      <w:bookmarkStart w:id="326" w:name="_Toc169085365"/>
      <w:r>
        <w:t>Notes</w:t>
      </w:r>
      <w:bookmarkEnd w:id="320"/>
      <w:bookmarkEnd w:id="321"/>
      <w:bookmarkEnd w:id="322"/>
      <w:bookmarkEnd w:id="323"/>
      <w:bookmarkEnd w:id="324"/>
      <w:bookmarkEnd w:id="325"/>
      <w:bookmarkEnd w:id="326"/>
    </w:p>
    <w:p>
      <w:pPr>
        <w:pStyle w:val="nStatement"/>
      </w:pPr>
      <w:r>
        <w:t xml:space="preserve">This is a compilation of the </w:t>
      </w:r>
      <w:r>
        <w:rPr>
          <w:i/>
          <w:noProof/>
        </w:rPr>
        <w:t>Limitation Act</w:t>
      </w:r>
      <w:del w:id="327" w:author="Master Repository Process" w:date="2025-06-20T12:26:00Z">
        <w:r>
          <w:rPr>
            <w:i/>
            <w:noProof/>
          </w:rPr>
          <w:delText> </w:delText>
        </w:r>
      </w:del>
      <w:ins w:id="328" w:author="Master Repository Process" w:date="2025-06-20T12:26:00Z">
        <w:r>
          <w:rPr>
            <w:i/>
            <w:noProof/>
          </w:rPr>
          <w:t xml:space="preserve"> </w:t>
        </w:r>
      </w:ins>
      <w:r>
        <w:rPr>
          <w:i/>
          <w:noProof/>
        </w:rPr>
        <w:t>2005</w:t>
      </w:r>
      <w:r>
        <w:t xml:space="preserve"> and includes amendments made by other written laws. For provisions that have come into operation see the compilation table.</w:t>
      </w:r>
      <w:ins w:id="329" w:author="Master Repository Process" w:date="2025-06-20T12:26:00Z">
        <w:r>
          <w:t xml:space="preserve"> For provisions that have not yet come into operation see the uncommenced provisions table.</w:t>
        </w:r>
      </w:ins>
    </w:p>
    <w:p>
      <w:pPr>
        <w:pStyle w:val="nHeading3"/>
      </w:pPr>
      <w:bookmarkStart w:id="330" w:name="_Toc178257485"/>
      <w:bookmarkStart w:id="331" w:name="_Toc169085366"/>
      <w:r>
        <w:t>Compilation table</w:t>
      </w:r>
      <w:bookmarkEnd w:id="330"/>
      <w:bookmarkEnd w:id="33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c>
          <w:tcPr>
            <w:tcW w:w="2268" w:type="dxa"/>
            <w:tcBorders>
              <w:top w:val="nil"/>
              <w:bottom w:val="nil"/>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top w:val="nil"/>
              <w:bottom w:val="nil"/>
            </w:tcBorders>
          </w:tcPr>
          <w:p>
            <w:pPr>
              <w:pStyle w:val="nTable"/>
              <w:spacing w:after="40"/>
            </w:pPr>
            <w:r>
              <w:t>3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tcBorders>
          </w:tcPr>
          <w:p>
            <w:pPr>
              <w:pStyle w:val="nTable"/>
              <w:spacing w:after="40"/>
            </w:pPr>
            <w:r>
              <w:rPr>
                <w:i/>
                <w:iCs/>
              </w:rPr>
              <w:t>Workers Compensation and Injury Management Act 2023</w:t>
            </w:r>
            <w:r>
              <w:t xml:space="preserve"> Pt. 15 Div. 3 Subdiv. 9</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Pr>
        <w:pStyle w:val="nHeading3"/>
        <w:rPr>
          <w:ins w:id="332" w:author="Master Repository Process" w:date="2025-06-20T12:26:00Z"/>
        </w:rPr>
      </w:pPr>
      <w:bookmarkStart w:id="333" w:name="_Toc178257486"/>
      <w:ins w:id="334" w:author="Master Repository Process" w:date="2025-06-20T12:26:00Z">
        <w:r>
          <w:t>Uncommenced provisions table</w:t>
        </w:r>
        <w:bookmarkEnd w:id="333"/>
      </w:ins>
    </w:p>
    <w:p>
      <w:pPr>
        <w:pStyle w:val="nStatement"/>
        <w:keepNext/>
        <w:spacing w:after="240"/>
        <w:rPr>
          <w:ins w:id="335" w:author="Master Repository Process" w:date="2025-06-20T12:26:00Z"/>
        </w:rPr>
      </w:pPr>
      <w:ins w:id="336" w:author="Master Repository Process" w:date="2025-06-20T12:2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37" w:author="Master Repository Process" w:date="2025-06-20T12:26:00Z"/>
        </w:trPr>
        <w:tc>
          <w:tcPr>
            <w:tcW w:w="2268" w:type="dxa"/>
          </w:tcPr>
          <w:p>
            <w:pPr>
              <w:pStyle w:val="nTable"/>
              <w:spacing w:after="40"/>
              <w:rPr>
                <w:ins w:id="338" w:author="Master Repository Process" w:date="2025-06-20T12:26:00Z"/>
                <w:b/>
              </w:rPr>
            </w:pPr>
            <w:ins w:id="339" w:author="Master Repository Process" w:date="2025-06-20T12:26:00Z">
              <w:r>
                <w:rPr>
                  <w:b/>
                </w:rPr>
                <w:t>Short title</w:t>
              </w:r>
            </w:ins>
          </w:p>
        </w:tc>
        <w:tc>
          <w:tcPr>
            <w:tcW w:w="1134" w:type="dxa"/>
          </w:tcPr>
          <w:p>
            <w:pPr>
              <w:pStyle w:val="nTable"/>
              <w:spacing w:after="40"/>
              <w:rPr>
                <w:ins w:id="340" w:author="Master Repository Process" w:date="2025-06-20T12:26:00Z"/>
                <w:b/>
              </w:rPr>
            </w:pPr>
            <w:ins w:id="341" w:author="Master Repository Process" w:date="2025-06-20T12:26:00Z">
              <w:r>
                <w:rPr>
                  <w:b/>
                </w:rPr>
                <w:t>Number and year</w:t>
              </w:r>
            </w:ins>
          </w:p>
        </w:tc>
        <w:tc>
          <w:tcPr>
            <w:tcW w:w="1134" w:type="dxa"/>
          </w:tcPr>
          <w:p>
            <w:pPr>
              <w:pStyle w:val="nTable"/>
              <w:spacing w:after="40"/>
              <w:rPr>
                <w:ins w:id="342" w:author="Master Repository Process" w:date="2025-06-20T12:26:00Z"/>
                <w:b/>
              </w:rPr>
            </w:pPr>
            <w:ins w:id="343" w:author="Master Repository Process" w:date="2025-06-20T12:26:00Z">
              <w:r>
                <w:rPr>
                  <w:b/>
                </w:rPr>
                <w:t>Assent</w:t>
              </w:r>
            </w:ins>
          </w:p>
        </w:tc>
        <w:tc>
          <w:tcPr>
            <w:tcW w:w="2552" w:type="dxa"/>
          </w:tcPr>
          <w:p>
            <w:pPr>
              <w:pStyle w:val="nTable"/>
              <w:spacing w:after="40"/>
              <w:rPr>
                <w:ins w:id="344" w:author="Master Repository Process" w:date="2025-06-20T12:26:00Z"/>
                <w:b/>
              </w:rPr>
            </w:pPr>
            <w:ins w:id="345" w:author="Master Repository Process" w:date="2025-06-20T12:26:00Z">
              <w:r>
                <w:rPr>
                  <w:b/>
                </w:rPr>
                <w:t>Commencement</w:t>
              </w:r>
            </w:ins>
          </w:p>
        </w:tc>
      </w:tr>
      <w:tr>
        <w:trPr>
          <w:ins w:id="346" w:author="Master Repository Process" w:date="2025-06-20T12:26:00Z"/>
        </w:trPr>
        <w:tc>
          <w:tcPr>
            <w:tcW w:w="2268" w:type="dxa"/>
          </w:tcPr>
          <w:p>
            <w:pPr>
              <w:pStyle w:val="nTable"/>
              <w:spacing w:after="40"/>
              <w:rPr>
                <w:ins w:id="347" w:author="Master Repository Process" w:date="2025-06-20T12:26:00Z"/>
              </w:rPr>
            </w:pPr>
            <w:ins w:id="348" w:author="Master Repository Process" w:date="2025-06-20T12:26:00Z">
              <w:r>
                <w:rPr>
                  <w:i/>
                </w:rPr>
                <w:t xml:space="preserve">Civil Liability Amendment (Provisional Damages for Dust Diseases) Act 2024 </w:t>
              </w:r>
              <w:r>
                <w:rPr>
                  <w:iCs/>
                </w:rPr>
                <w:t>Pt. 4</w:t>
              </w:r>
            </w:ins>
          </w:p>
        </w:tc>
        <w:tc>
          <w:tcPr>
            <w:tcW w:w="1134" w:type="dxa"/>
          </w:tcPr>
          <w:p>
            <w:pPr>
              <w:pStyle w:val="nTable"/>
              <w:spacing w:after="40"/>
              <w:rPr>
                <w:ins w:id="349" w:author="Master Repository Process" w:date="2025-06-20T12:26:00Z"/>
              </w:rPr>
            </w:pPr>
            <w:ins w:id="350" w:author="Master Repository Process" w:date="2025-06-20T12:26:00Z">
              <w:r>
                <w:t>32 of 2024</w:t>
              </w:r>
            </w:ins>
          </w:p>
        </w:tc>
        <w:tc>
          <w:tcPr>
            <w:tcW w:w="1134" w:type="dxa"/>
          </w:tcPr>
          <w:p>
            <w:pPr>
              <w:pStyle w:val="nTable"/>
              <w:spacing w:after="40"/>
              <w:rPr>
                <w:ins w:id="351" w:author="Master Repository Process" w:date="2025-06-20T12:26:00Z"/>
              </w:rPr>
            </w:pPr>
            <w:ins w:id="352" w:author="Master Repository Process" w:date="2025-06-20T12:26:00Z">
              <w:r>
                <w:t>26 Sep 2024</w:t>
              </w:r>
            </w:ins>
          </w:p>
        </w:tc>
        <w:tc>
          <w:tcPr>
            <w:tcW w:w="2552" w:type="dxa"/>
          </w:tcPr>
          <w:p>
            <w:pPr>
              <w:pStyle w:val="nTable"/>
              <w:spacing w:after="40"/>
              <w:rPr>
                <w:ins w:id="353" w:author="Master Repository Process" w:date="2025-06-20T12:26:00Z"/>
              </w:rPr>
            </w:pPr>
            <w:ins w:id="354" w:author="Master Repository Process" w:date="2025-06-20T12:26:00Z">
              <w:r>
                <w:t>To be proclaimed (see s. 2(1)(d))</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5" w:name="Compilation"/>
    <w:bookmarkEnd w:id="3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6" w:name="Coversheet"/>
    <w:bookmarkEnd w:id="3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15426"/>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 w:name="WAFER_20240611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52_GUID" w:val="84a15c19-2f58-4784-8e10-74dd37534677"/>
    <w:docVar w:name="WAFER_2024091911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5426_GUID" w:val="ac8a59f6-b69a-403c-9105-476f9bc878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12474</Words>
  <Characters>58009</Characters>
  <Application>Microsoft Office Word</Application>
  <DocSecurity>0</DocSecurity>
  <Lines>1526</Lines>
  <Paragraphs>791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00-e0-00 - 00-f0-00</dc:title>
  <dc:subject/>
  <dc:creator/>
  <cp:keywords/>
  <dc:description/>
  <cp:lastModifiedBy>Master Repository Process</cp:lastModifiedBy>
  <cp:revision>2</cp:revision>
  <cp:lastPrinted>2005-11-15T11:52:00Z</cp:lastPrinted>
  <dcterms:created xsi:type="dcterms:W3CDTF">2025-06-20T04:26:00Z</dcterms:created>
  <dcterms:modified xsi:type="dcterms:W3CDTF">2025-06-20T04:27:00Z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Official">
    <vt:lpwstr/>
  </property>
  <property fmtid="{D5CDD505-2E9C-101B-9397-08002B2CF9AE}" pid="6" name="CommencementDate">
    <vt:lpwstr>20240926</vt:lpwstr>
  </property>
  <property fmtid="{D5CDD505-2E9C-101B-9397-08002B2CF9AE}" pid="7" name="CommencementAsAt">
    <vt:filetime>2024-09-25T16:00:00Z</vt:filetime>
  </property>
  <property fmtid="{D5CDD505-2E9C-101B-9397-08002B2CF9AE}" pid="8" name="CommencementYear">
    <vt:lpwstr>2024</vt:lpwstr>
  </property>
  <property fmtid="{D5CDD505-2E9C-101B-9397-08002B2CF9AE}" pid="9" name="FromSuffix">
    <vt:lpwstr>00-e0-00</vt:lpwstr>
  </property>
  <property fmtid="{D5CDD505-2E9C-101B-9397-08002B2CF9AE}" pid="10" name="FromAsAtDate">
    <vt:lpwstr>01 Jul 2024</vt:lpwstr>
  </property>
  <property fmtid="{D5CDD505-2E9C-101B-9397-08002B2CF9AE}" pid="11" name="ToSuffix">
    <vt:lpwstr>00-f0-00</vt:lpwstr>
  </property>
  <property fmtid="{D5CDD505-2E9C-101B-9397-08002B2CF9AE}" pid="12" name="ToAsAtDate">
    <vt:lpwstr>26 Sep 2024</vt:lpwstr>
  </property>
</Properties>
</file>