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01 Oct 2024</w:t>
      </w:r>
      <w:r>
        <w:fldChar w:fldCharType="end"/>
      </w:r>
      <w:r>
        <w:t xml:space="preserve">, </w:t>
      </w:r>
      <w:r>
        <w:fldChar w:fldCharType="begin"/>
      </w:r>
      <w:r>
        <w:instrText xml:space="preserve"> DocProperty ToSuffix</w:instrText>
      </w:r>
      <w:r>
        <w:fldChar w:fldCharType="separate"/>
      </w:r>
      <w:r>
        <w:t>01-k0-01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1" w:name="_Toc178585770"/>
      <w:bookmarkStart w:id="2" w:name="_Toc178586648"/>
      <w:bookmarkStart w:id="3" w:name="_Toc178591277"/>
      <w:bookmarkStart w:id="4" w:name="_Toc178591334"/>
      <w:bookmarkStart w:id="5" w:name="_Toc153978347"/>
      <w:bookmarkStart w:id="6" w:name="_Toc153979287"/>
      <w:bookmarkStart w:id="7" w:name="_Toc1540442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8591335"/>
      <w:bookmarkStart w:id="9" w:name="_Toc154044202"/>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rules</w:t>
      </w:r>
      <w:r>
        <w:t xml:space="preserve"> are the </w:t>
      </w:r>
      <w:r>
        <w:rPr>
          <w:i/>
        </w:rPr>
        <w:t>Liquor Commission Rules 2007</w:t>
      </w:r>
      <w:r>
        <w:t>.</w:t>
      </w:r>
    </w:p>
    <w:p>
      <w:pPr>
        <w:pStyle w:val="Heading5"/>
      </w:pPr>
      <w:bookmarkStart w:id="11" w:name="_Toc178591336"/>
      <w:bookmarkStart w:id="12" w:name="_Toc154044203"/>
      <w:r>
        <w:rPr>
          <w:rStyle w:val="CharSectno"/>
        </w:rPr>
        <w:t>2</w:t>
      </w:r>
      <w:r>
        <w:t>.</w:t>
      </w:r>
      <w:r>
        <w:tab/>
        <w:t>Commencement</w:t>
      </w:r>
      <w:bookmarkEnd w:id="11"/>
      <w:bookmarkEnd w:id="12"/>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3" w:name="_Toc178591337"/>
      <w:bookmarkStart w:id="14" w:name="_Toc154044204"/>
      <w:r>
        <w:rPr>
          <w:rStyle w:val="CharSectno"/>
        </w:rPr>
        <w:t>3</w:t>
      </w:r>
      <w:r>
        <w:t>.</w:t>
      </w:r>
      <w:r>
        <w:tab/>
        <w:t>Terms used</w:t>
      </w:r>
      <w:bookmarkEnd w:id="13"/>
      <w:bookmarkEnd w:id="14"/>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15" w:name="_Toc178591338"/>
      <w:bookmarkStart w:id="16" w:name="_Toc154044205"/>
      <w:r>
        <w:rPr>
          <w:rStyle w:val="CharSectno"/>
        </w:rPr>
        <w:t>4</w:t>
      </w:r>
      <w:r>
        <w:t>.</w:t>
      </w:r>
      <w:r>
        <w:rPr>
          <w:rStyle w:val="CharSectno"/>
        </w:rPr>
        <w:tab/>
      </w:r>
      <w:r>
        <w:t>Application of these rules</w:t>
      </w:r>
      <w:bookmarkEnd w:id="15"/>
      <w:bookmarkEnd w:id="16"/>
    </w:p>
    <w:p>
      <w:pPr>
        <w:pStyle w:val="Subsection"/>
      </w:pPr>
      <w:r>
        <w:tab/>
      </w:r>
      <w:r>
        <w:tab/>
        <w:t>Unless the Commission in a particular case orders otherwise, these rules apply in all proceedings.</w:t>
      </w:r>
    </w:p>
    <w:p>
      <w:pPr>
        <w:pStyle w:val="Heading2"/>
      </w:pPr>
      <w:bookmarkStart w:id="17" w:name="_Toc178585775"/>
      <w:bookmarkStart w:id="18" w:name="_Toc178586653"/>
      <w:bookmarkStart w:id="19" w:name="_Toc178591282"/>
      <w:bookmarkStart w:id="20" w:name="_Toc178591339"/>
      <w:bookmarkStart w:id="21" w:name="_Toc153978352"/>
      <w:bookmarkStart w:id="22" w:name="_Toc153979292"/>
      <w:bookmarkStart w:id="23" w:name="_Toc154044206"/>
      <w:r>
        <w:rPr>
          <w:rStyle w:val="CharPartNo"/>
        </w:rPr>
        <w:lastRenderedPageBreak/>
        <w:t>Part 2 </w:t>
      </w:r>
      <w:r>
        <w:t>—</w:t>
      </w:r>
      <w:r>
        <w:rPr>
          <w:rStyle w:val="CharDivText"/>
        </w:rPr>
        <w:t> </w:t>
      </w:r>
      <w:r>
        <w:rPr>
          <w:rStyle w:val="CharPartText"/>
        </w:rPr>
        <w:t>Practice and procedure</w:t>
      </w:r>
      <w:bookmarkEnd w:id="17"/>
      <w:bookmarkEnd w:id="18"/>
      <w:bookmarkEnd w:id="19"/>
      <w:bookmarkEnd w:id="20"/>
      <w:bookmarkEnd w:id="21"/>
      <w:bookmarkEnd w:id="22"/>
      <w:bookmarkEnd w:id="23"/>
    </w:p>
    <w:p>
      <w:pPr>
        <w:pStyle w:val="Heading5"/>
      </w:pPr>
      <w:bookmarkStart w:id="24" w:name="_Toc178591340"/>
      <w:bookmarkStart w:id="25" w:name="_Toc154044207"/>
      <w:r>
        <w:rPr>
          <w:rStyle w:val="CharSectno"/>
        </w:rPr>
        <w:t>5</w:t>
      </w:r>
      <w:r>
        <w:t>.</w:t>
      </w:r>
      <w:r>
        <w:tab/>
        <w:t>Applications for review of decision of Director (s. 25 of Act)</w:t>
      </w:r>
      <w:bookmarkEnd w:id="24"/>
      <w:bookmarkEnd w:id="25"/>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26" w:name="_Toc178591341"/>
      <w:bookmarkStart w:id="27" w:name="_Toc154044208"/>
      <w:r>
        <w:rPr>
          <w:rStyle w:val="CharSectno"/>
        </w:rPr>
        <w:t>6</w:t>
      </w:r>
      <w:r>
        <w:t>.</w:t>
      </w:r>
      <w:r>
        <w:tab/>
        <w:t>Appeals against decision of Commission constituted by one member (s. 28(4a) of Act)</w:t>
      </w:r>
      <w:bookmarkEnd w:id="26"/>
      <w:bookmarkEnd w:id="27"/>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28" w:name="_Toc178591342"/>
      <w:bookmarkStart w:id="29" w:name="_Toc154044209"/>
      <w:r>
        <w:rPr>
          <w:rStyle w:val="CharSectno"/>
        </w:rPr>
        <w:t>7</w:t>
      </w:r>
      <w:r>
        <w:t>.</w:t>
      </w:r>
      <w:r>
        <w:tab/>
        <w:t>Complaints (s. 95 of Act)</w:t>
      </w:r>
      <w:bookmarkEnd w:id="28"/>
      <w:bookmarkEnd w:id="29"/>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30" w:name="_Toc178591343"/>
      <w:bookmarkStart w:id="31" w:name="_Toc154044210"/>
      <w:r>
        <w:rPr>
          <w:rStyle w:val="CharSectno"/>
        </w:rPr>
        <w:t>8A</w:t>
      </w:r>
      <w:r>
        <w:t>.</w:t>
      </w:r>
      <w:r>
        <w:tab/>
        <w:t>Lodging written submissions for proceedings</w:t>
      </w:r>
      <w:bookmarkEnd w:id="30"/>
      <w:bookmarkEnd w:id="31"/>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32" w:name="_Toc178591344"/>
      <w:bookmarkStart w:id="33" w:name="_Toc154044211"/>
      <w:r>
        <w:rPr>
          <w:rStyle w:val="CharSectno"/>
        </w:rPr>
        <w:t>8</w:t>
      </w:r>
      <w:r>
        <w:t>.</w:t>
      </w:r>
      <w:r>
        <w:tab/>
        <w:t>Separate proceedings determined simultaneously</w:t>
      </w:r>
      <w:bookmarkEnd w:id="32"/>
      <w:bookmarkEnd w:id="33"/>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34" w:name="_Toc178591345"/>
      <w:bookmarkStart w:id="35" w:name="_Toc154044212"/>
      <w:r>
        <w:rPr>
          <w:rStyle w:val="CharSectno"/>
        </w:rPr>
        <w:t>9</w:t>
      </w:r>
      <w:r>
        <w:t>.</w:t>
      </w:r>
      <w:r>
        <w:tab/>
        <w:t>Separate proceedings heard together</w:t>
      </w:r>
      <w:bookmarkEnd w:id="34"/>
      <w:bookmarkEnd w:id="35"/>
    </w:p>
    <w:p>
      <w:pPr>
        <w:pStyle w:val="Subsection"/>
      </w:pPr>
      <w:r>
        <w:tab/>
      </w:r>
      <w:r>
        <w:tab/>
        <w:t>The Commission may, on an application by a party or on its own initiative, order that separate proceedings be heard together.</w:t>
      </w:r>
    </w:p>
    <w:p>
      <w:pPr>
        <w:pStyle w:val="Heading5"/>
      </w:pPr>
      <w:bookmarkStart w:id="36" w:name="_Toc178591346"/>
      <w:bookmarkStart w:id="37" w:name="_Toc154044213"/>
      <w:r>
        <w:rPr>
          <w:rStyle w:val="CharSectno"/>
        </w:rPr>
        <w:t>10</w:t>
      </w:r>
      <w:r>
        <w:t>.</w:t>
      </w:r>
      <w:r>
        <w:tab/>
        <w:t>Withdrawal</w:t>
      </w:r>
      <w:bookmarkEnd w:id="36"/>
      <w:bookmarkEnd w:id="37"/>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38" w:name="_Toc178591347"/>
      <w:bookmarkStart w:id="39" w:name="_Toc154044214"/>
      <w:r>
        <w:rPr>
          <w:rStyle w:val="CharSectno"/>
        </w:rPr>
        <w:t>11</w:t>
      </w:r>
      <w:r>
        <w:t>.</w:t>
      </w:r>
      <w:r>
        <w:tab/>
        <w:t>Orders relating to practice and procedure</w:t>
      </w:r>
      <w:bookmarkEnd w:id="38"/>
      <w:bookmarkEnd w:id="39"/>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40" w:name="_Toc178591348"/>
      <w:bookmarkStart w:id="41" w:name="_Toc154044215"/>
      <w:r>
        <w:rPr>
          <w:rStyle w:val="CharSectno"/>
        </w:rPr>
        <w:t>12</w:t>
      </w:r>
      <w:r>
        <w:t>.</w:t>
      </w:r>
      <w:r>
        <w:tab/>
        <w:t>Costs orders</w:t>
      </w:r>
      <w:bookmarkEnd w:id="40"/>
      <w:bookmarkEnd w:id="41"/>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42" w:name="_Toc178585785"/>
      <w:bookmarkStart w:id="43" w:name="_Toc178586663"/>
      <w:bookmarkStart w:id="44" w:name="_Toc178591292"/>
      <w:bookmarkStart w:id="45" w:name="_Toc178591349"/>
      <w:bookmarkStart w:id="46" w:name="_Toc153978362"/>
      <w:bookmarkStart w:id="47" w:name="_Toc153979302"/>
      <w:bookmarkStart w:id="48" w:name="_Toc154044216"/>
      <w:r>
        <w:rPr>
          <w:rStyle w:val="CharPartNo"/>
        </w:rPr>
        <w:t>Part 3</w:t>
      </w:r>
      <w:r>
        <w:rPr>
          <w:rStyle w:val="CharDivNo"/>
        </w:rPr>
        <w:t> </w:t>
      </w:r>
      <w:r>
        <w:t>—</w:t>
      </w:r>
      <w:r>
        <w:rPr>
          <w:rStyle w:val="CharDivText"/>
        </w:rPr>
        <w:t> </w:t>
      </w:r>
      <w:r>
        <w:rPr>
          <w:rStyle w:val="CharPartText"/>
        </w:rPr>
        <w:t>Miscellaneous</w:t>
      </w:r>
      <w:bookmarkEnd w:id="42"/>
      <w:bookmarkEnd w:id="43"/>
      <w:bookmarkEnd w:id="44"/>
      <w:bookmarkEnd w:id="45"/>
      <w:bookmarkEnd w:id="46"/>
      <w:bookmarkEnd w:id="47"/>
      <w:bookmarkEnd w:id="48"/>
    </w:p>
    <w:p>
      <w:pPr>
        <w:pStyle w:val="Heading5"/>
      </w:pPr>
      <w:bookmarkStart w:id="49" w:name="_Toc178591350"/>
      <w:bookmarkStart w:id="50" w:name="_Toc154044217"/>
      <w:r>
        <w:rPr>
          <w:rStyle w:val="CharSectno"/>
        </w:rPr>
        <w:t>13</w:t>
      </w:r>
      <w:r>
        <w:t>.</w:t>
      </w:r>
      <w:r>
        <w:tab/>
        <w:t>Authentication of decisions of Commission</w:t>
      </w:r>
      <w:bookmarkEnd w:id="49"/>
      <w:bookmarkEnd w:id="50"/>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51" w:name="_Toc178591351"/>
      <w:bookmarkStart w:id="52" w:name="_Toc154044218"/>
      <w:r>
        <w:rPr>
          <w:rStyle w:val="CharSectno"/>
        </w:rPr>
        <w:t>14</w:t>
      </w:r>
      <w:r>
        <w:t>.</w:t>
      </w:r>
      <w:r>
        <w:tab/>
        <w:t>Obtaining copies of documents in relation to proceedings</w:t>
      </w:r>
      <w:bookmarkEnd w:id="51"/>
      <w:bookmarkEnd w:id="52"/>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53" w:name="_Toc178591352"/>
      <w:bookmarkStart w:id="54" w:name="_Toc154044219"/>
      <w:r>
        <w:rPr>
          <w:rStyle w:val="CharSectno"/>
        </w:rPr>
        <w:t>15</w:t>
      </w:r>
      <w:r>
        <w:t>.</w:t>
      </w:r>
      <w:r>
        <w:tab/>
        <w:t>Costs and charges payable in relation to proceedings</w:t>
      </w:r>
      <w:bookmarkEnd w:id="53"/>
      <w:bookmarkEnd w:id="54"/>
    </w:p>
    <w:p>
      <w:pPr>
        <w:pStyle w:val="Subsection"/>
      </w:pPr>
      <w:r>
        <w:tab/>
      </w:r>
      <w:r>
        <w:tab/>
        <w:t>The costs and charges set out in Schedule 1 are payable in relation to proceedings.</w:t>
      </w:r>
    </w:p>
    <w:p>
      <w:pPr>
        <w:pStyle w:val="Heading5"/>
      </w:pPr>
      <w:bookmarkStart w:id="55" w:name="_Toc178591353"/>
      <w:bookmarkStart w:id="56" w:name="_Toc154044220"/>
      <w:r>
        <w:rPr>
          <w:rStyle w:val="CharSectno"/>
        </w:rPr>
        <w:t>16</w:t>
      </w:r>
      <w:r>
        <w:t>.</w:t>
      </w:r>
      <w:r>
        <w:tab/>
        <w:t>Repeal and savings</w:t>
      </w:r>
      <w:bookmarkEnd w:id="55"/>
      <w:bookmarkEnd w:id="56"/>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7" w:name="_Toc178585790"/>
      <w:bookmarkStart w:id="58" w:name="_Toc178586668"/>
      <w:bookmarkStart w:id="59" w:name="_Toc178591297"/>
      <w:bookmarkStart w:id="60" w:name="_Toc178591354"/>
      <w:bookmarkStart w:id="61" w:name="_Toc153978367"/>
      <w:bookmarkStart w:id="62" w:name="_Toc153979307"/>
      <w:bookmarkStart w:id="63" w:name="_Toc154044221"/>
      <w:r>
        <w:rPr>
          <w:rStyle w:val="CharSchNo"/>
        </w:rPr>
        <w:t>Schedule 1</w:t>
      </w:r>
      <w:r>
        <w:rPr>
          <w:rStyle w:val="CharSDivNo"/>
        </w:rPr>
        <w:t> </w:t>
      </w:r>
      <w:r>
        <w:t>—</w:t>
      </w:r>
      <w:r>
        <w:rPr>
          <w:rStyle w:val="CharSDivText"/>
        </w:rPr>
        <w:t> </w:t>
      </w:r>
      <w:r>
        <w:rPr>
          <w:rStyle w:val="CharSchText"/>
        </w:rPr>
        <w:t>Costs and charges payable in relation to proceedings</w:t>
      </w:r>
      <w:bookmarkEnd w:id="57"/>
      <w:bookmarkEnd w:id="58"/>
      <w:bookmarkEnd w:id="59"/>
      <w:bookmarkEnd w:id="60"/>
      <w:bookmarkEnd w:id="61"/>
      <w:bookmarkEnd w:id="62"/>
      <w:bookmarkEnd w:id="63"/>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t>443.50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t>443.50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 SL 2023/160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65" w:name="_Toc178585791"/>
      <w:bookmarkStart w:id="66" w:name="_Toc178586669"/>
      <w:bookmarkStart w:id="67" w:name="_Toc178591298"/>
      <w:bookmarkStart w:id="68" w:name="_Toc178591355"/>
      <w:bookmarkStart w:id="69" w:name="_Toc153978368"/>
      <w:bookmarkStart w:id="70" w:name="_Toc153979308"/>
      <w:bookmarkStart w:id="71" w:name="_Toc154044222"/>
      <w:r>
        <w:t>Notes</w:t>
      </w:r>
      <w:bookmarkEnd w:id="65"/>
      <w:bookmarkEnd w:id="66"/>
      <w:bookmarkEnd w:id="67"/>
      <w:bookmarkEnd w:id="68"/>
      <w:bookmarkEnd w:id="69"/>
      <w:bookmarkEnd w:id="70"/>
      <w:bookmarkEnd w:id="71"/>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2" w:name="_Toc178591356"/>
      <w:bookmarkStart w:id="73" w:name="_Toc154044223"/>
      <w:r>
        <w:t>Compilation table</w:t>
      </w:r>
      <w:bookmarkEnd w:id="72"/>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2023</w:t>
            </w:r>
          </w:p>
        </w:tc>
        <w:tc>
          <w:tcPr>
            <w:tcW w:w="1315" w:type="dxa"/>
            <w:gridSpan w:val="3"/>
            <w:tcBorders>
              <w:top w:val="nil"/>
              <w:bottom w:val="nil"/>
            </w:tcBorders>
            <w:shd w:val="clear" w:color="auto" w:fill="auto"/>
          </w:tcPr>
          <w:p>
            <w:pPr>
              <w:pStyle w:val="nTable"/>
              <w:spacing w:after="40"/>
            </w:pPr>
            <w:r>
              <w:t>SL 2023/160 24 Oct 2023</w:t>
            </w:r>
          </w:p>
        </w:tc>
        <w:tc>
          <w:tcPr>
            <w:tcW w:w="2363" w:type="dxa"/>
            <w:tcBorders>
              <w:top w:val="nil"/>
              <w:bottom w:val="nil"/>
            </w:tcBorders>
            <w:shd w:val="clear" w:color="auto" w:fill="auto"/>
          </w:tcPr>
          <w:p>
            <w:pPr>
              <w:pStyle w:val="nTable"/>
              <w:spacing w:after="40"/>
            </w:pPr>
            <w:r>
              <w:t>r. 1 and 2: 24 Oct 2023 (see r. 2(a))</w:t>
            </w:r>
            <w:r>
              <w:br/>
              <w:t>Rules other than r. 1 and 2: 1 Jan 2024 (see r. 2(b))</w:t>
            </w:r>
          </w:p>
        </w:tc>
      </w:tr>
      <w:tr>
        <w:trPr>
          <w:cantSplit/>
        </w:trPr>
        <w:tc>
          <w:tcPr>
            <w:tcW w:w="3108" w:type="dxa"/>
            <w:tcBorders>
              <w:top w:val="nil"/>
              <w:bottom w:val="single" w:sz="4" w:space="0" w:color="auto"/>
            </w:tcBorders>
            <w:shd w:val="clear" w:color="auto" w:fill="auto"/>
          </w:tcPr>
          <w:p>
            <w:pPr>
              <w:pStyle w:val="nTable"/>
              <w:spacing w:after="40"/>
              <w:rPr>
                <w:iCs/>
              </w:rPr>
            </w:pPr>
            <w:r>
              <w:rPr>
                <w:i/>
              </w:rPr>
              <w:t>Liquor Commission Amendment Rules (No. 2) 2023</w:t>
            </w:r>
            <w:r>
              <w:rPr>
                <w:iCs/>
              </w:rPr>
              <w:t xml:space="preserve"> (other than Pt. 3)</w:t>
            </w:r>
          </w:p>
        </w:tc>
        <w:tc>
          <w:tcPr>
            <w:tcW w:w="1315" w:type="dxa"/>
            <w:gridSpan w:val="3"/>
            <w:tcBorders>
              <w:top w:val="nil"/>
              <w:bottom w:val="single" w:sz="4" w:space="0" w:color="auto"/>
            </w:tcBorders>
            <w:shd w:val="clear" w:color="auto" w:fill="auto"/>
          </w:tcPr>
          <w:p>
            <w:pPr>
              <w:pStyle w:val="nTable"/>
              <w:spacing w:after="40"/>
            </w:pPr>
            <w:r>
              <w:t>SL 2023/198 13 Dec 2023</w:t>
            </w:r>
          </w:p>
        </w:tc>
        <w:tc>
          <w:tcPr>
            <w:tcW w:w="2363" w:type="dxa"/>
            <w:tcBorders>
              <w:top w:val="nil"/>
              <w:bottom w:val="single" w:sz="4" w:space="0" w:color="auto"/>
            </w:tcBorders>
            <w:shd w:val="clear" w:color="auto" w:fill="auto"/>
          </w:tcPr>
          <w:p>
            <w:pPr>
              <w:pStyle w:val="nTable"/>
              <w:spacing w:after="40"/>
            </w:pPr>
            <w:r>
              <w:t>Pt. 1: 13 Dec 2023 (see r. 2(a));</w:t>
            </w:r>
            <w:r>
              <w:br/>
              <w:t>Pt. 2: 14 Dec 2023 (see r. 2(b))</w:t>
            </w:r>
          </w:p>
        </w:tc>
      </w:tr>
    </w:tbl>
    <w:p>
      <w:pPr>
        <w:pStyle w:val="nHeading3"/>
      </w:pPr>
      <w:bookmarkStart w:id="74" w:name="_Toc178591357"/>
      <w:bookmarkStart w:id="75" w:name="_Toc154044224"/>
      <w:r>
        <w:t>Uncommenced provisions table</w:t>
      </w:r>
      <w:bookmarkEnd w:id="74"/>
      <w:bookmarkEnd w:id="7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Cs/>
              </w:rPr>
            </w:pPr>
            <w:r>
              <w:rPr>
                <w:i/>
              </w:rPr>
              <w:t>Liquor Commission Amendment Rules (No. 2) 2023</w:t>
            </w:r>
            <w:r>
              <w:rPr>
                <w:iCs/>
              </w:rPr>
              <w:t xml:space="preserve"> Pt. 3</w:t>
            </w:r>
          </w:p>
        </w:tc>
        <w:tc>
          <w:tcPr>
            <w:tcW w:w="1276" w:type="dxa"/>
            <w:tcBorders>
              <w:top w:val="nil"/>
              <w:bottom w:val="nil"/>
            </w:tcBorders>
          </w:tcPr>
          <w:p>
            <w:pPr>
              <w:pStyle w:val="nTable"/>
              <w:spacing w:after="40"/>
            </w:pPr>
            <w:r>
              <w:t>SL 2023/198 13 Dec 2023</w:t>
            </w:r>
          </w:p>
        </w:tc>
        <w:tc>
          <w:tcPr>
            <w:tcW w:w="2693" w:type="dxa"/>
            <w:tcBorders>
              <w:top w:val="nil"/>
              <w:bottom w:val="nil"/>
            </w:tcBorders>
          </w:tcPr>
          <w:p>
            <w:pPr>
              <w:pStyle w:val="nTable"/>
              <w:spacing w:after="40"/>
            </w:pPr>
            <w:r>
              <w:t xml:space="preserve">Operative on the day on which the </w:t>
            </w:r>
            <w:r>
              <w:rPr>
                <w:i/>
              </w:rPr>
              <w:t>Liquor Control Amendment (Banned Drinkers Register) Act 2023</w:t>
            </w:r>
            <w:r>
              <w:t xml:space="preserve"> s. 31 comes into operation (see r. 2(c))</w:t>
            </w:r>
          </w:p>
        </w:tc>
      </w:tr>
      <w:tr>
        <w:trPr>
          <w:ins w:id="76" w:author="Master Repository Process" w:date="2025-06-26T10:11:00Z"/>
        </w:trPr>
        <w:tc>
          <w:tcPr>
            <w:tcW w:w="3118" w:type="dxa"/>
            <w:tcBorders>
              <w:top w:val="nil"/>
              <w:bottom w:val="single" w:sz="4" w:space="0" w:color="auto"/>
            </w:tcBorders>
          </w:tcPr>
          <w:p>
            <w:pPr>
              <w:pStyle w:val="nTable"/>
              <w:spacing w:after="40"/>
              <w:rPr>
                <w:ins w:id="77" w:author="Master Repository Process" w:date="2025-06-26T10:11:00Z"/>
                <w:iCs/>
              </w:rPr>
            </w:pPr>
            <w:ins w:id="78" w:author="Master Repository Process" w:date="2025-06-26T10:11:00Z">
              <w:r>
                <w:rPr>
                  <w:i/>
                </w:rPr>
                <w:t>Liquor Commission Amendment Rules 2024</w:t>
              </w:r>
              <w:r>
                <w:rPr>
                  <w:iCs/>
                </w:rPr>
                <w:t xml:space="preserve"> r. 3 and 4</w:t>
              </w:r>
            </w:ins>
          </w:p>
        </w:tc>
        <w:tc>
          <w:tcPr>
            <w:tcW w:w="1276" w:type="dxa"/>
            <w:tcBorders>
              <w:top w:val="nil"/>
              <w:bottom w:val="single" w:sz="4" w:space="0" w:color="auto"/>
            </w:tcBorders>
          </w:tcPr>
          <w:p>
            <w:pPr>
              <w:pStyle w:val="nTable"/>
              <w:spacing w:after="40"/>
              <w:rPr>
                <w:ins w:id="79" w:author="Master Repository Process" w:date="2025-06-26T10:11:00Z"/>
              </w:rPr>
            </w:pPr>
            <w:ins w:id="80" w:author="Master Repository Process" w:date="2025-06-26T10:11:00Z">
              <w:r>
                <w:t>SL 2024/204 1 Oct 2024</w:t>
              </w:r>
            </w:ins>
          </w:p>
        </w:tc>
        <w:tc>
          <w:tcPr>
            <w:tcW w:w="2693" w:type="dxa"/>
            <w:tcBorders>
              <w:top w:val="nil"/>
              <w:bottom w:val="single" w:sz="4" w:space="0" w:color="auto"/>
            </w:tcBorders>
          </w:tcPr>
          <w:p>
            <w:pPr>
              <w:pStyle w:val="nTable"/>
              <w:spacing w:after="40"/>
              <w:rPr>
                <w:ins w:id="81" w:author="Master Repository Process" w:date="2025-06-26T10:11:00Z"/>
              </w:rPr>
            </w:pPr>
            <w:ins w:id="82" w:author="Master Repository Process" w:date="2025-06-26T10:11:00Z">
              <w:r>
                <w:t>1 Jan 2025 (see r. 2(b))</w:t>
              </w:r>
            </w:ins>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30104617"/>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 w:name="WAFER_20231220151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911_GUID" w:val="9c345681-b4a7-4a58-bc81-ffe04b9287cf"/>
    <w:docVar w:name="WAFER_2023122015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52016_GUID" w:val="1a862f84-3464-4f77-9f81-9fd83d65851d"/>
    <w:docVar w:name="WAFER_20240930104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30104617_GUID" w:val="cd78a62d-5dd8-46c2-aaf6-1e71ace2e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2007</Words>
  <Characters>9213</Characters>
  <Application>Microsoft Office Word</Application>
  <DocSecurity>0</DocSecurity>
  <Lines>341</Lines>
  <Paragraphs>219</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01-j0-00 - 01-k0-01</dc:title>
  <dc:subject/>
  <dc:creator/>
  <cp:keywords/>
  <dc:description/>
  <cp:lastModifiedBy>Master Repository Process</cp:lastModifiedBy>
  <cp:revision>2</cp:revision>
  <cp:lastPrinted>2017-03-21T01:20:00Z</cp:lastPrinted>
  <dcterms:created xsi:type="dcterms:W3CDTF">2025-06-26T02:11:00Z</dcterms:created>
  <dcterms:modified xsi:type="dcterms:W3CDTF">2025-06-26T02:11:00Z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20241001</vt:lpwstr>
  </property>
  <property fmtid="{D5CDD505-2E9C-101B-9397-08002B2CF9AE}" pid="9" name="CommencementAsAt">
    <vt:filetime>2024-09-30T16:00:00Z</vt:filetime>
  </property>
  <property fmtid="{D5CDD505-2E9C-101B-9397-08002B2CF9AE}" pid="10" name="CommencementYear">
    <vt:lpwstr>2024</vt:lpwstr>
  </property>
  <property fmtid="{D5CDD505-2E9C-101B-9397-08002B2CF9AE}" pid="11" name="FromSuffix">
    <vt:lpwstr>01-j0-00</vt:lpwstr>
  </property>
  <property fmtid="{D5CDD505-2E9C-101B-9397-08002B2CF9AE}" pid="12" name="FromAsAtDate">
    <vt:lpwstr>01 Jan 2024</vt:lpwstr>
  </property>
  <property fmtid="{D5CDD505-2E9C-101B-9397-08002B2CF9AE}" pid="13" name="ToSuffix">
    <vt:lpwstr>01-k0-01</vt:lpwstr>
  </property>
  <property fmtid="{D5CDD505-2E9C-101B-9397-08002B2CF9AE}" pid="14" name="ToAsAtDate">
    <vt:lpwstr>01 Oct 2024</vt:lpwstr>
  </property>
</Properties>
</file>