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2024</w:t>
      </w:r>
      <w:r>
        <w:fldChar w:fldCharType="end"/>
      </w:r>
      <w:r>
        <w:t xml:space="preserve">, </w:t>
      </w:r>
      <w:r>
        <w:fldChar w:fldCharType="begin"/>
      </w:r>
      <w:r>
        <w:instrText xml:space="preserve"> DocProperty FromSuffix </w:instrText>
      </w:r>
      <w:r>
        <w:fldChar w:fldCharType="separate"/>
      </w:r>
      <w:r>
        <w:t>03-q0-02</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1" w:name="_Toc178340491"/>
      <w:bookmarkStart w:id="2" w:name="_Toc178342325"/>
      <w:bookmarkStart w:id="3" w:name="_Toc178342961"/>
      <w:bookmarkStart w:id="4" w:name="_Toc178347346"/>
      <w:bookmarkStart w:id="5" w:name="_Toc177634131"/>
      <w:bookmarkStart w:id="6" w:name="_Toc177634512"/>
      <w:bookmarkStart w:id="7" w:name="_Toc177635400"/>
      <w:bookmarkStart w:id="8" w:name="_Toc1777423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240"/>
      </w:pPr>
      <w:bookmarkStart w:id="9" w:name="_Toc178347347"/>
      <w:bookmarkStart w:id="10" w:name="_Toc177742371"/>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11" w:name="_Toc178347348"/>
      <w:bookmarkStart w:id="12" w:name="_Toc17774237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13" w:name="_Toc178347349"/>
      <w:bookmarkStart w:id="14" w:name="_Toc177742373"/>
      <w:r>
        <w:rPr>
          <w:rStyle w:val="CharSectno"/>
        </w:rPr>
        <w:t>3</w:t>
      </w:r>
      <w:r>
        <w:t>.</w:t>
      </w:r>
      <w:r>
        <w:tab/>
        <w:t>Terms used</w:t>
      </w:r>
      <w:bookmarkEnd w:id="13"/>
      <w:bookmarkEnd w:id="14"/>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15" w:name="_Toc178340495"/>
      <w:bookmarkStart w:id="16" w:name="_Toc178342329"/>
      <w:bookmarkStart w:id="17" w:name="_Toc178342965"/>
      <w:bookmarkStart w:id="18" w:name="_Toc178347350"/>
      <w:bookmarkStart w:id="19" w:name="_Toc177634135"/>
      <w:bookmarkStart w:id="20" w:name="_Toc177634516"/>
      <w:bookmarkStart w:id="21" w:name="_Toc177635404"/>
      <w:bookmarkStart w:id="22" w:name="_Toc177742374"/>
      <w:r>
        <w:rPr>
          <w:rStyle w:val="CharPartNo"/>
        </w:rPr>
        <w:lastRenderedPageBreak/>
        <w:t>Part 2</w:t>
      </w:r>
      <w:r>
        <w:t> — </w:t>
      </w:r>
      <w:r>
        <w:rPr>
          <w:rStyle w:val="CharPartText"/>
        </w:rPr>
        <w:t>Administrative matters</w:t>
      </w:r>
      <w:bookmarkEnd w:id="15"/>
      <w:bookmarkEnd w:id="16"/>
      <w:bookmarkEnd w:id="17"/>
      <w:bookmarkEnd w:id="18"/>
      <w:bookmarkEnd w:id="19"/>
      <w:bookmarkEnd w:id="20"/>
      <w:bookmarkEnd w:id="21"/>
      <w:bookmarkEnd w:id="22"/>
    </w:p>
    <w:p>
      <w:pPr>
        <w:pStyle w:val="Heading3"/>
      </w:pPr>
      <w:bookmarkStart w:id="23" w:name="_Toc178340496"/>
      <w:bookmarkStart w:id="24" w:name="_Toc178342330"/>
      <w:bookmarkStart w:id="25" w:name="_Toc178342966"/>
      <w:bookmarkStart w:id="26" w:name="_Toc178347351"/>
      <w:bookmarkStart w:id="27" w:name="_Toc177634136"/>
      <w:bookmarkStart w:id="28" w:name="_Toc177634517"/>
      <w:bookmarkStart w:id="29" w:name="_Toc177635405"/>
      <w:bookmarkStart w:id="30" w:name="_Toc177742375"/>
      <w:r>
        <w:rPr>
          <w:rStyle w:val="CharDivNo"/>
        </w:rPr>
        <w:t>Division 1</w:t>
      </w:r>
      <w:r>
        <w:t> — </w:t>
      </w:r>
      <w:r>
        <w:rPr>
          <w:rStyle w:val="CharDivText"/>
        </w:rPr>
        <w:t>Court seals</w:t>
      </w:r>
      <w:bookmarkEnd w:id="23"/>
      <w:bookmarkEnd w:id="24"/>
      <w:bookmarkEnd w:id="25"/>
      <w:bookmarkEnd w:id="26"/>
      <w:bookmarkEnd w:id="27"/>
      <w:bookmarkEnd w:id="28"/>
      <w:bookmarkEnd w:id="29"/>
      <w:bookmarkEnd w:id="30"/>
    </w:p>
    <w:p>
      <w:pPr>
        <w:pStyle w:val="Heading5"/>
        <w:spacing w:before="180"/>
      </w:pPr>
      <w:bookmarkStart w:id="31" w:name="_Toc178347352"/>
      <w:bookmarkStart w:id="32" w:name="_Toc177742376"/>
      <w:r>
        <w:rPr>
          <w:rStyle w:val="CharSectno"/>
        </w:rPr>
        <w:t>4</w:t>
      </w:r>
      <w:r>
        <w:t>.</w:t>
      </w:r>
      <w:r>
        <w:tab/>
        <w:t>Form and number of court seals</w:t>
      </w:r>
      <w:bookmarkEnd w:id="31"/>
      <w:bookmarkEnd w:id="32"/>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33" w:name="_Toc178347353"/>
      <w:bookmarkStart w:id="34" w:name="_Toc177742377"/>
      <w:r>
        <w:rPr>
          <w:rStyle w:val="CharSectno"/>
        </w:rPr>
        <w:t>5</w:t>
      </w:r>
      <w:r>
        <w:t>.</w:t>
      </w:r>
      <w:r>
        <w:tab/>
        <w:t>Custody of court seals</w:t>
      </w:r>
      <w:bookmarkEnd w:id="33"/>
      <w:bookmarkEnd w:id="34"/>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5" w:name="_Toc178347354"/>
      <w:bookmarkStart w:id="36" w:name="_Toc177742378"/>
      <w:r>
        <w:rPr>
          <w:rStyle w:val="CharSectno"/>
        </w:rPr>
        <w:t>6</w:t>
      </w:r>
      <w:r>
        <w:t>.</w:t>
      </w:r>
      <w:r>
        <w:tab/>
        <w:t>Use of court seals</w:t>
      </w:r>
      <w:bookmarkEnd w:id="35"/>
      <w:bookmarkEnd w:id="36"/>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37" w:name="_Toc178347355"/>
      <w:bookmarkStart w:id="38" w:name="_Toc177742379"/>
      <w:r>
        <w:rPr>
          <w:rStyle w:val="CharSectno"/>
        </w:rPr>
        <w:t>7</w:t>
      </w:r>
      <w:r>
        <w:t>.</w:t>
      </w:r>
      <w:r>
        <w:tab/>
        <w:t>Applying court seal electronically</w:t>
      </w:r>
      <w:bookmarkEnd w:id="37"/>
      <w:bookmarkEnd w:id="38"/>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39" w:name="_Toc178340501"/>
      <w:bookmarkStart w:id="40" w:name="_Toc178342335"/>
      <w:bookmarkStart w:id="41" w:name="_Toc178342971"/>
      <w:bookmarkStart w:id="42" w:name="_Toc178347356"/>
      <w:bookmarkStart w:id="43" w:name="_Toc177634141"/>
      <w:bookmarkStart w:id="44" w:name="_Toc177634522"/>
      <w:bookmarkStart w:id="45" w:name="_Toc177635410"/>
      <w:bookmarkStart w:id="46" w:name="_Toc177742380"/>
      <w:r>
        <w:rPr>
          <w:rStyle w:val="CharDivNo"/>
        </w:rPr>
        <w:t>Division 2</w:t>
      </w:r>
      <w:r>
        <w:t xml:space="preserve"> — </w:t>
      </w:r>
      <w:r>
        <w:rPr>
          <w:rStyle w:val="CharDivText"/>
        </w:rPr>
        <w:t>Registry matters</w:t>
      </w:r>
      <w:bookmarkEnd w:id="39"/>
      <w:bookmarkEnd w:id="40"/>
      <w:bookmarkEnd w:id="41"/>
      <w:bookmarkEnd w:id="42"/>
      <w:bookmarkEnd w:id="43"/>
      <w:bookmarkEnd w:id="44"/>
      <w:bookmarkEnd w:id="45"/>
      <w:bookmarkEnd w:id="46"/>
    </w:p>
    <w:p>
      <w:pPr>
        <w:pStyle w:val="Heading5"/>
        <w:spacing w:before="180"/>
      </w:pPr>
      <w:bookmarkStart w:id="47" w:name="_Toc178347357"/>
      <w:bookmarkStart w:id="48" w:name="_Toc177742381"/>
      <w:r>
        <w:rPr>
          <w:rStyle w:val="CharSectno"/>
        </w:rPr>
        <w:t>8</w:t>
      </w:r>
      <w:r>
        <w:t>.</w:t>
      </w:r>
      <w:r>
        <w:tab/>
        <w:t>Registry at which applications commencing a case must be lodged</w:t>
      </w:r>
      <w:bookmarkEnd w:id="47"/>
      <w:bookmarkEnd w:id="48"/>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49" w:name="_Toc178347358"/>
      <w:bookmarkStart w:id="50" w:name="_Toc177742382"/>
      <w:r>
        <w:rPr>
          <w:rStyle w:val="CharSectno"/>
        </w:rPr>
        <w:t>8A</w:t>
      </w:r>
      <w:r>
        <w:t>.</w:t>
      </w:r>
      <w:r>
        <w:tab/>
        <w:t>Registry at which documents must be lodged if a case has commenced</w:t>
      </w:r>
      <w:bookmarkEnd w:id="49"/>
      <w:bookmarkEnd w:id="50"/>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51" w:name="_Toc178347359"/>
      <w:bookmarkStart w:id="52" w:name="_Toc177742383"/>
      <w:r>
        <w:rPr>
          <w:rStyle w:val="CharSectno"/>
        </w:rPr>
        <w:t>8B</w:t>
      </w:r>
      <w:r>
        <w:t>.</w:t>
      </w:r>
      <w:r>
        <w:tab/>
        <w:t>Application for cancellation of surety undertaking</w:t>
      </w:r>
      <w:bookmarkEnd w:id="51"/>
      <w:bookmarkEnd w:id="52"/>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53" w:name="_Toc178347360"/>
      <w:bookmarkStart w:id="54" w:name="_Toc177742384"/>
      <w:r>
        <w:rPr>
          <w:rStyle w:val="CharSectno"/>
        </w:rPr>
        <w:t>9</w:t>
      </w:r>
      <w:r>
        <w:t>.</w:t>
      </w:r>
      <w:r>
        <w:tab/>
        <w:t>Some documents may be rejected for lodgment</w:t>
      </w:r>
      <w:bookmarkEnd w:id="53"/>
      <w:bookmarkEnd w:id="54"/>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55" w:name="_Toc178347361"/>
      <w:bookmarkStart w:id="56" w:name="_Toc177742385"/>
      <w:r>
        <w:rPr>
          <w:rStyle w:val="CharSectno"/>
        </w:rPr>
        <w:t>10</w:t>
      </w:r>
      <w:r>
        <w:t>.</w:t>
      </w:r>
      <w:r>
        <w:tab/>
        <w:t>Leave to lodge a refused document, application for (Act s. 17)</w:t>
      </w:r>
      <w:bookmarkEnd w:id="55"/>
      <w:bookmarkEnd w:id="56"/>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57" w:name="_Toc178340507"/>
      <w:bookmarkStart w:id="58" w:name="_Toc178342341"/>
      <w:bookmarkStart w:id="59" w:name="_Toc178342977"/>
      <w:bookmarkStart w:id="60" w:name="_Toc178347362"/>
      <w:bookmarkStart w:id="61" w:name="_Toc177634147"/>
      <w:bookmarkStart w:id="62" w:name="_Toc177634528"/>
      <w:bookmarkStart w:id="63" w:name="_Toc177635416"/>
      <w:bookmarkStart w:id="64" w:name="_Toc177742386"/>
      <w:r>
        <w:rPr>
          <w:rStyle w:val="CharDivNo"/>
        </w:rPr>
        <w:t>Division 3</w:t>
      </w:r>
      <w:r>
        <w:t> — </w:t>
      </w:r>
      <w:r>
        <w:rPr>
          <w:rStyle w:val="CharDivText"/>
        </w:rPr>
        <w:t>Lodging and serving documents electronically</w:t>
      </w:r>
      <w:bookmarkEnd w:id="57"/>
      <w:bookmarkEnd w:id="58"/>
      <w:bookmarkEnd w:id="59"/>
      <w:bookmarkEnd w:id="60"/>
      <w:bookmarkEnd w:id="61"/>
      <w:bookmarkEnd w:id="62"/>
      <w:bookmarkEnd w:id="63"/>
      <w:bookmarkEnd w:id="64"/>
    </w:p>
    <w:p>
      <w:pPr>
        <w:pStyle w:val="Heading5"/>
      </w:pPr>
      <w:bookmarkStart w:id="65" w:name="_Toc178347363"/>
      <w:bookmarkStart w:id="66" w:name="_Toc177742387"/>
      <w:r>
        <w:rPr>
          <w:rStyle w:val="CharSectno"/>
        </w:rPr>
        <w:t>11A</w:t>
      </w:r>
      <w:r>
        <w:t>.</w:t>
      </w:r>
      <w:r>
        <w:tab/>
        <w:t>Certain rules do not apply to civil proceedings</w:t>
      </w:r>
      <w:bookmarkEnd w:id="65"/>
      <w:bookmarkEnd w:id="66"/>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67" w:name="_Toc178347364"/>
      <w:bookmarkStart w:id="68" w:name="_Toc177742388"/>
      <w:r>
        <w:rPr>
          <w:rStyle w:val="CharSectno"/>
        </w:rPr>
        <w:t>11</w:t>
      </w:r>
      <w:r>
        <w:t>.</w:t>
      </w:r>
      <w:r>
        <w:tab/>
        <w:t>Lodging documents by fax</w:t>
      </w:r>
      <w:bookmarkEnd w:id="67"/>
      <w:bookmarkEnd w:id="68"/>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69" w:name="_Toc178347365"/>
      <w:bookmarkStart w:id="70" w:name="_Toc177742389"/>
      <w:r>
        <w:rPr>
          <w:rStyle w:val="CharSectno"/>
        </w:rPr>
        <w:t>12</w:t>
      </w:r>
      <w:r>
        <w:t>.</w:t>
      </w:r>
      <w:r>
        <w:tab/>
        <w:t>Lodging documents through Court’s website</w:t>
      </w:r>
      <w:bookmarkEnd w:id="69"/>
      <w:bookmarkEnd w:id="70"/>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71" w:name="_Toc178347366"/>
      <w:bookmarkStart w:id="72" w:name="_Toc177742390"/>
      <w:r>
        <w:rPr>
          <w:rStyle w:val="CharSectno"/>
        </w:rPr>
        <w:t>13A</w:t>
      </w:r>
      <w:r>
        <w:t>.</w:t>
      </w:r>
      <w:r>
        <w:tab/>
        <w:t>Lodging documents by means of ECMS</w:t>
      </w:r>
      <w:bookmarkEnd w:id="71"/>
      <w:bookmarkEnd w:id="72"/>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73" w:name="_Toc178347367"/>
      <w:bookmarkStart w:id="74" w:name="_Toc177742391"/>
      <w:r>
        <w:rPr>
          <w:rStyle w:val="CharSectno"/>
        </w:rPr>
        <w:t>13B</w:t>
      </w:r>
      <w:r>
        <w:t>.</w:t>
      </w:r>
      <w:r>
        <w:tab/>
        <w:t>Making documents available to court by means of ECMS</w:t>
      </w:r>
      <w:bookmarkEnd w:id="73"/>
      <w:bookmarkEnd w:id="74"/>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75" w:name="_Toc178347368"/>
      <w:bookmarkStart w:id="76" w:name="_Toc177742392"/>
      <w:r>
        <w:rPr>
          <w:rStyle w:val="CharSectno"/>
        </w:rPr>
        <w:t>13C</w:t>
      </w:r>
      <w:r>
        <w:t>.</w:t>
      </w:r>
      <w:r>
        <w:tab/>
        <w:t>Access to applications, notices and other documents through ECMS</w:t>
      </w:r>
      <w:bookmarkEnd w:id="75"/>
      <w:bookmarkEnd w:id="76"/>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77" w:name="_Toc178347369"/>
      <w:bookmarkStart w:id="78" w:name="_Toc177742393"/>
      <w:r>
        <w:rPr>
          <w:rStyle w:val="CharSectno"/>
        </w:rPr>
        <w:t>13D</w:t>
      </w:r>
      <w:r>
        <w:t>.</w:t>
      </w:r>
      <w:r>
        <w:tab/>
        <w:t>Listing matters for hearing using ECMS</w:t>
      </w:r>
      <w:bookmarkEnd w:id="77"/>
      <w:bookmarkEnd w:id="78"/>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79" w:name="_Toc178347370"/>
      <w:bookmarkStart w:id="80" w:name="_Toc177742394"/>
      <w:r>
        <w:rPr>
          <w:rStyle w:val="CharSectno"/>
        </w:rPr>
        <w:t>13</w:t>
      </w:r>
      <w:r>
        <w:t>.</w:t>
      </w:r>
      <w:r>
        <w:tab/>
        <w:t>Electronic address for service</w:t>
      </w:r>
      <w:bookmarkEnd w:id="79"/>
      <w:bookmarkEnd w:id="80"/>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legal practitioner practises in a business with one or more other legal practitioners  or people — </w:t>
      </w:r>
    </w:p>
    <w:p>
      <w:pPr>
        <w:pStyle w:val="Indenta"/>
      </w:pPr>
      <w:r>
        <w:tab/>
        <w:t>(a)</w:t>
      </w:r>
      <w:r>
        <w:tab/>
        <w:t>any fax number provided under subrule (2) must be the fax number of the business and not that of the legal practitioner personally; and</w:t>
      </w:r>
    </w:p>
    <w:p>
      <w:pPr>
        <w:pStyle w:val="Indenta"/>
      </w:pPr>
      <w:r>
        <w:tab/>
        <w:t>(b)</w:t>
      </w:r>
      <w:r>
        <w:tab/>
        <w:t>any email address provided under subrule (3) must be the email address of the business and not that of the legal practitioner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legal practitioner, or the business for which a legal practitioner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legal practitioner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 amended: SL 2022/106 r. 6.]</w:t>
      </w:r>
    </w:p>
    <w:p>
      <w:pPr>
        <w:pStyle w:val="Heading5"/>
      </w:pPr>
      <w:bookmarkStart w:id="81" w:name="_Toc178347371"/>
      <w:bookmarkStart w:id="82" w:name="_Toc177742395"/>
      <w:r>
        <w:rPr>
          <w:rStyle w:val="CharSectno"/>
        </w:rPr>
        <w:t>14</w:t>
      </w:r>
      <w:r>
        <w:t>.</w:t>
      </w:r>
      <w:r>
        <w:tab/>
        <w:t>Service by fax or email</w:t>
      </w:r>
      <w:bookmarkEnd w:id="81"/>
      <w:bookmarkEnd w:id="82"/>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83" w:name="_Toc178347372"/>
      <w:bookmarkStart w:id="84" w:name="_Toc177742396"/>
      <w:r>
        <w:rPr>
          <w:rStyle w:val="CharSectno"/>
        </w:rPr>
        <w:t>15A</w:t>
      </w:r>
      <w:r>
        <w:t>.</w:t>
      </w:r>
      <w:r>
        <w:tab/>
        <w:t>Documents issued by Court by means of ECMS</w:t>
      </w:r>
      <w:bookmarkEnd w:id="83"/>
      <w:bookmarkEnd w:id="84"/>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85" w:name="_Toc178340518"/>
      <w:bookmarkStart w:id="86" w:name="_Toc178342352"/>
      <w:bookmarkStart w:id="87" w:name="_Toc178342988"/>
      <w:bookmarkStart w:id="88" w:name="_Toc178347373"/>
      <w:bookmarkStart w:id="89" w:name="_Toc177634158"/>
      <w:bookmarkStart w:id="90" w:name="_Toc177634539"/>
      <w:bookmarkStart w:id="91" w:name="_Toc177635427"/>
      <w:bookmarkStart w:id="92" w:name="_Toc177742397"/>
      <w:r>
        <w:rPr>
          <w:rStyle w:val="CharDivNo"/>
        </w:rPr>
        <w:t>Division 4</w:t>
      </w:r>
      <w:r>
        <w:t> — </w:t>
      </w:r>
      <w:r>
        <w:rPr>
          <w:rStyle w:val="CharDivText"/>
        </w:rPr>
        <w:t>Recording proceedings</w:t>
      </w:r>
      <w:bookmarkEnd w:id="85"/>
      <w:bookmarkEnd w:id="86"/>
      <w:bookmarkEnd w:id="87"/>
      <w:bookmarkEnd w:id="88"/>
      <w:bookmarkEnd w:id="89"/>
      <w:bookmarkEnd w:id="90"/>
      <w:bookmarkEnd w:id="91"/>
      <w:bookmarkEnd w:id="92"/>
    </w:p>
    <w:p>
      <w:pPr>
        <w:pStyle w:val="Heading5"/>
      </w:pPr>
      <w:bookmarkStart w:id="93" w:name="_Toc178347374"/>
      <w:bookmarkStart w:id="94" w:name="_Toc177742398"/>
      <w:r>
        <w:rPr>
          <w:rStyle w:val="CharSectno"/>
        </w:rPr>
        <w:t>15</w:t>
      </w:r>
      <w:r>
        <w:t>.</w:t>
      </w:r>
      <w:r>
        <w:tab/>
        <w:t>Terms used</w:t>
      </w:r>
      <w:bookmarkEnd w:id="93"/>
      <w:bookmarkEnd w:id="94"/>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95" w:name="_Toc178347375"/>
      <w:bookmarkStart w:id="96" w:name="_Toc177742399"/>
      <w:r>
        <w:rPr>
          <w:rStyle w:val="CharSectno"/>
        </w:rPr>
        <w:t>16</w:t>
      </w:r>
      <w:r>
        <w:t>.</w:t>
      </w:r>
      <w:r>
        <w:tab/>
        <w:t>Application of these rules</w:t>
      </w:r>
      <w:bookmarkEnd w:id="95"/>
      <w:bookmarkEnd w:id="96"/>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97" w:name="_Toc178347376"/>
      <w:bookmarkStart w:id="98" w:name="_Toc177742400"/>
      <w:r>
        <w:rPr>
          <w:rStyle w:val="CharSectno"/>
        </w:rPr>
        <w:t>17</w:t>
      </w:r>
      <w:r>
        <w:t>.</w:t>
      </w:r>
      <w:r>
        <w:tab/>
        <w:t>Transcripts may be in electronic form</w:t>
      </w:r>
      <w:bookmarkEnd w:id="97"/>
      <w:bookmarkEnd w:id="98"/>
    </w:p>
    <w:p>
      <w:pPr>
        <w:pStyle w:val="Subsection"/>
      </w:pPr>
      <w:r>
        <w:tab/>
      </w:r>
      <w:r>
        <w:tab/>
        <w:t>These rules do not prevent a transcript of proceedings being in an electronic form.</w:t>
      </w:r>
    </w:p>
    <w:p>
      <w:pPr>
        <w:pStyle w:val="Heading5"/>
      </w:pPr>
      <w:bookmarkStart w:id="99" w:name="_Toc178347377"/>
      <w:bookmarkStart w:id="100" w:name="_Toc177742401"/>
      <w:r>
        <w:rPr>
          <w:rStyle w:val="CharSectno"/>
        </w:rPr>
        <w:t>18</w:t>
      </w:r>
      <w:r>
        <w:t>.</w:t>
      </w:r>
      <w:r>
        <w:tab/>
        <w:t>Proceedings that are to be recorded and transcribed</w:t>
      </w:r>
      <w:bookmarkEnd w:id="99"/>
      <w:bookmarkEnd w:id="100"/>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01" w:name="_Toc178347378"/>
      <w:bookmarkStart w:id="102" w:name="_Toc177742402"/>
      <w:r>
        <w:rPr>
          <w:rStyle w:val="CharSectno"/>
        </w:rPr>
        <w:t>19</w:t>
      </w:r>
      <w:r>
        <w:t>.</w:t>
      </w:r>
      <w:r>
        <w:tab/>
        <w:t>Recorders and transcribers, duties of</w:t>
      </w:r>
      <w:bookmarkEnd w:id="101"/>
      <w:bookmarkEnd w:id="10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03" w:name="_Toc178347379"/>
      <w:bookmarkStart w:id="104" w:name="_Toc177742403"/>
      <w:r>
        <w:rPr>
          <w:rStyle w:val="CharSectno"/>
        </w:rPr>
        <w:t>20</w:t>
      </w:r>
      <w:r>
        <w:t>.</w:t>
      </w:r>
      <w:r>
        <w:tab/>
        <w:t>Accuracy of transcript, requesting check of</w:t>
      </w:r>
      <w:bookmarkEnd w:id="103"/>
      <w:bookmarkEnd w:id="104"/>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05" w:name="_Toc178347380"/>
      <w:bookmarkStart w:id="106" w:name="_Toc177742404"/>
      <w:r>
        <w:rPr>
          <w:rStyle w:val="CharSectno"/>
        </w:rPr>
        <w:t>21</w:t>
      </w:r>
      <w:r>
        <w:t>.</w:t>
      </w:r>
      <w:r>
        <w:tab/>
        <w:t>Certificate of accuracy, form of</w:t>
      </w:r>
      <w:bookmarkEnd w:id="105"/>
      <w:bookmarkEnd w:id="106"/>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07" w:name="_Toc178347381"/>
      <w:bookmarkStart w:id="108" w:name="_Toc177742405"/>
      <w:r>
        <w:rPr>
          <w:rStyle w:val="CharSectno"/>
        </w:rPr>
        <w:t>22</w:t>
      </w:r>
      <w:r>
        <w:t>.</w:t>
      </w:r>
      <w:r>
        <w:tab/>
        <w:t>Recordings and transcripts, custody of</w:t>
      </w:r>
      <w:bookmarkEnd w:id="107"/>
      <w:bookmarkEnd w:id="108"/>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09" w:name="_Toc178340527"/>
      <w:bookmarkStart w:id="110" w:name="_Toc178342361"/>
      <w:bookmarkStart w:id="111" w:name="_Toc178342997"/>
      <w:bookmarkStart w:id="112" w:name="_Toc178347382"/>
      <w:bookmarkStart w:id="113" w:name="_Toc177634167"/>
      <w:bookmarkStart w:id="114" w:name="_Toc177634548"/>
      <w:bookmarkStart w:id="115" w:name="_Toc177635436"/>
      <w:bookmarkStart w:id="116" w:name="_Toc177742406"/>
      <w:r>
        <w:rPr>
          <w:rStyle w:val="CharPartNo"/>
        </w:rPr>
        <w:t>Part 3</w:t>
      </w:r>
      <w:r>
        <w:t> — </w:t>
      </w:r>
      <w:r>
        <w:rPr>
          <w:rStyle w:val="CharPartText"/>
        </w:rPr>
        <w:t>Delegated jurisdiction</w:t>
      </w:r>
      <w:bookmarkEnd w:id="109"/>
      <w:bookmarkEnd w:id="110"/>
      <w:bookmarkEnd w:id="111"/>
      <w:bookmarkEnd w:id="112"/>
      <w:bookmarkEnd w:id="113"/>
      <w:bookmarkEnd w:id="114"/>
      <w:bookmarkEnd w:id="115"/>
      <w:bookmarkEnd w:id="116"/>
    </w:p>
    <w:p>
      <w:pPr>
        <w:pStyle w:val="Heading3"/>
      </w:pPr>
      <w:bookmarkStart w:id="117" w:name="_Toc178340528"/>
      <w:bookmarkStart w:id="118" w:name="_Toc178342362"/>
      <w:bookmarkStart w:id="119" w:name="_Toc178342998"/>
      <w:bookmarkStart w:id="120" w:name="_Toc178347383"/>
      <w:bookmarkStart w:id="121" w:name="_Toc177634168"/>
      <w:bookmarkStart w:id="122" w:name="_Toc177634549"/>
      <w:bookmarkStart w:id="123" w:name="_Toc177635437"/>
      <w:bookmarkStart w:id="124" w:name="_Toc177742407"/>
      <w:r>
        <w:rPr>
          <w:rStyle w:val="CharDivNo"/>
        </w:rPr>
        <w:t>Division 1</w:t>
      </w:r>
      <w:r>
        <w:t> — </w:t>
      </w:r>
      <w:r>
        <w:rPr>
          <w:rStyle w:val="CharDivText"/>
        </w:rPr>
        <w:t>General</w:t>
      </w:r>
      <w:bookmarkEnd w:id="117"/>
      <w:bookmarkEnd w:id="118"/>
      <w:bookmarkEnd w:id="119"/>
      <w:bookmarkEnd w:id="120"/>
      <w:bookmarkEnd w:id="121"/>
      <w:bookmarkEnd w:id="122"/>
      <w:bookmarkEnd w:id="123"/>
      <w:bookmarkEnd w:id="124"/>
    </w:p>
    <w:p>
      <w:pPr>
        <w:pStyle w:val="Heading5"/>
      </w:pPr>
      <w:bookmarkStart w:id="125" w:name="_Toc178347384"/>
      <w:bookmarkStart w:id="126" w:name="_Toc177742408"/>
      <w:r>
        <w:rPr>
          <w:rStyle w:val="CharSectno"/>
        </w:rPr>
        <w:t>23</w:t>
      </w:r>
      <w:r>
        <w:t>.</w:t>
      </w:r>
      <w:r>
        <w:tab/>
        <w:t>Oaths, who may administer</w:t>
      </w:r>
      <w:bookmarkEnd w:id="125"/>
      <w:bookmarkEnd w:id="126"/>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27" w:name="_Toc178340530"/>
      <w:bookmarkStart w:id="128" w:name="_Toc178342364"/>
      <w:bookmarkStart w:id="129" w:name="_Toc178343000"/>
      <w:bookmarkStart w:id="130" w:name="_Toc178347385"/>
      <w:bookmarkStart w:id="131" w:name="_Toc177634170"/>
      <w:bookmarkStart w:id="132" w:name="_Toc177634551"/>
      <w:bookmarkStart w:id="133" w:name="_Toc177635439"/>
      <w:bookmarkStart w:id="134" w:name="_Toc177742409"/>
      <w:r>
        <w:rPr>
          <w:rStyle w:val="CharDivNo"/>
        </w:rPr>
        <w:t>Division 2</w:t>
      </w:r>
      <w:r>
        <w:t> — </w:t>
      </w:r>
      <w:r>
        <w:rPr>
          <w:rStyle w:val="CharDivText"/>
        </w:rPr>
        <w:t>Registrar’s jurisdiction</w:t>
      </w:r>
      <w:bookmarkEnd w:id="127"/>
      <w:bookmarkEnd w:id="128"/>
      <w:bookmarkEnd w:id="129"/>
      <w:bookmarkEnd w:id="130"/>
      <w:bookmarkEnd w:id="131"/>
      <w:bookmarkEnd w:id="132"/>
      <w:bookmarkEnd w:id="133"/>
      <w:bookmarkEnd w:id="134"/>
    </w:p>
    <w:p>
      <w:pPr>
        <w:pStyle w:val="Heading5"/>
      </w:pPr>
      <w:bookmarkStart w:id="135" w:name="_Toc178347386"/>
      <w:bookmarkStart w:id="136" w:name="_Toc177742410"/>
      <w:r>
        <w:rPr>
          <w:rStyle w:val="CharSectno"/>
        </w:rPr>
        <w:t>24</w:t>
      </w:r>
      <w:r>
        <w:t>.</w:t>
      </w:r>
      <w:r>
        <w:tab/>
        <w:t>Civil jurisdiction of registrars</w:t>
      </w:r>
      <w:bookmarkEnd w:id="135"/>
      <w:bookmarkEnd w:id="136"/>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37" w:name="_Toc178347387"/>
      <w:bookmarkStart w:id="138" w:name="_Toc177742411"/>
      <w:r>
        <w:rPr>
          <w:rStyle w:val="CharSectno"/>
        </w:rPr>
        <w:t>25</w:t>
      </w:r>
      <w:r>
        <w:t>.</w:t>
      </w:r>
      <w:r>
        <w:tab/>
        <w:t>Criminal jurisdiction of registrars</w:t>
      </w:r>
      <w:bookmarkEnd w:id="137"/>
      <w:bookmarkEnd w:id="138"/>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39" w:name="_Toc178340533"/>
      <w:bookmarkStart w:id="140" w:name="_Toc178342367"/>
      <w:bookmarkStart w:id="141" w:name="_Toc178343003"/>
      <w:bookmarkStart w:id="142" w:name="_Toc178347388"/>
      <w:bookmarkStart w:id="143" w:name="_Toc177634173"/>
      <w:bookmarkStart w:id="144" w:name="_Toc177634554"/>
      <w:bookmarkStart w:id="145" w:name="_Toc177635442"/>
      <w:bookmarkStart w:id="146" w:name="_Toc177742412"/>
      <w:r>
        <w:rPr>
          <w:rStyle w:val="CharDivNo"/>
        </w:rPr>
        <w:t>Division 3</w:t>
      </w:r>
      <w:r>
        <w:t> — </w:t>
      </w:r>
      <w:r>
        <w:rPr>
          <w:rStyle w:val="CharDivText"/>
        </w:rPr>
        <w:t>Appeals against decisions by a registrar</w:t>
      </w:r>
      <w:bookmarkEnd w:id="139"/>
      <w:bookmarkEnd w:id="140"/>
      <w:bookmarkEnd w:id="141"/>
      <w:bookmarkEnd w:id="142"/>
      <w:bookmarkEnd w:id="143"/>
      <w:bookmarkEnd w:id="144"/>
      <w:bookmarkEnd w:id="145"/>
      <w:bookmarkEnd w:id="146"/>
    </w:p>
    <w:p>
      <w:pPr>
        <w:pStyle w:val="Heading5"/>
      </w:pPr>
      <w:bookmarkStart w:id="147" w:name="_Toc178347389"/>
      <w:bookmarkStart w:id="148" w:name="_Toc177742413"/>
      <w:r>
        <w:rPr>
          <w:rStyle w:val="CharSectno"/>
        </w:rPr>
        <w:t>26</w:t>
      </w:r>
      <w:r>
        <w:t>.</w:t>
      </w:r>
      <w:r>
        <w:tab/>
        <w:t>Commencing an appeal (Act s. 29)</w:t>
      </w:r>
      <w:bookmarkEnd w:id="147"/>
      <w:bookmarkEnd w:id="148"/>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keepNext/>
      </w:pPr>
      <w:r>
        <w:tab/>
        <w:t>(b)</w:t>
      </w:r>
      <w:r>
        <w:tab/>
        <w:t>may be dealt with in the absence of the parties.</w:t>
      </w:r>
    </w:p>
    <w:p>
      <w:pPr>
        <w:pStyle w:val="Footnotesection"/>
      </w:pPr>
      <w:r>
        <w:tab/>
        <w:t>[Rule 26 amended: Gazette 23 Nov 2007 p. 5862; 26 Jul 2013 p. 3346.]</w:t>
      </w:r>
    </w:p>
    <w:p>
      <w:pPr>
        <w:pStyle w:val="Heading5"/>
      </w:pPr>
      <w:bookmarkStart w:id="149" w:name="_Toc178347390"/>
      <w:bookmarkStart w:id="150" w:name="_Toc177742414"/>
      <w:r>
        <w:rPr>
          <w:rStyle w:val="CharSectno"/>
        </w:rPr>
        <w:t>27A</w:t>
      </w:r>
      <w:r>
        <w:t>.</w:t>
      </w:r>
      <w:r>
        <w:tab/>
        <w:t>Order for substituted service or dispensing with service</w:t>
      </w:r>
      <w:bookmarkEnd w:id="149"/>
      <w:bookmarkEnd w:id="150"/>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keepNext/>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51" w:name="_Toc178347391"/>
      <w:bookmarkStart w:id="152" w:name="_Toc177742415"/>
      <w:r>
        <w:rPr>
          <w:rStyle w:val="CharSectno"/>
        </w:rPr>
        <w:t>27</w:t>
      </w:r>
      <w:r>
        <w:t>.</w:t>
      </w:r>
      <w:r>
        <w:tab/>
        <w:t>Appeal does not stay the case</w:t>
      </w:r>
      <w:bookmarkEnd w:id="151"/>
      <w:bookmarkEnd w:id="152"/>
    </w:p>
    <w:p>
      <w:pPr>
        <w:pStyle w:val="Subsection"/>
      </w:pPr>
      <w:r>
        <w:tab/>
      </w:r>
      <w:r>
        <w:tab/>
        <w:t>The commencement of an appeal under the Act section 29(1) does not stay the case concerned unless a magistrate orders otherwise.</w:t>
      </w:r>
    </w:p>
    <w:p>
      <w:pPr>
        <w:pStyle w:val="Heading5"/>
      </w:pPr>
      <w:bookmarkStart w:id="153" w:name="_Toc178347392"/>
      <w:bookmarkStart w:id="154" w:name="_Toc177742416"/>
      <w:r>
        <w:rPr>
          <w:rStyle w:val="CharSectno"/>
        </w:rPr>
        <w:t>28</w:t>
      </w:r>
      <w:r>
        <w:t>.</w:t>
      </w:r>
      <w:r>
        <w:tab/>
        <w:t>Listing the appeal for hearing</w:t>
      </w:r>
      <w:bookmarkEnd w:id="153"/>
      <w:bookmarkEnd w:id="15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55" w:name="_Toc178340538"/>
      <w:bookmarkStart w:id="156" w:name="_Toc178342372"/>
      <w:bookmarkStart w:id="157" w:name="_Toc178343008"/>
      <w:bookmarkStart w:id="158" w:name="_Toc178347393"/>
      <w:bookmarkStart w:id="159" w:name="_Toc177634178"/>
      <w:bookmarkStart w:id="160" w:name="_Toc177634559"/>
      <w:bookmarkStart w:id="161" w:name="_Toc177635447"/>
      <w:bookmarkStart w:id="162" w:name="_Toc177742417"/>
      <w:r>
        <w:rPr>
          <w:rStyle w:val="CharPartNo"/>
        </w:rPr>
        <w:t>Part 3A</w:t>
      </w:r>
      <w:r>
        <w:rPr>
          <w:rStyle w:val="CharDivNo"/>
        </w:rPr>
        <w:t xml:space="preserve"> </w:t>
      </w:r>
      <w:r>
        <w:t>—</w:t>
      </w:r>
      <w:r>
        <w:rPr>
          <w:rStyle w:val="CharDivText"/>
        </w:rPr>
        <w:t xml:space="preserve"> </w:t>
      </w:r>
      <w:r>
        <w:rPr>
          <w:rStyle w:val="CharPartText"/>
        </w:rPr>
        <w:t>General matters</w:t>
      </w:r>
      <w:bookmarkEnd w:id="155"/>
      <w:bookmarkEnd w:id="156"/>
      <w:bookmarkEnd w:id="157"/>
      <w:bookmarkEnd w:id="158"/>
      <w:bookmarkEnd w:id="159"/>
      <w:bookmarkEnd w:id="160"/>
      <w:bookmarkEnd w:id="161"/>
      <w:bookmarkEnd w:id="162"/>
    </w:p>
    <w:p>
      <w:pPr>
        <w:pStyle w:val="Footnoteheading"/>
      </w:pPr>
      <w:r>
        <w:tab/>
        <w:t>[Heading inserted: Gazette 24 Aug 2007 p. 4323.]</w:t>
      </w:r>
    </w:p>
    <w:p>
      <w:pPr>
        <w:pStyle w:val="Heading5"/>
      </w:pPr>
      <w:bookmarkStart w:id="163" w:name="_Toc178347394"/>
      <w:bookmarkStart w:id="164" w:name="_Toc177742418"/>
      <w:r>
        <w:rPr>
          <w:rStyle w:val="CharSectno"/>
        </w:rPr>
        <w:t>28A</w:t>
      </w:r>
      <w:r>
        <w:t>.</w:t>
      </w:r>
      <w:r>
        <w:tab/>
        <w:t>Magistrates, addressing etc.</w:t>
      </w:r>
      <w:bookmarkEnd w:id="163"/>
      <w:bookmarkEnd w:id="164"/>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65" w:name="_Toc178347395"/>
      <w:bookmarkStart w:id="166" w:name="_Toc177742419"/>
      <w:r>
        <w:rPr>
          <w:rStyle w:val="CharSectno"/>
        </w:rPr>
        <w:t>28B</w:t>
      </w:r>
      <w:r>
        <w:t>.</w:t>
      </w:r>
      <w:r>
        <w:tab/>
        <w:t>Civil cases, dealing with in chambers</w:t>
      </w:r>
      <w:bookmarkEnd w:id="165"/>
      <w:bookmarkEnd w:id="166"/>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67" w:name="_Toc178340541"/>
      <w:bookmarkStart w:id="168" w:name="_Toc178342375"/>
      <w:bookmarkStart w:id="169" w:name="_Toc178343011"/>
      <w:bookmarkStart w:id="170" w:name="_Toc178347396"/>
      <w:bookmarkStart w:id="171" w:name="_Toc177634181"/>
      <w:bookmarkStart w:id="172" w:name="_Toc177634562"/>
      <w:bookmarkStart w:id="173" w:name="_Toc177635450"/>
      <w:bookmarkStart w:id="174" w:name="_Toc177742420"/>
      <w:r>
        <w:rPr>
          <w:rStyle w:val="CharPartNo"/>
        </w:rPr>
        <w:t>Part 4</w:t>
      </w:r>
      <w:r>
        <w:rPr>
          <w:rStyle w:val="CharDivNo"/>
        </w:rPr>
        <w:t> </w:t>
      </w:r>
      <w:r>
        <w:t>—</w:t>
      </w:r>
      <w:r>
        <w:rPr>
          <w:rStyle w:val="CharDivText"/>
        </w:rPr>
        <w:t> </w:t>
      </w:r>
      <w:r>
        <w:rPr>
          <w:rStyle w:val="CharPartText"/>
        </w:rPr>
        <w:t>Contempt of court</w:t>
      </w:r>
      <w:bookmarkEnd w:id="167"/>
      <w:bookmarkEnd w:id="168"/>
      <w:bookmarkEnd w:id="169"/>
      <w:bookmarkEnd w:id="170"/>
      <w:bookmarkEnd w:id="171"/>
      <w:bookmarkEnd w:id="172"/>
      <w:bookmarkEnd w:id="173"/>
      <w:bookmarkEnd w:id="174"/>
    </w:p>
    <w:p>
      <w:pPr>
        <w:pStyle w:val="Heading5"/>
      </w:pPr>
      <w:bookmarkStart w:id="175" w:name="_Toc178347397"/>
      <w:bookmarkStart w:id="176" w:name="_Toc177742421"/>
      <w:r>
        <w:rPr>
          <w:rStyle w:val="CharSectno"/>
        </w:rPr>
        <w:t>29</w:t>
      </w:r>
      <w:r>
        <w:t>.</w:t>
      </w:r>
      <w:r>
        <w:tab/>
        <w:t>Terms used</w:t>
      </w:r>
      <w:bookmarkEnd w:id="175"/>
      <w:bookmarkEnd w:id="176"/>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77" w:name="_Toc178347398"/>
      <w:bookmarkStart w:id="178" w:name="_Toc177742422"/>
      <w:r>
        <w:rPr>
          <w:rStyle w:val="CharSectno"/>
        </w:rPr>
        <w:t>30</w:t>
      </w:r>
      <w:r>
        <w:t>.</w:t>
      </w:r>
      <w:r>
        <w:tab/>
        <w:t>Summonses and warrants (Act s. 16), form of</w:t>
      </w:r>
      <w:bookmarkEnd w:id="177"/>
      <w:bookmarkEnd w:id="17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79" w:name="_Toc178347399"/>
      <w:bookmarkStart w:id="180" w:name="_Toc177742423"/>
      <w:r>
        <w:rPr>
          <w:rStyle w:val="CharSectno"/>
        </w:rPr>
        <w:t>31</w:t>
      </w:r>
      <w:r>
        <w:t>.</w:t>
      </w:r>
      <w:r>
        <w:tab/>
        <w:t>When contempt may be dealt with summarily</w:t>
      </w:r>
      <w:bookmarkEnd w:id="179"/>
      <w:bookmarkEnd w:id="180"/>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81" w:name="_Toc178347400"/>
      <w:bookmarkStart w:id="182" w:name="_Toc177742424"/>
      <w:r>
        <w:rPr>
          <w:rStyle w:val="CharSectno"/>
        </w:rPr>
        <w:t>32</w:t>
      </w:r>
      <w:r>
        <w:t>.</w:t>
      </w:r>
      <w:r>
        <w:tab/>
        <w:t>Contempts not dealt with summarily may be referred to Attorney General</w:t>
      </w:r>
      <w:bookmarkEnd w:id="181"/>
      <w:bookmarkEnd w:id="18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83" w:name="_Toc178347401"/>
      <w:bookmarkStart w:id="184" w:name="_Toc177742425"/>
      <w:r>
        <w:rPr>
          <w:rStyle w:val="CharSectno"/>
        </w:rPr>
        <w:t>33</w:t>
      </w:r>
      <w:r>
        <w:t>.</w:t>
      </w:r>
      <w:r>
        <w:tab/>
        <w:t>Attorney General may prosecute alleged contempt</w:t>
      </w:r>
      <w:bookmarkEnd w:id="183"/>
      <w:bookmarkEnd w:id="184"/>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keepNext/>
      </w:pPr>
      <w:r>
        <w:tab/>
        <w:t>(3)</w:t>
      </w:r>
      <w:r>
        <w:tab/>
        <w:t>The charge must be served on the defendant together with written notice of a hearing date for it and written notice that at the hearing he or she is entitled to be represented by a legal practitioner and to call any person as a witness.</w:t>
      </w:r>
    </w:p>
    <w:p>
      <w:pPr>
        <w:pStyle w:val="Footnotesection"/>
      </w:pPr>
      <w:r>
        <w:tab/>
        <w:t>[Rule 33 amended: SL 2022/106 r. 6.]</w:t>
      </w:r>
    </w:p>
    <w:p>
      <w:pPr>
        <w:pStyle w:val="Heading5"/>
        <w:tabs>
          <w:tab w:val="left" w:pos="4845"/>
        </w:tabs>
      </w:pPr>
      <w:bookmarkStart w:id="185" w:name="_Toc178347402"/>
      <w:bookmarkStart w:id="186" w:name="_Toc177742426"/>
      <w:r>
        <w:rPr>
          <w:rStyle w:val="CharSectno"/>
        </w:rPr>
        <w:t>34</w:t>
      </w:r>
      <w:r>
        <w:t>.</w:t>
      </w:r>
      <w:r>
        <w:tab/>
        <w:t>Charge of contempt, hearing of</w:t>
      </w:r>
      <w:bookmarkEnd w:id="185"/>
      <w:bookmarkEnd w:id="186"/>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87" w:name="_Toc178347403"/>
      <w:bookmarkStart w:id="188" w:name="_Toc177742427"/>
      <w:r>
        <w:rPr>
          <w:rStyle w:val="CharSectno"/>
        </w:rPr>
        <w:t>35</w:t>
      </w:r>
      <w:r>
        <w:t>.</w:t>
      </w:r>
      <w:r>
        <w:tab/>
        <w:t>Procedure for contempts generally</w:t>
      </w:r>
      <w:bookmarkEnd w:id="187"/>
      <w:bookmarkEnd w:id="188"/>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89" w:name="_Toc178347404"/>
      <w:bookmarkStart w:id="190" w:name="_Toc177742428"/>
      <w:r>
        <w:rPr>
          <w:rStyle w:val="CharSectno"/>
        </w:rPr>
        <w:t>36</w:t>
      </w:r>
      <w:r>
        <w:t>.</w:t>
      </w:r>
      <w:r>
        <w:tab/>
        <w:t>Outcome of contempt proceedings to be recorded</w:t>
      </w:r>
      <w:bookmarkEnd w:id="189"/>
      <w:bookmarkEnd w:id="19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191" w:name="_Toc178340550"/>
      <w:bookmarkStart w:id="192" w:name="_Toc178342384"/>
      <w:bookmarkStart w:id="193" w:name="_Toc178343020"/>
      <w:bookmarkStart w:id="194" w:name="_Toc178347405"/>
      <w:bookmarkStart w:id="195" w:name="_Toc177634190"/>
      <w:bookmarkStart w:id="196" w:name="_Toc177634571"/>
      <w:bookmarkStart w:id="197" w:name="_Toc177635459"/>
      <w:bookmarkStart w:id="198" w:name="_Toc177742429"/>
      <w:r>
        <w:rPr>
          <w:rStyle w:val="CharPartNo"/>
        </w:rPr>
        <w:t>Part 5</w:t>
      </w:r>
      <w:r>
        <w:t> — </w:t>
      </w:r>
      <w:r>
        <w:rPr>
          <w:rStyle w:val="CharPartText"/>
        </w:rPr>
        <w:t>Court records</w:t>
      </w:r>
      <w:bookmarkEnd w:id="191"/>
      <w:bookmarkEnd w:id="192"/>
      <w:bookmarkEnd w:id="193"/>
      <w:bookmarkEnd w:id="194"/>
      <w:bookmarkEnd w:id="195"/>
      <w:bookmarkEnd w:id="196"/>
      <w:bookmarkEnd w:id="197"/>
      <w:bookmarkEnd w:id="198"/>
    </w:p>
    <w:p>
      <w:pPr>
        <w:pStyle w:val="Heading3"/>
      </w:pPr>
      <w:bookmarkStart w:id="199" w:name="_Toc178340551"/>
      <w:bookmarkStart w:id="200" w:name="_Toc178342385"/>
      <w:bookmarkStart w:id="201" w:name="_Toc178343021"/>
      <w:bookmarkStart w:id="202" w:name="_Toc178347406"/>
      <w:bookmarkStart w:id="203" w:name="_Toc177634191"/>
      <w:bookmarkStart w:id="204" w:name="_Toc177634572"/>
      <w:bookmarkStart w:id="205" w:name="_Toc177635460"/>
      <w:bookmarkStart w:id="206" w:name="_Toc177742430"/>
      <w:r>
        <w:rPr>
          <w:rStyle w:val="CharDivNo"/>
        </w:rPr>
        <w:t>Division 1</w:t>
      </w:r>
      <w:r>
        <w:t> — </w:t>
      </w:r>
      <w:r>
        <w:rPr>
          <w:rStyle w:val="CharDivText"/>
        </w:rPr>
        <w:t>Requests under Act s. 33(3) or (7)</w:t>
      </w:r>
      <w:bookmarkEnd w:id="199"/>
      <w:bookmarkEnd w:id="200"/>
      <w:bookmarkEnd w:id="201"/>
      <w:bookmarkEnd w:id="202"/>
      <w:bookmarkEnd w:id="203"/>
      <w:bookmarkEnd w:id="204"/>
      <w:bookmarkEnd w:id="205"/>
      <w:bookmarkEnd w:id="206"/>
    </w:p>
    <w:p>
      <w:pPr>
        <w:pStyle w:val="Footnoteheading"/>
      </w:pPr>
      <w:r>
        <w:tab/>
        <w:t>[Heading inserted: Gazette 11 Mar 2014 p. 573.]</w:t>
      </w:r>
    </w:p>
    <w:p>
      <w:pPr>
        <w:pStyle w:val="Heading5"/>
      </w:pPr>
      <w:bookmarkStart w:id="207" w:name="_Toc178347407"/>
      <w:bookmarkStart w:id="208" w:name="_Toc177742431"/>
      <w:r>
        <w:rPr>
          <w:rStyle w:val="CharSectno"/>
        </w:rPr>
        <w:t>37</w:t>
      </w:r>
      <w:r>
        <w:t>.</w:t>
      </w:r>
      <w:r>
        <w:tab/>
        <w:t>Request to inspect or obtain a copy of a document (Act s. 33(3) or (7))</w:t>
      </w:r>
      <w:bookmarkEnd w:id="207"/>
      <w:bookmarkEnd w:id="208"/>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209" w:name="_Toc178340553"/>
      <w:bookmarkStart w:id="210" w:name="_Toc178342387"/>
      <w:bookmarkStart w:id="211" w:name="_Toc178343023"/>
      <w:bookmarkStart w:id="212" w:name="_Toc178347408"/>
      <w:bookmarkStart w:id="213" w:name="_Toc177634193"/>
      <w:bookmarkStart w:id="214" w:name="_Toc177634574"/>
      <w:bookmarkStart w:id="215" w:name="_Toc177635462"/>
      <w:bookmarkStart w:id="216" w:name="_Toc177742432"/>
      <w:r>
        <w:rPr>
          <w:rStyle w:val="CharDivNo"/>
        </w:rPr>
        <w:t>Division 2</w:t>
      </w:r>
      <w:r>
        <w:t> — </w:t>
      </w:r>
      <w:r>
        <w:rPr>
          <w:rStyle w:val="CharDivText"/>
        </w:rPr>
        <w:t>Applications under Act s. 33(4) or (8)</w:t>
      </w:r>
      <w:bookmarkEnd w:id="209"/>
      <w:bookmarkEnd w:id="210"/>
      <w:bookmarkEnd w:id="211"/>
      <w:bookmarkEnd w:id="212"/>
      <w:bookmarkEnd w:id="213"/>
      <w:bookmarkEnd w:id="214"/>
      <w:bookmarkEnd w:id="215"/>
      <w:bookmarkEnd w:id="216"/>
    </w:p>
    <w:p>
      <w:pPr>
        <w:pStyle w:val="Footnoteheading"/>
      </w:pPr>
      <w:r>
        <w:tab/>
        <w:t>[Heading inserted: Gazette 11 Mar 2014 p. 573.]</w:t>
      </w:r>
    </w:p>
    <w:p>
      <w:pPr>
        <w:pStyle w:val="Heading5"/>
      </w:pPr>
      <w:bookmarkStart w:id="217" w:name="_Toc178347409"/>
      <w:bookmarkStart w:id="218" w:name="_Toc177742433"/>
      <w:r>
        <w:rPr>
          <w:rStyle w:val="CharSectno"/>
        </w:rPr>
        <w:t>38A</w:t>
      </w:r>
      <w:r>
        <w:t>.</w:t>
      </w:r>
      <w:r>
        <w:tab/>
        <w:t>Term used: civil litigation information</w:t>
      </w:r>
      <w:bookmarkEnd w:id="217"/>
      <w:bookmarkEnd w:id="218"/>
    </w:p>
    <w:p>
      <w:pPr>
        <w:pStyle w:val="Subsection"/>
      </w:pPr>
      <w:r>
        <w:tab/>
      </w:r>
      <w:r>
        <w:tab/>
        <w:t xml:space="preserve">In this Division — </w:t>
      </w:r>
    </w:p>
    <w:p>
      <w:pPr>
        <w:pStyle w:val="Defstart"/>
      </w:pPr>
      <w:r>
        <w:tab/>
      </w:r>
      <w:r>
        <w:rPr>
          <w:rStyle w:val="CharDefText"/>
        </w:rPr>
        <w:t>civil litigation information</w:t>
      </w:r>
      <w:r>
        <w:t xml:space="preserve"> means any of the following information in relation to a case — </w:t>
      </w:r>
    </w:p>
    <w:p>
      <w:pPr>
        <w:pStyle w:val="Defpara"/>
      </w:pPr>
      <w:r>
        <w:tab/>
        <w:t>(a)</w:t>
      </w:r>
      <w:r>
        <w:tab/>
        <w:t>the names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Footnotesection"/>
      </w:pPr>
      <w:r>
        <w:tab/>
        <w:t>[Rule 38A inserted: SL 2023/148 r. 8.]</w:t>
      </w:r>
    </w:p>
    <w:p>
      <w:pPr>
        <w:pStyle w:val="Heading5"/>
      </w:pPr>
      <w:bookmarkStart w:id="219" w:name="_Toc178347410"/>
      <w:bookmarkStart w:id="220" w:name="_Toc177742434"/>
      <w:r>
        <w:rPr>
          <w:rStyle w:val="CharSectno"/>
        </w:rPr>
        <w:t>38</w:t>
      </w:r>
      <w:r>
        <w:t>.</w:t>
      </w:r>
      <w:r>
        <w:tab/>
        <w:t>Application for leave (Act s. 33(4))</w:t>
      </w:r>
      <w:bookmarkEnd w:id="219"/>
      <w:bookmarkEnd w:id="220"/>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221" w:name="_Toc178347411"/>
      <w:bookmarkStart w:id="222" w:name="_Toc177742435"/>
      <w:r>
        <w:rPr>
          <w:rStyle w:val="CharSectno"/>
        </w:rPr>
        <w:t>39</w:t>
      </w:r>
      <w:r>
        <w:t>.</w:t>
      </w:r>
      <w:r>
        <w:tab/>
        <w:t>Application for access to information (Act s. 33(8))</w:t>
      </w:r>
      <w:bookmarkEnd w:id="221"/>
      <w:bookmarkEnd w:id="222"/>
    </w:p>
    <w:p>
      <w:pPr>
        <w:pStyle w:val="Subsection"/>
      </w:pPr>
      <w:r>
        <w:tab/>
        <w:t>(1A)</w:t>
      </w:r>
      <w:r>
        <w:tab/>
        <w:t xml:space="preserve">A person seeking access under section 33(8) of the Act to information held by the Court may — </w:t>
      </w:r>
    </w:p>
    <w:p>
      <w:pPr>
        <w:pStyle w:val="Indenta"/>
      </w:pPr>
      <w:r>
        <w:tab/>
        <w:t>(a)</w:t>
      </w:r>
      <w:r>
        <w:tab/>
        <w:t>make an application under this rule; or</w:t>
      </w:r>
    </w:p>
    <w:p>
      <w:pPr>
        <w:pStyle w:val="Indenta"/>
        <w:rPr>
          <w:sz w:val="20"/>
        </w:rPr>
      </w:pPr>
      <w:r>
        <w:tab/>
        <w:t>(b)</w:t>
      </w:r>
      <w:r>
        <w:tab/>
        <w:t>if the information is civil litigation information, make an application under rule 39A.</w:t>
      </w:r>
    </w:p>
    <w:p>
      <w:pPr>
        <w:pStyle w:val="Subsection"/>
      </w:pPr>
      <w:r>
        <w:tab/>
        <w:t>(1)</w:t>
      </w:r>
      <w:r>
        <w:tab/>
        <w:t>An application under this rule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rPr>
          <w:i w:val="0"/>
        </w:rPr>
      </w:pPr>
      <w:r>
        <w:tab/>
        <w:t>[Rule 39 inserted: Gazette 8 Apr 2008 p. 1336; amended: Gazette 7 Jan 2011 p. 52; SL 2023/148 r. 9.]</w:t>
      </w:r>
    </w:p>
    <w:p>
      <w:pPr>
        <w:pStyle w:val="Heading5"/>
      </w:pPr>
      <w:bookmarkStart w:id="223" w:name="_Toc178347412"/>
      <w:bookmarkStart w:id="224" w:name="_Toc177742436"/>
      <w:r>
        <w:rPr>
          <w:rStyle w:val="CharSectno"/>
        </w:rPr>
        <w:t>39A</w:t>
      </w:r>
      <w:r>
        <w:t>.</w:t>
      </w:r>
      <w:r>
        <w:tab/>
        <w:t>Application for access to civil litigation information (Act s. 33(8))</w:t>
      </w:r>
      <w:bookmarkEnd w:id="223"/>
      <w:bookmarkEnd w:id="224"/>
    </w:p>
    <w:p>
      <w:pPr>
        <w:pStyle w:val="Subsection"/>
      </w:pPr>
      <w:r>
        <w:tab/>
        <w:t>(1)</w:t>
      </w:r>
      <w:r>
        <w:tab/>
        <w:t>A person seeking access under section 33(8) of the Act to civil litigation information may make an application under this rule.</w:t>
      </w:r>
    </w:p>
    <w:p>
      <w:pPr>
        <w:pStyle w:val="Subsection"/>
        <w:rPr>
          <w:rStyle w:val="DraftersNotes"/>
          <w:b w:val="0"/>
          <w:i w:val="0"/>
        </w:rPr>
      </w:pPr>
      <w:r>
        <w:tab/>
        <w:t>(2)</w:t>
      </w:r>
      <w:r>
        <w:tab/>
        <w:t>The application must be lodged in the approved form.</w:t>
      </w:r>
    </w:p>
    <w:p>
      <w:pPr>
        <w:pStyle w:val="Subsection"/>
      </w:pPr>
      <w:r>
        <w:tab/>
        <w:t>(3)</w:t>
      </w:r>
      <w:r>
        <w:tab/>
        <w:t xml:space="preserve">A registrar may — </w:t>
      </w:r>
    </w:p>
    <w:p>
      <w:pPr>
        <w:pStyle w:val="Indenta"/>
      </w:pPr>
      <w:r>
        <w:tab/>
        <w:t>(a)</w:t>
      </w:r>
      <w:r>
        <w:tab/>
        <w:t>grant the application; or</w:t>
      </w:r>
    </w:p>
    <w:p>
      <w:pPr>
        <w:pStyle w:val="Indenta"/>
      </w:pPr>
      <w:r>
        <w:tab/>
        <w:t>(b)</w:t>
      </w:r>
      <w:r>
        <w:tab/>
        <w:t>refuse the application; or</w:t>
      </w:r>
    </w:p>
    <w:p>
      <w:pPr>
        <w:pStyle w:val="Indenta"/>
      </w:pPr>
      <w:r>
        <w:tab/>
        <w:t>(c)</w:t>
      </w:r>
      <w:r>
        <w:tab/>
        <w:t>refer the application to a magistrate, and may attach to it a written report on the administrative implications of granting it.</w:t>
      </w:r>
    </w:p>
    <w:p>
      <w:pPr>
        <w:pStyle w:val="Subsection"/>
      </w:pPr>
      <w:r>
        <w:tab/>
        <w:t>(4)</w:t>
      </w:r>
      <w:r>
        <w:tab/>
        <w:t xml:space="preserve">A magistrate to whom an application is referred may, in chambers —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(5)</w:t>
      </w:r>
      <w:r>
        <w:tab/>
        <w:t>If under subrule (4)(c) a registrar has attached a report to an application, a magistrate must consider the report before determining the application.</w:t>
      </w:r>
    </w:p>
    <w:p>
      <w:pPr>
        <w:pStyle w:val="Subsection"/>
      </w:pPr>
      <w:r>
        <w:tab/>
        <w:t>(6)</w:t>
      </w:r>
      <w:r>
        <w:tab/>
        <w:t>A magistrate hearing the application may grant or refuse it.</w:t>
      </w:r>
    </w:p>
    <w:p>
      <w:pPr>
        <w:pStyle w:val="Footnotesection"/>
      </w:pPr>
      <w:r>
        <w:tab/>
        <w:t>[Rule 39A inserted: SL 2023/148 r. 10.]</w:t>
      </w:r>
    </w:p>
    <w:p>
      <w:pPr>
        <w:pStyle w:val="Heading3"/>
        <w:spacing w:before="260"/>
      </w:pPr>
      <w:bookmarkStart w:id="225" w:name="_Toc178340558"/>
      <w:bookmarkStart w:id="226" w:name="_Toc178342392"/>
      <w:bookmarkStart w:id="227" w:name="_Toc178343028"/>
      <w:bookmarkStart w:id="228" w:name="_Toc178347413"/>
      <w:bookmarkStart w:id="229" w:name="_Toc177634198"/>
      <w:bookmarkStart w:id="230" w:name="_Toc177634579"/>
      <w:bookmarkStart w:id="231" w:name="_Toc177635467"/>
      <w:bookmarkStart w:id="232" w:name="_Toc177742437"/>
      <w:r>
        <w:rPr>
          <w:rStyle w:val="CharDivNo"/>
        </w:rPr>
        <w:t>Division 3</w:t>
      </w:r>
      <w:r>
        <w:t> — </w:t>
      </w:r>
      <w:r>
        <w:rPr>
          <w:rStyle w:val="CharDivText"/>
        </w:rPr>
        <w:t>Transcripts and exhibits for media organisations under Act s. 33(9)(b)</w:t>
      </w:r>
      <w:bookmarkEnd w:id="225"/>
      <w:bookmarkEnd w:id="226"/>
      <w:bookmarkEnd w:id="227"/>
      <w:bookmarkEnd w:id="228"/>
      <w:bookmarkEnd w:id="229"/>
      <w:bookmarkEnd w:id="230"/>
      <w:bookmarkEnd w:id="231"/>
      <w:bookmarkEnd w:id="232"/>
    </w:p>
    <w:p>
      <w:pPr>
        <w:pStyle w:val="Footnoteheading"/>
      </w:pPr>
      <w:r>
        <w:tab/>
        <w:t>[Heading inserted: Gazette 11 Mar 2014 p. 574.]</w:t>
      </w:r>
    </w:p>
    <w:p>
      <w:pPr>
        <w:pStyle w:val="Heading5"/>
      </w:pPr>
      <w:bookmarkStart w:id="233" w:name="_Toc178347414"/>
      <w:bookmarkStart w:id="234" w:name="_Toc177742438"/>
      <w:r>
        <w:rPr>
          <w:rStyle w:val="CharSectno"/>
        </w:rPr>
        <w:t>40A</w:t>
      </w:r>
      <w:r>
        <w:t>.</w:t>
      </w:r>
      <w:r>
        <w:tab/>
        <w:t>Terms used</w:t>
      </w:r>
      <w:bookmarkEnd w:id="233"/>
      <w:bookmarkEnd w:id="234"/>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35" w:name="_Toc178347415"/>
      <w:bookmarkStart w:id="236" w:name="_Toc177742439"/>
      <w:r>
        <w:rPr>
          <w:rStyle w:val="CharSectno"/>
        </w:rPr>
        <w:t>40B</w:t>
      </w:r>
      <w:r>
        <w:t>.</w:t>
      </w:r>
      <w:r>
        <w:tab/>
        <w:t>Media organisation may apply for transcript or exhibit</w:t>
      </w:r>
      <w:bookmarkEnd w:id="235"/>
      <w:bookmarkEnd w:id="236"/>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37" w:name="_Toc178347416"/>
      <w:bookmarkStart w:id="238" w:name="_Toc177742440"/>
      <w:r>
        <w:rPr>
          <w:rStyle w:val="CharSectno"/>
        </w:rPr>
        <w:t>40C</w:t>
      </w:r>
      <w:r>
        <w:t>.</w:t>
      </w:r>
      <w:r>
        <w:tab/>
        <w:t>Making applications</w:t>
      </w:r>
      <w:bookmarkEnd w:id="237"/>
      <w:bookmarkEnd w:id="238"/>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39" w:name="_Toc178347417"/>
      <w:bookmarkStart w:id="240" w:name="_Toc177742441"/>
      <w:r>
        <w:rPr>
          <w:rStyle w:val="CharSectno"/>
        </w:rPr>
        <w:t>40D</w:t>
      </w:r>
      <w:r>
        <w:t>.</w:t>
      </w:r>
      <w:r>
        <w:tab/>
        <w:t>Who may deal with applications</w:t>
      </w:r>
      <w:bookmarkEnd w:id="239"/>
      <w:bookmarkEnd w:id="240"/>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41" w:name="_Toc178347418"/>
      <w:bookmarkStart w:id="242" w:name="_Toc177742442"/>
      <w:r>
        <w:rPr>
          <w:rStyle w:val="CharSectno"/>
        </w:rPr>
        <w:t>40E</w:t>
      </w:r>
      <w:r>
        <w:t>.</w:t>
      </w:r>
      <w:r>
        <w:tab/>
        <w:t>Dealing with applications</w:t>
      </w:r>
      <w:bookmarkEnd w:id="241"/>
      <w:bookmarkEnd w:id="242"/>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43" w:name="_Toc178347419"/>
      <w:bookmarkStart w:id="244" w:name="_Toc177742443"/>
      <w:r>
        <w:rPr>
          <w:rStyle w:val="CharSectno"/>
        </w:rPr>
        <w:t>40F</w:t>
      </w:r>
      <w:r>
        <w:t>.</w:t>
      </w:r>
      <w:r>
        <w:tab/>
        <w:t>Court’s power to publish unaffected</w:t>
      </w:r>
      <w:bookmarkEnd w:id="243"/>
      <w:bookmarkEnd w:id="244"/>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45" w:name="_Toc178340565"/>
      <w:bookmarkStart w:id="246" w:name="_Toc178342399"/>
      <w:bookmarkStart w:id="247" w:name="_Toc178343035"/>
      <w:bookmarkStart w:id="248" w:name="_Toc178347420"/>
      <w:bookmarkStart w:id="249" w:name="_Toc177634205"/>
      <w:bookmarkStart w:id="250" w:name="_Toc177634586"/>
      <w:bookmarkStart w:id="251" w:name="_Toc177635474"/>
      <w:bookmarkStart w:id="252" w:name="_Toc177742444"/>
      <w:r>
        <w:rPr>
          <w:rStyle w:val="CharDivNo"/>
        </w:rPr>
        <w:t>Division 4</w:t>
      </w:r>
      <w:r>
        <w:t> — </w:t>
      </w:r>
      <w:r>
        <w:rPr>
          <w:rStyle w:val="CharDivText"/>
        </w:rPr>
        <w:t>Information generally under Act s. 33(9)(b)</w:t>
      </w:r>
      <w:bookmarkEnd w:id="245"/>
      <w:bookmarkEnd w:id="246"/>
      <w:bookmarkEnd w:id="247"/>
      <w:bookmarkEnd w:id="248"/>
      <w:bookmarkEnd w:id="249"/>
      <w:bookmarkEnd w:id="250"/>
      <w:bookmarkEnd w:id="251"/>
      <w:bookmarkEnd w:id="252"/>
    </w:p>
    <w:p>
      <w:pPr>
        <w:pStyle w:val="Footnoteheading"/>
      </w:pPr>
      <w:r>
        <w:tab/>
        <w:t>[Heading inserted: Gazette 11 Mar 2014 p. 575.]</w:t>
      </w:r>
    </w:p>
    <w:p>
      <w:pPr>
        <w:pStyle w:val="Heading5"/>
      </w:pPr>
      <w:bookmarkStart w:id="253" w:name="_Toc178347421"/>
      <w:bookmarkStart w:id="254" w:name="_Toc177742445"/>
      <w:r>
        <w:rPr>
          <w:rStyle w:val="CharSectno"/>
        </w:rPr>
        <w:t>40</w:t>
      </w:r>
      <w:r>
        <w:t>.</w:t>
      </w:r>
      <w:r>
        <w:tab/>
        <w:t>Criminal cases, information about available on request</w:t>
      </w:r>
      <w:bookmarkEnd w:id="253"/>
      <w:bookmarkEnd w:id="254"/>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55" w:name="_Toc178347422"/>
      <w:bookmarkStart w:id="256" w:name="_Toc177742446"/>
      <w:r>
        <w:rPr>
          <w:rStyle w:val="CharSectno"/>
        </w:rPr>
        <w:t>41A</w:t>
      </w:r>
      <w:r>
        <w:t>.</w:t>
      </w:r>
      <w:r>
        <w:tab/>
        <w:t>Civil cases, certain people entitled on request to certain information about</w:t>
      </w:r>
      <w:bookmarkEnd w:id="255"/>
      <w:bookmarkEnd w:id="256"/>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57" w:name="_Toc178347423"/>
      <w:bookmarkStart w:id="258" w:name="_Toc177742447"/>
      <w:r>
        <w:rPr>
          <w:rStyle w:val="CharSectno"/>
        </w:rPr>
        <w:t>41</w:t>
      </w:r>
      <w:r>
        <w:t>.</w:t>
      </w:r>
      <w:r>
        <w:tab/>
        <w:t>Conditions on access to records may be imposed</w:t>
      </w:r>
      <w:bookmarkEnd w:id="257"/>
      <w:bookmarkEnd w:id="258"/>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59" w:name="_Toc178340569"/>
      <w:bookmarkStart w:id="260" w:name="_Toc178342403"/>
      <w:bookmarkStart w:id="261" w:name="_Toc178343039"/>
      <w:bookmarkStart w:id="262" w:name="_Toc178347424"/>
      <w:bookmarkStart w:id="263" w:name="_Toc177634209"/>
      <w:bookmarkStart w:id="264" w:name="_Toc177634590"/>
      <w:bookmarkStart w:id="265" w:name="_Toc177635478"/>
      <w:bookmarkStart w:id="266" w:name="_Toc17774244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59"/>
      <w:bookmarkEnd w:id="260"/>
      <w:bookmarkEnd w:id="261"/>
      <w:bookmarkEnd w:id="262"/>
      <w:bookmarkEnd w:id="263"/>
      <w:bookmarkEnd w:id="264"/>
      <w:bookmarkEnd w:id="265"/>
      <w:bookmarkEnd w:id="266"/>
    </w:p>
    <w:p>
      <w:pPr>
        <w:pStyle w:val="Heading5"/>
      </w:pPr>
      <w:bookmarkStart w:id="267" w:name="_Toc178347425"/>
      <w:bookmarkStart w:id="268" w:name="_Toc177742449"/>
      <w:r>
        <w:rPr>
          <w:rStyle w:val="CharSectno"/>
        </w:rPr>
        <w:t>42</w:t>
      </w:r>
      <w:r>
        <w:t>.</w:t>
      </w:r>
      <w:r>
        <w:tab/>
        <w:t>Interpretation</w:t>
      </w:r>
      <w:bookmarkEnd w:id="267"/>
      <w:bookmarkEnd w:id="268"/>
    </w:p>
    <w:p>
      <w:pPr>
        <w:pStyle w:val="Subsection"/>
      </w:pPr>
      <w:r>
        <w:tab/>
      </w:r>
      <w:r>
        <w:tab/>
        <w:t>In this Part, unless the contrary intention appears, a term defined in the CPA has the same meaning as it has in the CPA.</w:t>
      </w:r>
    </w:p>
    <w:p>
      <w:pPr>
        <w:pStyle w:val="Heading5"/>
      </w:pPr>
      <w:bookmarkStart w:id="269" w:name="_Toc178347426"/>
      <w:bookmarkStart w:id="270" w:name="_Toc177742450"/>
      <w:r>
        <w:rPr>
          <w:rStyle w:val="CharSectno"/>
        </w:rPr>
        <w:t>43</w:t>
      </w:r>
      <w:r>
        <w:t>.</w:t>
      </w:r>
      <w:r>
        <w:tab/>
        <w:t>Prescribed court officers</w:t>
      </w:r>
      <w:bookmarkEnd w:id="269"/>
      <w:bookmarkEnd w:id="270"/>
    </w:p>
    <w:p>
      <w:pPr>
        <w:pStyle w:val="Subsection"/>
      </w:pPr>
      <w:r>
        <w:tab/>
      </w:r>
      <w:r>
        <w:tab/>
        <w:t>For the purposes of the CPA each registrar is prescribed to be a prescribed court officer.</w:t>
      </w:r>
    </w:p>
    <w:p>
      <w:pPr>
        <w:pStyle w:val="Heading5"/>
      </w:pPr>
      <w:bookmarkStart w:id="271" w:name="_Toc178347427"/>
      <w:bookmarkStart w:id="272" w:name="_Toc177742451"/>
      <w:r>
        <w:rPr>
          <w:rStyle w:val="CharSectno"/>
        </w:rPr>
        <w:t>44</w:t>
      </w:r>
      <w:r>
        <w:t>.</w:t>
      </w:r>
      <w:r>
        <w:tab/>
        <w:t>Prosecutions, where they must be commenced</w:t>
      </w:r>
      <w:bookmarkEnd w:id="271"/>
      <w:bookmarkEnd w:id="272"/>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73" w:name="_Toc178347428"/>
      <w:bookmarkStart w:id="274" w:name="_Toc177742452"/>
      <w:r>
        <w:rPr>
          <w:rStyle w:val="CharSectno"/>
        </w:rPr>
        <w:t>45</w:t>
      </w:r>
      <w:r>
        <w:t>.</w:t>
      </w:r>
      <w:r>
        <w:tab/>
        <w:t>Manner of lodging prosecution notice (CPA s. 24)</w:t>
      </w:r>
      <w:bookmarkEnd w:id="273"/>
      <w:bookmarkEnd w:id="274"/>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275" w:name="_Toc178347429"/>
      <w:bookmarkStart w:id="276" w:name="_Toc177742453"/>
      <w:r>
        <w:rPr>
          <w:rStyle w:val="CharSectno"/>
        </w:rPr>
        <w:t>45A</w:t>
      </w:r>
      <w:r>
        <w:t>.</w:t>
      </w:r>
      <w:r>
        <w:tab/>
        <w:t>Substituted prosecution notices</w:t>
      </w:r>
      <w:bookmarkEnd w:id="275"/>
      <w:bookmarkEnd w:id="276"/>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77" w:name="_Toc178347430"/>
      <w:bookmarkStart w:id="278" w:name="_Toc177742454"/>
      <w:r>
        <w:rPr>
          <w:rStyle w:val="CharSectno"/>
        </w:rPr>
        <w:t>45B</w:t>
      </w:r>
      <w:r>
        <w:t>.</w:t>
      </w:r>
      <w:r>
        <w:tab/>
        <w:t>Form of remand warrant for accused</w:t>
      </w:r>
      <w:bookmarkEnd w:id="277"/>
      <w:bookmarkEnd w:id="278"/>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79" w:name="_Toc178347431"/>
      <w:bookmarkStart w:id="280" w:name="_Toc177742455"/>
      <w:r>
        <w:rPr>
          <w:rStyle w:val="CharSectno"/>
        </w:rPr>
        <w:t>46</w:t>
      </w:r>
      <w:r>
        <w:t>.</w:t>
      </w:r>
      <w:r>
        <w:tab/>
        <w:t>Summons etc., amendment of (CPA s. 34)</w:t>
      </w:r>
      <w:bookmarkEnd w:id="279"/>
      <w:bookmarkEnd w:id="280"/>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81" w:name="_Toc178347432"/>
      <w:bookmarkStart w:id="282" w:name="_Toc177742456"/>
      <w:r>
        <w:rPr>
          <w:rStyle w:val="CharSectno"/>
        </w:rPr>
        <w:t>46A</w:t>
      </w:r>
      <w:r>
        <w:t>.</w:t>
      </w:r>
      <w:r>
        <w:tab/>
        <w:t>Disclosure requirements, applications relating to (CPA s. 138)</w:t>
      </w:r>
      <w:bookmarkEnd w:id="281"/>
      <w:bookmarkEnd w:id="282"/>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83" w:name="_Toc178347433"/>
      <w:bookmarkStart w:id="284" w:name="_Toc177742457"/>
      <w:r>
        <w:rPr>
          <w:rStyle w:val="CharSectno"/>
        </w:rPr>
        <w:t>46B</w:t>
      </w:r>
      <w:r>
        <w:t>.</w:t>
      </w:r>
      <w:r>
        <w:tab/>
        <w:t>Magistrates and registrars to verify orders</w:t>
      </w:r>
      <w:bookmarkEnd w:id="283"/>
      <w:bookmarkEnd w:id="284"/>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285" w:name="_Toc178340579"/>
      <w:bookmarkStart w:id="286" w:name="_Toc178342413"/>
      <w:bookmarkStart w:id="287" w:name="_Toc178343049"/>
      <w:bookmarkStart w:id="288" w:name="_Toc178347434"/>
      <w:bookmarkStart w:id="289" w:name="_Toc177634219"/>
      <w:bookmarkStart w:id="290" w:name="_Toc177634600"/>
      <w:bookmarkStart w:id="291" w:name="_Toc177635488"/>
      <w:bookmarkStart w:id="292" w:name="_Toc177742458"/>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85"/>
      <w:bookmarkEnd w:id="286"/>
      <w:bookmarkEnd w:id="287"/>
      <w:bookmarkEnd w:id="288"/>
      <w:bookmarkEnd w:id="289"/>
      <w:bookmarkEnd w:id="290"/>
      <w:bookmarkEnd w:id="291"/>
      <w:bookmarkEnd w:id="292"/>
    </w:p>
    <w:p>
      <w:pPr>
        <w:pStyle w:val="Heading5"/>
        <w:spacing w:before="180"/>
      </w:pPr>
      <w:bookmarkStart w:id="293" w:name="_Toc178347435"/>
      <w:bookmarkStart w:id="294" w:name="_Toc177742459"/>
      <w:r>
        <w:rPr>
          <w:rStyle w:val="CharSectno"/>
        </w:rPr>
        <w:t>47</w:t>
      </w:r>
      <w:r>
        <w:t>.</w:t>
      </w:r>
      <w:r>
        <w:tab/>
        <w:t>Terms used</w:t>
      </w:r>
      <w:bookmarkEnd w:id="293"/>
      <w:bookmarkEnd w:id="294"/>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95" w:name="_Toc178347436"/>
      <w:bookmarkStart w:id="296" w:name="_Toc177742460"/>
      <w:r>
        <w:rPr>
          <w:rStyle w:val="CharSectno"/>
        </w:rPr>
        <w:t>48</w:t>
      </w:r>
      <w:r>
        <w:t>.</w:t>
      </w:r>
      <w:r>
        <w:tab/>
        <w:t>Application to cancel licence suspension order (Act s. 101)</w:t>
      </w:r>
      <w:bookmarkEnd w:id="295"/>
      <w:bookmarkEnd w:id="296"/>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97" w:name="_Toc178347437"/>
      <w:bookmarkStart w:id="298" w:name="_Toc177742461"/>
      <w:r>
        <w:rPr>
          <w:rStyle w:val="CharSectno"/>
        </w:rPr>
        <w:t>49A</w:t>
      </w:r>
      <w:r>
        <w:t>.</w:t>
      </w:r>
      <w:r>
        <w:tab/>
        <w:t>Application to cancel enforcement warrant (Act s. 101AA)</w:t>
      </w:r>
      <w:bookmarkEnd w:id="297"/>
      <w:bookmarkEnd w:id="298"/>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299" w:name="_Toc178347438"/>
      <w:bookmarkStart w:id="300" w:name="_Toc177742462"/>
      <w:r>
        <w:rPr>
          <w:rStyle w:val="CharSectno"/>
        </w:rPr>
        <w:t>49</w:t>
      </w:r>
      <w:r>
        <w:t>.</w:t>
      </w:r>
      <w:r>
        <w:tab/>
        <w:t>Application to cancel licence suspension order (Act s. 101A)</w:t>
      </w:r>
      <w:bookmarkEnd w:id="299"/>
      <w:bookmarkEnd w:id="300"/>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keepNext/>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301" w:name="_Toc178340584"/>
      <w:bookmarkStart w:id="302" w:name="_Toc178342418"/>
      <w:bookmarkStart w:id="303" w:name="_Toc178343054"/>
      <w:bookmarkStart w:id="304" w:name="_Toc178347439"/>
      <w:bookmarkStart w:id="305" w:name="_Toc177634224"/>
      <w:bookmarkStart w:id="306" w:name="_Toc177634605"/>
      <w:bookmarkStart w:id="307" w:name="_Toc177635493"/>
      <w:bookmarkStart w:id="308" w:name="_Toc177742463"/>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301"/>
      <w:bookmarkEnd w:id="302"/>
      <w:bookmarkEnd w:id="303"/>
      <w:bookmarkEnd w:id="304"/>
      <w:bookmarkEnd w:id="305"/>
      <w:bookmarkEnd w:id="306"/>
      <w:bookmarkEnd w:id="307"/>
      <w:bookmarkEnd w:id="308"/>
    </w:p>
    <w:p>
      <w:pPr>
        <w:pStyle w:val="Footnoteheading"/>
      </w:pPr>
      <w:r>
        <w:tab/>
        <w:t>[Heading amended: Gazette 8 Jan 2015 p. 161.]</w:t>
      </w:r>
    </w:p>
    <w:p>
      <w:pPr>
        <w:pStyle w:val="Heading5"/>
        <w:spacing w:before="200"/>
      </w:pPr>
      <w:bookmarkStart w:id="309" w:name="_Toc178347440"/>
      <w:bookmarkStart w:id="310" w:name="_Toc177742464"/>
      <w:r>
        <w:rPr>
          <w:rStyle w:val="CharSectno"/>
        </w:rPr>
        <w:t>50</w:t>
      </w:r>
      <w:r>
        <w:t>.</w:t>
      </w:r>
      <w:r>
        <w:tab/>
        <w:t>Terms used</w:t>
      </w:r>
      <w:bookmarkEnd w:id="309"/>
      <w:bookmarkEnd w:id="310"/>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311" w:name="_Toc178347441"/>
      <w:bookmarkStart w:id="312" w:name="_Toc177742465"/>
      <w:r>
        <w:rPr>
          <w:rStyle w:val="CharSectno"/>
        </w:rPr>
        <w:t>50A</w:t>
      </w:r>
      <w:r>
        <w:t>.</w:t>
      </w:r>
      <w:r>
        <w:tab/>
        <w:t>Application under RTA s. 71B, how to be made</w:t>
      </w:r>
      <w:bookmarkEnd w:id="311"/>
      <w:bookmarkEnd w:id="31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313" w:name="_Toc178347442"/>
      <w:bookmarkStart w:id="314" w:name="_Toc177742466"/>
      <w:r>
        <w:rPr>
          <w:rStyle w:val="CharSectno"/>
        </w:rPr>
        <w:t>50B</w:t>
      </w:r>
      <w:r>
        <w:t>.</w:t>
      </w:r>
      <w:r>
        <w:tab/>
        <w:t>Application under RTA s. 71F, how to be made</w:t>
      </w:r>
      <w:bookmarkEnd w:id="313"/>
      <w:bookmarkEnd w:id="31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315" w:name="_Toc178347443"/>
      <w:bookmarkStart w:id="316" w:name="_Toc177742467"/>
      <w:r>
        <w:rPr>
          <w:rStyle w:val="CharSectno"/>
        </w:rPr>
        <w:t>51</w:t>
      </w:r>
      <w:r>
        <w:t>.</w:t>
      </w:r>
      <w:r>
        <w:tab/>
        <w:t>Application under RT (AD) Act s. 27 or 35, how to be made</w:t>
      </w:r>
      <w:bookmarkEnd w:id="315"/>
      <w:bookmarkEnd w:id="316"/>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also be lodged.</w:t>
      </w:r>
    </w:p>
    <w:p>
      <w:pPr>
        <w:pStyle w:val="Footnotesection"/>
      </w:pPr>
      <w:r>
        <w:tab/>
        <w:t>[Rule 51 amended: Gazette 15 Feb 2011 p. 537; 8 Jan 2015 p. 162; 26 Mar 2019 p. 947; SL 2021/25 r. 24; SL 2022/180 r. 4.]</w:t>
      </w:r>
    </w:p>
    <w:p>
      <w:pPr>
        <w:pStyle w:val="Heading5"/>
      </w:pPr>
      <w:bookmarkStart w:id="317" w:name="_Toc178347444"/>
      <w:bookmarkStart w:id="318" w:name="_Toc177742468"/>
      <w:r>
        <w:rPr>
          <w:rStyle w:val="CharSectno"/>
        </w:rPr>
        <w:t>51A</w:t>
      </w:r>
      <w:r>
        <w:t>.</w:t>
      </w:r>
      <w:r>
        <w:tab/>
        <w:t>Application under RTA s. 80J, how to be made</w:t>
      </w:r>
      <w:bookmarkEnd w:id="317"/>
      <w:bookmarkEnd w:id="31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319" w:name="_Toc178347445"/>
      <w:bookmarkStart w:id="320" w:name="_Toc177742469"/>
      <w:r>
        <w:rPr>
          <w:rStyle w:val="CharSectno"/>
        </w:rPr>
        <w:t>51AA</w:t>
      </w:r>
      <w:r>
        <w:t>.</w:t>
      </w:r>
      <w:r>
        <w:tab/>
        <w:t>Application for return of item in or on confiscated motor cycle (RTA s. 80V(3))</w:t>
      </w:r>
      <w:bookmarkEnd w:id="319"/>
      <w:bookmarkEnd w:id="320"/>
    </w:p>
    <w:p>
      <w:pPr>
        <w:pStyle w:val="Subsection"/>
      </w:pPr>
      <w:r>
        <w:tab/>
        <w:t>(1)</w:t>
      </w:r>
      <w:r>
        <w:tab/>
        <w:t>An application under the RTA section 80V(3) must be made by lodging the approved form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51AA inserted: SL 2022/180 r. 5.]</w:t>
      </w:r>
    </w:p>
    <w:p>
      <w:pPr>
        <w:pStyle w:val="Heading5"/>
      </w:pPr>
      <w:bookmarkStart w:id="321" w:name="_Toc178347446"/>
      <w:bookmarkStart w:id="322" w:name="_Toc177742470"/>
      <w:r>
        <w:rPr>
          <w:rStyle w:val="CharSectno"/>
        </w:rPr>
        <w:t>51B</w:t>
      </w:r>
      <w:r>
        <w:t>.</w:t>
      </w:r>
      <w:r>
        <w:tab/>
        <w:t>Registries where applications may be lodged</w:t>
      </w:r>
      <w:bookmarkEnd w:id="321"/>
      <w:bookmarkEnd w:id="32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or 51AA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 SL 2022/180 r. 6.]</w:t>
      </w:r>
    </w:p>
    <w:p>
      <w:pPr>
        <w:pStyle w:val="Heading5"/>
      </w:pPr>
      <w:bookmarkStart w:id="323" w:name="_Toc178347447"/>
      <w:bookmarkStart w:id="324" w:name="_Toc177742471"/>
      <w:r>
        <w:rPr>
          <w:rStyle w:val="CharSectno"/>
        </w:rPr>
        <w:t>52</w:t>
      </w:r>
      <w:r>
        <w:t>.</w:t>
      </w:r>
      <w:r>
        <w:tab/>
        <w:t>Registrar’s functions when application is made</w:t>
      </w:r>
      <w:bookmarkEnd w:id="323"/>
      <w:bookmarkEnd w:id="324"/>
    </w:p>
    <w:p>
      <w:pPr>
        <w:pStyle w:val="Subsection"/>
      </w:pPr>
      <w:r>
        <w:tab/>
        <w:t>(1a)</w:t>
      </w:r>
      <w:r>
        <w:tab/>
        <w:t xml:space="preserve">On accepting a Form 4A or 9, or an approved form lodged under rule 51AA,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keepNext/>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 SL 2022/180 r. 7.]</w:t>
      </w:r>
    </w:p>
    <w:p>
      <w:pPr>
        <w:pStyle w:val="Heading5"/>
      </w:pPr>
      <w:bookmarkStart w:id="325" w:name="_Toc178347448"/>
      <w:bookmarkStart w:id="326" w:name="_Toc177742472"/>
      <w:r>
        <w:rPr>
          <w:rStyle w:val="CharSectno"/>
        </w:rPr>
        <w:t>53</w:t>
      </w:r>
      <w:r>
        <w:t>.</w:t>
      </w:r>
      <w:r>
        <w:tab/>
        <w:t>Appearance at hearing of application</w:t>
      </w:r>
      <w:bookmarkEnd w:id="325"/>
      <w:bookmarkEnd w:id="326"/>
    </w:p>
    <w:p>
      <w:pPr>
        <w:pStyle w:val="Ednotesubsection"/>
      </w:pPr>
      <w:r>
        <w:tab/>
        <w:t>[(1a)</w:t>
      </w:r>
      <w:r>
        <w:tab/>
        <w:t>deleted]</w:t>
      </w:r>
    </w:p>
    <w:p>
      <w:pPr>
        <w:pStyle w:val="Subsection"/>
      </w:pPr>
      <w:r>
        <w:tab/>
        <w:t>(1)</w:t>
      </w:r>
      <w:r>
        <w:tab/>
        <w:t>If the Court is satisfied that an application made under the RTA section 71B(7), 71F(1), 80J(5) or (6) or 80V(3)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 SL 2022/180 r. 8.]</w:t>
      </w:r>
    </w:p>
    <w:p>
      <w:pPr>
        <w:pStyle w:val="Heading5"/>
      </w:pPr>
      <w:bookmarkStart w:id="327" w:name="_Toc178347449"/>
      <w:bookmarkStart w:id="328" w:name="_Toc177742473"/>
      <w:r>
        <w:rPr>
          <w:rStyle w:val="CharSectno"/>
        </w:rPr>
        <w:t>54</w:t>
      </w:r>
      <w:r>
        <w:t>.</w:t>
      </w:r>
      <w:r>
        <w:tab/>
        <w:t>Hearing of application, procedure on</w:t>
      </w:r>
      <w:bookmarkEnd w:id="327"/>
      <w:bookmarkEnd w:id="328"/>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329" w:name="_Toc178347450"/>
      <w:bookmarkStart w:id="330" w:name="_Toc177742474"/>
      <w:r>
        <w:rPr>
          <w:rStyle w:val="CharSectno"/>
        </w:rPr>
        <w:t>55</w:t>
      </w:r>
      <w:r>
        <w:t>.</w:t>
      </w:r>
      <w:r>
        <w:tab/>
        <w:t>CEO to be notified of decision</w:t>
      </w:r>
      <w:bookmarkEnd w:id="329"/>
      <w:bookmarkEnd w:id="330"/>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331" w:name="_Toc178340596"/>
      <w:bookmarkStart w:id="332" w:name="_Toc178342430"/>
      <w:bookmarkStart w:id="333" w:name="_Toc178343066"/>
      <w:bookmarkStart w:id="334" w:name="_Toc178347451"/>
      <w:bookmarkStart w:id="335" w:name="_Toc177634236"/>
      <w:bookmarkStart w:id="336" w:name="_Toc177634617"/>
      <w:bookmarkStart w:id="337" w:name="_Toc177635505"/>
      <w:bookmarkStart w:id="338" w:name="_Toc177742475"/>
      <w:r>
        <w:rPr>
          <w:rStyle w:val="CharPartNo"/>
        </w:rPr>
        <w:t>Part 9</w:t>
      </w:r>
      <w:r>
        <w:t xml:space="preserve"> — </w:t>
      </w:r>
      <w:r>
        <w:rPr>
          <w:rStyle w:val="CharPartText"/>
          <w:i/>
          <w:iCs/>
        </w:rPr>
        <w:t xml:space="preserve">Criminal Investigation Act 2006 </w:t>
      </w:r>
      <w:r>
        <w:rPr>
          <w:rStyle w:val="CharPartText"/>
        </w:rPr>
        <w:t>rules</w:t>
      </w:r>
      <w:bookmarkEnd w:id="331"/>
      <w:bookmarkEnd w:id="332"/>
      <w:bookmarkEnd w:id="333"/>
      <w:bookmarkEnd w:id="334"/>
      <w:bookmarkEnd w:id="335"/>
      <w:bookmarkEnd w:id="336"/>
      <w:bookmarkEnd w:id="337"/>
      <w:bookmarkEnd w:id="338"/>
    </w:p>
    <w:p>
      <w:pPr>
        <w:pStyle w:val="Footnoteheading"/>
      </w:pPr>
      <w:r>
        <w:tab/>
        <w:t>[Heading inserted: Gazette 24 Aug 2007 p. 4324.]</w:t>
      </w:r>
    </w:p>
    <w:p>
      <w:pPr>
        <w:pStyle w:val="Heading5"/>
      </w:pPr>
      <w:bookmarkStart w:id="339" w:name="_Toc178347452"/>
      <w:bookmarkStart w:id="340" w:name="_Toc177742476"/>
      <w:r>
        <w:rPr>
          <w:rStyle w:val="CharSectno"/>
        </w:rPr>
        <w:t>56</w:t>
      </w:r>
      <w:r>
        <w:t>.</w:t>
      </w:r>
      <w:r>
        <w:tab/>
        <w:t xml:space="preserve">Application under </w:t>
      </w:r>
      <w:r>
        <w:rPr>
          <w:i/>
          <w:iCs/>
        </w:rPr>
        <w:t>Criminal Investigation Act 2006</w:t>
      </w:r>
      <w:r>
        <w:t xml:space="preserve"> s. 151, how to be made</w:t>
      </w:r>
      <w:bookmarkEnd w:id="339"/>
      <w:bookmarkEnd w:id="34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also be lodged.</w:t>
      </w:r>
    </w:p>
    <w:p>
      <w:pPr>
        <w:pStyle w:val="Footnotesection"/>
      </w:pPr>
      <w:r>
        <w:tab/>
        <w:t>[Rule 56 inserted: Gazette 24 Aug 2007 p. 4324</w:t>
      </w:r>
      <w:r>
        <w:noBreakHyphen/>
        <w:t>5; amended: SL 2022/180 r. 9.]</w:t>
      </w:r>
    </w:p>
    <w:p>
      <w:pPr>
        <w:pStyle w:val="Heading5"/>
      </w:pPr>
      <w:bookmarkStart w:id="341" w:name="_Toc178347453"/>
      <w:bookmarkStart w:id="342" w:name="_Toc177742477"/>
      <w:r>
        <w:rPr>
          <w:rStyle w:val="CharSectno"/>
        </w:rPr>
        <w:t>57</w:t>
      </w:r>
      <w:r>
        <w:t>.</w:t>
      </w:r>
      <w:r>
        <w:tab/>
        <w:t>Registries where applications may be lodged</w:t>
      </w:r>
      <w:bookmarkEnd w:id="341"/>
      <w:bookmarkEnd w:id="342"/>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343" w:name="_Toc178347454"/>
      <w:bookmarkStart w:id="344" w:name="_Toc177742478"/>
      <w:r>
        <w:rPr>
          <w:rStyle w:val="CharSectno"/>
        </w:rPr>
        <w:t>58</w:t>
      </w:r>
      <w:r>
        <w:t>.</w:t>
      </w:r>
      <w:r>
        <w:tab/>
        <w:t>Registrar’s functions when application is made</w:t>
      </w:r>
      <w:bookmarkEnd w:id="343"/>
      <w:bookmarkEnd w:id="34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345" w:name="_Toc178347455"/>
      <w:bookmarkStart w:id="346" w:name="_Toc177742479"/>
      <w:r>
        <w:rPr>
          <w:rStyle w:val="CharSectno"/>
        </w:rPr>
        <w:t>59</w:t>
      </w:r>
      <w:r>
        <w:t>.</w:t>
      </w:r>
      <w:r>
        <w:tab/>
        <w:t>Application must be served</w:t>
      </w:r>
      <w:bookmarkEnd w:id="345"/>
      <w:bookmarkEnd w:id="34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47" w:name="_Toc178340601"/>
      <w:bookmarkStart w:id="348" w:name="_Toc178342435"/>
      <w:bookmarkStart w:id="349" w:name="_Toc178343071"/>
      <w:bookmarkStart w:id="350" w:name="_Toc178347456"/>
      <w:bookmarkStart w:id="351" w:name="_Toc177634241"/>
      <w:bookmarkStart w:id="352" w:name="_Toc177634622"/>
      <w:bookmarkStart w:id="353" w:name="_Toc177635510"/>
      <w:bookmarkStart w:id="354" w:name="_Toc177742480"/>
      <w:r>
        <w:rPr>
          <w:rStyle w:val="CharSchNo"/>
        </w:rPr>
        <w:t>Schedule 1</w:t>
      </w:r>
      <w:r>
        <w:rPr>
          <w:rStyle w:val="CharSDivNo"/>
        </w:rPr>
        <w:t> </w:t>
      </w:r>
      <w:r>
        <w:t>—</w:t>
      </w:r>
      <w:r>
        <w:rPr>
          <w:rStyle w:val="CharSDivText"/>
        </w:rPr>
        <w:t> </w:t>
      </w:r>
      <w:r>
        <w:rPr>
          <w:rStyle w:val="CharSchText"/>
        </w:rPr>
        <w:t>Suburbs and registries</w:t>
      </w:r>
      <w:bookmarkEnd w:id="347"/>
      <w:bookmarkEnd w:id="348"/>
      <w:bookmarkEnd w:id="349"/>
      <w:bookmarkEnd w:id="350"/>
      <w:bookmarkEnd w:id="351"/>
      <w:bookmarkEnd w:id="352"/>
      <w:bookmarkEnd w:id="353"/>
      <w:bookmarkEnd w:id="354"/>
    </w:p>
    <w:p>
      <w:pPr>
        <w:pStyle w:val="yShoulderClause"/>
      </w:pPr>
      <w:r>
        <w:t>[r. 44]</w:t>
      </w:r>
    </w:p>
    <w:p>
      <w:pPr>
        <w:pStyle w:val="yFootnoteheading"/>
        <w:spacing w:after="60"/>
      </w:pPr>
      <w:r>
        <w:tab/>
        <w:t>[Heading inserted: Gazette 11 Mar 2014 p. 576.]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 Bay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Mount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Mount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Myara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Nambeelup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Camillo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Point Grey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Stake 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Treeby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 amended: SL 2022/180 r. 10.]</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56" w:name="_Toc178340602"/>
      <w:bookmarkStart w:id="357" w:name="_Toc178342436"/>
      <w:bookmarkStart w:id="358" w:name="_Toc178343072"/>
      <w:bookmarkStart w:id="359" w:name="_Toc178347457"/>
      <w:bookmarkStart w:id="360" w:name="_Toc177634242"/>
      <w:bookmarkStart w:id="361" w:name="_Toc177634623"/>
      <w:bookmarkStart w:id="362" w:name="_Toc177635511"/>
      <w:bookmarkStart w:id="363" w:name="_Toc177742481"/>
      <w:r>
        <w:rPr>
          <w:rStyle w:val="CharSchNo"/>
        </w:rPr>
        <w:t>Schedule 2</w:t>
      </w:r>
      <w:r>
        <w:rPr>
          <w:rStyle w:val="CharSDivNo"/>
        </w:rPr>
        <w:t> </w:t>
      </w:r>
      <w:r>
        <w:t>—</w:t>
      </w:r>
      <w:r>
        <w:rPr>
          <w:rStyle w:val="CharSDivText"/>
        </w:rPr>
        <w:t> </w:t>
      </w:r>
      <w:r>
        <w:rPr>
          <w:rStyle w:val="CharSchText"/>
        </w:rPr>
        <w:t>Forms</w:t>
      </w:r>
      <w:bookmarkEnd w:id="356"/>
      <w:bookmarkEnd w:id="357"/>
      <w:bookmarkEnd w:id="358"/>
      <w:bookmarkEnd w:id="359"/>
      <w:bookmarkEnd w:id="360"/>
      <w:bookmarkEnd w:id="361"/>
      <w:bookmarkEnd w:id="362"/>
      <w:bookmarkEnd w:id="363"/>
    </w:p>
    <w:p>
      <w:pPr>
        <w:pStyle w:val="yShoulderClause"/>
      </w:pPr>
      <w:r>
        <w:t>[r. 3]</w:t>
      </w:r>
    </w:p>
    <w:p>
      <w:pPr>
        <w:pStyle w:val="yHeading5"/>
        <w:spacing w:after="240"/>
      </w:pPr>
      <w:bookmarkStart w:id="364" w:name="_Toc178347458"/>
      <w:bookmarkStart w:id="365" w:name="_Toc177742482"/>
      <w:r>
        <w:rPr>
          <w:rStyle w:val="CharSClsNo"/>
        </w:rPr>
        <w:t>1A</w:t>
      </w:r>
      <w:r>
        <w:t>.</w:t>
      </w:r>
      <w:r>
        <w:tab/>
        <w:t>Application for leave to lodge a document (r. 10)</w:t>
      </w:r>
      <w:bookmarkEnd w:id="364"/>
      <w:bookmarkEnd w:id="3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366" w:name="_Toc178347459"/>
      <w:bookmarkStart w:id="367" w:name="_Toc177742483"/>
      <w:r>
        <w:rPr>
          <w:rStyle w:val="CharSClsNo"/>
        </w:rPr>
        <w:t>1B</w:t>
      </w:r>
      <w:r>
        <w:t>.</w:t>
      </w:r>
      <w:r>
        <w:tab/>
        <w:t>Appeal against registrar’s decision (r. 26)</w:t>
      </w:r>
      <w:bookmarkEnd w:id="366"/>
      <w:bookmarkEnd w:id="3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legal practitioner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 amended: amended: SL 2022/106 r. 6.]</w:t>
      </w:r>
    </w:p>
    <w:p>
      <w:pPr>
        <w:pStyle w:val="yHeading5"/>
        <w:pageBreakBefore/>
        <w:spacing w:before="0" w:after="240"/>
      </w:pPr>
      <w:bookmarkStart w:id="368" w:name="_Toc178347460"/>
      <w:bookmarkStart w:id="369" w:name="_Toc177742484"/>
      <w:r>
        <w:rPr>
          <w:rStyle w:val="CharSClsNo"/>
        </w:rPr>
        <w:t>1</w:t>
      </w:r>
      <w:r>
        <w:t>.</w:t>
      </w:r>
      <w:r>
        <w:tab/>
        <w:t>Request to inspect or obtain copy of document from the Court (r. 37 and 40C)</w:t>
      </w:r>
      <w:bookmarkEnd w:id="368"/>
      <w:bookmarkEnd w:id="3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370" w:name="_Toc178347461"/>
      <w:bookmarkStart w:id="371" w:name="_Toc177742485"/>
      <w:r>
        <w:rPr>
          <w:rStyle w:val="CharSClsNo"/>
        </w:rPr>
        <w:t>2</w:t>
      </w:r>
      <w:r>
        <w:t>.</w:t>
      </w:r>
      <w:r>
        <w:tab/>
        <w:t>Application for leave in respect of court record (r. 38)</w:t>
      </w:r>
      <w:bookmarkEnd w:id="370"/>
      <w:bookmarkEnd w:id="3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372" w:name="_Toc178347462"/>
      <w:bookmarkStart w:id="373" w:name="_Toc177742486"/>
      <w:r>
        <w:rPr>
          <w:rStyle w:val="CharSClsNo"/>
        </w:rPr>
        <w:t>3A</w:t>
      </w:r>
      <w:r>
        <w:t>.</w:t>
      </w:r>
      <w:r>
        <w:tab/>
        <w:t>Application for access to information held by the Court (r. 39)</w:t>
      </w:r>
      <w:bookmarkEnd w:id="372"/>
      <w:bookmarkEnd w:id="3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374" w:name="_Toc178347463"/>
      <w:bookmarkStart w:id="375" w:name="_Toc177742487"/>
      <w:r>
        <w:rPr>
          <w:rStyle w:val="CharSClsNo"/>
        </w:rPr>
        <w:t>3</w:t>
      </w:r>
      <w:r>
        <w:t>.</w:t>
      </w:r>
      <w:r>
        <w:tab/>
        <w:t>Application to cancel licence suspension order made in respect of infringement notice (r. 48)</w:t>
      </w:r>
      <w:bookmarkEnd w:id="374"/>
      <w:bookmarkEnd w:id="3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w:t>
            </w:r>
            <w:r>
              <w:rPr>
                <w:sz w:val="20"/>
                <w:szCs w:val="16"/>
              </w:rPr>
              <w:t>section</w:t>
            </w:r>
            <w:del w:id="376" w:author="Master Repository Process" w:date="2025-07-02T12:31:00Z">
              <w:r>
                <w:rPr>
                  <w:sz w:val="20"/>
                </w:rPr>
                <w:delText> </w:delText>
              </w:r>
            </w:del>
            <w:ins w:id="377" w:author="Master Repository Process" w:date="2025-07-02T12:31:00Z">
              <w:r>
                <w:rPr>
                  <w:sz w:val="20"/>
                  <w:szCs w:val="16"/>
                </w:rPr>
                <w:t xml:space="preserve"> </w:t>
              </w:r>
            </w:ins>
            <w:r>
              <w:rPr>
                <w:sz w:val="20"/>
                <w:szCs w:val="16"/>
              </w:rPr>
              <w:t xml:space="preserve">14 </w:t>
            </w:r>
            <w:ins w:id="378" w:author="Master Repository Process" w:date="2025-07-02T12:31:00Z">
              <w:r>
                <w:rPr>
                  <w:sz w:val="20"/>
                  <w:szCs w:val="16"/>
                </w:rPr>
                <w:t xml:space="preserve">or 14A </w:t>
              </w:r>
            </w:ins>
            <w:r>
              <w:rPr>
                <w:sz w:val="20"/>
                <w:szCs w:val="16"/>
              </w:rPr>
              <w:t>of the Act</w:t>
            </w:r>
            <w:ins w:id="379" w:author="Master Repository Process" w:date="2025-07-02T12:31:00Z">
              <w:r>
                <w:rPr>
                  <w:sz w:val="20"/>
                  <w:szCs w:val="16"/>
                </w:rPr>
                <w:t xml:space="preserve"> (as applicable)</w:t>
              </w:r>
            </w:ins>
            <w:r>
              <w:rPr>
                <w:sz w:val="20"/>
              </w:rPr>
              <w:t xml:space="preserve">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w:t>
            </w:r>
            <w:ins w:id="380" w:author="Master Repository Process" w:date="2025-07-02T12:31:00Z">
              <w:r>
                <w:rPr>
                  <w:sz w:val="20"/>
                  <w:szCs w:val="16"/>
                </w:rPr>
                <w:t xml:space="preserve">or </w:t>
              </w:r>
              <w:r>
                <w:rPr>
                  <w:b/>
                  <w:bCs/>
                  <w:sz w:val="20"/>
                  <w:szCs w:val="16"/>
                </w:rPr>
                <w:t>balance payment order</w:t>
              </w:r>
              <w:r>
                <w:rPr>
                  <w:sz w:val="20"/>
                  <w:szCs w:val="16"/>
                </w:rPr>
                <w:t xml:space="preserve"> issued under section 17A of the Act (as applicable) </w:t>
              </w:r>
            </w:ins>
            <w:r>
              <w:rPr>
                <w:sz w:val="20"/>
              </w:rPr>
              <w:t>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keepNext/>
              <w:spacing w:before="0" w:line="240" w:lineRule="auto"/>
              <w:rPr>
                <w:sz w:val="20"/>
              </w:rPr>
            </w:pPr>
            <w:r>
              <w:rPr>
                <w:sz w:val="20"/>
              </w:rPr>
              <w:t>Hearing details</w:t>
            </w:r>
          </w:p>
        </w:tc>
        <w:tc>
          <w:tcPr>
            <w:tcW w:w="5670" w:type="dxa"/>
            <w:gridSpan w:val="6"/>
            <w:tcBorders>
              <w:bottom w:val="single" w:sz="4" w:space="0" w:color="auto"/>
            </w:tcBorders>
          </w:tcPr>
          <w:p>
            <w:pPr>
              <w:pStyle w:val="Table"/>
              <w:keepNext/>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keepNext/>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keepNext/>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del w:id="381" w:author="Master Repository Process" w:date="2025-07-02T12:31:00Z">
        <w:r>
          <w:delText>.]</w:delText>
        </w:r>
      </w:del>
      <w:ins w:id="382" w:author="Master Repository Process" w:date="2025-07-02T12:31:00Z">
        <w:r>
          <w:t>; SL 2024/196 r. 4(1).]</w:t>
        </w:r>
      </w:ins>
    </w:p>
    <w:p>
      <w:pPr>
        <w:pStyle w:val="yHeading5"/>
        <w:pageBreakBefore/>
        <w:spacing w:before="0" w:after="160"/>
      </w:pPr>
      <w:bookmarkStart w:id="383" w:name="_Toc178347464"/>
      <w:bookmarkStart w:id="384" w:name="_Toc177742488"/>
      <w:r>
        <w:rPr>
          <w:rStyle w:val="CharSClsNo"/>
        </w:rPr>
        <w:t>4AA</w:t>
      </w:r>
      <w:r>
        <w:t>.</w:t>
      </w:r>
      <w:r>
        <w:tab/>
        <w:t>Application to cancel enforcement warrant made in respect of infringement notice (r. 49A)</w:t>
      </w:r>
      <w:bookmarkEnd w:id="383"/>
      <w:bookmarkEnd w:id="3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w:t>
            </w:r>
            <w:r>
              <w:rPr>
                <w:sz w:val="20"/>
                <w:szCs w:val="16"/>
              </w:rPr>
              <w:t>section</w:t>
            </w:r>
            <w:del w:id="385" w:author="Master Repository Process" w:date="2025-07-02T12:31:00Z">
              <w:r>
                <w:rPr>
                  <w:sz w:val="20"/>
                </w:rPr>
                <w:delText> </w:delText>
              </w:r>
            </w:del>
            <w:ins w:id="386" w:author="Master Repository Process" w:date="2025-07-02T12:31:00Z">
              <w:r>
                <w:rPr>
                  <w:sz w:val="20"/>
                  <w:szCs w:val="16"/>
                </w:rPr>
                <w:t xml:space="preserve"> </w:t>
              </w:r>
            </w:ins>
            <w:r>
              <w:rPr>
                <w:sz w:val="20"/>
                <w:szCs w:val="16"/>
              </w:rPr>
              <w:t xml:space="preserve">14 </w:t>
            </w:r>
            <w:ins w:id="387" w:author="Master Repository Process" w:date="2025-07-02T12:31:00Z">
              <w:r>
                <w:rPr>
                  <w:sz w:val="20"/>
                  <w:szCs w:val="16"/>
                </w:rPr>
                <w:t xml:space="preserve">or 14A </w:t>
              </w:r>
            </w:ins>
            <w:r>
              <w:rPr>
                <w:sz w:val="20"/>
                <w:szCs w:val="16"/>
              </w:rPr>
              <w:t>of the Act</w:t>
            </w:r>
            <w:ins w:id="388" w:author="Master Repository Process" w:date="2025-07-02T12:31:00Z">
              <w:r>
                <w:rPr>
                  <w:sz w:val="20"/>
                  <w:szCs w:val="16"/>
                </w:rPr>
                <w:t xml:space="preserve"> (as applicable)</w:t>
              </w:r>
            </w:ins>
            <w:r>
              <w:rPr>
                <w:sz w:val="20"/>
              </w:rPr>
              <w:t xml:space="preserve">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w:t>
            </w:r>
            <w:ins w:id="389" w:author="Master Repository Process" w:date="2025-07-02T12:31:00Z">
              <w:r>
                <w:rPr>
                  <w:sz w:val="20"/>
                  <w:szCs w:val="16"/>
                </w:rPr>
                <w:t xml:space="preserve">or </w:t>
              </w:r>
              <w:r>
                <w:rPr>
                  <w:b/>
                  <w:bCs/>
                  <w:sz w:val="20"/>
                  <w:szCs w:val="16"/>
                </w:rPr>
                <w:t>balance payment order</w:t>
              </w:r>
              <w:r>
                <w:rPr>
                  <w:sz w:val="20"/>
                  <w:szCs w:val="16"/>
                </w:rPr>
                <w:t xml:space="preserve"> issued under section 17A of the Act (as applicable) </w:t>
              </w:r>
            </w:ins>
            <w:r>
              <w:rPr>
                <w:sz w:val="20"/>
              </w:rPr>
              <w:t>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keepNext/>
              <w:spacing w:before="0"/>
            </w:pPr>
            <w:r>
              <w:rPr>
                <w:sz w:val="20"/>
              </w:rPr>
              <w:t>Hearing details</w:t>
            </w:r>
          </w:p>
        </w:tc>
        <w:tc>
          <w:tcPr>
            <w:tcW w:w="5670" w:type="dxa"/>
            <w:gridSpan w:val="6"/>
            <w:tcBorders>
              <w:bottom w:val="single" w:sz="4" w:space="0" w:color="auto"/>
            </w:tcBorders>
          </w:tcPr>
          <w:p>
            <w:pPr>
              <w:pStyle w:val="yTableNAm"/>
              <w:keepNext/>
              <w:spacing w:before="0"/>
            </w:pPr>
            <w:r>
              <w:rPr>
                <w:sz w:val="20"/>
              </w:rPr>
              <w:t xml:space="preserve">This application will be heard — </w:t>
            </w:r>
          </w:p>
          <w:p>
            <w:pPr>
              <w:pStyle w:val="yTableNAm"/>
              <w:keepNext/>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keepNext/>
              <w:spacing w:before="0"/>
            </w:pPr>
            <w:r>
              <w:rPr>
                <w:sz w:val="20"/>
              </w:rPr>
              <w:t>at [</w:t>
            </w:r>
            <w:r>
              <w:rPr>
                <w:i/>
                <w:sz w:val="20"/>
              </w:rPr>
              <w:t>place</w:t>
            </w:r>
            <w:r>
              <w:rPr>
                <w:sz w:val="20"/>
              </w:rPr>
              <w:t>]</w:t>
            </w:r>
          </w:p>
        </w:tc>
      </w:tr>
    </w:tbl>
    <w:p>
      <w:pPr>
        <w:pStyle w:val="yFootnotesection"/>
        <w:spacing w:before="80"/>
      </w:pPr>
      <w:r>
        <w:tab/>
        <w:t>[Form 4AA inserted: Gazette 20 Aug 2013 p. 3819-20</w:t>
      </w:r>
      <w:del w:id="390" w:author="Master Repository Process" w:date="2025-07-02T12:31:00Z">
        <w:r>
          <w:delText>.]</w:delText>
        </w:r>
      </w:del>
      <w:ins w:id="391" w:author="Master Repository Process" w:date="2025-07-02T12:31:00Z">
        <w:r>
          <w:t>; SL 2024/196 r. 4(2).]</w:t>
        </w:r>
      </w:ins>
    </w:p>
    <w:p>
      <w:pPr>
        <w:pStyle w:val="yHeading5"/>
        <w:pageBreakBefore/>
        <w:spacing w:before="0" w:after="240"/>
      </w:pPr>
      <w:bookmarkStart w:id="392" w:name="_Toc178347465"/>
      <w:bookmarkStart w:id="393" w:name="_Toc177742489"/>
      <w:r>
        <w:rPr>
          <w:rStyle w:val="CharSClsNo"/>
        </w:rPr>
        <w:t>4</w:t>
      </w:r>
      <w:r>
        <w:t>.</w:t>
      </w:r>
      <w:r>
        <w:tab/>
        <w:t>Application to cancel licence suspension order made in respect of a fine (r. 49)</w:t>
      </w:r>
      <w:bookmarkEnd w:id="392"/>
      <w:bookmarkEnd w:id="3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394" w:name="_Toc178347466"/>
      <w:bookmarkStart w:id="395" w:name="_Toc177742490"/>
      <w:r>
        <w:rPr>
          <w:rStyle w:val="CharSClsNo"/>
        </w:rPr>
        <w:t>4A</w:t>
      </w:r>
      <w:r>
        <w:t>.</w:t>
      </w:r>
      <w:r>
        <w:tab/>
        <w:t>Application for an order for seized keys to be handed over (r. 50A)</w:t>
      </w:r>
      <w:bookmarkEnd w:id="394"/>
      <w:bookmarkEnd w:id="3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 SL 2022/106 r. 6.]</w:t>
      </w:r>
    </w:p>
    <w:p>
      <w:pPr>
        <w:pStyle w:val="yHeading5"/>
      </w:pPr>
      <w:bookmarkStart w:id="396" w:name="_Toc178347467"/>
      <w:bookmarkStart w:id="397" w:name="_Toc177742491"/>
      <w:r>
        <w:rPr>
          <w:rStyle w:val="CharSClsNo"/>
        </w:rPr>
        <w:t>4B</w:t>
      </w:r>
      <w:r>
        <w:t>.</w:t>
      </w:r>
      <w:r>
        <w:tab/>
        <w:t>Application for revocation of disqualification notice (r. 50B)</w:t>
      </w:r>
      <w:bookmarkEnd w:id="396"/>
      <w:bookmarkEnd w:id="397"/>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 amended: SL 2022/106 r. 6.]</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398" w:name="_Toc178347468"/>
      <w:bookmarkStart w:id="399" w:name="_Toc177742492"/>
      <w:r>
        <w:rPr>
          <w:rStyle w:val="CharSClsNo"/>
        </w:rPr>
        <w:t>8</w:t>
      </w:r>
      <w:r>
        <w:t>.</w:t>
      </w:r>
      <w:r>
        <w:tab/>
        <w:t>Application by CEO to vary, cancel extraordinary licence (r. 51(4))</w:t>
      </w:r>
      <w:bookmarkEnd w:id="398"/>
      <w:bookmarkEnd w:id="39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400" w:name="_Toc178347469"/>
      <w:bookmarkStart w:id="401" w:name="_Toc177742493"/>
      <w:r>
        <w:rPr>
          <w:rStyle w:val="CharSClsNo"/>
        </w:rPr>
        <w:t>9</w:t>
      </w:r>
      <w:r>
        <w:t>.</w:t>
      </w:r>
      <w:r>
        <w:rPr>
          <w:b w:val="0"/>
        </w:rPr>
        <w:tab/>
      </w:r>
      <w:r>
        <w:t>Application by owner for delay of sale of uncollected vehicle and/or return of item (r. 51A)</w:t>
      </w:r>
      <w:bookmarkEnd w:id="400"/>
      <w:bookmarkEnd w:id="4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legal practitioner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 amended: SL 2022/106 r. 6.]</w:t>
      </w:r>
    </w:p>
    <w:p>
      <w:pPr>
        <w:pStyle w:val="yHeading5"/>
        <w:pageBreakBefore/>
        <w:spacing w:before="0" w:after="120"/>
      </w:pPr>
      <w:bookmarkStart w:id="402" w:name="_Toc178347470"/>
      <w:bookmarkStart w:id="403" w:name="_Toc177742494"/>
      <w:r>
        <w:rPr>
          <w:rStyle w:val="CharSClsNo"/>
        </w:rPr>
        <w:t>10</w:t>
      </w:r>
      <w:r>
        <w:t>.</w:t>
      </w:r>
      <w:r>
        <w:tab/>
        <w:t>Application for decision on whether information in seized record is privileged (r. 56)</w:t>
      </w:r>
      <w:bookmarkEnd w:id="402"/>
      <w:bookmarkEnd w:id="4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 amended: SL 2022/106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404" w:name="_Toc178340616"/>
      <w:bookmarkStart w:id="405" w:name="_Toc178342450"/>
      <w:bookmarkStart w:id="406" w:name="_Toc178343086"/>
      <w:bookmarkStart w:id="407" w:name="_Toc178347471"/>
      <w:bookmarkStart w:id="408" w:name="_Toc177634256"/>
      <w:bookmarkStart w:id="409" w:name="_Toc177634637"/>
      <w:bookmarkStart w:id="410" w:name="_Toc177635525"/>
      <w:bookmarkStart w:id="411" w:name="_Toc177742495"/>
      <w:r>
        <w:t>Notes</w:t>
      </w:r>
      <w:bookmarkEnd w:id="404"/>
      <w:bookmarkEnd w:id="405"/>
      <w:bookmarkEnd w:id="406"/>
      <w:bookmarkEnd w:id="407"/>
      <w:bookmarkEnd w:id="408"/>
      <w:bookmarkEnd w:id="409"/>
      <w:bookmarkEnd w:id="410"/>
      <w:bookmarkEnd w:id="411"/>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w:t>
      </w:r>
      <w:del w:id="412" w:author="Master Repository Process" w:date="2025-07-02T12:31:00Z">
        <w:r>
          <w:delText>For provisions that have not yet come into operation see the uncommenced provisions table.</w:delText>
        </w:r>
      </w:del>
    </w:p>
    <w:p>
      <w:pPr>
        <w:pStyle w:val="nHeading3"/>
      </w:pPr>
      <w:bookmarkStart w:id="413" w:name="_Toc178347472"/>
      <w:bookmarkStart w:id="414" w:name="_Toc177742496"/>
      <w:r>
        <w:t>Compilation table</w:t>
      </w:r>
      <w:bookmarkEnd w:id="413"/>
      <w:bookmarkEnd w:id="41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r>
        <w:tc>
          <w:tcPr>
            <w:tcW w:w="3119" w:type="dxa"/>
            <w:tcBorders>
              <w:top w:val="nil"/>
              <w:bottom w:val="nil"/>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top w:val="nil"/>
              <w:bottom w:val="nil"/>
            </w:tcBorders>
            <w:shd w:val="clear" w:color="auto" w:fill="auto"/>
          </w:tcPr>
          <w:p>
            <w:pPr>
              <w:pStyle w:val="nTable"/>
              <w:keepNext/>
              <w:spacing w:after="40"/>
            </w:pPr>
            <w:r>
              <w:t>SL 2022/106 24 Jun 2022</w:t>
            </w:r>
          </w:p>
        </w:tc>
        <w:tc>
          <w:tcPr>
            <w:tcW w:w="2693" w:type="dxa"/>
            <w:tcBorders>
              <w:top w:val="nil"/>
              <w:bottom w:val="nil"/>
            </w:tcBorders>
            <w:shd w:val="clear" w:color="auto" w:fill="auto"/>
          </w:tcPr>
          <w:p>
            <w:pPr>
              <w:pStyle w:val="nTable"/>
              <w:keepNext/>
              <w:spacing w:after="40"/>
              <w:rPr>
                <w:snapToGrid w:val="0"/>
              </w:rPr>
            </w:pPr>
            <w:r>
              <w:t>1 Jul 2022 (see r. 2(b) and SL 2022/113 cl. 2)</w:t>
            </w:r>
          </w:p>
        </w:tc>
      </w:tr>
      <w:tr>
        <w:tc>
          <w:tcPr>
            <w:tcW w:w="3119" w:type="dxa"/>
            <w:tcBorders>
              <w:top w:val="nil"/>
              <w:bottom w:val="nil"/>
            </w:tcBorders>
            <w:shd w:val="clear" w:color="auto" w:fill="auto"/>
          </w:tcPr>
          <w:p>
            <w:pPr>
              <w:pStyle w:val="nTable"/>
              <w:keepNext/>
              <w:spacing w:after="40"/>
              <w:rPr>
                <w:i/>
              </w:rPr>
            </w:pPr>
            <w:r>
              <w:rPr>
                <w:i/>
              </w:rPr>
              <w:t>Magistrates Court (General) Amendment Rules 2022</w:t>
            </w:r>
          </w:p>
        </w:tc>
        <w:tc>
          <w:tcPr>
            <w:tcW w:w="1276" w:type="dxa"/>
            <w:tcBorders>
              <w:top w:val="nil"/>
              <w:bottom w:val="nil"/>
            </w:tcBorders>
            <w:shd w:val="clear" w:color="auto" w:fill="auto"/>
          </w:tcPr>
          <w:p>
            <w:pPr>
              <w:pStyle w:val="nTable"/>
              <w:keepNext/>
              <w:spacing w:after="40"/>
            </w:pPr>
            <w:r>
              <w:t>SL 2022/180 4 Nov 2022</w:t>
            </w:r>
          </w:p>
        </w:tc>
        <w:tc>
          <w:tcPr>
            <w:tcW w:w="2693" w:type="dxa"/>
            <w:tcBorders>
              <w:top w:val="nil"/>
              <w:bottom w:val="nil"/>
            </w:tcBorders>
            <w:shd w:val="clear" w:color="auto" w:fill="auto"/>
          </w:tcPr>
          <w:p>
            <w:pPr>
              <w:pStyle w:val="nTable"/>
              <w:keepNext/>
              <w:spacing w:after="40"/>
            </w:pPr>
            <w:r>
              <w:t>r. 1 and 2: 4 Nov 2022 (see r. 2(a));</w:t>
            </w:r>
            <w:r>
              <w:br/>
              <w:t>Rules other than r. 1 and 2: 5 Nov 2022 (see r. 2(b))</w:t>
            </w:r>
          </w:p>
        </w:tc>
      </w:tr>
      <w:tr>
        <w:tc>
          <w:tcPr>
            <w:tcW w:w="3119" w:type="dxa"/>
            <w:tcBorders>
              <w:top w:val="nil"/>
              <w:bottom w:val="nil"/>
            </w:tcBorders>
            <w:shd w:val="clear" w:color="auto" w:fill="auto"/>
          </w:tcPr>
          <w:p>
            <w:pPr>
              <w:pStyle w:val="nTable"/>
              <w:keepNext/>
              <w:spacing w:after="40"/>
            </w:pPr>
            <w:r>
              <w:rPr>
                <w:i/>
              </w:rPr>
              <w:t xml:space="preserve">Magistrates Court Rules Amendment Rules 2023 </w:t>
            </w:r>
            <w:r>
              <w:t>Pt. 3</w:t>
            </w:r>
          </w:p>
        </w:tc>
        <w:tc>
          <w:tcPr>
            <w:tcW w:w="1276" w:type="dxa"/>
            <w:tcBorders>
              <w:top w:val="nil"/>
              <w:bottom w:val="nil"/>
            </w:tcBorders>
            <w:shd w:val="clear" w:color="auto" w:fill="auto"/>
          </w:tcPr>
          <w:p>
            <w:pPr>
              <w:pStyle w:val="nTable"/>
              <w:keepNext/>
              <w:spacing w:after="40"/>
            </w:pPr>
            <w:r>
              <w:t>SL 2023/148 20 Sep 2023</w:t>
            </w:r>
          </w:p>
        </w:tc>
        <w:tc>
          <w:tcPr>
            <w:tcW w:w="2693" w:type="dxa"/>
            <w:tcBorders>
              <w:top w:val="nil"/>
              <w:bottom w:val="nil"/>
            </w:tcBorders>
            <w:shd w:val="clear" w:color="auto" w:fill="auto"/>
          </w:tcPr>
          <w:p>
            <w:pPr>
              <w:pStyle w:val="nTable"/>
              <w:keepNext/>
              <w:spacing w:after="40"/>
            </w:pPr>
            <w:r>
              <w:t>21 Sep 2023 (see r. 2(b))</w:t>
            </w:r>
          </w:p>
        </w:tc>
      </w:tr>
    </w:tbl>
    <w:p>
      <w:pPr>
        <w:rPr>
          <w:del w:id="415" w:author="Master Repository Process" w:date="2025-07-02T12:31:00Z"/>
        </w:r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3"/>
        <w:rPr>
          <w:del w:id="416" w:author="Master Repository Process" w:date="2025-07-02T12:31:00Z"/>
        </w:rPr>
      </w:pPr>
      <w:bookmarkStart w:id="417" w:name="_Toc177742497"/>
      <w:del w:id="418" w:author="Master Repository Process" w:date="2025-07-02T12:31:00Z">
        <w:r>
          <w:delText>Uncommenced provisions table</w:delText>
        </w:r>
        <w:bookmarkEnd w:id="417"/>
      </w:del>
    </w:p>
    <w:p>
      <w:pPr>
        <w:pStyle w:val="nStatement"/>
        <w:keepNext/>
        <w:spacing w:after="240"/>
        <w:rPr>
          <w:del w:id="419" w:author="Master Repository Process" w:date="2025-07-02T12:31:00Z"/>
        </w:rPr>
      </w:pPr>
      <w:del w:id="420" w:author="Master Repository Process" w:date="2025-07-02T12:31: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21" w:author="Master Repository Process" w:date="2025-07-02T12:31:00Z"/>
        </w:trPr>
        <w:tc>
          <w:tcPr>
            <w:tcW w:w="3118" w:type="dxa"/>
          </w:tcPr>
          <w:p>
            <w:pPr>
              <w:pStyle w:val="nTable"/>
              <w:spacing w:after="40"/>
              <w:rPr>
                <w:del w:id="422" w:author="Master Repository Process" w:date="2025-07-02T12:31:00Z"/>
                <w:b/>
              </w:rPr>
            </w:pPr>
            <w:del w:id="423" w:author="Master Repository Process" w:date="2025-07-02T12:31:00Z">
              <w:r>
                <w:rPr>
                  <w:b/>
                </w:rPr>
                <w:delText>Citation</w:delText>
              </w:r>
            </w:del>
          </w:p>
        </w:tc>
        <w:tc>
          <w:tcPr>
            <w:tcW w:w="1276" w:type="dxa"/>
          </w:tcPr>
          <w:p>
            <w:pPr>
              <w:pStyle w:val="nTable"/>
              <w:spacing w:after="40"/>
              <w:rPr>
                <w:del w:id="424" w:author="Master Repository Process" w:date="2025-07-02T12:31:00Z"/>
                <w:b/>
              </w:rPr>
            </w:pPr>
            <w:del w:id="425" w:author="Master Repository Process" w:date="2025-07-02T12:31:00Z">
              <w:r>
                <w:rPr>
                  <w:b/>
                </w:rPr>
                <w:delText>Published</w:delText>
              </w:r>
            </w:del>
          </w:p>
        </w:tc>
        <w:tc>
          <w:tcPr>
            <w:tcW w:w="2693" w:type="dxa"/>
          </w:tcPr>
          <w:p>
            <w:pPr>
              <w:pStyle w:val="nTable"/>
              <w:spacing w:after="40"/>
              <w:rPr>
                <w:del w:id="426" w:author="Master Repository Process" w:date="2025-07-02T12:31:00Z"/>
                <w:b/>
              </w:rPr>
            </w:pPr>
            <w:del w:id="427" w:author="Master Repository Process" w:date="2025-07-02T12:31:00Z">
              <w:r>
                <w:rPr>
                  <w:b/>
                </w:rPr>
                <w:delText>Commencement</w:delText>
              </w:r>
            </w:del>
          </w:p>
        </w:tc>
      </w:tr>
      <w:tr>
        <w:tc>
          <w:tcPr>
            <w:tcW w:w="3119" w:type="dxa"/>
            <w:tcBorders>
              <w:top w:val="nil"/>
              <w:bottom w:val="single" w:sz="4" w:space="0" w:color="auto"/>
            </w:tcBorders>
            <w:shd w:val="clear" w:color="auto" w:fill="auto"/>
          </w:tcPr>
          <w:p>
            <w:pPr>
              <w:pStyle w:val="nTable"/>
              <w:keepNext/>
              <w:spacing w:after="40"/>
              <w:rPr>
                <w:i/>
              </w:rPr>
            </w:pPr>
            <w:r>
              <w:rPr>
                <w:i/>
              </w:rPr>
              <w:t>Magistrates Court (General) Amendment Rules 2024</w:t>
            </w:r>
            <w:del w:id="428" w:author="Master Repository Process" w:date="2025-07-02T12:31:00Z">
              <w:r>
                <w:rPr>
                  <w:i/>
                </w:rPr>
                <w:delText xml:space="preserve"> </w:delText>
              </w:r>
              <w:r>
                <w:rPr>
                  <w:iCs/>
                </w:rPr>
                <w:delText>r. 3 and 4</w:delText>
              </w:r>
            </w:del>
          </w:p>
        </w:tc>
        <w:tc>
          <w:tcPr>
            <w:tcW w:w="1276" w:type="dxa"/>
            <w:tcBorders>
              <w:top w:val="nil"/>
              <w:bottom w:val="single" w:sz="4" w:space="0" w:color="auto"/>
            </w:tcBorders>
            <w:shd w:val="clear" w:color="auto" w:fill="auto"/>
          </w:tcPr>
          <w:p>
            <w:pPr>
              <w:pStyle w:val="nTable"/>
              <w:keepNext/>
              <w:spacing w:after="40"/>
            </w:pPr>
            <w:r>
              <w:t>SL 2024/196 20 Sep 2024</w:t>
            </w:r>
          </w:p>
        </w:tc>
        <w:tc>
          <w:tcPr>
            <w:tcW w:w="2693" w:type="dxa"/>
            <w:tcBorders>
              <w:top w:val="nil"/>
              <w:bottom w:val="single" w:sz="4" w:space="0" w:color="auto"/>
            </w:tcBorders>
            <w:shd w:val="clear" w:color="auto" w:fill="auto"/>
          </w:tcPr>
          <w:p>
            <w:pPr>
              <w:pStyle w:val="nTable"/>
              <w:keepNext/>
              <w:spacing w:after="40"/>
            </w:pPr>
            <w:del w:id="429" w:author="Master Repository Process" w:date="2025-07-02T12:31:00Z">
              <w:r>
                <w:delText xml:space="preserve">Operative on commencement of the </w:delText>
              </w:r>
              <w:r>
                <w:rPr>
                  <w:i/>
                  <w:iCs/>
                </w:rPr>
                <w:delText>Road Traffic Legislation Amendment (Infringement Management Reform) Act 2024</w:delText>
              </w:r>
              <w:r>
                <w:delText xml:space="preserve"> s. 38 (see r. 2(b)(ii))</w:delText>
              </w:r>
            </w:del>
            <w:ins w:id="430" w:author="Master Repository Process" w:date="2025-07-02T12:31:00Z">
              <w:r>
                <w:t>r. 1 and 2: 20 Sep 2024 (see r. 2(a);</w:t>
              </w:r>
              <w:r>
                <w:br/>
                <w:t>Rules other than r. 1 and 2: 7 Oct 2024 (see r. 2(b)(ii) and SL 2024/200 cl. 2)</w:t>
              </w:r>
            </w:ins>
          </w:p>
        </w:tc>
      </w:tr>
    </w:tbl>
    <w:p>
      <w:pPr>
        <w:sectPr>
          <w:headerReference w:type="even" r:id="rId29"/>
          <w:headerReference w:type="default" r:id="rId30"/>
          <w:pgSz w:w="11907" w:h="16840" w:code="9"/>
          <w:pgMar w:top="2376" w:right="2404" w:bottom="3544" w:left="2404" w:header="720" w:footer="3544" w:gutter="0"/>
          <w:cols w:space="720"/>
          <w:noEndnote/>
          <w:docGrid w:linePitch="326"/>
        </w:sectPr>
      </w:pPr>
      <w:bookmarkStart w:id="432" w:name="_Toc177634258"/>
      <w:bookmarkStart w:id="433" w:name="_Toc177634640"/>
    </w:p>
    <w:bookmarkEnd w:id="432"/>
    <w:bookmarkEnd w:id="433"/>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5" w:name="Schedule"/>
    <w:bookmarkEnd w:id="3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1" w:name="Compilation"/>
    <w:bookmarkEnd w:id="4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4" w:name="Coversheet"/>
    <w:bookmarkEnd w:id="4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44003"/>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 w:name="WAFER_20221031131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31339_GUID" w:val="b5716285-55d0-4e9a-a491-6f3555a6e9f0"/>
    <w:docVar w:name="WAFER_2023091910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919101752_GUID" w:val="cc31289d-34c6-4a28-b657-b612859c18d3"/>
    <w:docVar w:name="WAFER_20231229094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936_GUID" w:val="4c05e4e1-70c1-428c-8247-d9d4f1ddd28c"/>
    <w:docVar w:name="WAFER_2024091910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2609_GUID" w:val="365af4f1-9e6a-4cb2-8a11-04fe1ea55cbb"/>
    <w:docVar w:name="WAFER_2024092714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4003_GUID" w:val="851faeec-4b47-43ce-b15b-faf7d77a47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80012">
      <w:bodyDiv w:val="1"/>
      <w:marLeft w:val="0"/>
      <w:marRight w:val="0"/>
      <w:marTop w:val="0"/>
      <w:marBottom w:val="0"/>
      <w:divBdr>
        <w:top w:val="none" w:sz="0" w:space="0" w:color="auto"/>
        <w:left w:val="none" w:sz="0" w:space="0" w:color="auto"/>
        <w:bottom w:val="none" w:sz="0" w:space="0" w:color="auto"/>
        <w:right w:val="none" w:sz="0" w:space="0" w:color="auto"/>
      </w:divBdr>
    </w:div>
    <w:div w:id="302543327">
      <w:bodyDiv w:val="1"/>
      <w:marLeft w:val="0"/>
      <w:marRight w:val="0"/>
      <w:marTop w:val="0"/>
      <w:marBottom w:val="0"/>
      <w:divBdr>
        <w:top w:val="none" w:sz="0" w:space="0" w:color="auto"/>
        <w:left w:val="none" w:sz="0" w:space="0" w:color="auto"/>
        <w:bottom w:val="none" w:sz="0" w:space="0" w:color="auto"/>
        <w:right w:val="none" w:sz="0" w:space="0" w:color="auto"/>
      </w:divBdr>
    </w:div>
    <w:div w:id="8917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43EEB-FDB6-4136-BC46-08020720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15788</Words>
  <Characters>75941</Characters>
  <Application>Microsoft Office Word</Application>
  <DocSecurity>0</DocSecurity>
  <Lines>3616</Lines>
  <Paragraphs>2479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03-q0-02 - 03-r0-00</dc:title>
  <dc:subject/>
  <dc:creator/>
  <cp:keywords/>
  <dc:description/>
  <cp:lastModifiedBy>Master Repository Process</cp:lastModifiedBy>
  <cp:revision>2</cp:revision>
  <cp:lastPrinted>2018-12-04T00:33:00Z</cp:lastPrinted>
  <dcterms:created xsi:type="dcterms:W3CDTF">2025-07-02T04:30:00Z</dcterms:created>
  <dcterms:modified xsi:type="dcterms:W3CDTF">2025-07-02T04:31:00Z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20241007</vt:lpwstr>
  </property>
  <property fmtid="{D5CDD505-2E9C-101B-9397-08002B2CF9AE}" pid="8" name="CommencementAsAt">
    <vt:filetime>2024-10-06T16:00:00Z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03-q0-02</vt:lpwstr>
  </property>
  <property fmtid="{D5CDD505-2E9C-101B-9397-08002B2CF9AE}" pid="12" name="FromAsAtDate">
    <vt:lpwstr>20 Sep 2024</vt:lpwstr>
  </property>
  <property fmtid="{D5CDD505-2E9C-101B-9397-08002B2CF9AE}" pid="13" name="ToSuffix">
    <vt:lpwstr>03-r0-00</vt:lpwstr>
  </property>
  <property fmtid="{D5CDD505-2E9C-101B-9397-08002B2CF9AE}" pid="14" name="ToAsAtDate">
    <vt:lpwstr>07 Oct 2024</vt:lpwstr>
  </property>
</Properties>
</file>