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Minimum Conditions of Employment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Jun 2022</w:t>
      </w:r>
      <w:r>
        <w:fldChar w:fldCharType="end"/>
      </w:r>
      <w:r>
        <w:t xml:space="preserve">, </w:t>
      </w:r>
      <w:r>
        <w:fldChar w:fldCharType="begin"/>
      </w:r>
      <w:r>
        <w:instrText xml:space="preserve"> DocProperty FromSuffix </w:instrText>
      </w:r>
      <w:r>
        <w:fldChar w:fldCharType="separate"/>
      </w:r>
      <w:r>
        <w:t>05-e0-00</w:t>
      </w:r>
      <w:r>
        <w:fldChar w:fldCharType="end"/>
      </w:r>
      <w:r>
        <w:t>] and [</w:t>
      </w:r>
      <w:r>
        <w:fldChar w:fldCharType="begin"/>
      </w:r>
      <w:r>
        <w:instrText xml:space="preserve"> DocProperty ToAsAtDate</w:instrText>
      </w:r>
      <w:r>
        <w:fldChar w:fldCharType="separate"/>
      </w:r>
      <w:r>
        <w:t>13 Nov 2024</w:t>
      </w:r>
      <w:r>
        <w:fldChar w:fldCharType="end"/>
      </w:r>
      <w:r>
        <w:t xml:space="preserve">, </w:t>
      </w:r>
      <w:r>
        <w:fldChar w:fldCharType="begin"/>
      </w:r>
      <w:r>
        <w:instrText xml:space="preserve"> DocProperty ToSuffix</w:instrText>
      </w:r>
      <w:r>
        <w:fldChar w:fldCharType="separate"/>
      </w:r>
      <w:r>
        <w:t>05-f0-00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NameofActReg"/>
        <w:spacing w:before="1080" w:after="1200"/>
      </w:pPr>
      <w:r>
        <w:lastRenderedPageBreak/>
        <w:t>Minimum Conditions of Employment Act 1993</w:t>
      </w:r>
    </w:p>
    <w:p>
      <w:pPr>
        <w:pStyle w:val="LongTitle"/>
        <w:rPr>
          <w:snapToGrid w:val="0"/>
        </w:rPr>
      </w:pPr>
      <w:r>
        <w:rPr>
          <w:snapToGrid w:val="0"/>
        </w:rPr>
        <w:t>An Act to provide for minimum conditions of employment for employees in Western Australia and for related purposes.</w:t>
      </w:r>
    </w:p>
    <w:p>
      <w:pPr>
        <w:pStyle w:val="Heading2"/>
      </w:pPr>
      <w:bookmarkStart w:id="1" w:name="_Toc182315057"/>
      <w:bookmarkStart w:id="2" w:name="_Toc182315302"/>
      <w:bookmarkStart w:id="3" w:name="_Toc182320702"/>
      <w:bookmarkStart w:id="4" w:name="_Toc106117821"/>
      <w:bookmarkStart w:id="5" w:name="_Toc106203987"/>
      <w:bookmarkStart w:id="6" w:name="_Toc10627638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200"/>
        <w:rPr>
          <w:snapToGrid w:val="0"/>
        </w:rPr>
      </w:pPr>
      <w:bookmarkStart w:id="7" w:name="_Toc182320703"/>
      <w:bookmarkStart w:id="8" w:name="_Toc106276390"/>
      <w:r>
        <w:rPr>
          <w:rStyle w:val="CharSectno"/>
        </w:rPr>
        <w:t>1</w:t>
      </w:r>
      <w:r>
        <w:rPr>
          <w:snapToGrid w:val="0"/>
        </w:rPr>
        <w:t>.</w:t>
      </w:r>
      <w:r>
        <w:rPr>
          <w:snapToGrid w:val="0"/>
        </w:rPr>
        <w:tab/>
        <w:t>Short title</w:t>
      </w:r>
      <w:bookmarkEnd w:id="7"/>
      <w:bookmarkEnd w:id="8"/>
    </w:p>
    <w:p>
      <w:pPr>
        <w:pStyle w:val="Subsection"/>
        <w:spacing w:before="140"/>
        <w:rPr>
          <w:snapToGrid w:val="0"/>
        </w:rPr>
      </w:pPr>
      <w:r>
        <w:rPr>
          <w:snapToGrid w:val="0"/>
        </w:rPr>
        <w:tab/>
      </w:r>
      <w:r>
        <w:rPr>
          <w:snapToGrid w:val="0"/>
        </w:rPr>
        <w:tab/>
        <w:t xml:space="preserve">This Act may be cited as the </w:t>
      </w:r>
      <w:r>
        <w:rPr>
          <w:i/>
          <w:snapToGrid w:val="0"/>
        </w:rPr>
        <w:t>Minimum Conditions of Employment Act 1993</w:t>
      </w:r>
      <w:r>
        <w:rPr>
          <w:snapToGrid w:val="0"/>
        </w:rPr>
        <w:t>.</w:t>
      </w:r>
    </w:p>
    <w:p>
      <w:pPr>
        <w:pStyle w:val="Heading5"/>
        <w:rPr>
          <w:snapToGrid w:val="0"/>
        </w:rPr>
      </w:pPr>
      <w:bookmarkStart w:id="9" w:name="_Toc182320704"/>
      <w:bookmarkStart w:id="10" w:name="_Toc106276391"/>
      <w:r>
        <w:rPr>
          <w:rStyle w:val="CharSectno"/>
        </w:rPr>
        <w:t>2</w:t>
      </w:r>
      <w:r>
        <w:rPr>
          <w:snapToGrid w:val="0"/>
        </w:rPr>
        <w:t>.</w:t>
      </w:r>
      <w:r>
        <w:rPr>
          <w:snapToGrid w:val="0"/>
        </w:rPr>
        <w:tab/>
        <w:t>Commencement</w:t>
      </w:r>
      <w:bookmarkEnd w:id="9"/>
      <w:bookmarkEnd w:id="10"/>
    </w:p>
    <w:p>
      <w:pPr>
        <w:pStyle w:val="Subsection"/>
        <w:spacing w:before="140"/>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vertAlign w:val="superscript"/>
        </w:rPr>
        <w:t> 1</w:t>
      </w:r>
      <w:r>
        <w:rPr>
          <w:snapToGrid w:val="0"/>
        </w:rPr>
        <w:t xml:space="preserve"> comes into operation.</w:t>
      </w:r>
    </w:p>
    <w:p>
      <w:pPr>
        <w:pStyle w:val="Heading5"/>
        <w:rPr>
          <w:snapToGrid w:val="0"/>
        </w:rPr>
      </w:pPr>
      <w:bookmarkStart w:id="11" w:name="_Toc182320705"/>
      <w:bookmarkStart w:id="12" w:name="_Toc106276392"/>
      <w:r>
        <w:rPr>
          <w:rStyle w:val="CharSectno"/>
        </w:rPr>
        <w:t>3</w:t>
      </w:r>
      <w:r>
        <w:rPr>
          <w:snapToGrid w:val="0"/>
        </w:rPr>
        <w:t>.</w:t>
      </w:r>
      <w:r>
        <w:rPr>
          <w:snapToGrid w:val="0"/>
        </w:rPr>
        <w:tab/>
        <w:t>Terms used</w:t>
      </w:r>
      <w:bookmarkEnd w:id="11"/>
      <w:bookmarkEnd w:id="12"/>
    </w:p>
    <w:p>
      <w:pPr>
        <w:pStyle w:val="Subsection"/>
        <w:spacing w:before="140"/>
        <w:rPr>
          <w:snapToGrid w:val="0"/>
        </w:rPr>
      </w:pPr>
      <w:r>
        <w:rPr>
          <w:snapToGrid w:val="0"/>
        </w:rPr>
        <w:tab/>
        <w:t>(1)</w:t>
      </w:r>
      <w:r>
        <w:rPr>
          <w:snapToGrid w:val="0"/>
        </w:rPr>
        <w:tab/>
        <w:t>In this Act, unless the contrary intention appears —</w:t>
      </w:r>
    </w:p>
    <w:p>
      <w:pPr>
        <w:pStyle w:val="Defstart"/>
        <w:spacing w:before="70"/>
      </w:pPr>
      <w:r>
        <w:rPr>
          <w:b/>
        </w:rPr>
        <w:tab/>
      </w:r>
      <w:r>
        <w:rPr>
          <w:rStyle w:val="CharDefText"/>
        </w:rPr>
        <w:t>annual leave</w:t>
      </w:r>
      <w:r>
        <w:t xml:space="preserve"> means leave provided for under Division 3 of Part 4;</w:t>
      </w:r>
    </w:p>
    <w:p>
      <w:pPr>
        <w:pStyle w:val="Defstart"/>
        <w:spacing w:before="70"/>
      </w:pPr>
      <w:r>
        <w:tab/>
      </w:r>
      <w:r>
        <w:rPr>
          <w:rStyle w:val="CharDefText"/>
        </w:rPr>
        <w:t>apprentice</w:t>
      </w:r>
      <w:r>
        <w:t xml:space="preserve"> has the same meaning as in the IR Act;</w:t>
      </w:r>
    </w:p>
    <w:p>
      <w:pPr>
        <w:pStyle w:val="Defstart"/>
        <w:spacing w:before="70"/>
      </w:pPr>
      <w:r>
        <w:rPr>
          <w:b/>
        </w:rPr>
        <w:tab/>
      </w:r>
      <w:r>
        <w:rPr>
          <w:rStyle w:val="CharDefText"/>
        </w:rPr>
        <w:t>award</w:t>
      </w:r>
      <w:r>
        <w:t xml:space="preserve"> means an award made under the IR Act and includes any industrial agreement or order of the Commission under that Act;</w:t>
      </w:r>
    </w:p>
    <w:p>
      <w:pPr>
        <w:pStyle w:val="Defstart"/>
        <w:spacing w:before="70"/>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tab/>
      </w:r>
      <w:r>
        <w:rPr>
          <w:rStyle w:val="CharDefText"/>
        </w:rPr>
        <w:t>employee</w:t>
      </w:r>
      <w:r>
        <w:t xml:space="preserve"> means — </w:t>
      </w:r>
    </w:p>
    <w:p>
      <w:pPr>
        <w:pStyle w:val="Defpara"/>
      </w:pPr>
      <w:r>
        <w:tab/>
        <w:t>(a)</w:t>
      </w:r>
      <w:r>
        <w:tab/>
        <w:t>a person who is employed by an employer to do work for hire or reward, including as an apprentice; or</w:t>
      </w:r>
    </w:p>
    <w:p>
      <w:pPr>
        <w:pStyle w:val="Defpara"/>
      </w:pPr>
      <w:r>
        <w:tab/>
        <w:t>(b)</w:t>
      </w:r>
      <w:r>
        <w:tab/>
        <w:t>a person whose usual status is that of an employee;</w:t>
      </w:r>
    </w:p>
    <w:p>
      <w:pPr>
        <w:pStyle w:val="Defstart"/>
        <w:spacing w:before="70"/>
      </w:pPr>
      <w:r>
        <w:rPr>
          <w:b/>
        </w:rPr>
        <w:tab/>
      </w:r>
      <w:r>
        <w:rPr>
          <w:rStyle w:val="CharDefText"/>
        </w:rPr>
        <w:t>employer</w:t>
      </w:r>
      <w:r>
        <w:t xml:space="preserve"> has the same meaning as in the IR Act;</w:t>
      </w:r>
    </w:p>
    <w:p>
      <w:pPr>
        <w:pStyle w:val="Defstart"/>
        <w:spacing w:before="70"/>
      </w:pPr>
      <w:r>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tab/>
      </w:r>
      <w:r>
        <w:rPr>
          <w:rStyle w:val="CharDefText"/>
        </w:rPr>
        <w:t>industrial instrument</w:t>
      </w:r>
      <w:r>
        <w:t xml:space="preserve"> means an award or employer</w:t>
      </w:r>
      <w:r>
        <w:noBreakHyphen/>
        <w:t>employee agreement;</w:t>
      </w:r>
    </w:p>
    <w:p>
      <w:pPr>
        <w:pStyle w:val="Defstart"/>
      </w:pPr>
      <w:r>
        <w:tab/>
      </w:r>
      <w:r>
        <w:rPr>
          <w:rStyle w:val="CharDefText"/>
        </w:rPr>
        <w:t>IR Act</w:t>
      </w:r>
      <w:r>
        <w:t xml:space="preserve"> means the </w:t>
      </w:r>
      <w:r>
        <w:rPr>
          <w:i/>
        </w:rPr>
        <w:t>Industrial Relations Act 1979</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member of the employee’s family or household</w:t>
      </w:r>
      <w:r>
        <w:t xml:space="preserve"> means any of the following persons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w:t>
      </w:r>
    </w:p>
    <w:p>
      <w:pPr>
        <w:pStyle w:val="Defpara"/>
      </w:pPr>
      <w:r>
        <w:tab/>
        <w:t>(aa)</w:t>
      </w:r>
      <w:r>
        <w:tab/>
        <w:t>the requirement as to maximum hours of work prescribed by Part 2A; or</w:t>
      </w:r>
    </w:p>
    <w:p>
      <w:pPr>
        <w:pStyle w:val="Defpara"/>
      </w:pPr>
      <w:r>
        <w:tab/>
        <w:t>(a)</w:t>
      </w:r>
      <w:r>
        <w:tab/>
        <w:t>a rate of pay prescribed by this Act; or</w:t>
      </w:r>
    </w:p>
    <w:p>
      <w:pPr>
        <w:pStyle w:val="Defpara"/>
      </w:pPr>
      <w:r>
        <w:tab/>
        <w:t>(b)</w:t>
      </w:r>
      <w:r>
        <w:tab/>
        <w:t>a requirement as to pay, other than a rate of pay, prescribed by this Act; or</w:t>
      </w:r>
    </w:p>
    <w:p>
      <w:pPr>
        <w:pStyle w:val="Defpara"/>
      </w:pPr>
      <w:r>
        <w:tab/>
        <w:t>(c)</w:t>
      </w:r>
      <w:r>
        <w:tab/>
        <w:t>a condition for leave prescribed by this Act; or</w:t>
      </w:r>
    </w:p>
    <w:p>
      <w:pPr>
        <w:pStyle w:val="Defpara"/>
      </w:pPr>
      <w:r>
        <w:tab/>
        <w:t>(d)</w:t>
      </w:r>
      <w:r>
        <w:tab/>
        <w:t>the use, in manner prescribed by this Act, of a condition for leave prescribed by this Act; or</w:t>
      </w:r>
    </w:p>
    <w:p>
      <w:pPr>
        <w:pStyle w:val="Defpara"/>
      </w:pPr>
      <w:r>
        <w:tab/>
        <w:t>(e)</w:t>
      </w:r>
      <w:r>
        <w:tab/>
        <w:t>a condition prescribed by Part 5; or</w:t>
      </w:r>
    </w:p>
    <w:p>
      <w:pPr>
        <w:pStyle w:val="Defpara"/>
      </w:pPr>
      <w:r>
        <w:tab/>
        <w:t>(f)</w:t>
      </w:r>
      <w:r>
        <w:tab/>
        <w:t>the requirement as to confidentiality prescribed by section 39E(1);</w:t>
      </w:r>
    </w:p>
    <w:p>
      <w:pPr>
        <w:pStyle w:val="Defstart"/>
      </w:pPr>
      <w:r>
        <w:rPr>
          <w:b/>
        </w:rPr>
        <w:tab/>
      </w:r>
      <w:r>
        <w:rPr>
          <w:rStyle w:val="CharDefText"/>
        </w:rPr>
        <w:t>public holiday</w:t>
      </w:r>
      <w:r>
        <w:t>, in respect of an area in the State, means a day mentioned in Schedule 1 that is a public holiday in that area.</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(3)</w:t>
      </w:r>
      <w:r>
        <w:rPr>
          <w:snapToGrid w:val="0"/>
        </w:rPr>
        <w:tab/>
        <w:t xml:space="preserve">For the purposes of subsection (2), the employee was </w:t>
      </w:r>
      <w:r>
        <w:rPr>
          <w:rStyle w:val="CharDefText"/>
        </w:rPr>
        <w:t>on call</w:t>
      </w:r>
      <w:r>
        <w:rPr>
          <w:snapToGrid w:val="0"/>
        </w:rPr>
        <w:t xml:space="preserve"> in a period if, in that period the employee was required —</w:t>
      </w:r>
    </w:p>
    <w:p>
      <w:pPr>
        <w:pStyle w:val="Indenta"/>
        <w:rPr>
          <w:snapToGrid w:val="0"/>
        </w:rPr>
      </w:pPr>
      <w:r>
        <w:rPr>
          <w:snapToGrid w:val="0"/>
        </w:rPr>
        <w:tab/>
        <w:t>(a)</w:t>
      </w:r>
      <w:r>
        <w:rPr>
          <w:snapToGrid w:val="0"/>
        </w:rPr>
        <w:tab/>
        <w:t xml:space="preserve">to remain at </w:t>
      </w:r>
      <w:r>
        <w:t>the employee’s</w:t>
      </w:r>
      <w:r>
        <w:rPr>
          <w:snapToGrid w:val="0"/>
        </w:rPr>
        <w:t xml:space="preserve"> place of employment; or</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No. 79 of 1995 s. 66(5); No. 58 of 1996 s. 4; No. 20 of 2002 s. 22(2), 164 and 177; No. 28 of 2003 s. 144; Gazette 15 Aug 2003 p. 3688; No. 36 of 2006 s. 4 and 28; No. 22 of 2008 Sch. 3 cl. 36; No. 44 of 2008 s. 56(2)</w:t>
      </w:r>
      <w:r>
        <w:noBreakHyphen/>
        <w:t>(3); No. 35 of 2010 s. 116; No. 30 of 2021 s. 100 and 121(1).]</w:t>
      </w:r>
    </w:p>
    <w:p>
      <w:pPr>
        <w:pStyle w:val="Heading5"/>
        <w:rPr>
          <w:snapToGrid w:val="0"/>
        </w:rPr>
      </w:pPr>
      <w:bookmarkStart w:id="13" w:name="_Toc182320706"/>
      <w:bookmarkStart w:id="14" w:name="_Toc106276393"/>
      <w:r>
        <w:rPr>
          <w:rStyle w:val="CharSectno"/>
        </w:rPr>
        <w:t>4</w:t>
      </w:r>
      <w:r>
        <w:rPr>
          <w:snapToGrid w:val="0"/>
        </w:rPr>
        <w:t>.</w:t>
      </w:r>
      <w:r>
        <w:rPr>
          <w:snapToGrid w:val="0"/>
        </w:rPr>
        <w:tab/>
        <w:t>Application to Crown</w:t>
      </w:r>
      <w:bookmarkEnd w:id="13"/>
      <w:bookmarkEnd w:id="14"/>
    </w:p>
    <w:p>
      <w:pPr>
        <w:pStyle w:val="Subsection"/>
        <w:rPr>
          <w:snapToGrid w:val="0"/>
        </w:rPr>
      </w:pPr>
      <w:r>
        <w:rPr>
          <w:snapToGrid w:val="0"/>
        </w:rPr>
        <w:tab/>
      </w:r>
      <w:r>
        <w:rPr>
          <w:snapToGrid w:val="0"/>
        </w:rPr>
        <w:tab/>
        <w:t>This Act binds the Crown.</w:t>
      </w:r>
    </w:p>
    <w:p>
      <w:pPr>
        <w:pStyle w:val="Heading2"/>
      </w:pPr>
      <w:bookmarkStart w:id="15" w:name="_Toc182315062"/>
      <w:bookmarkStart w:id="16" w:name="_Toc182315307"/>
      <w:bookmarkStart w:id="17" w:name="_Toc182320707"/>
      <w:bookmarkStart w:id="18" w:name="_Toc106117826"/>
      <w:bookmarkStart w:id="19" w:name="_Toc106203992"/>
      <w:bookmarkStart w:id="20" w:name="_Toc106276394"/>
      <w:r>
        <w:rPr>
          <w:rStyle w:val="CharPartNo"/>
        </w:rPr>
        <w:t>Part 2</w:t>
      </w:r>
      <w:r>
        <w:rPr>
          <w:rStyle w:val="CharDivNo"/>
        </w:rPr>
        <w:t> </w:t>
      </w:r>
      <w:r>
        <w:t>—</w:t>
      </w:r>
      <w:r>
        <w:rPr>
          <w:rStyle w:val="CharDivText"/>
        </w:rPr>
        <w:t> </w:t>
      </w:r>
      <w:r>
        <w:rPr>
          <w:rStyle w:val="CharPartText"/>
        </w:rPr>
        <w:t>Application of minimum conditions</w:t>
      </w:r>
      <w:bookmarkEnd w:id="15"/>
      <w:bookmarkEnd w:id="16"/>
      <w:bookmarkEnd w:id="17"/>
      <w:bookmarkEnd w:id="18"/>
      <w:bookmarkEnd w:id="19"/>
      <w:bookmarkEnd w:id="20"/>
    </w:p>
    <w:p>
      <w:pPr>
        <w:pStyle w:val="Heading5"/>
        <w:rPr>
          <w:snapToGrid w:val="0"/>
        </w:rPr>
      </w:pPr>
      <w:bookmarkStart w:id="21" w:name="_Toc182320708"/>
      <w:bookmarkStart w:id="22" w:name="_Toc106276395"/>
      <w:r>
        <w:rPr>
          <w:rStyle w:val="CharSectno"/>
        </w:rPr>
        <w:t>5</w:t>
      </w:r>
      <w:r>
        <w:rPr>
          <w:snapToGrid w:val="0"/>
        </w:rPr>
        <w:t>.</w:t>
      </w:r>
      <w:r>
        <w:rPr>
          <w:snapToGrid w:val="0"/>
        </w:rPr>
        <w:tab/>
        <w:t>Minimum conditions implied in awards etc.</w:t>
      </w:r>
      <w:bookmarkEnd w:id="21"/>
      <w:bookmarkEnd w:id="22"/>
    </w:p>
    <w:p>
      <w:pPr>
        <w:pStyle w:val="Subsection"/>
        <w:rPr>
          <w:snapToGrid w:val="0"/>
        </w:rPr>
      </w:pPr>
      <w:r>
        <w:rPr>
          <w:snapToGrid w:val="0"/>
        </w:rPr>
        <w:tab/>
        <w:t>(1)</w:t>
      </w:r>
      <w:r>
        <w:rPr>
          <w:snapToGrid w:val="0"/>
        </w:rPr>
        <w:tab/>
        <w:t>The minimum conditions of employment extend to and bind all employees and employers and are taken to be implied —</w:t>
      </w:r>
    </w:p>
    <w:p>
      <w:pPr>
        <w:pStyle w:val="Indenta"/>
      </w:pPr>
      <w:r>
        <w:tab/>
        <w:t>(a)</w:t>
      </w:r>
      <w:r>
        <w:tab/>
        <w:t>in an industrial instrument; or</w:t>
      </w:r>
    </w:p>
    <w:p>
      <w:pPr>
        <w:pStyle w:val="Indenta"/>
      </w:pPr>
      <w:r>
        <w:tab/>
        <w:t>(b)</w:t>
      </w:r>
      <w:r>
        <w:tab/>
        <w:t>if a contract of employment is not governed by an industrial instrument — in that contract.</w:t>
      </w:r>
    </w:p>
    <w:p>
      <w:pPr>
        <w:pStyle w:val="Subsection"/>
        <w:rPr>
          <w:snapToGrid w:val="0"/>
        </w:rPr>
      </w:pPr>
      <w:r>
        <w:rPr>
          <w:snapToGrid w:val="0"/>
        </w:rPr>
        <w:tab/>
        <w:t>(2)</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(3)</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(4)</w:t>
      </w:r>
      <w:r>
        <w:rPr>
          <w:snapToGrid w:val="0"/>
        </w:rPr>
        <w:tab/>
        <w:t>A purported waiver of a right under this Act has no effect.</w:t>
      </w:r>
    </w:p>
    <w:p>
      <w:pPr>
        <w:pStyle w:val="Subsection"/>
        <w:rPr>
          <w:snapToGrid w:val="0"/>
        </w:rPr>
      </w:pPr>
      <w:r>
        <w:rPr>
          <w:snapToGrid w:val="0"/>
        </w:rPr>
        <w:tab/>
        <w:t>(5)</w:t>
      </w:r>
      <w:r>
        <w:rPr>
          <w:snapToGrid w:val="0"/>
        </w:rPr>
        <w:tab/>
        <w:t xml:space="preserve">This section has effect subject to </w:t>
      </w:r>
      <w:r>
        <w:t>section 8.</w:t>
      </w:r>
    </w:p>
    <w:p>
      <w:pPr>
        <w:pStyle w:val="Footnotesection"/>
      </w:pPr>
      <w:r>
        <w:tab/>
        <w:t>[Section 5 amended: No. 20 of 2002 s. 22(3)</w:t>
      </w:r>
      <w:r>
        <w:noBreakHyphen/>
        <w:t>(4); Gazette 15 Aug 2003 p. 3688; No. 30 of 2021 s. 101.]</w:t>
      </w:r>
    </w:p>
    <w:p>
      <w:pPr>
        <w:pStyle w:val="Heading5"/>
        <w:rPr>
          <w:snapToGrid w:val="0"/>
        </w:rPr>
      </w:pPr>
      <w:bookmarkStart w:id="23" w:name="_Toc182320709"/>
      <w:bookmarkStart w:id="24" w:name="_Toc106276396"/>
      <w:r>
        <w:rPr>
          <w:rStyle w:val="CharSectno"/>
        </w:rPr>
        <w:t>6</w:t>
      </w:r>
      <w:r>
        <w:rPr>
          <w:snapToGrid w:val="0"/>
        </w:rPr>
        <w:t>.</w:t>
      </w:r>
      <w:r>
        <w:rPr>
          <w:snapToGrid w:val="0"/>
        </w:rPr>
        <w:tab/>
        <w:t>Application offshore</w:t>
      </w:r>
      <w:bookmarkEnd w:id="23"/>
      <w:bookmarkEnd w:id="24"/>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(2)</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No. 20 of 2002 s. 177.]</w:t>
      </w:r>
    </w:p>
    <w:p>
      <w:pPr>
        <w:pStyle w:val="Heading5"/>
        <w:rPr>
          <w:snapToGrid w:val="0"/>
        </w:rPr>
      </w:pPr>
      <w:bookmarkStart w:id="25" w:name="_Toc182320710"/>
      <w:bookmarkStart w:id="26" w:name="_Toc90558413"/>
      <w:bookmarkStart w:id="27" w:name="_Toc95209494"/>
      <w:bookmarkStart w:id="28" w:name="_Toc106276397"/>
      <w:r>
        <w:rPr>
          <w:rStyle w:val="CharSectno"/>
        </w:rPr>
        <w:t>7</w:t>
      </w:r>
      <w:r>
        <w:rPr>
          <w:snapToGrid w:val="0"/>
        </w:rPr>
        <w:t>.</w:t>
      </w:r>
      <w:r>
        <w:rPr>
          <w:snapToGrid w:val="0"/>
        </w:rPr>
        <w:tab/>
        <w:t>Enforcement of minimum conditions</w:t>
      </w:r>
      <w:bookmarkEnd w:id="25"/>
      <w:bookmarkEnd w:id="26"/>
      <w:bookmarkEnd w:id="27"/>
      <w:bookmarkEnd w:id="28"/>
    </w:p>
    <w:p>
      <w:pPr>
        <w:pStyle w:val="Subsection"/>
        <w:rPr>
          <w:snapToGrid w:val="0"/>
        </w:rPr>
      </w:pPr>
      <w:r>
        <w:rPr>
          <w:snapToGrid w:val="0"/>
        </w:rPr>
        <w:tab/>
      </w:r>
      <w:r>
        <w:rPr>
          <w:snapToGrid w:val="0"/>
        </w:rPr>
        <w:tab/>
        <w:t xml:space="preserve">A minimum condition of employment may be enforced </w:t>
      </w:r>
      <w:r>
        <w:t>under the IR Act section 83 </w:t>
      </w:r>
      <w:r>
        <w:rPr>
          <w:snapToGrid w:val="0"/>
        </w:rPr>
        <w:t>—</w:t>
      </w:r>
    </w:p>
    <w:p>
      <w:pPr>
        <w:pStyle w:val="Indenta"/>
      </w:pPr>
      <w:r>
        <w:tab/>
        <w:t>(a)</w:t>
      </w:r>
      <w:r>
        <w:tab/>
        <w:t>as an entitlement provision; or</w:t>
      </w:r>
    </w:p>
    <w:p>
      <w:pPr>
        <w:pStyle w:val="Indenta"/>
      </w:pPr>
      <w:r>
        <w:tab/>
        <w:t>(b)</w:t>
      </w:r>
      <w:r>
        <w:tab/>
        <w:t>if the condition is implied in an industrial instrument — as a provision of the instrument.</w:t>
      </w:r>
    </w:p>
    <w:p>
      <w:pPr>
        <w:pStyle w:val="Footnotesection"/>
      </w:pPr>
      <w:r>
        <w:tab/>
        <w:t>[Section 7 amended: No. 30 of 2021 s. 102.]</w:t>
      </w:r>
    </w:p>
    <w:p>
      <w:pPr>
        <w:pStyle w:val="Heading5"/>
        <w:rPr>
          <w:snapToGrid w:val="0"/>
        </w:rPr>
      </w:pPr>
      <w:bookmarkStart w:id="29" w:name="_Toc182320711"/>
      <w:bookmarkStart w:id="30" w:name="_Toc106276398"/>
      <w:r>
        <w:rPr>
          <w:rStyle w:val="CharSectno"/>
        </w:rPr>
        <w:t>8</w:t>
      </w:r>
      <w:r>
        <w:rPr>
          <w:snapToGrid w:val="0"/>
        </w:rPr>
        <w:t>.</w:t>
      </w:r>
      <w:r>
        <w:rPr>
          <w:snapToGrid w:val="0"/>
        </w:rPr>
        <w:tab/>
      </w:r>
      <w:r>
        <w:t>Cashing out of accrued annual leave</w:t>
      </w:r>
      <w:bookmarkEnd w:id="29"/>
      <w:bookmarkEnd w:id="30"/>
    </w:p>
    <w:p>
      <w:pPr>
        <w:pStyle w:val="Subsection"/>
      </w:pPr>
      <w:r>
        <w:tab/>
        <w:t>(1)</w:t>
      </w:r>
      <w:r>
        <w:tab/>
        <w:t>After the completion of any year of service by an employee, the employer and employee may agree that the employee may forgo taking annual leave to which the employee became entitled in relation to that year of service if —</w:t>
      </w:r>
    </w:p>
    <w:p>
      <w:pPr>
        <w:pStyle w:val="Indenta"/>
      </w:pPr>
      <w:r>
        <w:tab/>
        <w:t>(a)</w:t>
      </w:r>
      <w:r>
        <w:tab/>
        <w:t>the amount of annual leave forgone does not exceed 50% of the whole amount of annual leave to which the employee became entitled in relation to that year of service; and</w:t>
      </w:r>
    </w:p>
    <w:p>
      <w:pPr>
        <w:pStyle w:val="Indenta"/>
      </w:pPr>
      <w:r>
        <w:tab/>
        <w:t>(b)</w:t>
      </w:r>
      <w:r>
        <w:tab/>
        <w:t>the employee is given an equivalent benefit in lieu of the amount of annual leave forgone; and</w:t>
      </w:r>
    </w:p>
    <w:p>
      <w:pPr>
        <w:pStyle w:val="Indenta"/>
      </w:pPr>
      <w:r>
        <w:tab/>
        <w:t>(c)</w:t>
      </w:r>
      <w:r>
        <w:tab/>
        <w:t>the agreement is in writing, signed by the employer and the employee.</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The employer must not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No. 20 of 2002 s. 165(1) and (2); No. 36 of 2006 s. 29; No. 30 of 2021 s. 103.]</w:t>
      </w:r>
    </w:p>
    <w:p>
      <w:pPr>
        <w:pStyle w:val="Ednotesection"/>
        <w:rPr>
          <w:i w:val="0"/>
        </w:rPr>
      </w:pPr>
      <w:r>
        <w:t>[</w:t>
      </w:r>
      <w:r>
        <w:rPr>
          <w:b/>
        </w:rPr>
        <w:t>9.</w:t>
      </w:r>
      <w:r>
        <w:tab/>
        <w:t>Deleted: No. 30 of 2021 s. 104.]</w:t>
      </w:r>
    </w:p>
    <w:p>
      <w:pPr>
        <w:pStyle w:val="Heading2"/>
      </w:pPr>
      <w:bookmarkStart w:id="31" w:name="_Toc182315067"/>
      <w:bookmarkStart w:id="32" w:name="_Toc182315312"/>
      <w:bookmarkStart w:id="33" w:name="_Toc182320712"/>
      <w:bookmarkStart w:id="34" w:name="_Toc106117832"/>
      <w:bookmarkStart w:id="35" w:name="_Toc106203997"/>
      <w:bookmarkStart w:id="36" w:name="_Toc106276399"/>
      <w:r>
        <w:rPr>
          <w:rStyle w:val="CharPartNo"/>
        </w:rPr>
        <w:t>Part 2A</w:t>
      </w:r>
      <w:r>
        <w:rPr>
          <w:b w:val="0"/>
        </w:rPr>
        <w:t> </w:t>
      </w:r>
      <w:r>
        <w:t xml:space="preserve">— </w:t>
      </w:r>
      <w:r>
        <w:rPr>
          <w:rStyle w:val="CharPartText"/>
        </w:rPr>
        <w:t>Reasonable hours of work</w:t>
      </w:r>
      <w:bookmarkEnd w:id="31"/>
      <w:bookmarkEnd w:id="32"/>
      <w:bookmarkEnd w:id="33"/>
      <w:bookmarkEnd w:id="34"/>
      <w:bookmarkEnd w:id="35"/>
      <w:bookmarkEnd w:id="36"/>
    </w:p>
    <w:p>
      <w:pPr>
        <w:pStyle w:val="Footnoteheading"/>
      </w:pPr>
      <w:r>
        <w:tab/>
        <w:t>[Heading inserted: No. 36 of 2006 s. 5.]</w:t>
      </w:r>
    </w:p>
    <w:p>
      <w:pPr>
        <w:pStyle w:val="Heading5"/>
      </w:pPr>
      <w:bookmarkStart w:id="37" w:name="_Toc182320713"/>
      <w:bookmarkStart w:id="38" w:name="_Toc106276400"/>
      <w:r>
        <w:rPr>
          <w:rStyle w:val="CharSectno"/>
        </w:rPr>
        <w:t>9A</w:t>
      </w:r>
      <w:r>
        <w:t>.</w:t>
      </w:r>
      <w:r>
        <w:tab/>
        <w:t>Maximum hours of work</w:t>
      </w:r>
      <w:bookmarkEnd w:id="37"/>
      <w:bookmarkEnd w:id="38"/>
    </w:p>
    <w:p>
      <w:pPr>
        <w:pStyle w:val="Subsection"/>
      </w:pPr>
      <w:r>
        <w:tab/>
        <w:t>(1)</w:t>
      </w:r>
      <w:r>
        <w:tab/>
        <w:t>An employee is not to be required or requested by an employer to work more than —</w:t>
      </w:r>
    </w:p>
    <w:p>
      <w:pPr>
        <w:pStyle w:val="Indenta"/>
      </w:pPr>
      <w:r>
        <w:tab/>
        <w:t>(a)</w:t>
      </w:r>
      <w:r>
        <w:tab/>
        <w:t>either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In this section —</w:t>
      </w:r>
    </w:p>
    <w:p>
      <w:pPr>
        <w:pStyle w:val="Defstart"/>
      </w:pPr>
      <w:r>
        <w:rPr>
          <w:b/>
        </w:rPr>
        <w:tab/>
      </w:r>
      <w:r>
        <w:rPr>
          <w:rStyle w:val="CharDefText"/>
        </w:rPr>
        <w:t>authorised leave</w:t>
      </w:r>
      <w:r>
        <w:t xml:space="preserve"> means leave, or an absence, whether paid or unpaid, that is authorised —</w:t>
      </w:r>
    </w:p>
    <w:p>
      <w:pPr>
        <w:pStyle w:val="Defpara"/>
      </w:pPr>
      <w:r>
        <w:tab/>
        <w:t>(a)</w:t>
      </w:r>
      <w:r>
        <w:tab/>
        <w:t>by an employee’s employer; or</w:t>
      </w:r>
    </w:p>
    <w:p>
      <w:pPr>
        <w:pStyle w:val="Defpara"/>
      </w:pPr>
      <w:r>
        <w:tab/>
        <w:t>(b)</w:t>
      </w:r>
      <w:r>
        <w:tab/>
        <w:t>by or under a term or condition of an employee’s employment; or</w:t>
      </w:r>
    </w:p>
    <w:p>
      <w:pPr>
        <w:pStyle w:val="Defpara"/>
        <w:keepNext/>
      </w:pPr>
      <w:r>
        <w:tab/>
        <w:t>(c)</w:t>
      </w:r>
      <w:r>
        <w:tab/>
        <w:t>by or under a law, or an instrument in force under a law, of the State or the Commonwealth.</w:t>
      </w:r>
    </w:p>
    <w:p>
      <w:pPr>
        <w:pStyle w:val="Footnotesection"/>
      </w:pPr>
      <w:r>
        <w:tab/>
        <w:t>[Section 9A inserted: No. 36 of 2006 s. 5; amended: No. 30 of 2021 s. 105.]</w:t>
      </w:r>
    </w:p>
    <w:p>
      <w:pPr>
        <w:pStyle w:val="Heading5"/>
      </w:pPr>
      <w:bookmarkStart w:id="39" w:name="_Toc182320714"/>
      <w:bookmarkStart w:id="40" w:name="_Toc106276401"/>
      <w:r>
        <w:rPr>
          <w:rStyle w:val="CharSectno"/>
        </w:rPr>
        <w:t>9B</w:t>
      </w:r>
      <w:r>
        <w:t>.</w:t>
      </w:r>
      <w:r>
        <w:tab/>
        <w:t>Reasonable additional hours</w:t>
      </w:r>
      <w:bookmarkEnd w:id="39"/>
      <w:bookmarkEnd w:id="40"/>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The factors that may be taken into account include, but are not limited to, the following —</w:t>
      </w:r>
    </w:p>
    <w:p>
      <w:pPr>
        <w:pStyle w:val="Indenta"/>
      </w:pPr>
      <w:r>
        <w:tab/>
        <w:t>(a)</w:t>
      </w:r>
      <w:r>
        <w:tab/>
        <w:t>any risk to the employee’s safety and health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No. 36 of 2006 s. 5; amended: No. 30 of 2021 s. 106.]</w:t>
      </w:r>
    </w:p>
    <w:p>
      <w:pPr>
        <w:pStyle w:val="Heading2"/>
      </w:pPr>
      <w:bookmarkStart w:id="41" w:name="_Toc182315070"/>
      <w:bookmarkStart w:id="42" w:name="_Toc182315315"/>
      <w:bookmarkStart w:id="43" w:name="_Toc182320715"/>
      <w:bookmarkStart w:id="44" w:name="_Toc106117835"/>
      <w:bookmarkStart w:id="45" w:name="_Toc106204000"/>
      <w:bookmarkStart w:id="46" w:name="_Toc106276402"/>
      <w:r>
        <w:rPr>
          <w:rStyle w:val="CharPartNo"/>
        </w:rPr>
        <w:t>Part 3</w:t>
      </w:r>
      <w:r>
        <w:t> — </w:t>
      </w:r>
      <w:r>
        <w:rPr>
          <w:rStyle w:val="CharPartText"/>
        </w:rPr>
        <w:t>Minimum rates of pay</w:t>
      </w:r>
      <w:bookmarkEnd w:id="41"/>
      <w:bookmarkEnd w:id="42"/>
      <w:bookmarkEnd w:id="43"/>
      <w:bookmarkEnd w:id="44"/>
      <w:bookmarkEnd w:id="45"/>
      <w:bookmarkEnd w:id="46"/>
    </w:p>
    <w:p>
      <w:pPr>
        <w:pStyle w:val="Footnoteheading"/>
        <w:tabs>
          <w:tab w:val="left" w:pos="851"/>
        </w:tabs>
      </w:pPr>
      <w:r>
        <w:tab/>
        <w:t>[Heading inserted: No. 20 of 2002 s. 167.]</w:t>
      </w:r>
    </w:p>
    <w:p>
      <w:pPr>
        <w:pStyle w:val="Heading3"/>
      </w:pPr>
      <w:bookmarkStart w:id="47" w:name="_Toc182315071"/>
      <w:bookmarkStart w:id="48" w:name="_Toc182315316"/>
      <w:bookmarkStart w:id="49" w:name="_Toc182320716"/>
      <w:bookmarkStart w:id="50" w:name="_Toc84926246"/>
      <w:bookmarkStart w:id="51" w:name="_Toc84927662"/>
      <w:bookmarkStart w:id="52" w:name="_Toc84935642"/>
      <w:bookmarkStart w:id="53" w:name="_Toc85533439"/>
      <w:bookmarkStart w:id="54" w:name="_Toc85544055"/>
      <w:bookmarkStart w:id="55" w:name="_Toc90551848"/>
      <w:bookmarkStart w:id="56" w:name="_Toc90553816"/>
      <w:bookmarkStart w:id="57" w:name="_Toc90558419"/>
      <w:bookmarkStart w:id="58" w:name="_Toc91144661"/>
      <w:bookmarkStart w:id="59" w:name="_Toc95209500"/>
      <w:bookmarkStart w:id="60" w:name="_Toc106204001"/>
      <w:bookmarkStart w:id="61" w:name="_Toc106276403"/>
      <w:r>
        <w:rPr>
          <w:rStyle w:val="CharDivNo"/>
        </w:rPr>
        <w:t>Division 1</w:t>
      </w:r>
      <w:r>
        <w:t> — </w:t>
      </w:r>
      <w:r>
        <w:rPr>
          <w:rStyle w:val="CharDivText"/>
        </w:rPr>
        <w:t>General</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Footnoteheading"/>
        <w:tabs>
          <w:tab w:val="left" w:pos="851"/>
        </w:tabs>
      </w:pPr>
      <w:r>
        <w:tab/>
        <w:t>[Heading inserted: No. 30 of 2021 s. 107.]</w:t>
      </w:r>
    </w:p>
    <w:p>
      <w:pPr>
        <w:pStyle w:val="Heading5"/>
      </w:pPr>
      <w:bookmarkStart w:id="62" w:name="_Toc182320717"/>
      <w:bookmarkStart w:id="63" w:name="_Toc106276404"/>
      <w:r>
        <w:rPr>
          <w:rStyle w:val="CharSectno"/>
        </w:rPr>
        <w:t>10</w:t>
      </w:r>
      <w:r>
        <w:t>.</w:t>
      </w:r>
      <w:r>
        <w:tab/>
        <w:t>Entitlement of employees to be paid minimum rate of pay</w:t>
      </w:r>
      <w:bookmarkEnd w:id="62"/>
      <w:bookmarkEnd w:id="63"/>
    </w:p>
    <w:p>
      <w:pPr>
        <w:pStyle w:val="Subsection"/>
      </w:pPr>
      <w:r>
        <w:tab/>
        <w:t>(1)</w:t>
      </w:r>
      <w:r>
        <w:tab/>
        <w:t>Except as provided in section 16, an employee is entitled to be paid, for each hour worked by the employee in a week, the minimum weekly rate of pay applicable to the employee under section 12, 13 or 14, divided by 38.</w:t>
      </w:r>
    </w:p>
    <w:p>
      <w:pPr>
        <w:pStyle w:val="Subsection"/>
      </w:pPr>
      <w:r>
        <w:tab/>
        <w:t>(2)</w:t>
      </w:r>
      <w:r>
        <w:tab/>
        <w:t>Nothing in this section prevents an industrial instrument from providing for minimum rates of pay for an employee with a disability.</w:t>
      </w:r>
    </w:p>
    <w:p>
      <w:pPr>
        <w:pStyle w:val="Footnotesection"/>
      </w:pPr>
      <w:r>
        <w:tab/>
        <w:t>[Section 10 inserted: No. 20 of 2002 s. 167; amended: No. 30 of 2021 s. 108.]</w:t>
      </w:r>
    </w:p>
    <w:p>
      <w:pPr>
        <w:pStyle w:val="Heading5"/>
      </w:pPr>
      <w:bookmarkStart w:id="64" w:name="_Toc182320718"/>
      <w:bookmarkStart w:id="65" w:name="_Toc106276405"/>
      <w:r>
        <w:rPr>
          <w:rStyle w:val="CharSectno"/>
        </w:rPr>
        <w:t>11</w:t>
      </w:r>
      <w:r>
        <w:t>.</w:t>
      </w:r>
      <w:r>
        <w:tab/>
        <w:t>Minimum rate of pay for casual employees includes loading</w:t>
      </w:r>
      <w:bookmarkEnd w:id="64"/>
      <w:bookmarkEnd w:id="65"/>
    </w:p>
    <w:p>
      <w:pPr>
        <w:pStyle w:val="Subsection"/>
      </w:pPr>
      <w:r>
        <w:tab/>
        <w:t>(1)</w:t>
      </w:r>
      <w:r>
        <w:tab/>
        <w:t>A casual employee is entitled to be paid the amount which the employee is entitled to be paid under section 10 plus the prescribed percentage of that amount.</w:t>
      </w:r>
    </w:p>
    <w:p>
      <w:pPr>
        <w:pStyle w:val="Subsection"/>
      </w:pPr>
      <w:r>
        <w:tab/>
        <w:t>(2)</w:t>
      </w:r>
      <w:r>
        <w:tab/>
        <w:t>In subsection (1) —</w:t>
      </w:r>
    </w:p>
    <w:p>
      <w:pPr>
        <w:pStyle w:val="Defstart"/>
      </w:pPr>
      <w:r>
        <w:tab/>
      </w:r>
      <w:r>
        <w:rPr>
          <w:rStyle w:val="CharDefText"/>
        </w:rPr>
        <w:t>prescribed percentage</w:t>
      </w:r>
      <w:r>
        <w:t xml:space="preserve"> means —</w:t>
      </w:r>
    </w:p>
    <w:p>
      <w:pPr>
        <w:pStyle w:val="Defpara"/>
      </w:pPr>
      <w:r>
        <w:tab/>
        <w:t>(a)</w:t>
      </w:r>
      <w:r>
        <w:tab/>
        <w:t>20%; or</w:t>
      </w:r>
    </w:p>
    <w:p>
      <w:pPr>
        <w:pStyle w:val="Defpara"/>
      </w:pPr>
      <w:r>
        <w:tab/>
        <w:t>(b)</w:t>
      </w:r>
      <w:r>
        <w:tab/>
        <w:t>if a percentage higher than 20% is set by order under section 51I of the IR Act for the purposes of this section, that percentage.</w:t>
      </w:r>
    </w:p>
    <w:p>
      <w:pPr>
        <w:pStyle w:val="Footnotesection"/>
      </w:pPr>
      <w:r>
        <w:tab/>
        <w:t>[Section 11 inserted: No. 20 of 2002 s. 167; amended: No. 30 of 2021 s. 121(2).]</w:t>
      </w:r>
    </w:p>
    <w:p>
      <w:pPr>
        <w:pStyle w:val="Heading5"/>
      </w:pPr>
      <w:bookmarkStart w:id="66" w:name="_Toc182320719"/>
      <w:bookmarkStart w:id="67" w:name="_Toc106276406"/>
      <w:r>
        <w:rPr>
          <w:rStyle w:val="CharSectno"/>
        </w:rPr>
        <w:t>12</w:t>
      </w:r>
      <w:r>
        <w:t>.</w:t>
      </w:r>
      <w:r>
        <w:tab/>
        <w:t>Minimum weekly rate of pay for employees aged 21 or more</w:t>
      </w:r>
      <w:bookmarkEnd w:id="66"/>
      <w:bookmarkEnd w:id="67"/>
    </w:p>
    <w:p>
      <w:pPr>
        <w:pStyle w:val="Subsection"/>
      </w:pPr>
      <w:r>
        <w:tab/>
      </w:r>
      <w:r>
        <w:tab/>
        <w:t>The minimum weekly rate of pay applicable at a particular time to an employee —</w:t>
      </w:r>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 No. 20 of 2002 s. 167; amended: No. 36 of 2006 s. 21(2); No. 44 of 2008 s. 56(4).]</w:t>
      </w:r>
    </w:p>
    <w:p>
      <w:pPr>
        <w:pStyle w:val="Heading5"/>
      </w:pPr>
      <w:bookmarkStart w:id="68" w:name="_Toc182320720"/>
      <w:bookmarkStart w:id="69" w:name="_Toc106276407"/>
      <w:r>
        <w:rPr>
          <w:rStyle w:val="CharSectno"/>
        </w:rPr>
        <w:t>13</w:t>
      </w:r>
      <w:r>
        <w:t>.</w:t>
      </w:r>
      <w:r>
        <w:tab/>
        <w:t>Minimum weekly rate of pay for employees aged under 21</w:t>
      </w:r>
      <w:bookmarkEnd w:id="68"/>
      <w:bookmarkEnd w:id="69"/>
    </w:p>
    <w:p>
      <w:pPr>
        <w:pStyle w:val="Subsection"/>
      </w:pPr>
      <w:r>
        <w:tab/>
      </w:r>
      <w:r>
        <w:tab/>
        <w:t>The minimum weekly rate of pay applicable at a particular time to an employee —</w:t>
      </w:r>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80"/>
        <w:rPr>
          <w:b/>
        </w:rPr>
      </w:pPr>
      <w:r>
        <w:rPr>
          <w:b/>
        </w:rPr>
        <w:t>Table</w:t>
      </w:r>
    </w:p>
    <w:tbl>
      <w:tblPr>
        <w:tblW w:w="0" w:type="auto"/>
        <w:tblInd w:w="1526" w:type="dxa"/>
        <w:tblLayout w:type="fixed"/>
        <w:tblLook w:val="0000" w:firstRow="0" w:lastRow="0" w:firstColumn="0" w:lastColumn="0" w:noHBand="0" w:noVBand="0"/>
      </w:tblPr>
      <w:tblGrid>
        <w:gridCol w:w="1802"/>
        <w:gridCol w:w="3301"/>
      </w:tblGrid>
      <w:tr>
        <w:tc>
          <w:tcPr>
            <w:tcW w:w="1802" w:type="dxa"/>
          </w:tcPr>
          <w:p>
            <w:pPr>
              <w:pStyle w:val="TableAm"/>
              <w:spacing w:before="0"/>
              <w:rPr>
                <w:b/>
              </w:rPr>
            </w:pPr>
            <w:r>
              <w:rPr>
                <w:b/>
              </w:rPr>
              <w:t>Age</w:t>
            </w:r>
          </w:p>
        </w:tc>
        <w:tc>
          <w:tcPr>
            <w:tcW w:w="3301" w:type="dxa"/>
          </w:tcPr>
          <w:p>
            <w:pPr>
              <w:pStyle w:val="TableAm"/>
              <w:spacing w:before="0"/>
              <w:rPr>
                <w:b/>
              </w:rPr>
            </w:pPr>
            <w:r>
              <w:rPr>
                <w:b/>
              </w:rPr>
              <w:t>Percentage of 21 year old rate</w:t>
            </w:r>
          </w:p>
        </w:tc>
      </w:tr>
      <w:tr>
        <w:tc>
          <w:tcPr>
            <w:tcW w:w="1802" w:type="dxa"/>
          </w:tcPr>
          <w:p>
            <w:pPr>
              <w:pStyle w:val="TableAm"/>
              <w:spacing w:before="60"/>
            </w:pPr>
            <w:r>
              <w:t>20 years</w:t>
            </w:r>
          </w:p>
        </w:tc>
        <w:tc>
          <w:tcPr>
            <w:tcW w:w="3301" w:type="dxa"/>
          </w:tcPr>
          <w:p>
            <w:pPr>
              <w:pStyle w:val="TableAm"/>
              <w:spacing w:before="60"/>
            </w:pPr>
            <w:r>
              <w:t>90%</w:t>
            </w:r>
          </w:p>
        </w:tc>
      </w:tr>
      <w:tr>
        <w:tc>
          <w:tcPr>
            <w:tcW w:w="1802" w:type="dxa"/>
          </w:tcPr>
          <w:p>
            <w:pPr>
              <w:pStyle w:val="TableAm"/>
              <w:spacing w:before="60"/>
            </w:pPr>
            <w:r>
              <w:t>19 years</w:t>
            </w:r>
          </w:p>
        </w:tc>
        <w:tc>
          <w:tcPr>
            <w:tcW w:w="3301" w:type="dxa"/>
          </w:tcPr>
          <w:p>
            <w:pPr>
              <w:pStyle w:val="TableAm"/>
              <w:spacing w:before="60"/>
            </w:pPr>
            <w:r>
              <w:t>80%</w:t>
            </w:r>
          </w:p>
        </w:tc>
      </w:tr>
      <w:tr>
        <w:tc>
          <w:tcPr>
            <w:tcW w:w="1802" w:type="dxa"/>
          </w:tcPr>
          <w:p>
            <w:pPr>
              <w:pStyle w:val="TableAm"/>
              <w:spacing w:before="60"/>
            </w:pPr>
            <w:r>
              <w:t>18 years</w:t>
            </w:r>
          </w:p>
        </w:tc>
        <w:tc>
          <w:tcPr>
            <w:tcW w:w="3301" w:type="dxa"/>
          </w:tcPr>
          <w:p>
            <w:pPr>
              <w:pStyle w:val="TableAm"/>
              <w:spacing w:before="60"/>
            </w:pPr>
            <w:r>
              <w:t>70%</w:t>
            </w:r>
          </w:p>
        </w:tc>
      </w:tr>
      <w:tr>
        <w:tc>
          <w:tcPr>
            <w:tcW w:w="1802" w:type="dxa"/>
          </w:tcPr>
          <w:p>
            <w:pPr>
              <w:pStyle w:val="TableAm"/>
              <w:spacing w:before="60"/>
            </w:pPr>
            <w:r>
              <w:t>17 years</w:t>
            </w:r>
          </w:p>
        </w:tc>
        <w:tc>
          <w:tcPr>
            <w:tcW w:w="3301" w:type="dxa"/>
          </w:tcPr>
          <w:p>
            <w:pPr>
              <w:pStyle w:val="TableAm"/>
              <w:spacing w:before="60"/>
            </w:pPr>
            <w:r>
              <w:t>60%</w:t>
            </w:r>
          </w:p>
        </w:tc>
      </w:tr>
      <w:tr>
        <w:tc>
          <w:tcPr>
            <w:tcW w:w="1802" w:type="dxa"/>
          </w:tcPr>
          <w:p>
            <w:pPr>
              <w:pStyle w:val="TableAm"/>
              <w:spacing w:before="60"/>
            </w:pPr>
            <w:r>
              <w:t>16 years</w:t>
            </w:r>
          </w:p>
        </w:tc>
        <w:tc>
          <w:tcPr>
            <w:tcW w:w="3301" w:type="dxa"/>
          </w:tcPr>
          <w:p>
            <w:pPr>
              <w:pStyle w:val="TableAm"/>
              <w:spacing w:before="60"/>
            </w:pPr>
            <w:r>
              <w:t>50%</w:t>
            </w:r>
          </w:p>
        </w:tc>
      </w:tr>
      <w:tr>
        <w:tc>
          <w:tcPr>
            <w:tcW w:w="1802" w:type="dxa"/>
          </w:tcPr>
          <w:p>
            <w:pPr>
              <w:pStyle w:val="TableAm"/>
              <w:spacing w:before="60"/>
            </w:pPr>
            <w:r>
              <w:t>Under 16 years</w:t>
            </w:r>
          </w:p>
        </w:tc>
        <w:tc>
          <w:tcPr>
            <w:tcW w:w="3301" w:type="dxa"/>
          </w:tcPr>
          <w:p>
            <w:pPr>
              <w:pStyle w:val="TableAm"/>
              <w:spacing w:before="60"/>
            </w:pPr>
            <w:r>
              <w:t>40%</w:t>
            </w:r>
          </w:p>
        </w:tc>
      </w:tr>
    </w:tbl>
    <w:p>
      <w:pPr>
        <w:pStyle w:val="Footnotesection"/>
        <w:ind w:left="960" w:hanging="960"/>
      </w:pPr>
      <w:r>
        <w:tab/>
        <w:t>[Section 13 inserted: No. 20 of 2002 s. 167; amended: No. 44 of 2008 s. 56(5).]</w:t>
      </w:r>
    </w:p>
    <w:p>
      <w:pPr>
        <w:pStyle w:val="Heading5"/>
      </w:pPr>
      <w:bookmarkStart w:id="70" w:name="_Toc182320721"/>
      <w:bookmarkStart w:id="71" w:name="_Toc106276408"/>
      <w:r>
        <w:rPr>
          <w:rStyle w:val="CharSectno"/>
        </w:rPr>
        <w:t>14</w:t>
      </w:r>
      <w:r>
        <w:t>.</w:t>
      </w:r>
      <w:r>
        <w:tab/>
        <w:t>Minimum weekly rates of pay for apprentices</w:t>
      </w:r>
      <w:bookmarkEnd w:id="70"/>
      <w:bookmarkEnd w:id="71"/>
    </w:p>
    <w:p>
      <w:pPr>
        <w:pStyle w:val="Subsection"/>
      </w:pPr>
      <w:r>
        <w:tab/>
      </w:r>
      <w:r>
        <w:tab/>
        <w:t>The minimum weekly rate of pay applicable at a particular time to an employee who is an apprentice —</w:t>
      </w:r>
    </w:p>
    <w:p>
      <w:pPr>
        <w:pStyle w:val="Indenta"/>
      </w:pPr>
      <w:r>
        <w:tab/>
        <w:t>(a)</w:t>
      </w:r>
      <w:r>
        <w:tab/>
        <w:t>in the case where a rate is in effect at that time under section 50A(1)(a)(ii) of the IR Act in relation to the class of apprentice to which the employee belongs, is that rate;</w:t>
      </w:r>
    </w:p>
    <w:p>
      <w:pPr>
        <w:pStyle w:val="Indenta"/>
      </w:pPr>
      <w:r>
        <w:tab/>
        <w:t>(b)</w:t>
      </w:r>
      <w:r>
        <w:tab/>
        <w:t>otherwise, is the rate in effect at that time under section 50A(1)(a)(ii) of the IR Act in relation to apprentices generally.</w:t>
      </w:r>
    </w:p>
    <w:p>
      <w:pPr>
        <w:pStyle w:val="Footnotesection"/>
      </w:pPr>
      <w:r>
        <w:tab/>
        <w:t>[Section 14 inserted: No. 20 of 2002 s. 167; amended: No. 36 of 2006 s. 21(3).]</w:t>
      </w:r>
    </w:p>
    <w:p>
      <w:pPr>
        <w:pStyle w:val="Heading3"/>
      </w:pPr>
      <w:bookmarkStart w:id="72" w:name="_Toc182315077"/>
      <w:bookmarkStart w:id="73" w:name="_Toc182315322"/>
      <w:bookmarkStart w:id="74" w:name="_Toc182320722"/>
      <w:bookmarkStart w:id="75" w:name="_Toc95209503"/>
      <w:bookmarkStart w:id="76" w:name="_Toc91144664"/>
      <w:bookmarkStart w:id="77" w:name="_Toc90558422"/>
      <w:bookmarkStart w:id="78" w:name="_Toc90553819"/>
      <w:bookmarkStart w:id="79" w:name="_Toc90551851"/>
      <w:bookmarkStart w:id="80" w:name="_Toc85544058"/>
      <w:bookmarkStart w:id="81" w:name="_Toc85533442"/>
      <w:bookmarkStart w:id="82" w:name="_Toc84935645"/>
      <w:bookmarkStart w:id="83" w:name="_Toc84927665"/>
      <w:bookmarkStart w:id="84" w:name="_Toc84926249"/>
      <w:bookmarkStart w:id="85" w:name="_Toc106204007"/>
      <w:bookmarkStart w:id="86" w:name="_Toc106276409"/>
      <w:r>
        <w:rPr>
          <w:rStyle w:val="CharDivNo"/>
        </w:rPr>
        <w:t>Division 2</w:t>
      </w:r>
      <w:r>
        <w:t> — </w:t>
      </w:r>
      <w:r>
        <w:rPr>
          <w:rStyle w:val="CharDivText"/>
        </w:rPr>
        <w:t>Employees with disabilities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Footnoteheading"/>
        <w:tabs>
          <w:tab w:val="left" w:pos="851"/>
        </w:tabs>
      </w:pPr>
      <w:bookmarkStart w:id="87" w:name="_Toc95209504"/>
      <w:bookmarkStart w:id="88" w:name="_Toc90558423"/>
      <w:r>
        <w:tab/>
        <w:t>[Heading inserted: No. 30 of 2021 s. 109.]</w:t>
      </w:r>
    </w:p>
    <w:p>
      <w:pPr>
        <w:pStyle w:val="Heading5"/>
        <w:rPr>
          <w:snapToGrid w:val="0"/>
        </w:rPr>
      </w:pPr>
      <w:bookmarkStart w:id="89" w:name="_Toc182320723"/>
      <w:bookmarkStart w:id="90" w:name="_Toc106276410"/>
      <w:r>
        <w:rPr>
          <w:rStyle w:val="CharSectno"/>
        </w:rPr>
        <w:t>15</w:t>
      </w:r>
      <w:r>
        <w:rPr>
          <w:snapToGrid w:val="0"/>
        </w:rPr>
        <w:t>.</w:t>
      </w:r>
      <w:r>
        <w:rPr>
          <w:snapToGrid w:val="0"/>
        </w:rPr>
        <w:tab/>
        <w:t>Terms used</w:t>
      </w:r>
      <w:bookmarkEnd w:id="89"/>
      <w:bookmarkEnd w:id="87"/>
      <w:bookmarkEnd w:id="88"/>
      <w:bookmarkEnd w:id="90"/>
    </w:p>
    <w:p>
      <w:pPr>
        <w:pStyle w:val="Subsection"/>
        <w:rPr>
          <w:snapToGrid w:val="0"/>
        </w:rPr>
      </w:pPr>
      <w:r>
        <w:rPr>
          <w:snapToGrid w:val="0"/>
        </w:rPr>
        <w:tab/>
      </w:r>
      <w:r>
        <w:rPr>
          <w:snapToGrid w:val="0"/>
        </w:rPr>
        <w:tab/>
        <w:t>In this Division —</w:t>
      </w:r>
    </w:p>
    <w:p>
      <w:pPr>
        <w:pStyle w:val="Defstart"/>
        <w:rPr>
          <w:snapToGrid/>
        </w:rPr>
      </w:pPr>
      <w:r>
        <w:tab/>
      </w:r>
      <w:r>
        <w:rPr>
          <w:rStyle w:val="CharDefText"/>
        </w:rPr>
        <w:t>employee with a disability</w:t>
      </w:r>
      <w:r>
        <w:t xml:space="preserve"> means an employee whose productive capacity — </w:t>
      </w:r>
    </w:p>
    <w:p>
      <w:pPr>
        <w:pStyle w:val="Defpara"/>
      </w:pPr>
      <w:r>
        <w:tab/>
        <w:t>(a)</w:t>
      </w:r>
      <w:r>
        <w:tab/>
        <w:t xml:space="preserve">has been assessed under — </w:t>
      </w:r>
    </w:p>
    <w:p>
      <w:pPr>
        <w:pStyle w:val="Defsubpara"/>
      </w:pPr>
      <w:r>
        <w:tab/>
        <w:t>(i)</w:t>
      </w:r>
      <w:r>
        <w:tab/>
        <w:t xml:space="preserve">the SWS; or </w:t>
      </w:r>
    </w:p>
    <w:p>
      <w:pPr>
        <w:pStyle w:val="Defsubpara"/>
      </w:pPr>
      <w:r>
        <w:tab/>
        <w:t>(ii)</w:t>
      </w:r>
      <w:r>
        <w:tab/>
        <w:t xml:space="preserve">a supported wage industrial instrument provision; </w:t>
      </w:r>
    </w:p>
    <w:p>
      <w:pPr>
        <w:pStyle w:val="Defpara"/>
      </w:pPr>
      <w:r>
        <w:tab/>
      </w:r>
      <w:r>
        <w:tab/>
        <w:t>and</w:t>
      </w:r>
    </w:p>
    <w:p>
      <w:pPr>
        <w:pStyle w:val="Defpara"/>
      </w:pPr>
      <w:r>
        <w:tab/>
        <w:t>(b)</w:t>
      </w:r>
      <w:r>
        <w:tab/>
        <w:t>is assessed as being reduced because of a disability;</w:t>
      </w:r>
    </w:p>
    <w:p>
      <w:pPr>
        <w:pStyle w:val="Defstart"/>
      </w:pPr>
      <w:r>
        <w:tab/>
      </w:r>
      <w:r>
        <w:rPr>
          <w:rStyle w:val="CharDefText"/>
        </w:rPr>
        <w:t>instrument</w:t>
      </w:r>
      <w:r>
        <w:rPr>
          <w:rStyle w:val="CharDefText"/>
        </w:rPr>
        <w:noBreakHyphen/>
        <w:t>free employee with a disability</w:t>
      </w:r>
      <w:r>
        <w:t xml:space="preserve"> means an employee — </w:t>
      </w:r>
    </w:p>
    <w:p>
      <w:pPr>
        <w:pStyle w:val="Defpara"/>
      </w:pPr>
      <w:r>
        <w:tab/>
        <w:t>(a)</w:t>
      </w:r>
      <w:r>
        <w:tab/>
        <w:t>whose contract of employment is not governed by an industrial instrument; and</w:t>
      </w:r>
    </w:p>
    <w:p>
      <w:pPr>
        <w:pStyle w:val="Defpara"/>
      </w:pPr>
      <w:r>
        <w:tab/>
        <w:t>(b)</w:t>
      </w:r>
      <w:r>
        <w:tab/>
        <w:t>whose productive capacity has been assessed under the SWS as being reduced because of a disability;</w:t>
      </w:r>
    </w:p>
    <w:p>
      <w:pPr>
        <w:pStyle w:val="Defstart"/>
      </w:pPr>
      <w:r>
        <w:tab/>
      </w:r>
      <w:r>
        <w:rPr>
          <w:rStyle w:val="CharDefText"/>
        </w:rPr>
        <w:t>instrument</w:t>
      </w:r>
      <w:r>
        <w:rPr>
          <w:rStyle w:val="CharDefText"/>
        </w:rPr>
        <w:noBreakHyphen/>
        <w:t>governed employee with a disability</w:t>
      </w:r>
      <w:r>
        <w:t xml:space="preserve"> means an employee — </w:t>
      </w:r>
    </w:p>
    <w:p>
      <w:pPr>
        <w:pStyle w:val="Defpara"/>
      </w:pPr>
      <w:r>
        <w:tab/>
        <w:t>(a)</w:t>
      </w:r>
      <w:r>
        <w:tab/>
        <w:t>whose contract of employment is governed by an industrial instrument that includes a SWIIP that incorporates the SWS; and</w:t>
      </w:r>
    </w:p>
    <w:p>
      <w:pPr>
        <w:pStyle w:val="Defpara"/>
      </w:pPr>
      <w:r>
        <w:tab/>
        <w:t>(b)</w:t>
      </w:r>
      <w:r>
        <w:tab/>
        <w:t>whose productive capacity has been assessed under the SWS as being reduced because of a disability; and</w:t>
      </w:r>
    </w:p>
    <w:p>
      <w:pPr>
        <w:pStyle w:val="Defpara"/>
      </w:pPr>
      <w:r>
        <w:tab/>
        <w:t>(c)</w:t>
      </w:r>
      <w:r>
        <w:tab/>
        <w:t xml:space="preserve">who is not employed by a supported employment service as defined in the </w:t>
      </w:r>
      <w:r>
        <w:rPr>
          <w:i/>
        </w:rPr>
        <w:t>Disability Services Act 1986</w:t>
      </w:r>
      <w:r>
        <w:t xml:space="preserve"> (Commonwealth) section 7; and</w:t>
      </w:r>
    </w:p>
    <w:p>
      <w:pPr>
        <w:pStyle w:val="Defpara"/>
      </w:pPr>
      <w:r>
        <w:tab/>
        <w:t>(d)</w:t>
      </w:r>
      <w:r>
        <w:tab/>
        <w:t>who is being paid a weekly rate of pay determined by the SWS under the SWIIP;</w:t>
      </w:r>
    </w:p>
    <w:p>
      <w:pPr>
        <w:pStyle w:val="Defstart"/>
      </w:pPr>
      <w:r>
        <w:tab/>
      </w:r>
      <w:r>
        <w:rPr>
          <w:rStyle w:val="CharDefText"/>
        </w:rPr>
        <w:t>supported wage industrial instrument provision</w:t>
      </w:r>
      <w:r>
        <w:t xml:space="preserve"> or </w:t>
      </w:r>
      <w:r>
        <w:rPr>
          <w:rStyle w:val="CharDefText"/>
        </w:rPr>
        <w:t>SWIIP</w:t>
      </w:r>
      <w:r>
        <w:t xml:space="preserve"> means a provision of an industrial instrument that — </w:t>
      </w:r>
    </w:p>
    <w:p>
      <w:pPr>
        <w:pStyle w:val="Defpara"/>
      </w:pPr>
      <w:r>
        <w:tab/>
        <w:t>(a)</w:t>
      </w:r>
      <w:r>
        <w:tab/>
        <w:t>applies to an employee with a disability; and</w:t>
      </w:r>
    </w:p>
    <w:p>
      <w:pPr>
        <w:pStyle w:val="Defpara"/>
      </w:pPr>
      <w:r>
        <w:tab/>
        <w:t>(b)</w:t>
      </w:r>
      <w:r>
        <w:tab/>
        <w:t xml:space="preserve">provides a means (a </w:t>
      </w:r>
      <w:r>
        <w:rPr>
          <w:rStyle w:val="CharDefText"/>
        </w:rPr>
        <w:t>wage assessment tool</w:t>
      </w:r>
      <w:r>
        <w:t>) for the assessment of whether, and the extent to which, the employee’s productive capacity is reduced because of the disability; and</w:t>
      </w:r>
    </w:p>
    <w:p>
      <w:pPr>
        <w:pStyle w:val="Defpara"/>
      </w:pPr>
      <w:r>
        <w:tab/>
        <w:t>(c)</w:t>
      </w:r>
      <w:r>
        <w:tab/>
        <w:t xml:space="preserve">provides that the employer may pay a wage that — </w:t>
      </w:r>
    </w:p>
    <w:p>
      <w:pPr>
        <w:pStyle w:val="Defsubpara"/>
      </w:pPr>
      <w:r>
        <w:tab/>
        <w:t>(i)</w:t>
      </w:r>
      <w:r>
        <w:tab/>
        <w:t>relates to the employee’s productive capacity as assessed using the wage assessment tool; and</w:t>
      </w:r>
    </w:p>
    <w:p>
      <w:pPr>
        <w:pStyle w:val="Defsubpara"/>
      </w:pPr>
      <w:r>
        <w:tab/>
        <w:t>(ii)</w:t>
      </w:r>
      <w:r>
        <w:tab/>
        <w:t>may be less than the applicable minimum wage in the industrial instrument;</w:t>
      </w:r>
    </w:p>
    <w:p>
      <w:pPr>
        <w:pStyle w:val="Defstart"/>
      </w:pPr>
      <w:r>
        <w:tab/>
      </w:r>
      <w:r>
        <w:rPr>
          <w:rStyle w:val="CharDefText"/>
        </w:rPr>
        <w:t>Supported Wage System</w:t>
      </w:r>
      <w:r>
        <w:t xml:space="preserve"> or </w:t>
      </w:r>
      <w:r>
        <w:rPr>
          <w:rStyle w:val="CharDefText"/>
        </w:rPr>
        <w:t>SWS</w:t>
      </w:r>
      <w:r>
        <w:t xml:space="preserve"> means the scheme known by that name established by the Commonwealth Government to enable the assessment of whether, and the extent to which, a person’s productive capacity is reduced because of a disability.</w:t>
      </w:r>
    </w:p>
    <w:p>
      <w:pPr>
        <w:pStyle w:val="Footnotesection"/>
      </w:pPr>
      <w:bookmarkStart w:id="91" w:name="_Toc95209505"/>
      <w:bookmarkStart w:id="92" w:name="_Toc90558424"/>
      <w:r>
        <w:tab/>
        <w:t>[Section 15 inserted: No. 30 of 2021 s. 109.]</w:t>
      </w:r>
    </w:p>
    <w:p>
      <w:pPr>
        <w:pStyle w:val="Heading5"/>
      </w:pPr>
      <w:bookmarkStart w:id="93" w:name="_Toc182320724"/>
      <w:bookmarkStart w:id="94" w:name="_Toc106276411"/>
      <w:r>
        <w:rPr>
          <w:rStyle w:val="CharSectno"/>
        </w:rPr>
        <w:t>16</w:t>
      </w:r>
      <w:r>
        <w:t>.</w:t>
      </w:r>
      <w:r>
        <w:tab/>
        <w:t>Application of Act to employee with disability</w:t>
      </w:r>
      <w:bookmarkEnd w:id="93"/>
      <w:bookmarkEnd w:id="91"/>
      <w:bookmarkEnd w:id="92"/>
      <w:bookmarkEnd w:id="94"/>
    </w:p>
    <w:p>
      <w:pPr>
        <w:pStyle w:val="Subsection"/>
      </w:pPr>
      <w:r>
        <w:tab/>
        <w:t>(1)</w:t>
      </w:r>
      <w:r>
        <w:tab/>
        <w:t>Section 10 does not apply to an employee with a disability who has been assessed under the SWS or a SWIIP and is being paid a rate of pay in accordance with that assessment.</w:t>
      </w:r>
    </w:p>
    <w:p>
      <w:pPr>
        <w:pStyle w:val="Subsection"/>
      </w:pPr>
      <w:r>
        <w:tab/>
        <w:t>(2)</w:t>
      </w:r>
      <w:r>
        <w:tab/>
        <w:t>A person eligible to be employed under the SWS may be employed under its provisions for the purposes of this Act.</w:t>
      </w:r>
    </w:p>
    <w:p>
      <w:pPr>
        <w:pStyle w:val="Footnotesection"/>
      </w:pPr>
      <w:bookmarkStart w:id="95" w:name="_Toc95209506"/>
      <w:bookmarkStart w:id="96" w:name="_Toc90558425"/>
      <w:r>
        <w:tab/>
        <w:t>[Section 16 inserted: No. 30 of 2021 s. 109.]</w:t>
      </w:r>
    </w:p>
    <w:p>
      <w:pPr>
        <w:pStyle w:val="Heading5"/>
      </w:pPr>
      <w:bookmarkStart w:id="97" w:name="_Toc182320725"/>
      <w:bookmarkStart w:id="98" w:name="_Toc106276412"/>
      <w:r>
        <w:rPr>
          <w:rStyle w:val="CharSectno"/>
        </w:rPr>
        <w:t>17</w:t>
      </w:r>
      <w:r>
        <w:t>.</w:t>
      </w:r>
      <w:r>
        <w:tab/>
        <w:t>Minimum pay for employee with disability</w:t>
      </w:r>
      <w:bookmarkEnd w:id="97"/>
      <w:bookmarkEnd w:id="95"/>
      <w:bookmarkEnd w:id="96"/>
      <w:bookmarkEnd w:id="98"/>
    </w:p>
    <w:p>
      <w:pPr>
        <w:pStyle w:val="Subsection"/>
      </w:pPr>
      <w:r>
        <w:tab/>
        <w:t>(1)</w:t>
      </w:r>
      <w:r>
        <w:tab/>
        <w:t xml:space="preserve">This section applies to the following — </w:t>
      </w:r>
    </w:p>
    <w:p>
      <w:pPr>
        <w:pStyle w:val="Indenta"/>
      </w:pPr>
      <w:r>
        <w:tab/>
        <w:t>(a)</w:t>
      </w:r>
      <w:r>
        <w:tab/>
        <w:t>an instrument</w:t>
      </w:r>
      <w:r>
        <w:noBreakHyphen/>
        <w:t>free employee with a disability;</w:t>
      </w:r>
    </w:p>
    <w:p>
      <w:pPr>
        <w:pStyle w:val="Indenta"/>
      </w:pPr>
      <w:r>
        <w:tab/>
        <w:t>(b)</w:t>
      </w:r>
      <w:r>
        <w:tab/>
        <w:t>an instrument</w:t>
      </w:r>
      <w:r>
        <w:noBreakHyphen/>
        <w:t>governed employee with a disability;</w:t>
      </w:r>
    </w:p>
    <w:p>
      <w:pPr>
        <w:pStyle w:val="Indenta"/>
      </w:pPr>
      <w:r>
        <w:tab/>
        <w:t>(c)</w:t>
      </w:r>
      <w:r>
        <w:tab/>
        <w:t>an employee who is employed for a trial period for the purpose of an assessment under the SWS as to whether the employee will become an employee referred to in paragraph (a) or (b).</w:t>
      </w:r>
    </w:p>
    <w:p>
      <w:pPr>
        <w:pStyle w:val="Subsection"/>
      </w:pPr>
      <w:r>
        <w:tab/>
        <w:t>(2)</w:t>
      </w:r>
      <w:r>
        <w:tab/>
        <w:t>Except as provided in subsection (3), the minimum amount payable for each week worked by the employee is an amount not less than the amount in effect at that time under the IR Act section 50A(1)(a)(iii), regardless of the number of hours worked by the employee during the relevant week.</w:t>
      </w:r>
    </w:p>
    <w:p>
      <w:pPr>
        <w:pStyle w:val="Subsection"/>
      </w:pPr>
      <w:r>
        <w:tab/>
        <w:t>(3)</w:t>
      </w:r>
      <w:r>
        <w:tab/>
        <w:t>An instrument</w:t>
      </w:r>
      <w:r>
        <w:noBreakHyphen/>
        <w:t>free employee with a disability is entitled to be paid the higher of the following amounts —</w:t>
      </w:r>
    </w:p>
    <w:p>
      <w:pPr>
        <w:pStyle w:val="Indenta"/>
      </w:pPr>
      <w:r>
        <w:tab/>
        <w:t>(a)</w:t>
      </w:r>
      <w:r>
        <w:tab/>
        <w:t xml:space="preserve">for each hour worked by the employee in a week, an amount calculated by — </w:t>
      </w:r>
    </w:p>
    <w:p>
      <w:pPr>
        <w:pStyle w:val="Indenti"/>
      </w:pPr>
      <w:r>
        <w:tab/>
        <w:t>(i)</w:t>
      </w:r>
      <w:r>
        <w:tab/>
        <w:t>determining the weekly rate of pay applicable to the employee by reference to the percentage of the rate referred to in section 12 that corresponds to the employee’s assessed productive capacity under the SWS, rounded up to the nearest 10 cents; and</w:t>
      </w:r>
    </w:p>
    <w:p>
      <w:pPr>
        <w:pStyle w:val="Indenti"/>
      </w:pPr>
      <w:r>
        <w:tab/>
        <w:t>(ii)</w:t>
      </w:r>
      <w:r>
        <w:tab/>
        <w:t>dividing that weekly rate by 38;</w:t>
      </w:r>
    </w:p>
    <w:p>
      <w:pPr>
        <w:pStyle w:val="Indenta"/>
      </w:pPr>
      <w:r>
        <w:tab/>
        <w:t>(b)</w:t>
      </w:r>
      <w:r>
        <w:tab/>
        <w:t>the amount referred to in subsection (2).</w:t>
      </w:r>
    </w:p>
    <w:p>
      <w:pPr>
        <w:pStyle w:val="Footnotesection"/>
      </w:pPr>
      <w:r>
        <w:tab/>
        <w:t>[Section 17 inserted: No. 30 of 2021 s. 109.]</w:t>
      </w:r>
    </w:p>
    <w:p>
      <w:pPr>
        <w:pStyle w:val="Heading2"/>
      </w:pPr>
      <w:bookmarkStart w:id="99" w:name="_Toc182315081"/>
      <w:bookmarkStart w:id="100" w:name="_Toc182315326"/>
      <w:bookmarkStart w:id="101" w:name="_Toc182320726"/>
      <w:bookmarkStart w:id="102" w:name="_Toc106117841"/>
      <w:bookmarkStart w:id="103" w:name="_Toc106204011"/>
      <w:bookmarkStart w:id="104" w:name="_Toc106276413"/>
      <w:r>
        <w:rPr>
          <w:rStyle w:val="CharPartNo"/>
        </w:rPr>
        <w:t>Part 3A</w:t>
      </w:r>
      <w:r>
        <w:rPr>
          <w:rStyle w:val="CharDivNo"/>
        </w:rPr>
        <w:t> </w:t>
      </w:r>
      <w:r>
        <w:t>—</w:t>
      </w:r>
      <w:r>
        <w:rPr>
          <w:rStyle w:val="CharDivText"/>
        </w:rPr>
        <w:t> </w:t>
      </w:r>
      <w:r>
        <w:rPr>
          <w:rStyle w:val="CharPartText"/>
        </w:rPr>
        <w:t>Other requirements as to pay</w:t>
      </w:r>
      <w:bookmarkEnd w:id="99"/>
      <w:bookmarkEnd w:id="100"/>
      <w:bookmarkEnd w:id="101"/>
      <w:bookmarkEnd w:id="102"/>
      <w:bookmarkEnd w:id="103"/>
      <w:bookmarkEnd w:id="104"/>
    </w:p>
    <w:p>
      <w:pPr>
        <w:pStyle w:val="Footnoteheading"/>
        <w:rPr>
          <w:snapToGrid w:val="0"/>
        </w:rPr>
      </w:pPr>
      <w:r>
        <w:rPr>
          <w:snapToGrid w:val="0"/>
        </w:rPr>
        <w:tab/>
        <w:t>[Heading inserted: No. 79 of 1995 s. 66(6).]</w:t>
      </w:r>
    </w:p>
    <w:p>
      <w:pPr>
        <w:pStyle w:val="Heading5"/>
        <w:rPr>
          <w:snapToGrid w:val="0"/>
        </w:rPr>
      </w:pPr>
      <w:bookmarkStart w:id="105" w:name="_Toc182320727"/>
      <w:bookmarkStart w:id="106" w:name="_Toc106276414"/>
      <w:r>
        <w:rPr>
          <w:rStyle w:val="CharSectno"/>
        </w:rPr>
        <w:t>17A</w:t>
      </w:r>
      <w:r>
        <w:rPr>
          <w:snapToGrid w:val="0"/>
        </w:rPr>
        <w:t>.</w:t>
      </w:r>
      <w:r>
        <w:rPr>
          <w:snapToGrid w:val="0"/>
        </w:rPr>
        <w:tab/>
        <w:t>Terms used</w:t>
      </w:r>
      <w:bookmarkEnd w:id="105"/>
      <w:bookmarkEnd w:id="106"/>
    </w:p>
    <w:p>
      <w:pPr>
        <w:pStyle w:val="Subsection"/>
      </w:pPr>
      <w:r>
        <w:tab/>
        <w:t>(1A)</w:t>
      </w:r>
      <w:r>
        <w:tab/>
        <w:t xml:space="preserve">In this Part — </w:t>
      </w:r>
    </w:p>
    <w:p>
      <w:pPr>
        <w:pStyle w:val="Defstart"/>
      </w:pPr>
      <w:r>
        <w:tab/>
      </w:r>
      <w:r>
        <w:rPr>
          <w:rStyle w:val="CharDefText"/>
        </w:rPr>
        <w:t>party related</w:t>
      </w:r>
      <w:r>
        <w:t>, to an employer or prospective employer, means a relative of the employer or prospective employer;</w:t>
      </w:r>
    </w:p>
    <w:p>
      <w:pPr>
        <w:pStyle w:val="Defstart"/>
      </w:pPr>
      <w:r>
        <w:tab/>
      </w:r>
      <w:r>
        <w:rPr>
          <w:rStyle w:val="CharDefText"/>
        </w:rPr>
        <w:t>relative</w:t>
      </w:r>
      <w:r>
        <w:t xml:space="preserve">, of an employer, means — </w:t>
      </w:r>
    </w:p>
    <w:p>
      <w:pPr>
        <w:pStyle w:val="Defpara"/>
      </w:pPr>
      <w:r>
        <w:tab/>
        <w:t>(a)</w:t>
      </w:r>
      <w:r>
        <w:tab/>
        <w:t>each of the following people, whether the relationship is established by, or traced through, consanguinity, marriage, a de facto relationship, a written law or a natural relationship —</w:t>
      </w:r>
    </w:p>
    <w:p>
      <w:pPr>
        <w:pStyle w:val="Defsubpara"/>
      </w:pPr>
      <w:r>
        <w:tab/>
        <w:t>(i)</w:t>
      </w:r>
      <w:r>
        <w:tab/>
        <w:t>a parent, grandparent or other ancestor;</w:t>
      </w:r>
    </w:p>
    <w:p>
      <w:pPr>
        <w:pStyle w:val="Defsubpara"/>
      </w:pPr>
      <w:r>
        <w:tab/>
        <w:t>(ii)</w:t>
      </w:r>
      <w:r>
        <w:tab/>
        <w:t>a step</w:t>
      </w:r>
      <w:r>
        <w:noBreakHyphen/>
        <w:t>parent;</w:t>
      </w:r>
    </w:p>
    <w:p>
      <w:pPr>
        <w:pStyle w:val="Defsubpara"/>
      </w:pPr>
      <w:r>
        <w:tab/>
        <w:t>(iii)</w:t>
      </w:r>
      <w:r>
        <w:tab/>
        <w:t>a sibling;</w:t>
      </w:r>
    </w:p>
    <w:p>
      <w:pPr>
        <w:pStyle w:val="Defsubpara"/>
      </w:pPr>
      <w:r>
        <w:tab/>
        <w:t>(iv)</w:t>
      </w:r>
      <w:r>
        <w:tab/>
        <w:t>an uncle or aunt;</w:t>
      </w:r>
    </w:p>
    <w:p>
      <w:pPr>
        <w:pStyle w:val="Defsubpara"/>
      </w:pPr>
      <w:r>
        <w:tab/>
        <w:t>(v)</w:t>
      </w:r>
      <w:r>
        <w:tab/>
        <w:t>a cousin;</w:t>
      </w:r>
    </w:p>
    <w:p>
      <w:pPr>
        <w:pStyle w:val="Defsubpara"/>
      </w:pPr>
      <w:r>
        <w:tab/>
        <w:t>(vi)</w:t>
      </w:r>
      <w:r>
        <w:tab/>
        <w:t>a spouse or de facto partner;</w:t>
      </w:r>
    </w:p>
    <w:p>
      <w:pPr>
        <w:pStyle w:val="Defpara"/>
      </w:pPr>
      <w:r>
        <w:tab/>
      </w:r>
      <w:r>
        <w:tab/>
        <w:t>or</w:t>
      </w:r>
    </w:p>
    <w:p>
      <w:pPr>
        <w:pStyle w:val="Defpara"/>
      </w:pPr>
      <w:r>
        <w:tab/>
        <w:t>(b)</w:t>
      </w:r>
      <w:r>
        <w:tab/>
        <w:t>in the case of an employer who is an Aboriginal person or Torres Strait Islander — a person regarded under the customary law or tradition of the employer’s community as the equivalent of a person mentioned in paragraph (a).</w:t>
      </w:r>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(2)</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keepNext/>
        <w:rPr>
          <w:snapToGrid w:val="0"/>
        </w:rPr>
      </w:pPr>
      <w:r>
        <w:rPr>
          <w:snapToGrid w:val="0"/>
        </w:rPr>
        <w:tab/>
        <w:t>(3)</w:t>
      </w:r>
      <w:r>
        <w:rPr>
          <w:snapToGrid w:val="0"/>
        </w:rPr>
        <w:tab/>
        <w:t>A reference in this Part to the contract of employment only applies if the contract is in writing.</w:t>
      </w:r>
    </w:p>
    <w:p>
      <w:pPr>
        <w:pStyle w:val="Footnotesection"/>
      </w:pPr>
      <w:r>
        <w:tab/>
        <w:t>[Section 17A inserted: No. 79 of 1995 s. 66(6); amended: No. 30 of 2021 s. 110.]</w:t>
      </w:r>
    </w:p>
    <w:p>
      <w:pPr>
        <w:pStyle w:val="Heading5"/>
      </w:pPr>
      <w:bookmarkStart w:id="107" w:name="_Toc182320728"/>
      <w:bookmarkStart w:id="108" w:name="_Toc95209509"/>
      <w:bookmarkStart w:id="109" w:name="_Toc90558428"/>
      <w:bookmarkStart w:id="110" w:name="_Toc106276415"/>
      <w:r>
        <w:rPr>
          <w:rStyle w:val="CharSectno"/>
        </w:rPr>
        <w:t>17B</w:t>
      </w:r>
      <w:r>
        <w:t>.</w:t>
      </w:r>
      <w:r>
        <w:tab/>
        <w:t>Employee not to be compelled to accept other than money for pay</w:t>
      </w:r>
      <w:bookmarkEnd w:id="107"/>
      <w:bookmarkEnd w:id="108"/>
      <w:bookmarkEnd w:id="109"/>
      <w:bookmarkEnd w:id="110"/>
    </w:p>
    <w:p>
      <w:pPr>
        <w:pStyle w:val="Subsection"/>
      </w:pPr>
      <w:r>
        <w:tab/>
        <w:t>(1)</w:t>
      </w:r>
      <w:r>
        <w:tab/>
        <w:t>An employee is not to be directly or indirectly compelled by an employer to accept, instead of money as any part of the employee’s pay —</w:t>
      </w:r>
    </w:p>
    <w:p>
      <w:pPr>
        <w:pStyle w:val="Indenta"/>
      </w:pPr>
      <w:r>
        <w:tab/>
        <w:t>(a)</w:t>
      </w:r>
      <w:r>
        <w:tab/>
        <w:t>goods of any kind; or</w:t>
      </w:r>
    </w:p>
    <w:p>
      <w:pPr>
        <w:pStyle w:val="Indenta"/>
      </w:pPr>
      <w:r>
        <w:tab/>
        <w:t>(b)</w:t>
      </w:r>
      <w:r>
        <w:tab/>
        <w:t>accommodation or other services of any kind.</w:t>
      </w:r>
    </w:p>
    <w:p>
      <w:pPr>
        <w:pStyle w:val="Subsection"/>
      </w:pPr>
      <w:r>
        <w:tab/>
        <w:t>(2)</w:t>
      </w:r>
      <w:r>
        <w:tab/>
        <w:t>In proceedings under the IR Act section 83 to enforce an entitlement provision, anything given or provided by the employer contrary to subsection (1) is to be treated as if it had never been given or provided.</w:t>
      </w:r>
    </w:p>
    <w:p>
      <w:pPr>
        <w:pStyle w:val="Footnotesection"/>
      </w:pPr>
      <w:r>
        <w:tab/>
        <w:t>[Section 17B inserted: No. 30 of 2021 s. 111.]</w:t>
      </w:r>
    </w:p>
    <w:p>
      <w:pPr>
        <w:pStyle w:val="Heading5"/>
      </w:pPr>
      <w:bookmarkStart w:id="111" w:name="_Toc182320729"/>
      <w:bookmarkStart w:id="112" w:name="_Toc95209511"/>
      <w:bookmarkStart w:id="113" w:name="_Toc90558430"/>
      <w:bookmarkStart w:id="114" w:name="_Toc106276416"/>
      <w:r>
        <w:rPr>
          <w:rStyle w:val="CharSectno"/>
        </w:rPr>
        <w:t>17BA</w:t>
      </w:r>
      <w:r>
        <w:rPr>
          <w:snapToGrid w:val="0"/>
        </w:rPr>
        <w:t>.</w:t>
      </w:r>
      <w:r>
        <w:rPr>
          <w:snapToGrid w:val="0"/>
        </w:rPr>
        <w:tab/>
        <w:t xml:space="preserve">Employees and prospective employees not to be unreasonably compelled to </w:t>
      </w:r>
      <w:r>
        <w:t>spend or pay amount</w:t>
      </w:r>
      <w:bookmarkEnd w:id="111"/>
      <w:bookmarkEnd w:id="112"/>
      <w:bookmarkEnd w:id="113"/>
      <w:bookmarkEnd w:id="114"/>
    </w:p>
    <w:p>
      <w:pPr>
        <w:pStyle w:val="Subsection"/>
      </w:pPr>
      <w:r>
        <w:tab/>
        <w:t>(1)</w:t>
      </w:r>
      <w:r>
        <w:tab/>
        <w:t xml:space="preserve">An employer must not directly or indirectly require an employee to spend, or pay to the employer or another person, an amount of the employee’s money or the whole or any part of an amount payable to the employee in relation to the performance of work, if — </w:t>
      </w:r>
    </w:p>
    <w:p>
      <w:pPr>
        <w:pStyle w:val="Indenta"/>
      </w:pPr>
      <w:r>
        <w:tab/>
        <w:t>(a)</w:t>
      </w:r>
      <w:r>
        <w:tab/>
        <w:t>the requirement is unreasonable in the circumstances; and</w:t>
      </w:r>
    </w:p>
    <w:p>
      <w:pPr>
        <w:pStyle w:val="Indenta"/>
      </w:pPr>
      <w:r>
        <w:tab/>
        <w:t>(b)</w:t>
      </w:r>
      <w:r>
        <w:tab/>
        <w:t>in the case of a payment — the payment is directly or indirectly for the benefit of the employer or a party related to the employer.</w:t>
      </w:r>
    </w:p>
    <w:p>
      <w:pPr>
        <w:pStyle w:val="Subsection"/>
        <w:keepLines/>
      </w:pPr>
      <w:r>
        <w:tab/>
        <w:t>(2)</w:t>
      </w:r>
      <w:r>
        <w:tab/>
        <w:t xml:space="preserve">An employer (the </w:t>
      </w:r>
      <w:r>
        <w:rPr>
          <w:rStyle w:val="CharDefText"/>
        </w:rPr>
        <w:t>prospective employer</w:t>
      </w:r>
      <w:r>
        <w:t xml:space="preserve">) must not directly or indirectly require another person (the </w:t>
      </w:r>
      <w:r>
        <w:rPr>
          <w:rStyle w:val="CharDefText"/>
        </w:rPr>
        <w:t>prospective employee</w:t>
      </w:r>
      <w:r>
        <w:t xml:space="preserve">) to spend, or pay to the prospective employer or any other person, an amount of the prospective employee’s money if — </w:t>
      </w:r>
    </w:p>
    <w:p>
      <w:pPr>
        <w:pStyle w:val="Indenta"/>
      </w:pPr>
      <w:r>
        <w:tab/>
        <w:t>(a)</w:t>
      </w:r>
      <w:r>
        <w:tab/>
        <w:t>the requirement is in connection with employment or potential employment of the prospective employee by the prospective employer; and</w:t>
      </w:r>
    </w:p>
    <w:p>
      <w:pPr>
        <w:pStyle w:val="Indenta"/>
      </w:pPr>
      <w:r>
        <w:tab/>
        <w:t>(b)</w:t>
      </w:r>
      <w:r>
        <w:tab/>
        <w:t>the requirement is unreasonable in the circumstances; and</w:t>
      </w:r>
    </w:p>
    <w:p>
      <w:pPr>
        <w:pStyle w:val="Indenta"/>
      </w:pPr>
      <w:r>
        <w:tab/>
        <w:t>(c)</w:t>
      </w:r>
      <w:r>
        <w:tab/>
        <w:t>in the case of a payment — the payment is directly or indirectly for the benefit of the prospective employer or a party related to the prospective employer.</w:t>
      </w:r>
    </w:p>
    <w:p>
      <w:pPr>
        <w:pStyle w:val="Subsection"/>
      </w:pPr>
      <w:r>
        <w:tab/>
        <w:t>(3)</w:t>
      </w:r>
      <w:r>
        <w:tab/>
        <w:t>The regulations may prescribe circumstances in which a requirement referred to in subsection (1) or (2) is or is not reasonable.</w:t>
      </w:r>
    </w:p>
    <w:p>
      <w:pPr>
        <w:pStyle w:val="Subsection"/>
      </w:pPr>
      <w:r>
        <w:tab/>
        <w:t>(4)</w:t>
      </w:r>
      <w:r>
        <w:tab/>
        <w:t>A contravention of subsection (1) or (2) is not an offence but that subsection is a civil penalty provision for the purposes of the IR Act section 83E.</w:t>
      </w:r>
    </w:p>
    <w:p>
      <w:pPr>
        <w:pStyle w:val="Subsection"/>
      </w:pPr>
      <w:r>
        <w:tab/>
        <w:t>(5)</w:t>
      </w:r>
      <w:r>
        <w:tab/>
        <w:t>In proceedings under the IR Act section 83E for a contravention of subsection (1), an industrial magistrate’s court may, as an alternative, determine that a contravention of an entitlement provision has occurred for the purposes of the IR Act section 83.</w:t>
      </w:r>
    </w:p>
    <w:p>
      <w:pPr>
        <w:pStyle w:val="Subsection"/>
      </w:pPr>
      <w:r>
        <w:tab/>
        <w:t>(6)</w:t>
      </w:r>
      <w:r>
        <w:tab/>
        <w:t>If the industrial magistrate’s court determines that an employer has contravened subsection (1) or (2) in respect of an employee or prospective employee, the industrial magistrate’s court may order the employer to pay to the employee or prospective employee compensation for any loss or injury suffered as a result of the contravention.</w:t>
      </w:r>
    </w:p>
    <w:p>
      <w:pPr>
        <w:pStyle w:val="Subsection"/>
      </w:pPr>
      <w:r>
        <w:tab/>
        <w:t>(7)</w:t>
      </w:r>
      <w:r>
        <w:tab/>
        <w:t>The industrial magistrate’s court may make an order under subsection (6) in addition to imposing a penalty under section 83E.</w:t>
      </w:r>
    </w:p>
    <w:p>
      <w:pPr>
        <w:pStyle w:val="Subsection"/>
        <w:keepNext/>
      </w:pPr>
      <w:r>
        <w:tab/>
        <w:t>(8)</w:t>
      </w:r>
      <w:r>
        <w:tab/>
        <w:t>A term of an award, employer</w:t>
      </w:r>
      <w:r>
        <w:noBreakHyphen/>
        <w:t xml:space="preserve">employee agreement or contract of employment has no effect to the extent that the term — </w:t>
      </w:r>
    </w:p>
    <w:p>
      <w:pPr>
        <w:pStyle w:val="Indenta"/>
      </w:pPr>
      <w:r>
        <w:tab/>
        <w:t>(a)</w:t>
      </w:r>
      <w:r>
        <w:tab/>
        <w:t>permits, or has the effect of permitting, an employer to make a requirement that would contravene subsection (1); or</w:t>
      </w:r>
    </w:p>
    <w:p>
      <w:pPr>
        <w:pStyle w:val="Indenta"/>
      </w:pPr>
      <w:r>
        <w:tab/>
        <w:t>(b)</w:t>
      </w:r>
      <w:r>
        <w:tab/>
        <w:t>directly or indirectly requires an employee to spend or pay an amount, if the requirement would contravene subsection (1) if it had been made by an employer.</w:t>
      </w:r>
    </w:p>
    <w:p>
      <w:pPr>
        <w:pStyle w:val="Subsection"/>
      </w:pPr>
      <w:r>
        <w:tab/>
        <w:t>(9)</w:t>
      </w:r>
      <w:r>
        <w:tab/>
        <w:t>In proceedings under the IR Act section 83 to enforce an entitlement provision, any amount that the employee has been required to spend or pay contrary to subsection (1), or in accordance with a term to which subsection (8) applies, is taken to be a deduction, from an amount payable to the employee, made by the employer otherwise than in accordance with section 17D.</w:t>
      </w:r>
    </w:p>
    <w:p>
      <w:pPr>
        <w:pStyle w:val="Footnotesection"/>
      </w:pPr>
      <w:r>
        <w:tab/>
        <w:t>[Section 17BA inserted: No. 30 of 2021 s. 112.]</w:t>
      </w:r>
    </w:p>
    <w:p>
      <w:pPr>
        <w:pStyle w:val="Heading5"/>
        <w:rPr>
          <w:snapToGrid w:val="0"/>
        </w:rPr>
      </w:pPr>
      <w:bookmarkStart w:id="115" w:name="_Toc182320730"/>
      <w:bookmarkStart w:id="116" w:name="_Toc106276417"/>
      <w:r>
        <w:rPr>
          <w:rStyle w:val="CharSectno"/>
        </w:rPr>
        <w:t>17C</w:t>
      </w:r>
      <w:r>
        <w:rPr>
          <w:snapToGrid w:val="0"/>
        </w:rPr>
        <w:t>.</w:t>
      </w:r>
      <w:r>
        <w:rPr>
          <w:snapToGrid w:val="0"/>
        </w:rPr>
        <w:tab/>
        <w:t>Employee’s pay, methods of payment</w:t>
      </w:r>
      <w:bookmarkEnd w:id="115"/>
      <w:bookmarkEnd w:id="116"/>
    </w:p>
    <w:p>
      <w:pPr>
        <w:pStyle w:val="Subsection"/>
        <w:rPr>
          <w:snapToGrid w:val="0"/>
        </w:rPr>
      </w:pPr>
      <w:r>
        <w:rPr>
          <w:snapToGrid w:val="0"/>
        </w:rPr>
        <w:tab/>
        <w:t>(1)</w:t>
      </w:r>
      <w:r>
        <w:rPr>
          <w:snapToGrid w:val="0"/>
        </w:rPr>
        <w:tab/>
      </w:r>
      <w:r>
        <w:t xml:space="preserve">An </w:t>
      </w:r>
      <w:r>
        <w:rPr>
          <w:snapToGrid w:val="0"/>
        </w:rPr>
        <w:t>employee is entitled to be paid in full and payment is to be made —</w:t>
      </w:r>
    </w:p>
    <w:p>
      <w:pPr>
        <w:pStyle w:val="Indenta"/>
        <w:rPr>
          <w:snapToGrid w:val="0"/>
        </w:rPr>
      </w:pPr>
      <w:r>
        <w:rPr>
          <w:snapToGrid w:val="0"/>
        </w:rPr>
        <w:tab/>
        <w:t>(a)</w:t>
      </w:r>
      <w:r>
        <w:rPr>
          <w:snapToGrid w:val="0"/>
        </w:rPr>
        <w:tab/>
        <w:t>in cash; or</w:t>
      </w:r>
    </w:p>
    <w:p>
      <w:pPr>
        <w:pStyle w:val="Indenta"/>
        <w:rPr>
          <w:snapToGrid w:val="0"/>
        </w:rPr>
      </w:pPr>
      <w:r>
        <w:rPr>
          <w:snapToGrid w:val="0"/>
        </w:rPr>
        <w:tab/>
        <w:t>(b)</w:t>
      </w:r>
      <w:r>
        <w:rPr>
          <w:snapToGrid w:val="0"/>
        </w:rPr>
        <w:tab/>
        <w:t>by cheque, postal order or money order payable to the employee; or</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(2)</w:t>
      </w:r>
      <w:r>
        <w:rPr>
          <w:snapToGrid w:val="0"/>
        </w:rPr>
        <w:tab/>
        <w:t>In the case of any employee who is not employed by the Crown, payment can be made under subsection (1)(b) or (c) if, and only if, the employee so authorises.</w:t>
      </w:r>
    </w:p>
    <w:p>
      <w:pPr>
        <w:pStyle w:val="Subsection"/>
      </w:pPr>
      <w:r>
        <w:tab/>
        <w:t>(3)</w:t>
      </w:r>
      <w:r>
        <w:tab/>
        <w:t>A contravention of subsection (1) is not an offence but that subsection is a civil penalty provision for the purposes of the IR Act section 83E.</w:t>
      </w:r>
    </w:p>
    <w:p>
      <w:pPr>
        <w:pStyle w:val="Subsection"/>
      </w:pPr>
      <w:r>
        <w:tab/>
        <w:t>(4)</w:t>
      </w:r>
      <w:r>
        <w:tab/>
        <w:t>In proceedings under the IR Act section 83E for a contravention of subsection (1), an industrial magistrate’s court may, as an alternative, determine that a contravention of an entitlement provision has occurred for the purposes of the IR Act section 83.</w:t>
      </w:r>
    </w:p>
    <w:p>
      <w:pPr>
        <w:pStyle w:val="Subsection"/>
      </w:pPr>
      <w:r>
        <w:tab/>
        <w:t>(5)</w:t>
      </w:r>
      <w:r>
        <w:tab/>
        <w:t>In proceedings under the IR Act section 83 to enforce an entitlement provision, anything given or provided by the employer contrary to subsection (1) is taken never to have been given or provided to the employee.</w:t>
      </w:r>
    </w:p>
    <w:p>
      <w:pPr>
        <w:pStyle w:val="Footnotesection"/>
      </w:pPr>
      <w:r>
        <w:tab/>
        <w:t>[Section 17C inserted: No. 79 of 1995 s. 66(6); amended: No. 20 of 2002 s. 22(7); Gazette 15 Aug 2003 p. 3688; No. 30 of 2021 s. 113.]</w:t>
      </w:r>
    </w:p>
    <w:p>
      <w:pPr>
        <w:pStyle w:val="Heading5"/>
        <w:rPr>
          <w:snapToGrid w:val="0"/>
        </w:rPr>
      </w:pPr>
      <w:bookmarkStart w:id="117" w:name="_Toc182320731"/>
      <w:bookmarkStart w:id="118" w:name="_Toc106276418"/>
      <w:r>
        <w:rPr>
          <w:rStyle w:val="CharSectno"/>
        </w:rPr>
        <w:t>17D</w:t>
      </w:r>
      <w:r>
        <w:rPr>
          <w:snapToGrid w:val="0"/>
        </w:rPr>
        <w:t>.</w:t>
      </w:r>
      <w:r>
        <w:rPr>
          <w:snapToGrid w:val="0"/>
        </w:rPr>
        <w:tab/>
        <w:t>Authorised deductions from pay</w:t>
      </w:r>
      <w:bookmarkEnd w:id="117"/>
      <w:bookmarkEnd w:id="118"/>
    </w:p>
    <w:p>
      <w:pPr>
        <w:pStyle w:val="Subsection"/>
        <w:rPr>
          <w:snapToGrid w:val="0"/>
        </w:rPr>
      </w:pPr>
      <w:r>
        <w:rPr>
          <w:snapToGrid w:val="0"/>
        </w:rPr>
        <w:tab/>
        <w:t>(1)</w:t>
      </w:r>
      <w:r>
        <w:rPr>
          <w:snapToGrid w:val="0"/>
        </w:rPr>
        <w:tab/>
        <w:t>Despite section 17C, an employer may deduct from an employee’s pay —</w:t>
      </w:r>
    </w:p>
    <w:p>
      <w:pPr>
        <w:pStyle w:val="Indenta"/>
        <w:rPr>
          <w:snapToGrid w:val="0"/>
        </w:rPr>
      </w:pPr>
      <w:r>
        <w:rPr>
          <w:snapToGrid w:val="0"/>
        </w:rPr>
        <w:tab/>
        <w:t>(a)</w:t>
      </w:r>
      <w:r>
        <w:rPr>
          <w:snapToGrid w:val="0"/>
        </w:rPr>
        <w:tab/>
        <w:t>an amount the employer is authorised, in writing, by the employee to deduct and pay on behalf of the employee; and</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(2)</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(3)</w:t>
      </w:r>
      <w:r>
        <w:rPr>
          <w:snapToGrid w:val="0"/>
        </w:rPr>
        <w:tab/>
        <w:t>Nothing in this section requires an employer to make deductions requested by an employee.</w:t>
      </w:r>
    </w:p>
    <w:p>
      <w:pPr>
        <w:pStyle w:val="Subsection"/>
        <w:rPr>
          <w:snapToGrid w:val="0"/>
        </w:rPr>
      </w:pPr>
      <w:r>
        <w:rPr>
          <w:snapToGrid w:val="0"/>
        </w:rPr>
        <w:tab/>
        <w:t>(4)</w:t>
      </w:r>
      <w:r>
        <w:rPr>
          <w:snapToGrid w:val="0"/>
        </w:rPr>
        <w:tab/>
        <w:t>An employee may, by giving written notice to the employer, withdraw an authorisation under subsection (1)(a).</w:t>
      </w:r>
    </w:p>
    <w:p>
      <w:pPr>
        <w:pStyle w:val="Footnotesection"/>
      </w:pPr>
      <w:r>
        <w:tab/>
        <w:t>[Section 17D inserted: No. 79 of 1995 s. 66(6); amended: No. 20 of 2002 s. 22(7); amended: Gazette 15 Aug 2003 p. 3688.]</w:t>
      </w:r>
    </w:p>
    <w:p>
      <w:pPr>
        <w:pStyle w:val="Heading5"/>
      </w:pPr>
      <w:bookmarkStart w:id="119" w:name="_Toc182320732"/>
      <w:bookmarkStart w:id="120" w:name="_Toc95209514"/>
      <w:bookmarkStart w:id="121" w:name="_Toc90558433"/>
      <w:bookmarkStart w:id="122" w:name="_Toc106276419"/>
      <w:bookmarkStart w:id="123" w:name="_Toc106117846"/>
      <w:r>
        <w:rPr>
          <w:rStyle w:val="CharSectno"/>
        </w:rPr>
        <w:t>17E</w:t>
      </w:r>
      <w:r>
        <w:t>.</w:t>
      </w:r>
      <w:r>
        <w:tab/>
        <w:t>Certain terms of no effect</w:t>
      </w:r>
      <w:bookmarkEnd w:id="119"/>
      <w:bookmarkEnd w:id="120"/>
      <w:bookmarkEnd w:id="121"/>
      <w:bookmarkEnd w:id="122"/>
    </w:p>
    <w:p>
      <w:pPr>
        <w:pStyle w:val="Subsection"/>
      </w:pPr>
      <w:r>
        <w:tab/>
        <w:t>(1)</w:t>
      </w:r>
      <w:r>
        <w:tab/>
        <w:t>A term of an award, employer</w:t>
      </w:r>
      <w:r>
        <w:noBreakHyphen/>
        <w:t xml:space="preserve">employee agreement or contract of employment has no effect to the extent that the term permits, or has the effect of permitting, an employer to deduct an amount from an amount that is payable to an employee in relation to the performance of work, if the deduction is — </w:t>
      </w:r>
    </w:p>
    <w:p>
      <w:pPr>
        <w:pStyle w:val="Indenta"/>
      </w:pPr>
      <w:r>
        <w:tab/>
        <w:t>(a)</w:t>
      </w:r>
      <w:r>
        <w:tab/>
        <w:t>directly or indirectly for the benefit of the employer or a party related to the employer; and</w:t>
      </w:r>
    </w:p>
    <w:p>
      <w:pPr>
        <w:pStyle w:val="Indenta"/>
      </w:pPr>
      <w:r>
        <w:tab/>
        <w:t>(b)</w:t>
      </w:r>
      <w:r>
        <w:tab/>
        <w:t>unreasonable in the circumstances.</w:t>
      </w:r>
    </w:p>
    <w:p>
      <w:pPr>
        <w:pStyle w:val="Subsection"/>
      </w:pPr>
      <w:r>
        <w:tab/>
        <w:t>(2)</w:t>
      </w:r>
      <w:r>
        <w:tab/>
        <w:t>The regulations may prescribe circumstances in which a deduction referred to in subsection (1)(b) is or is not reasonable.</w:t>
      </w:r>
    </w:p>
    <w:p>
      <w:pPr>
        <w:pStyle w:val="Subsection"/>
      </w:pPr>
      <w:r>
        <w:tab/>
        <w:t>(3)</w:t>
      </w:r>
      <w:r>
        <w:tab/>
        <w:t>A term of an award, employer</w:t>
      </w:r>
      <w:r>
        <w:noBreakHyphen/>
        <w:t>employee agreement or contract of employment has no effect to the extent that the term permits, or has the effect of permitting, an employer to deduct an amount from an amount that is payable to an employee who has not reached 18 years of age in relation to the performance of work by the employee, unless the deduction is agreed to in writing by a parent or guardian of the employee.</w:t>
      </w:r>
    </w:p>
    <w:p>
      <w:pPr>
        <w:pStyle w:val="Subsection"/>
      </w:pPr>
      <w:r>
        <w:tab/>
        <w:t>(4)</w:t>
      </w:r>
      <w:r>
        <w:tab/>
        <w:t>A term of an award, employer</w:t>
      </w:r>
      <w:r>
        <w:noBreakHyphen/>
        <w:t>employee agreement or contract of employment has no effect to the extent that the term requires, or has the effect of requiring, an employee who has not reached 18 years of age to make a payment to an employer or another person, unless the payment is agreed to in writing by a parent or guardian of the employee.</w:t>
      </w:r>
    </w:p>
    <w:p>
      <w:pPr>
        <w:pStyle w:val="Footnotesection"/>
      </w:pPr>
      <w:r>
        <w:tab/>
        <w:t>[Section 17E inserted: No. 30 of 2021 s. 114.]</w:t>
      </w:r>
    </w:p>
    <w:p>
      <w:pPr>
        <w:pStyle w:val="Heading2"/>
      </w:pPr>
      <w:bookmarkStart w:id="124" w:name="_Toc182315088"/>
      <w:bookmarkStart w:id="125" w:name="_Toc182315333"/>
      <w:bookmarkStart w:id="126" w:name="_Toc182320733"/>
      <w:bookmarkStart w:id="127" w:name="_Toc106204018"/>
      <w:bookmarkStart w:id="128" w:name="_Toc106276420"/>
      <w:r>
        <w:rPr>
          <w:rStyle w:val="CharPartNo"/>
        </w:rPr>
        <w:t>Part 4</w:t>
      </w:r>
      <w:r>
        <w:t> — </w:t>
      </w:r>
      <w:r>
        <w:rPr>
          <w:rStyle w:val="CharPartText"/>
        </w:rPr>
        <w:t>Minimum leave conditions</w:t>
      </w:r>
      <w:bookmarkEnd w:id="124"/>
      <w:bookmarkEnd w:id="125"/>
      <w:bookmarkEnd w:id="126"/>
      <w:bookmarkEnd w:id="123"/>
      <w:bookmarkEnd w:id="127"/>
      <w:bookmarkEnd w:id="128"/>
    </w:p>
    <w:p>
      <w:pPr>
        <w:pStyle w:val="Heading3"/>
      </w:pPr>
      <w:bookmarkStart w:id="129" w:name="_Toc182315089"/>
      <w:bookmarkStart w:id="130" w:name="_Toc182315334"/>
      <w:bookmarkStart w:id="131" w:name="_Toc182320734"/>
      <w:bookmarkStart w:id="132" w:name="_Toc106117847"/>
      <w:bookmarkStart w:id="133" w:name="_Toc106204019"/>
      <w:bookmarkStart w:id="134" w:name="_Toc106276421"/>
      <w:r>
        <w:rPr>
          <w:rStyle w:val="CharDivNo"/>
        </w:rPr>
        <w:t>Division 1</w:t>
      </w:r>
      <w:r>
        <w:rPr>
          <w:snapToGrid w:val="0"/>
        </w:rPr>
        <w:t> — </w:t>
      </w:r>
      <w:r>
        <w:rPr>
          <w:rStyle w:val="CharDivText"/>
        </w:rPr>
        <w:t>Preliminary</w:t>
      </w:r>
      <w:bookmarkEnd w:id="129"/>
      <w:bookmarkEnd w:id="130"/>
      <w:bookmarkEnd w:id="131"/>
      <w:bookmarkEnd w:id="132"/>
      <w:bookmarkEnd w:id="133"/>
      <w:bookmarkEnd w:id="134"/>
    </w:p>
    <w:p>
      <w:pPr>
        <w:pStyle w:val="Heading5"/>
        <w:rPr>
          <w:snapToGrid w:val="0"/>
        </w:rPr>
      </w:pPr>
      <w:bookmarkStart w:id="135" w:name="_Toc182320735"/>
      <w:bookmarkStart w:id="136" w:name="_Toc106276422"/>
      <w:r>
        <w:rPr>
          <w:rStyle w:val="CharSectno"/>
        </w:rPr>
        <w:t>18</w:t>
      </w:r>
      <w:r>
        <w:rPr>
          <w:snapToGrid w:val="0"/>
        </w:rPr>
        <w:t>.</w:t>
      </w:r>
      <w:r>
        <w:rPr>
          <w:snapToGrid w:val="0"/>
        </w:rPr>
        <w:tab/>
        <w:t>Paid leave, how pay calculated</w:t>
      </w:r>
      <w:bookmarkEnd w:id="135"/>
      <w:bookmarkEnd w:id="136"/>
    </w:p>
    <w:p>
      <w:pPr>
        <w:pStyle w:val="Subsection"/>
        <w:rPr>
          <w:snapToGrid w:val="0"/>
        </w:rPr>
      </w:pPr>
      <w:r>
        <w:rPr>
          <w:snapToGrid w:val="0"/>
        </w:rPr>
        <w:tab/>
        <w:t>(1)</w:t>
      </w:r>
      <w:r>
        <w:rPr>
          <w:snapToGrid w:val="0"/>
        </w:rPr>
        <w:tab/>
      </w:r>
      <w:r>
        <w:t xml:space="preserve">Except as provided in subsection (3B), where </w:t>
      </w:r>
      <w:r>
        <w:rPr>
          <w:snapToGrid w:val="0"/>
        </w:rPr>
        <w:t xml:space="preserve">leave is paid leave, payment is to be made at the rate the employee would have received as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(2)</w:t>
      </w:r>
      <w:r>
        <w:rPr>
          <w:snapToGrid w:val="0"/>
        </w:rPr>
        <w:tab/>
        <w:t xml:space="preserve">If the number of hours for which an employee is entitled to be paid for a period of leave cannot be determined, the total number of hours worked under the </w:t>
      </w:r>
      <w:r>
        <w:t>employer</w:t>
      </w:r>
      <w:r>
        <w:noBreakHyphen/>
        <w:t>employee agreement</w:t>
      </w:r>
      <w:r>
        <w:rPr>
          <w:snapToGrid w:val="0"/>
        </w:rPr>
        <w:t>, award or contract of employment during the period prescribed in subsection (2A) immediately before the time the leave is taken are to be averaged as hours worked each week for the purpose of payment for the leave.</w:t>
      </w:r>
    </w:p>
    <w:p>
      <w:pPr>
        <w:pStyle w:val="Subsection"/>
        <w:rPr>
          <w:snapToGrid w:val="0"/>
        </w:rPr>
      </w:pPr>
      <w:r>
        <w:tab/>
        <w:t>(2A)</w:t>
      </w:r>
      <w:r>
        <w:tab/>
        <w:t xml:space="preserve">For the purposes of subsection (2), </w:t>
      </w:r>
      <w:r>
        <w:rPr>
          <w:snapToGrid w:val="0"/>
        </w:rPr>
        <w:t xml:space="preserve">the period prescribed is the shorter of the following — </w:t>
      </w:r>
    </w:p>
    <w:p>
      <w:pPr>
        <w:pStyle w:val="Indenta"/>
      </w:pPr>
      <w:r>
        <w:tab/>
        <w:t>(a)</w:t>
      </w:r>
      <w:r>
        <w:tab/>
        <w:t>a period totalling 365 days;</w:t>
      </w:r>
    </w:p>
    <w:p>
      <w:pPr>
        <w:pStyle w:val="Indenta"/>
      </w:pPr>
      <w:r>
        <w:tab/>
        <w:t>(b)</w:t>
      </w:r>
      <w:r>
        <w:tab/>
        <w:t>the period of employment.</w:t>
      </w:r>
    </w:p>
    <w:p>
      <w:pPr>
        <w:pStyle w:val="Subsection"/>
        <w:rPr>
          <w:snapToGrid w:val="0"/>
        </w:rPr>
      </w:pPr>
      <w:r>
        <w:rPr>
          <w:snapToGrid w:val="0"/>
        </w:rPr>
        <w:tab/>
        <w:t>(3)</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(3A)</w:t>
      </w:r>
      <w:r>
        <w:rPr>
          <w:snapToGrid w:val="0"/>
        </w:rPr>
        <w:tab/>
        <w:t xml:space="preserve">Subsection (3) does not apply to prevent casual loading payable under an </w:t>
      </w:r>
      <w:r>
        <w:t>employer</w:t>
      </w:r>
      <w:r>
        <w:noBreakHyphen/>
        <w:t>employee agreement, award</w:t>
      </w:r>
      <w:r>
        <w:rPr>
          <w:snapToGrid w:val="0"/>
        </w:rPr>
        <w:t xml:space="preserve"> or contract of employment from being taken into account in determining the rate of pay for bereavement leave under section 27.</w:t>
      </w:r>
    </w:p>
    <w:p>
      <w:pPr>
        <w:pStyle w:val="Subsection"/>
      </w:pPr>
      <w:r>
        <w:tab/>
        <w:t>(3B)</w:t>
      </w:r>
      <w:r>
        <w:tab/>
        <w:t xml:space="preserve">An employee paid wholly by commission or percentage reward or at piece rates is entitled to be paid the highest of the following for a period of leave — </w:t>
      </w:r>
    </w:p>
    <w:p>
      <w:pPr>
        <w:pStyle w:val="Indenta"/>
      </w:pPr>
      <w:r>
        <w:tab/>
        <w:t>(a)</w:t>
      </w:r>
      <w:r>
        <w:tab/>
        <w:t>a rate payable under an employer</w:t>
      </w:r>
      <w:r>
        <w:noBreakHyphen/>
        <w:t>employee agreement, award or contract of employment for a period of leave;</w:t>
      </w:r>
    </w:p>
    <w:p>
      <w:pPr>
        <w:pStyle w:val="Indenta"/>
      </w:pPr>
      <w:r>
        <w:tab/>
        <w:t>(b)</w:t>
      </w:r>
      <w:r>
        <w:tab/>
        <w:t>a rate calculated according to the employee’s average weekly earnings over a period totalling 365 days immediately before the time the leave is taken;</w:t>
      </w:r>
    </w:p>
    <w:p>
      <w:pPr>
        <w:pStyle w:val="Indenta"/>
      </w:pPr>
      <w:r>
        <w:tab/>
        <w:t>(c)</w:t>
      </w:r>
      <w:r>
        <w:tab/>
        <w:t>the applicable minimum rate of pay under section 10.</w:t>
      </w:r>
    </w:p>
    <w:p>
      <w:pPr>
        <w:pStyle w:val="Subsection"/>
      </w:pPr>
      <w:r>
        <w:tab/>
        <w:t>(3C)</w:t>
      </w:r>
      <w:r>
        <w:tab/>
        <w:t xml:space="preserve">For the purposes of subsection (2) and (3B)(b), the following periods must be disregarded — </w:t>
      </w:r>
    </w:p>
    <w:p>
      <w:pPr>
        <w:pStyle w:val="Indenta"/>
      </w:pPr>
      <w:r>
        <w:tab/>
        <w:t>(a)</w:t>
      </w:r>
      <w:r>
        <w:tab/>
        <w:t>any period of unpaid leave;</w:t>
      </w:r>
    </w:p>
    <w:p>
      <w:pPr>
        <w:pStyle w:val="Indenta"/>
      </w:pPr>
      <w:r>
        <w:tab/>
        <w:t>(b)</w:t>
      </w:r>
      <w:r>
        <w:tab/>
        <w:t>any period during which there is a standing</w:t>
      </w:r>
      <w:r>
        <w:noBreakHyphen/>
        <w:t xml:space="preserve">down of the employee in accordance with the provisions of — </w:t>
      </w:r>
    </w:p>
    <w:p>
      <w:pPr>
        <w:pStyle w:val="Indenti"/>
      </w:pPr>
      <w:r>
        <w:tab/>
        <w:t>(i)</w:t>
      </w:r>
      <w:r>
        <w:tab/>
        <w:t>an award or a determination under the IR Act; or</w:t>
      </w:r>
    </w:p>
    <w:p>
      <w:pPr>
        <w:pStyle w:val="Indenti"/>
      </w:pPr>
      <w:r>
        <w:tab/>
        <w:t>(ii)</w:t>
      </w:r>
      <w:r>
        <w:tab/>
        <w:t xml:space="preserve">the </w:t>
      </w:r>
      <w:r>
        <w:rPr>
          <w:i/>
        </w:rPr>
        <w:t>Fair Work Act 2009</w:t>
      </w:r>
      <w:r>
        <w:t xml:space="preserve"> (Commonwealth) or an enterprise agreement under that Act; or </w:t>
      </w:r>
    </w:p>
    <w:p>
      <w:pPr>
        <w:pStyle w:val="Indenti"/>
      </w:pPr>
      <w:r>
        <w:tab/>
        <w:t>(iii)</w:t>
      </w:r>
      <w:r>
        <w:tab/>
        <w:t>any other enactment.</w:t>
      </w:r>
    </w:p>
    <w:p>
      <w:pPr>
        <w:pStyle w:val="Subsection"/>
        <w:rPr>
          <w:snapToGrid w:val="0"/>
        </w:rPr>
      </w:pPr>
      <w:r>
        <w:rPr>
          <w:snapToGrid w:val="0"/>
        </w:rPr>
        <w:tab/>
        <w:t>(4)</w:t>
      </w:r>
      <w:r>
        <w:rPr>
          <w:snapToGrid w:val="0"/>
        </w:rPr>
        <w:tab/>
        <w:t>Matters in relation to payment for leave under this Part or Part 5 may be prescribed by the regulations.</w:t>
      </w:r>
    </w:p>
    <w:p>
      <w:pPr>
        <w:pStyle w:val="Footnotesection"/>
      </w:pPr>
      <w:r>
        <w:tab/>
        <w:t>[Section 18 amended: No. 20 of 2002 s. 22(7); Gazette 15 Aug 2003 p. 3688; No. 30 of 2021 s. 115 and 121(3).]</w:t>
      </w:r>
    </w:p>
    <w:p>
      <w:pPr>
        <w:pStyle w:val="Heading3"/>
      </w:pPr>
      <w:bookmarkStart w:id="137" w:name="_Toc182315091"/>
      <w:bookmarkStart w:id="138" w:name="_Toc182315336"/>
      <w:bookmarkStart w:id="139" w:name="_Toc182320736"/>
      <w:bookmarkStart w:id="140" w:name="_Toc95209517"/>
      <w:bookmarkStart w:id="141" w:name="_Toc91144678"/>
      <w:bookmarkStart w:id="142" w:name="_Toc90558436"/>
      <w:bookmarkStart w:id="143" w:name="_Toc90553833"/>
      <w:bookmarkStart w:id="144" w:name="_Toc90551865"/>
      <w:bookmarkStart w:id="145" w:name="_Toc85544072"/>
      <w:bookmarkStart w:id="146" w:name="_Toc85533456"/>
      <w:bookmarkStart w:id="147" w:name="_Toc84935659"/>
      <w:bookmarkStart w:id="148" w:name="_Toc84927679"/>
      <w:bookmarkStart w:id="149" w:name="_Toc84926263"/>
      <w:bookmarkStart w:id="150" w:name="_Toc106204021"/>
      <w:bookmarkStart w:id="151" w:name="_Toc106276423"/>
      <w:bookmarkStart w:id="152" w:name="_Toc106117849"/>
      <w:r>
        <w:rPr>
          <w:rStyle w:val="CharDivNo"/>
        </w:rPr>
        <w:t>Division 2</w:t>
      </w:r>
      <w:r>
        <w:t> — </w:t>
      </w:r>
      <w:r>
        <w:rPr>
          <w:rStyle w:val="CharDivText"/>
        </w:rPr>
        <w:t>Personal leave</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Footnoteheading"/>
        <w:tabs>
          <w:tab w:val="left" w:pos="851"/>
        </w:tabs>
      </w:pPr>
      <w:bookmarkStart w:id="153" w:name="_Toc95209518"/>
      <w:bookmarkStart w:id="154" w:name="_Toc90558437"/>
      <w:r>
        <w:tab/>
        <w:t>[Heading inserted: No. 30 of 2021 s. 116.]</w:t>
      </w:r>
    </w:p>
    <w:p>
      <w:pPr>
        <w:pStyle w:val="Heading5"/>
      </w:pPr>
      <w:bookmarkStart w:id="155" w:name="_Toc182320737"/>
      <w:bookmarkStart w:id="156" w:name="_Toc106276424"/>
      <w:r>
        <w:rPr>
          <w:rStyle w:val="CharSectno"/>
        </w:rPr>
        <w:t>19</w:t>
      </w:r>
      <w:r>
        <w:t>.</w:t>
      </w:r>
      <w:r>
        <w:tab/>
        <w:t>Personal leave</w:t>
      </w:r>
      <w:bookmarkEnd w:id="155"/>
      <w:bookmarkEnd w:id="153"/>
      <w:bookmarkEnd w:id="154"/>
      <w:bookmarkEnd w:id="156"/>
    </w:p>
    <w:p>
      <w:pPr>
        <w:pStyle w:val="Subsection"/>
      </w:pPr>
      <w:r>
        <w:tab/>
      </w:r>
      <w:r>
        <w:tab/>
        <w:t xml:space="preserve">In this Part — </w:t>
      </w:r>
    </w:p>
    <w:p>
      <w:pPr>
        <w:pStyle w:val="Defstart"/>
      </w:pPr>
      <w:r>
        <w:tab/>
      </w:r>
      <w:r>
        <w:rPr>
          <w:rStyle w:val="CharDefText"/>
        </w:rPr>
        <w:t>personal circumstances</w:t>
      </w:r>
      <w:r>
        <w:t xml:space="preserve">, in relation to an employee, means — </w:t>
      </w:r>
    </w:p>
    <w:p>
      <w:pPr>
        <w:pStyle w:val="Defpara"/>
      </w:pPr>
      <w:r>
        <w:tab/>
        <w:t>(a)</w:t>
      </w:r>
      <w:r>
        <w:tab/>
        <w:t xml:space="preserve">personal illness or injury affecting — </w:t>
      </w:r>
    </w:p>
    <w:p>
      <w:pPr>
        <w:pStyle w:val="Defsubpara"/>
      </w:pPr>
      <w:r>
        <w:tab/>
        <w:t>(i)</w:t>
      </w:r>
      <w:r>
        <w:tab/>
        <w:t xml:space="preserve">the employee; or </w:t>
      </w:r>
    </w:p>
    <w:p>
      <w:pPr>
        <w:pStyle w:val="Defsubpara"/>
      </w:pPr>
      <w:r>
        <w:tab/>
        <w:t>(ii)</w:t>
      </w:r>
      <w:r>
        <w:tab/>
        <w:t>a member of the employee’s family or household;</w:t>
      </w:r>
    </w:p>
    <w:p>
      <w:pPr>
        <w:pStyle w:val="Defpara"/>
      </w:pPr>
      <w:r>
        <w:tab/>
        <w:t>(b)</w:t>
      </w:r>
      <w:r>
        <w:tab/>
        <w:t>an unexpected emergency affecting a member of the employee’s family or household;</w:t>
      </w:r>
    </w:p>
    <w:p>
      <w:pPr>
        <w:pStyle w:val="Defstart"/>
      </w:pPr>
      <w:r>
        <w:tab/>
      </w:r>
      <w:r>
        <w:rPr>
          <w:rStyle w:val="CharDefText"/>
        </w:rPr>
        <w:t>personal leave</w:t>
      </w:r>
      <w:r>
        <w:t xml:space="preserve">, in relation to an employee, means leave taken by the employee — </w:t>
      </w:r>
    </w:p>
    <w:p>
      <w:pPr>
        <w:pStyle w:val="Defpara"/>
      </w:pPr>
      <w:r>
        <w:tab/>
        <w:t>(a)</w:t>
      </w:r>
      <w:r>
        <w:tab/>
        <w:t>because of personal circumstances affecting the employee; or</w:t>
      </w:r>
    </w:p>
    <w:p>
      <w:pPr>
        <w:pStyle w:val="Defpara"/>
      </w:pPr>
      <w:r>
        <w:tab/>
        <w:t>(b)</w:t>
      </w:r>
      <w:r>
        <w:tab/>
        <w:t>to provide care or support to a member of the employee’s family or household because of personal circumstances affecting the member.</w:t>
      </w:r>
    </w:p>
    <w:p>
      <w:pPr>
        <w:pStyle w:val="Footnotesection"/>
      </w:pPr>
      <w:bookmarkStart w:id="157" w:name="_Toc95209519"/>
      <w:bookmarkStart w:id="158" w:name="_Toc90558438"/>
      <w:r>
        <w:tab/>
        <w:t>[Section 19 inserted: No. 30 of 2021 s. 116.]</w:t>
      </w:r>
    </w:p>
    <w:p>
      <w:pPr>
        <w:pStyle w:val="Heading5"/>
      </w:pPr>
      <w:bookmarkStart w:id="159" w:name="_Toc182320738"/>
      <w:bookmarkStart w:id="160" w:name="_Toc106276425"/>
      <w:r>
        <w:rPr>
          <w:rStyle w:val="CharSectno"/>
        </w:rPr>
        <w:t>20</w:t>
      </w:r>
      <w:r>
        <w:t>.</w:t>
      </w:r>
      <w:r>
        <w:tab/>
        <w:t>Entitlement to paid personal leave</w:t>
      </w:r>
      <w:bookmarkEnd w:id="159"/>
      <w:bookmarkEnd w:id="157"/>
      <w:bookmarkEnd w:id="158"/>
      <w:bookmarkEnd w:id="160"/>
    </w:p>
    <w:p>
      <w:pPr>
        <w:pStyle w:val="Subsection"/>
      </w:pPr>
      <w:r>
        <w:tab/>
        <w:t>(1)</w:t>
      </w:r>
      <w:r>
        <w:tab/>
        <w:t xml:space="preserve">In this section — </w:t>
      </w:r>
    </w:p>
    <w:p>
      <w:pPr>
        <w:pStyle w:val="Defstart"/>
      </w:pPr>
      <w:r>
        <w:tab/>
      </w:r>
      <w:r>
        <w:rPr>
          <w:rStyle w:val="CharDefText"/>
        </w:rPr>
        <w:t>year</w:t>
      </w:r>
      <w:r>
        <w:t xml:space="preserve"> does not include any period of unpaid leave.</w:t>
      </w:r>
    </w:p>
    <w:p>
      <w:pPr>
        <w:pStyle w:val="Subsection"/>
      </w:pPr>
      <w:r>
        <w:tab/>
        <w:t>(2)</w:t>
      </w:r>
      <w:r>
        <w:tab/>
        <w:t>An employee, other than a casual employee, is entitled for each year of service to paid personal leave for the number of hours the employee is required ordinarily to work in a 2 week period during that year, up to 76 hours.</w:t>
      </w:r>
    </w:p>
    <w:p>
      <w:pPr>
        <w:pStyle w:val="Subsection"/>
      </w:pPr>
      <w:r>
        <w:tab/>
        <w:t>(3)</w:t>
      </w:r>
      <w:r>
        <w:tab/>
        <w:t>Paid personal leave accrues pro rata on a weekly basis.</w:t>
      </w:r>
    </w:p>
    <w:p>
      <w:pPr>
        <w:pStyle w:val="Subsection"/>
      </w:pPr>
      <w:r>
        <w:tab/>
        <w:t>(4)</w:t>
      </w:r>
      <w:r>
        <w:tab/>
        <w:t>Entitlements to paid personal leave are cumulative.</w:t>
      </w:r>
    </w:p>
    <w:p>
      <w:pPr>
        <w:pStyle w:val="Subsection"/>
      </w:pPr>
      <w:r>
        <w:tab/>
        <w:t>(5)</w:t>
      </w:r>
      <w:r>
        <w:tab/>
        <w:t>Except as provided in subsection (6), the employee may take paid personal leave if the employee is unable to work as a result of personal circumstances.</w:t>
      </w:r>
    </w:p>
    <w:p>
      <w:pPr>
        <w:pStyle w:val="Subsection"/>
      </w:pPr>
      <w:r>
        <w:tab/>
        <w:t>(6)</w:t>
      </w:r>
      <w:r>
        <w:tab/>
        <w:t>The employee is not entitled to be paid for any period of absence from work resulting from personal circumstances involving personal illness or injury affecting the employee if the circumstances are attributable to either of the following in the course of the employee’s employment —</w:t>
      </w:r>
    </w:p>
    <w:p>
      <w:pPr>
        <w:pStyle w:val="Indenta"/>
      </w:pPr>
      <w:r>
        <w:tab/>
        <w:t>(a)</w:t>
      </w:r>
      <w:r>
        <w:tab/>
        <w:t>the employee’s serious and wilful misconduct; or</w:t>
      </w:r>
    </w:p>
    <w:p>
      <w:pPr>
        <w:pStyle w:val="Indenta"/>
      </w:pPr>
      <w:r>
        <w:tab/>
        <w:t>(b)</w:t>
      </w:r>
      <w:r>
        <w:tab/>
        <w:t>the employee’s gross and wilful neglect.</w:t>
      </w:r>
    </w:p>
    <w:p>
      <w:pPr>
        <w:pStyle w:val="Footnotesection"/>
      </w:pPr>
      <w:bookmarkStart w:id="161" w:name="_Toc95209520"/>
      <w:bookmarkStart w:id="162" w:name="_Toc90558439"/>
      <w:r>
        <w:tab/>
        <w:t>[Section 20 inserted: No. 30 of 2021 s. 116.]</w:t>
      </w:r>
    </w:p>
    <w:p>
      <w:pPr>
        <w:pStyle w:val="Heading5"/>
      </w:pPr>
      <w:bookmarkStart w:id="163" w:name="_Toc182320739"/>
      <w:bookmarkStart w:id="164" w:name="_Toc106276426"/>
      <w:r>
        <w:rPr>
          <w:rStyle w:val="CharSectno"/>
        </w:rPr>
        <w:t>21</w:t>
      </w:r>
      <w:r>
        <w:t>.</w:t>
      </w:r>
      <w:r>
        <w:tab/>
        <w:t>Entitlement to unpaid personal leave</w:t>
      </w:r>
      <w:bookmarkEnd w:id="163"/>
      <w:bookmarkEnd w:id="161"/>
      <w:bookmarkEnd w:id="162"/>
      <w:bookmarkEnd w:id="164"/>
    </w:p>
    <w:p>
      <w:pPr>
        <w:pStyle w:val="Subsection"/>
      </w:pPr>
      <w:r>
        <w:tab/>
        <w:t>(1)</w:t>
      </w:r>
      <w:r>
        <w:tab/>
        <w:t xml:space="preserve">An employee is entitled to unpaid personal leave of up to 2 days for each occasion (a </w:t>
      </w:r>
      <w:r>
        <w:rPr>
          <w:rStyle w:val="CharDefText"/>
        </w:rPr>
        <w:t>permissible occasion</w:t>
      </w:r>
      <w:r>
        <w:t>) in which personal circumstances arise.</w:t>
      </w:r>
    </w:p>
    <w:p>
      <w:pPr>
        <w:pStyle w:val="Subsection"/>
      </w:pPr>
      <w:r>
        <w:tab/>
        <w:t>(2)</w:t>
      </w:r>
      <w:r>
        <w:tab/>
        <w:t xml:space="preserve">An employee is entitled to unpaid personal leave for a particular permissible occasion only if — </w:t>
      </w:r>
    </w:p>
    <w:p>
      <w:pPr>
        <w:pStyle w:val="Indenta"/>
      </w:pPr>
      <w:r>
        <w:tab/>
        <w:t>(a)</w:t>
      </w:r>
      <w:r>
        <w:tab/>
        <w:t xml:space="preserve">the permissible occasion comprises a circumstance referred to in paragraphs (a)(ii) and (b) of the definition of </w:t>
      </w:r>
      <w:r>
        <w:rPr>
          <w:b/>
          <w:i/>
        </w:rPr>
        <w:t>personal circumstances</w:t>
      </w:r>
      <w:r>
        <w:t xml:space="preserve"> in section 19; and</w:t>
      </w:r>
    </w:p>
    <w:p>
      <w:pPr>
        <w:pStyle w:val="Indenta"/>
      </w:pPr>
      <w:r>
        <w:tab/>
        <w:t>(b)</w:t>
      </w:r>
      <w:r>
        <w:tab/>
        <w:t>the employee cannot take paid personal leave during the period under section 20.</w:t>
      </w:r>
    </w:p>
    <w:p>
      <w:pPr>
        <w:pStyle w:val="Footnotesection"/>
      </w:pPr>
      <w:bookmarkStart w:id="165" w:name="_Toc95209521"/>
      <w:bookmarkStart w:id="166" w:name="_Toc90558440"/>
      <w:r>
        <w:tab/>
        <w:t>[Section 21 inserted: No. 30 of 2021 s. 116.]</w:t>
      </w:r>
    </w:p>
    <w:p>
      <w:pPr>
        <w:pStyle w:val="Heading5"/>
      </w:pPr>
      <w:bookmarkStart w:id="167" w:name="_Toc182320740"/>
      <w:bookmarkStart w:id="168" w:name="_Toc106276427"/>
      <w:r>
        <w:rPr>
          <w:rStyle w:val="CharSectno"/>
        </w:rPr>
        <w:t>22</w:t>
      </w:r>
      <w:r>
        <w:t>.</w:t>
      </w:r>
      <w:r>
        <w:tab/>
        <w:t>Certain matters as to personal leave not minimum conditions</w:t>
      </w:r>
      <w:bookmarkEnd w:id="167"/>
      <w:bookmarkEnd w:id="165"/>
      <w:bookmarkEnd w:id="166"/>
      <w:bookmarkEnd w:id="168"/>
    </w:p>
    <w:p>
      <w:pPr>
        <w:pStyle w:val="Subsection"/>
      </w:pPr>
      <w:r>
        <w:tab/>
      </w:r>
      <w:r>
        <w:tab/>
        <w:t>Nothing in this Division requires —</w:t>
      </w:r>
    </w:p>
    <w:p>
      <w:pPr>
        <w:pStyle w:val="Indenta"/>
      </w:pPr>
      <w:r>
        <w:tab/>
        <w:t>(a)</w:t>
      </w:r>
      <w:r>
        <w:tab/>
        <w:t>personal leave to be taken as a whole working day; or</w:t>
      </w:r>
    </w:p>
    <w:p>
      <w:pPr>
        <w:pStyle w:val="Indenta"/>
      </w:pPr>
      <w:r>
        <w:tab/>
        <w:t>(b)</w:t>
      </w:r>
      <w:r>
        <w:tab/>
        <w:t>an employer to pay an employee instead of the employee’s untaken entitlement under section 20, on the termination of the employee’s employment.</w:t>
      </w:r>
    </w:p>
    <w:p>
      <w:pPr>
        <w:pStyle w:val="Footnotesection"/>
      </w:pPr>
      <w:bookmarkStart w:id="169" w:name="_Toc95209522"/>
      <w:bookmarkStart w:id="170" w:name="_Toc90558441"/>
      <w:r>
        <w:tab/>
        <w:t>[Section 22 inserted: No. 30 of 2021 s. 116.]</w:t>
      </w:r>
    </w:p>
    <w:p>
      <w:pPr>
        <w:pStyle w:val="Heading5"/>
      </w:pPr>
      <w:bookmarkStart w:id="171" w:name="_Toc182320741"/>
      <w:bookmarkStart w:id="172" w:name="_Toc106276428"/>
      <w:r>
        <w:rPr>
          <w:rStyle w:val="CharSectno"/>
        </w:rPr>
        <w:t>22A</w:t>
      </w:r>
      <w:r>
        <w:t>.</w:t>
      </w:r>
      <w:r>
        <w:tab/>
        <w:t>Employee to prove entitlements to personal leave</w:t>
      </w:r>
      <w:bookmarkEnd w:id="171"/>
      <w:bookmarkEnd w:id="169"/>
      <w:bookmarkEnd w:id="170"/>
      <w:bookmarkEnd w:id="172"/>
    </w:p>
    <w:p>
      <w:pPr>
        <w:pStyle w:val="Subsection"/>
      </w:pPr>
      <w:r>
        <w:tab/>
      </w:r>
      <w:r>
        <w:tab/>
        <w:t>An employee who claims to be entitled to paid personal leave or unpaid personal leave under this Division must provide to the employer evidence that would satisfy a reasonable person of the entitlement.</w:t>
      </w:r>
    </w:p>
    <w:p>
      <w:pPr>
        <w:pStyle w:val="Footnotesection"/>
      </w:pPr>
      <w:r>
        <w:tab/>
        <w:t>[Section 22A inserted: No. 30 of 2021 s. 116.]</w:t>
      </w:r>
    </w:p>
    <w:p>
      <w:pPr>
        <w:pStyle w:val="Heading3"/>
      </w:pPr>
      <w:bookmarkStart w:id="173" w:name="_Toc182315097"/>
      <w:bookmarkStart w:id="174" w:name="_Toc182315342"/>
      <w:bookmarkStart w:id="175" w:name="_Toc182320742"/>
      <w:bookmarkStart w:id="176" w:name="_Toc106117856"/>
      <w:bookmarkStart w:id="177" w:name="_Toc106204027"/>
      <w:bookmarkStart w:id="178" w:name="_Toc106276429"/>
      <w:bookmarkEnd w:id="152"/>
      <w:r>
        <w:rPr>
          <w:rStyle w:val="CharDivNo"/>
        </w:rPr>
        <w:t>Division 3</w:t>
      </w:r>
      <w:r>
        <w:rPr>
          <w:snapToGrid w:val="0"/>
        </w:rPr>
        <w:t> — </w:t>
      </w:r>
      <w:r>
        <w:rPr>
          <w:rStyle w:val="CharDivText"/>
        </w:rPr>
        <w:t>Annual leave</w:t>
      </w:r>
      <w:bookmarkEnd w:id="173"/>
      <w:bookmarkEnd w:id="174"/>
      <w:bookmarkEnd w:id="175"/>
      <w:bookmarkEnd w:id="176"/>
      <w:bookmarkEnd w:id="177"/>
      <w:bookmarkEnd w:id="178"/>
    </w:p>
    <w:p>
      <w:pPr>
        <w:pStyle w:val="Heading5"/>
        <w:rPr>
          <w:snapToGrid w:val="0"/>
        </w:rPr>
      </w:pPr>
      <w:bookmarkStart w:id="179" w:name="_Toc182320743"/>
      <w:bookmarkStart w:id="180" w:name="_Toc106276430"/>
      <w:r>
        <w:rPr>
          <w:rStyle w:val="CharSectno"/>
        </w:rPr>
        <w:t>23</w:t>
      </w:r>
      <w:r>
        <w:rPr>
          <w:snapToGrid w:val="0"/>
        </w:rPr>
        <w:t>.</w:t>
      </w:r>
      <w:r>
        <w:rPr>
          <w:snapToGrid w:val="0"/>
        </w:rPr>
        <w:tab/>
        <w:t>Paid annual leave, entitlement to</w:t>
      </w:r>
      <w:bookmarkEnd w:id="179"/>
      <w:bookmarkEnd w:id="180"/>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(2)</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(3)</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(4)</w:t>
      </w:r>
      <w:r>
        <w:rPr>
          <w:snapToGrid w:val="0"/>
        </w:rPr>
        <w:tab/>
        <w:t>Subsection (1) does not apply to an employee of a class prescribed by the regulations.</w:t>
      </w:r>
    </w:p>
    <w:p>
      <w:pPr>
        <w:pStyle w:val="Footnotesection"/>
      </w:pPr>
      <w:r>
        <w:tab/>
        <w:t>[Section 23 amended: No. 20 of 2002 s. 173(1); No. 36 of 2006 s. 34.]</w:t>
      </w:r>
    </w:p>
    <w:p>
      <w:pPr>
        <w:pStyle w:val="Heading5"/>
        <w:rPr>
          <w:snapToGrid w:val="0"/>
        </w:rPr>
      </w:pPr>
      <w:bookmarkStart w:id="181" w:name="_Toc182320744"/>
      <w:bookmarkStart w:id="182" w:name="_Toc106276431"/>
      <w:r>
        <w:rPr>
          <w:rStyle w:val="CharSectno"/>
        </w:rPr>
        <w:t>24</w:t>
      </w:r>
      <w:r>
        <w:rPr>
          <w:snapToGrid w:val="0"/>
        </w:rPr>
        <w:t>.</w:t>
      </w:r>
      <w:r>
        <w:rPr>
          <w:snapToGrid w:val="0"/>
        </w:rPr>
        <w:tab/>
        <w:t>Annual leave payments, when to be made</w:t>
      </w:r>
      <w:bookmarkEnd w:id="181"/>
      <w:bookmarkEnd w:id="182"/>
    </w:p>
    <w:p>
      <w:pPr>
        <w:pStyle w:val="Subsection"/>
        <w:rPr>
          <w:snapToGrid w:val="0"/>
        </w:rPr>
      </w:pPr>
      <w:r>
        <w:rPr>
          <w:snapToGrid w:val="0"/>
        </w:rPr>
        <w:tab/>
        <w:t>(1)</w:t>
      </w:r>
      <w:r>
        <w:rPr>
          <w:snapToGrid w:val="0"/>
        </w:rPr>
        <w:tab/>
        <w:t xml:space="preserve">An employee is to be paid for a period of annual leave at the time payment is made in the normal course of the employment, unless the employee requests in writing that </w:t>
      </w:r>
      <w:bookmarkStart w:id="183" w:name="_Hlk106201861"/>
      <w:r>
        <w:t>the employee</w:t>
      </w:r>
      <w:bookmarkEnd w:id="183"/>
      <w:r>
        <w:rPr>
          <w:snapToGrid w:val="0"/>
        </w:rPr>
        <w:t xml:space="preserve"> be paid before the period of leave commences in which case the employee is to be so paid.</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an employee lawfully leaves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 xml:space="preserve">before the employee has taken annual leave to which </w:t>
      </w:r>
      <w:r>
        <w:t>the employee</w:t>
      </w:r>
      <w:r>
        <w:rPr>
          <w:snapToGrid w:val="0"/>
        </w:rPr>
        <w:t xml:space="preserve"> is entitled, the employee is to be paid for all of that annual leave.</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an employee leaves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 xml:space="preserve">in circumstances other than those referred to in subsection (2) before the employee has taken annual leave to which </w:t>
      </w:r>
      <w:r>
        <w:t>the employee</w:t>
      </w:r>
      <w:r>
        <w:rPr>
          <w:snapToGrid w:val="0"/>
        </w:rPr>
        <w:t xml:space="preserv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(4)</w:t>
      </w:r>
      <w:r>
        <w:rPr>
          <w:snapToGrid w:val="0"/>
        </w:rPr>
        <w:tab/>
        <w:t>In this section —</w:t>
      </w:r>
    </w:p>
    <w:p>
      <w:pPr>
        <w:pStyle w:val="Defstart"/>
        <w:keepNext/>
        <w:keepLines/>
      </w:pPr>
      <w:r>
        <w:rPr>
          <w:b/>
        </w:rPr>
        <w:tab/>
      </w:r>
      <w:r>
        <w:rPr>
          <w:rStyle w:val="CharDefText"/>
        </w:rPr>
        <w:t>year</w:t>
      </w:r>
      <w:r>
        <w:t xml:space="preserve"> does not include any period of unpaid leave.</w:t>
      </w:r>
    </w:p>
    <w:p>
      <w:pPr>
        <w:pStyle w:val="Footnotesection"/>
      </w:pPr>
      <w:r>
        <w:tab/>
        <w:t>[Section 24 amended: No. 3 of 1997 s. 39; No. 30 of 2021 s. 121(2) and (3).]</w:t>
      </w:r>
    </w:p>
    <w:p>
      <w:pPr>
        <w:pStyle w:val="Heading5"/>
        <w:rPr>
          <w:snapToGrid w:val="0"/>
        </w:rPr>
      </w:pPr>
      <w:bookmarkStart w:id="184" w:name="_Toc182320745"/>
      <w:bookmarkStart w:id="185" w:name="_Toc106276432"/>
      <w:r>
        <w:rPr>
          <w:rStyle w:val="CharSectno"/>
        </w:rPr>
        <w:t>25</w:t>
      </w:r>
      <w:r>
        <w:rPr>
          <w:snapToGrid w:val="0"/>
        </w:rPr>
        <w:t>.</w:t>
      </w:r>
      <w:r>
        <w:rPr>
          <w:snapToGrid w:val="0"/>
        </w:rPr>
        <w:tab/>
        <w:t>Annual leave, when may be taken</w:t>
      </w:r>
      <w:bookmarkEnd w:id="184"/>
      <w:bookmarkEnd w:id="185"/>
    </w:p>
    <w:p>
      <w:pPr>
        <w:pStyle w:val="Subsection"/>
        <w:rPr>
          <w:snapToGrid w:val="0"/>
        </w:rPr>
      </w:pPr>
      <w:r>
        <w:rPr>
          <w:snapToGrid w:val="0"/>
        </w:rPr>
        <w:tab/>
        <w:t>(1)</w:t>
      </w:r>
      <w:r>
        <w:rPr>
          <w:snapToGrid w:val="0"/>
        </w:rPr>
        <w:tab/>
        <w:t>Where an employer and an employee have not agreed when the employee is to take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(2)</w:t>
      </w:r>
      <w:r>
        <w:rPr>
          <w:snapToGrid w:val="0"/>
        </w:rPr>
        <w:tab/>
        <w:t>The employee is to give the employer at least 2 weeks’ notice of the period during which the employee intends to take leave.</w:t>
      </w:r>
    </w:p>
    <w:p>
      <w:pPr>
        <w:pStyle w:val="Footnotesection"/>
      </w:pPr>
      <w:r>
        <w:tab/>
        <w:t>[Section 25 amended: No. 30 of 2021 s. 121(3).]</w:t>
      </w:r>
    </w:p>
    <w:p>
      <w:pPr>
        <w:pStyle w:val="Heading5"/>
        <w:rPr>
          <w:snapToGrid w:val="0"/>
        </w:rPr>
      </w:pPr>
      <w:bookmarkStart w:id="186" w:name="_Toc182320746"/>
      <w:bookmarkStart w:id="187" w:name="_Toc106276433"/>
      <w:r>
        <w:rPr>
          <w:rStyle w:val="CharSectno"/>
        </w:rPr>
        <w:t>26</w:t>
      </w:r>
      <w:r>
        <w:rPr>
          <w:snapToGrid w:val="0"/>
        </w:rPr>
        <w:t>.</w:t>
      </w:r>
      <w:r>
        <w:rPr>
          <w:snapToGrid w:val="0"/>
        </w:rPr>
        <w:tab/>
        <w:t>General Order as to annual leave of no effect</w:t>
      </w:r>
      <w:bookmarkEnd w:id="186"/>
      <w:bookmarkEnd w:id="187"/>
    </w:p>
    <w:p>
      <w:pPr>
        <w:pStyle w:val="Subsection"/>
        <w:rPr>
          <w:snapToGrid w:val="0"/>
        </w:rPr>
      </w:pPr>
      <w:r>
        <w:rPr>
          <w:snapToGrid w:val="0"/>
        </w:rPr>
        <w:tab/>
      </w:r>
      <w:r>
        <w:rPr>
          <w:snapToGrid w:val="0"/>
        </w:rPr>
        <w:tab/>
        <w:t>The General Order prescribing minimum conditions as to annual leave under section 50(5)</w:t>
      </w:r>
      <w:r>
        <w:rPr>
          <w:snapToGrid w:val="0"/>
          <w:vertAlign w:val="superscript"/>
        </w:rPr>
        <w:t> 2</w:t>
      </w:r>
      <w:r>
        <w:rPr>
          <w:snapToGrid w:val="0"/>
        </w:rPr>
        <w:t xml:space="preserve"> of the IR Act in force at the commencement of this Act is of no effect after the commencement.</w:t>
      </w:r>
    </w:p>
    <w:p>
      <w:pPr>
        <w:pStyle w:val="Footnotesection"/>
      </w:pPr>
      <w:r>
        <w:tab/>
        <w:t>[Section 26 amended: No. 20 of 2002 s. 177.]</w:t>
      </w:r>
    </w:p>
    <w:p>
      <w:pPr>
        <w:pStyle w:val="Heading3"/>
      </w:pPr>
      <w:bookmarkStart w:id="188" w:name="_Toc182315102"/>
      <w:bookmarkStart w:id="189" w:name="_Toc182315347"/>
      <w:bookmarkStart w:id="190" w:name="_Toc182320747"/>
      <w:bookmarkStart w:id="191" w:name="_Toc106117861"/>
      <w:bookmarkStart w:id="192" w:name="_Toc106204032"/>
      <w:bookmarkStart w:id="193" w:name="_Toc106276434"/>
      <w:r>
        <w:rPr>
          <w:rStyle w:val="CharDivNo"/>
        </w:rPr>
        <w:t>Division 4</w:t>
      </w:r>
      <w:r>
        <w:rPr>
          <w:snapToGrid w:val="0"/>
        </w:rPr>
        <w:t> — </w:t>
      </w:r>
      <w:r>
        <w:rPr>
          <w:rStyle w:val="CharDivText"/>
        </w:rPr>
        <w:t>Bereavement leave</w:t>
      </w:r>
      <w:bookmarkEnd w:id="188"/>
      <w:bookmarkEnd w:id="189"/>
      <w:bookmarkEnd w:id="190"/>
      <w:bookmarkEnd w:id="191"/>
      <w:bookmarkEnd w:id="192"/>
      <w:bookmarkEnd w:id="193"/>
    </w:p>
    <w:p>
      <w:pPr>
        <w:pStyle w:val="Heading5"/>
        <w:spacing w:before="180"/>
        <w:rPr>
          <w:snapToGrid w:val="0"/>
        </w:rPr>
      </w:pPr>
      <w:bookmarkStart w:id="194" w:name="_Toc182320748"/>
      <w:bookmarkStart w:id="195" w:name="_Toc106276435"/>
      <w:r>
        <w:rPr>
          <w:rStyle w:val="CharSectno"/>
        </w:rPr>
        <w:t>27</w:t>
      </w:r>
      <w:r>
        <w:rPr>
          <w:snapToGrid w:val="0"/>
        </w:rPr>
        <w:t>.</w:t>
      </w:r>
      <w:r>
        <w:rPr>
          <w:snapToGrid w:val="0"/>
        </w:rPr>
        <w:tab/>
        <w:t>Paid bereavement leave, entitlement to</w:t>
      </w:r>
      <w:bookmarkEnd w:id="194"/>
      <w:bookmarkEnd w:id="195"/>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(2)</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No. 28 of 2003 s. 146; No. 36 of 2006 s. 35.]</w:t>
      </w:r>
    </w:p>
    <w:p>
      <w:pPr>
        <w:pStyle w:val="Heading5"/>
        <w:rPr>
          <w:snapToGrid w:val="0"/>
        </w:rPr>
      </w:pPr>
      <w:bookmarkStart w:id="196" w:name="_Toc182320749"/>
      <w:bookmarkStart w:id="197" w:name="_Toc106276436"/>
      <w:r>
        <w:rPr>
          <w:rStyle w:val="CharSectno"/>
        </w:rPr>
        <w:t>28</w:t>
      </w:r>
      <w:r>
        <w:rPr>
          <w:snapToGrid w:val="0"/>
        </w:rPr>
        <w:t>.</w:t>
      </w:r>
      <w:r>
        <w:rPr>
          <w:snapToGrid w:val="0"/>
        </w:rPr>
        <w:tab/>
        <w:t>Proof of entitlement may be required</w:t>
      </w:r>
      <w:bookmarkEnd w:id="196"/>
      <w:bookmarkEnd w:id="197"/>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pPr>
      <w:bookmarkStart w:id="198" w:name="_Toc182315105"/>
      <w:bookmarkStart w:id="199" w:name="_Toc182315350"/>
      <w:bookmarkStart w:id="200" w:name="_Toc182320750"/>
      <w:bookmarkStart w:id="201" w:name="_Toc106117864"/>
      <w:bookmarkStart w:id="202" w:name="_Toc106204035"/>
      <w:bookmarkStart w:id="203" w:name="_Toc106276437"/>
      <w:r>
        <w:rPr>
          <w:rStyle w:val="CharDivNo"/>
        </w:rPr>
        <w:t>Division 5</w:t>
      </w:r>
      <w:r>
        <w:rPr>
          <w:snapToGrid w:val="0"/>
        </w:rPr>
        <w:t> — </w:t>
      </w:r>
      <w:r>
        <w:rPr>
          <w:rStyle w:val="CharDivText"/>
        </w:rPr>
        <w:t>Public holidays</w:t>
      </w:r>
      <w:bookmarkEnd w:id="198"/>
      <w:bookmarkEnd w:id="199"/>
      <w:bookmarkEnd w:id="200"/>
      <w:bookmarkEnd w:id="201"/>
      <w:bookmarkEnd w:id="202"/>
      <w:bookmarkEnd w:id="203"/>
    </w:p>
    <w:p>
      <w:pPr>
        <w:pStyle w:val="Ednotesection"/>
        <w:keepNext/>
        <w:keepLines/>
      </w:pPr>
      <w:r>
        <w:t>[</w:t>
      </w:r>
      <w:r>
        <w:rPr>
          <w:b/>
        </w:rPr>
        <w:t>29.</w:t>
      </w:r>
      <w:r>
        <w:tab/>
        <w:t>Deleted: No. 36 of 2006 s. 6.]</w:t>
      </w:r>
    </w:p>
    <w:p>
      <w:pPr>
        <w:pStyle w:val="Heading5"/>
        <w:rPr>
          <w:snapToGrid w:val="0"/>
        </w:rPr>
      </w:pPr>
      <w:bookmarkStart w:id="204" w:name="_Toc182320751"/>
      <w:bookmarkStart w:id="205" w:name="_Toc106276438"/>
      <w:r>
        <w:rPr>
          <w:rStyle w:val="CharSectno"/>
        </w:rPr>
        <w:t>30</w:t>
      </w:r>
      <w:r>
        <w:rPr>
          <w:snapToGrid w:val="0"/>
        </w:rPr>
        <w:t>.</w:t>
      </w:r>
      <w:r>
        <w:rPr>
          <w:snapToGrid w:val="0"/>
        </w:rPr>
        <w:tab/>
        <w:t>Public holidays, entitlement to pay for</w:t>
      </w:r>
      <w:bookmarkEnd w:id="204"/>
      <w:bookmarkEnd w:id="205"/>
    </w:p>
    <w:p>
      <w:pPr>
        <w:pStyle w:val="Subsection"/>
        <w:rPr>
          <w:snapToGrid w:val="0"/>
        </w:rPr>
      </w:pPr>
      <w:r>
        <w:rPr>
          <w:snapToGrid w:val="0"/>
        </w:rPr>
        <w:tab/>
      </w:r>
      <w:r>
        <w:rPr>
          <w:snapToGrid w:val="0"/>
        </w:rPr>
        <w:tab/>
        <w:t xml:space="preserve">An employee, other than a casual employee, who in any area of the State is not required to work on a day solely because that day is a public holiday in that area, is entitled to be paid as if </w:t>
      </w:r>
      <w:r>
        <w:t>the employee</w:t>
      </w:r>
      <w:r>
        <w:rPr>
          <w:snapToGrid w:val="0"/>
        </w:rPr>
        <w:t xml:space="preserve"> were required to work on that day.</w:t>
      </w:r>
    </w:p>
    <w:p>
      <w:pPr>
        <w:pStyle w:val="Footnotesection"/>
      </w:pPr>
      <w:r>
        <w:tab/>
        <w:t>[Section 30 amended: No. 30 of 2021 s. 121(2).]</w:t>
      </w:r>
    </w:p>
    <w:p>
      <w:pPr>
        <w:pStyle w:val="Heading5"/>
        <w:rPr>
          <w:snapToGrid w:val="0"/>
        </w:rPr>
      </w:pPr>
      <w:bookmarkStart w:id="206" w:name="_Toc182320752"/>
      <w:bookmarkStart w:id="207" w:name="_Toc106276439"/>
      <w:r>
        <w:rPr>
          <w:rStyle w:val="CharSectno"/>
        </w:rPr>
        <w:t>31</w:t>
      </w:r>
      <w:r>
        <w:rPr>
          <w:snapToGrid w:val="0"/>
        </w:rPr>
        <w:t>.</w:t>
      </w:r>
      <w:r>
        <w:rPr>
          <w:snapToGrid w:val="0"/>
        </w:rPr>
        <w:tab/>
        <w:t>Penalty rates for work on public holidays not a minimum condition</w:t>
      </w:r>
      <w:bookmarkEnd w:id="206"/>
      <w:bookmarkEnd w:id="207"/>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pPr>
      <w:bookmarkStart w:id="208" w:name="_Toc182315108"/>
      <w:bookmarkStart w:id="209" w:name="_Toc182315353"/>
      <w:bookmarkStart w:id="210" w:name="_Toc182320753"/>
      <w:bookmarkStart w:id="211" w:name="_Toc106117867"/>
      <w:bookmarkStart w:id="212" w:name="_Toc106204038"/>
      <w:bookmarkStart w:id="213" w:name="_Toc106276440"/>
      <w:r>
        <w:rPr>
          <w:rStyle w:val="CharDivNo"/>
        </w:rPr>
        <w:t>Division 6</w:t>
      </w:r>
      <w:r>
        <w:rPr>
          <w:snapToGrid w:val="0"/>
        </w:rPr>
        <w:t> — </w:t>
      </w:r>
      <w:r>
        <w:rPr>
          <w:rStyle w:val="CharDivText"/>
        </w:rPr>
        <w:t>Parental leave</w:t>
      </w:r>
      <w:bookmarkEnd w:id="208"/>
      <w:bookmarkEnd w:id="209"/>
      <w:bookmarkEnd w:id="210"/>
      <w:bookmarkEnd w:id="211"/>
      <w:bookmarkEnd w:id="212"/>
      <w:bookmarkEnd w:id="213"/>
    </w:p>
    <w:p>
      <w:pPr>
        <w:pStyle w:val="Heading5"/>
        <w:rPr>
          <w:snapToGrid w:val="0"/>
        </w:rPr>
      </w:pPr>
      <w:bookmarkStart w:id="214" w:name="_Toc182320754"/>
      <w:bookmarkStart w:id="215" w:name="_Toc106276441"/>
      <w:r>
        <w:rPr>
          <w:rStyle w:val="CharSectno"/>
        </w:rPr>
        <w:t>32</w:t>
      </w:r>
      <w:r>
        <w:rPr>
          <w:snapToGrid w:val="0"/>
        </w:rPr>
        <w:t>.</w:t>
      </w:r>
      <w:r>
        <w:rPr>
          <w:snapToGrid w:val="0"/>
        </w:rPr>
        <w:tab/>
        <w:t>Terms used</w:t>
      </w:r>
      <w:bookmarkEnd w:id="214"/>
      <w:bookmarkEnd w:id="215"/>
    </w:p>
    <w:p>
      <w:pPr>
        <w:pStyle w:val="Subsection"/>
        <w:rPr>
          <w:snapToGrid w:val="0"/>
        </w:rPr>
      </w:pPr>
      <w:r>
        <w:rPr>
          <w:snapToGrid w:val="0"/>
        </w:rPr>
        <w:tab/>
        <w:t>(1)</w:t>
      </w:r>
      <w:r>
        <w:rPr>
          <w:snapToGrid w:val="0"/>
        </w:rPr>
        <w:tab/>
        <w:t>In this Division —</w:t>
      </w:r>
    </w:p>
    <w:p>
      <w:pPr>
        <w:pStyle w:val="Defstart"/>
      </w:pPr>
      <w:r>
        <w:rPr>
          <w:b/>
        </w:rPr>
        <w:tab/>
      </w:r>
      <w:r>
        <w:rPr>
          <w:rStyle w:val="CharDefText"/>
        </w:rPr>
        <w:t>adoption</w:t>
      </w:r>
      <w:r>
        <w:t>, in relation to a child, is a reference to a child who —</w:t>
      </w:r>
    </w:p>
    <w:p>
      <w:pPr>
        <w:pStyle w:val="Defpara"/>
      </w:pPr>
      <w:r>
        <w:tab/>
        <w:t>(a)</w:t>
      </w:r>
      <w:r>
        <w:tab/>
        <w:t>is not the child or the step</w:t>
      </w:r>
      <w:r>
        <w:noBreakHyphen/>
        <w:t>child of the employee or the employee’s spouse or de facto partner; and</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 and</w:t>
      </w:r>
    </w:p>
    <w:p>
      <w:pPr>
        <w:pStyle w:val="Indenta"/>
        <w:spacing w:before="120"/>
      </w:pPr>
      <w:r>
        <w:tab/>
        <w:t>(b)</w:t>
      </w:r>
      <w:r>
        <w:tab/>
        <w:t>at the end of the first period of employment, the employee ceased, on the employer’s initiative, to be so engaged by the employer; and</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 and</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No. 20 of 2002 s. 22(6); No. 28 of 2003 s. 147; No. 36 of 2006 s. 36; amended: Gazette 15 Aug 2003 p. 3688.]</w:t>
      </w:r>
    </w:p>
    <w:p>
      <w:pPr>
        <w:pStyle w:val="Heading5"/>
        <w:rPr>
          <w:snapToGrid w:val="0"/>
        </w:rPr>
      </w:pPr>
      <w:bookmarkStart w:id="216" w:name="_Toc182320755"/>
      <w:bookmarkStart w:id="217" w:name="_Toc106276442"/>
      <w:r>
        <w:rPr>
          <w:rStyle w:val="CharSectno"/>
        </w:rPr>
        <w:t>33</w:t>
      </w:r>
      <w:r>
        <w:rPr>
          <w:snapToGrid w:val="0"/>
        </w:rPr>
        <w:t>.</w:t>
      </w:r>
      <w:r>
        <w:rPr>
          <w:snapToGrid w:val="0"/>
        </w:rPr>
        <w:tab/>
        <w:t>Unpaid parental leave, entitlement to</w:t>
      </w:r>
      <w:bookmarkEnd w:id="216"/>
      <w:bookmarkEnd w:id="217"/>
    </w:p>
    <w:p>
      <w:pPr>
        <w:pStyle w:val="Subsection"/>
        <w:rPr>
          <w:snapToGrid w:val="0"/>
        </w:rPr>
      </w:pPr>
      <w:r>
        <w:rPr>
          <w:snapToGrid w:val="0"/>
        </w:rPr>
        <w:tab/>
        <w:t>(1)</w:t>
      </w:r>
      <w:r>
        <w:rPr>
          <w:snapToGrid w:val="0"/>
        </w:rPr>
        <w:tab/>
        <w:t>Subject to sections 35, 36(1) and 37(1), an employee is entitled to take up to 52 consecutive weeks of unpaid leave in respect of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(2)</w:t>
      </w:r>
      <w:r>
        <w:rPr>
          <w:snapToGrid w:val="0"/>
        </w:rPr>
        <w:tab/>
        <w:t>An employee is not entitled to take parental leave unless</w:t>
      </w:r>
      <w:r>
        <w:t xml:space="preserve"> the employee</w:t>
      </w:r>
      <w:r>
        <w:rPr>
          <w:snapToGrid w:val="0"/>
        </w:rPr>
        <w:t>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 xml:space="preserve">has given the employer at least 10 weeks’ written notice of </w:t>
      </w:r>
      <w:r>
        <w:t>the employee’s</w:t>
      </w:r>
      <w:r>
        <w:rPr>
          <w:snapToGrid w:val="0"/>
        </w:rPr>
        <w:t xml:space="preserve">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The entitlement of an employee to parental leave is reduced by any period of parental leave taken by the employee’s spouse or de facto partner in relation to the same child, except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No. 28 of 2003 s. 148 and 150; No. 36 of 2006 s. 37; No. 30 of 2021 s. 121(1) and (2).]</w:t>
      </w:r>
    </w:p>
    <w:p>
      <w:pPr>
        <w:pStyle w:val="Heading5"/>
        <w:rPr>
          <w:snapToGrid w:val="0"/>
        </w:rPr>
      </w:pPr>
      <w:bookmarkStart w:id="218" w:name="_Toc182320756"/>
      <w:bookmarkStart w:id="219" w:name="_Toc106276443"/>
      <w:r>
        <w:rPr>
          <w:rStyle w:val="CharSectno"/>
        </w:rPr>
        <w:t>34</w:t>
      </w:r>
      <w:r>
        <w:rPr>
          <w:snapToGrid w:val="0"/>
        </w:rPr>
        <w:t>.</w:t>
      </w:r>
      <w:r>
        <w:rPr>
          <w:snapToGrid w:val="0"/>
        </w:rPr>
        <w:tab/>
        <w:t>Maternity leave to start 6 weeks before birth</w:t>
      </w:r>
      <w:bookmarkEnd w:id="218"/>
      <w:bookmarkEnd w:id="219"/>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No. 28 of 2003 s. 149.]</w:t>
      </w:r>
    </w:p>
    <w:p>
      <w:pPr>
        <w:pStyle w:val="Heading5"/>
        <w:rPr>
          <w:snapToGrid w:val="0"/>
        </w:rPr>
      </w:pPr>
      <w:bookmarkStart w:id="220" w:name="_Toc182320757"/>
      <w:bookmarkStart w:id="221" w:name="_Toc106276444"/>
      <w:r>
        <w:rPr>
          <w:rStyle w:val="CharSectno"/>
        </w:rPr>
        <w:t>35</w:t>
      </w:r>
      <w:r>
        <w:rPr>
          <w:snapToGrid w:val="0"/>
        </w:rPr>
        <w:t>.</w:t>
      </w:r>
      <w:r>
        <w:rPr>
          <w:snapToGrid w:val="0"/>
        </w:rPr>
        <w:tab/>
        <w:t>Employee to prove entitlement to parental leave</w:t>
      </w:r>
      <w:bookmarkEnd w:id="220"/>
      <w:bookmarkEnd w:id="221"/>
    </w:p>
    <w:p>
      <w:pPr>
        <w:pStyle w:val="Subsection"/>
        <w:rPr>
          <w:snapToGrid w:val="0"/>
        </w:rPr>
      </w:pPr>
      <w:r>
        <w:rPr>
          <w:snapToGrid w:val="0"/>
        </w:rPr>
        <w:tab/>
      </w:r>
      <w:r>
        <w:rPr>
          <w:snapToGrid w:val="0"/>
        </w:rPr>
        <w:tab/>
        <w:t xml:space="preserve">An employee who has given notice of </w:t>
      </w:r>
      <w:bookmarkStart w:id="222" w:name="_Hlk106201184"/>
      <w:r>
        <w:t>the employee’s</w:t>
      </w:r>
      <w:bookmarkEnd w:id="222"/>
      <w:r>
        <w:rPr>
          <w:snapToGrid w:val="0"/>
        </w:rPr>
        <w:t xml:space="preserve">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No. 28 of 2003 s. 150; No. 30 of 2021 s. 121(1).]</w:t>
      </w:r>
    </w:p>
    <w:p>
      <w:pPr>
        <w:pStyle w:val="Heading5"/>
        <w:rPr>
          <w:snapToGrid w:val="0"/>
        </w:rPr>
      </w:pPr>
      <w:bookmarkStart w:id="223" w:name="_Toc182320758"/>
      <w:bookmarkStart w:id="224" w:name="_Toc106276445"/>
      <w:r>
        <w:rPr>
          <w:rStyle w:val="CharSectno"/>
        </w:rPr>
        <w:t>36</w:t>
      </w:r>
      <w:r>
        <w:rPr>
          <w:snapToGrid w:val="0"/>
        </w:rPr>
        <w:t>.</w:t>
      </w:r>
      <w:r>
        <w:rPr>
          <w:snapToGrid w:val="0"/>
        </w:rPr>
        <w:tab/>
        <w:t>Employee to notify employer of spouse’s parental leave</w:t>
      </w:r>
      <w:bookmarkEnd w:id="223"/>
      <w:bookmarkEnd w:id="224"/>
    </w:p>
    <w:p>
      <w:pPr>
        <w:pStyle w:val="Subsection"/>
        <w:rPr>
          <w:snapToGrid w:val="0"/>
        </w:rPr>
      </w:pPr>
      <w:r>
        <w:rPr>
          <w:snapToGrid w:val="0"/>
        </w:rPr>
        <w:tab/>
        <w:t>(1)</w:t>
      </w:r>
      <w:r>
        <w:rPr>
          <w:snapToGrid w:val="0"/>
        </w:rPr>
        <w:tab/>
        <w:t xml:space="preserve">An employee who has given notice of </w:t>
      </w:r>
      <w:r>
        <w:t>the employee’s</w:t>
      </w:r>
      <w:r>
        <w:rPr>
          <w:snapToGrid w:val="0"/>
        </w:rPr>
        <w:t xml:space="preserve">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No. 28 of 2003 s. 150; No. 30 of 2021 s. 121(1).]</w:t>
      </w:r>
    </w:p>
    <w:p>
      <w:pPr>
        <w:pStyle w:val="Heading5"/>
        <w:rPr>
          <w:snapToGrid w:val="0"/>
        </w:rPr>
      </w:pPr>
      <w:bookmarkStart w:id="225" w:name="_Toc182320759"/>
      <w:bookmarkStart w:id="226" w:name="_Toc106276446"/>
      <w:r>
        <w:rPr>
          <w:rStyle w:val="CharSectno"/>
        </w:rPr>
        <w:t>37</w:t>
      </w:r>
      <w:r>
        <w:rPr>
          <w:snapToGrid w:val="0"/>
        </w:rPr>
        <w:t>.</w:t>
      </w:r>
      <w:r>
        <w:rPr>
          <w:snapToGrid w:val="0"/>
        </w:rPr>
        <w:tab/>
        <w:t>Parental leave period, notice to employer of etc.</w:t>
      </w:r>
      <w:bookmarkEnd w:id="225"/>
      <w:bookmarkEnd w:id="226"/>
    </w:p>
    <w:p>
      <w:pPr>
        <w:pStyle w:val="Subsection"/>
        <w:rPr>
          <w:snapToGrid w:val="0"/>
        </w:rPr>
      </w:pPr>
      <w:r>
        <w:rPr>
          <w:snapToGrid w:val="0"/>
        </w:rPr>
        <w:tab/>
        <w:t>(1)</w:t>
      </w:r>
      <w:r>
        <w:rPr>
          <w:snapToGrid w:val="0"/>
        </w:rPr>
        <w:tab/>
        <w:t xml:space="preserve">An employee who has given notice of </w:t>
      </w:r>
      <w:r>
        <w:t>the employee’s</w:t>
      </w:r>
      <w:r>
        <w:rPr>
          <w:snapToGrid w:val="0"/>
        </w:rPr>
        <w:t xml:space="preserve"> intention to take parental leave is to notify the employer of the dates on which the employee wishes to start and finish the leave.</w:t>
      </w:r>
    </w:p>
    <w:p>
      <w:pPr>
        <w:pStyle w:val="Subsection"/>
        <w:rPr>
          <w:snapToGrid w:val="0"/>
        </w:rPr>
      </w:pPr>
      <w:r>
        <w:rPr>
          <w:snapToGrid w:val="0"/>
        </w:rPr>
        <w:tab/>
        <w:t>(2)</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(3)</w:t>
      </w:r>
      <w:r>
        <w:rPr>
          <w:snapToGrid w:val="0"/>
        </w:rPr>
        <w:tab/>
        <w:t>The starting and finishing dates of a period of parental leave are to be agreed between the employee and employer.</w:t>
      </w:r>
    </w:p>
    <w:p>
      <w:pPr>
        <w:pStyle w:val="Footnotesection"/>
      </w:pPr>
      <w:r>
        <w:tab/>
        <w:t>[Section 37 amended: No. 30 of 2021 s. 121(1).]</w:t>
      </w:r>
    </w:p>
    <w:p>
      <w:pPr>
        <w:pStyle w:val="Heading5"/>
        <w:rPr>
          <w:snapToGrid w:val="0"/>
        </w:rPr>
      </w:pPr>
      <w:bookmarkStart w:id="227" w:name="_Toc182320760"/>
      <w:bookmarkStart w:id="228" w:name="_Toc106276447"/>
      <w:r>
        <w:rPr>
          <w:rStyle w:val="CharSectno"/>
        </w:rPr>
        <w:t>38</w:t>
      </w:r>
      <w:r>
        <w:rPr>
          <w:snapToGrid w:val="0"/>
        </w:rPr>
        <w:t>.</w:t>
      </w:r>
      <w:r>
        <w:rPr>
          <w:snapToGrid w:val="0"/>
        </w:rPr>
        <w:tab/>
        <w:t>Return to work after parental leave</w:t>
      </w:r>
      <w:bookmarkEnd w:id="227"/>
      <w:bookmarkEnd w:id="228"/>
    </w:p>
    <w:p>
      <w:pPr>
        <w:pStyle w:val="Subsection"/>
        <w:rPr>
          <w:snapToGrid w:val="0"/>
        </w:rPr>
      </w:pPr>
      <w:r>
        <w:rPr>
          <w:snapToGrid w:val="0"/>
        </w:rPr>
        <w:tab/>
        <w:t>(1)</w:t>
      </w:r>
      <w:r>
        <w:rPr>
          <w:snapToGrid w:val="0"/>
        </w:rPr>
        <w:tab/>
        <w:t xml:space="preserve">On finishing parental leave, an employee is entitled to the position </w:t>
      </w:r>
      <w:r>
        <w:t>the employee</w:t>
      </w:r>
      <w:r>
        <w:rPr>
          <w:snapToGrid w:val="0"/>
        </w:rPr>
        <w:t xml:space="preserve"> held immediately before starting parental leave.</w:t>
      </w:r>
    </w:p>
    <w:p>
      <w:pPr>
        <w:pStyle w:val="Subsection"/>
        <w:rPr>
          <w:snapToGrid w:val="0"/>
        </w:rPr>
      </w:pPr>
      <w:r>
        <w:rPr>
          <w:snapToGrid w:val="0"/>
        </w:rPr>
        <w:tab/>
        <w:t>(2)</w:t>
      </w:r>
      <w:r>
        <w:rPr>
          <w:snapToGrid w:val="0"/>
        </w:rPr>
        <w:tab/>
        <w:t>If the position referred to in subsection (1) is not available, the employee is entitled to an available position —</w:t>
      </w:r>
    </w:p>
    <w:p>
      <w:pPr>
        <w:pStyle w:val="Indenta"/>
        <w:spacing w:before="60"/>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 xml:space="preserve">most comparable in status and pay to that of </w:t>
      </w:r>
      <w:r>
        <w:t>the employee’s</w:t>
      </w:r>
      <w:r>
        <w:rPr>
          <w:snapToGrid w:val="0"/>
        </w:rPr>
        <w:t xml:space="preserve"> former position.</w:t>
      </w:r>
    </w:p>
    <w:p>
      <w:pPr>
        <w:pStyle w:val="Subsection"/>
        <w:rPr>
          <w:snapToGrid w:val="0"/>
        </w:rPr>
      </w:pPr>
      <w:r>
        <w:rPr>
          <w:snapToGrid w:val="0"/>
        </w:rPr>
        <w:tab/>
        <w:t>(3)</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In subsections (4) to (7) —</w:t>
      </w:r>
    </w:p>
    <w:p>
      <w:pPr>
        <w:pStyle w:val="Defstart"/>
      </w:pPr>
      <w:r>
        <w:rPr>
          <w:b/>
        </w:rPr>
        <w:tab/>
      </w:r>
      <w:r>
        <w:rPr>
          <w:rStyle w:val="CharDefText"/>
        </w:rPr>
        <w:t>modified basis</w:t>
      </w:r>
      <w:r>
        <w:t xml:space="preserve"> means a basis that involves the employee working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If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No. 36 of 2006 s. 38; No. 30 of 2021 s. 121(1) and (2).]</w:t>
      </w:r>
    </w:p>
    <w:p>
      <w:pPr>
        <w:pStyle w:val="Heading5"/>
      </w:pPr>
      <w:bookmarkStart w:id="229" w:name="_Toc182320761"/>
      <w:bookmarkStart w:id="230" w:name="_Toc106276448"/>
      <w:r>
        <w:rPr>
          <w:rStyle w:val="CharSectno"/>
        </w:rPr>
        <w:t>38A</w:t>
      </w:r>
      <w:r>
        <w:t>.</w:t>
      </w:r>
      <w:r>
        <w:tab/>
        <w:t>How and when a request or requirement as to parental leave or return to work can be made</w:t>
      </w:r>
      <w:bookmarkEnd w:id="229"/>
      <w:bookmarkEnd w:id="230"/>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No. 36 of 2006 s. 39.]</w:t>
      </w:r>
    </w:p>
    <w:p>
      <w:pPr>
        <w:pStyle w:val="Heading5"/>
      </w:pPr>
      <w:bookmarkStart w:id="231" w:name="_Toc182320762"/>
      <w:bookmarkStart w:id="232" w:name="_Toc106276449"/>
      <w:r>
        <w:rPr>
          <w:rStyle w:val="CharSectno"/>
        </w:rPr>
        <w:t>38B</w:t>
      </w:r>
      <w:r>
        <w:t>.</w:t>
      </w:r>
      <w:r>
        <w:tab/>
        <w:t>Grounds for determining a request or making a requirement as to parental leave or return to work</w:t>
      </w:r>
      <w:bookmarkEnd w:id="231"/>
      <w:bookmarkEnd w:id="232"/>
    </w:p>
    <w:p>
      <w:pPr>
        <w:pStyle w:val="Subsection"/>
      </w:pPr>
      <w:r>
        <w:tab/>
        <w:t>(1)</w:t>
      </w:r>
      <w:r>
        <w:tab/>
        <w:t>The employer is to agree to a request under section 33(4) or (5) or 38(4) unless —</w:t>
      </w:r>
    </w:p>
    <w:p>
      <w:pPr>
        <w:pStyle w:val="Indenta"/>
        <w:spacing w:before="60"/>
      </w:pPr>
      <w:r>
        <w:tab/>
        <w:t>(a)</w:t>
      </w:r>
      <w:r>
        <w:tab/>
        <w:t>the employer, having considered the employee’s circumstances, is not satisfied that the request is genuinely based on the employee’s parental responsibilities; or</w:t>
      </w:r>
    </w:p>
    <w:p>
      <w:pPr>
        <w:pStyle w:val="Indenta"/>
        <w:spacing w:before="60"/>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Without limiting subsection (1) or section 38(7)(a) the grounds on which a refusal under subsection (1)(b), or a requirement under section 38(6), may be based include the following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spacing w:before="100"/>
        <w:ind w:left="890" w:hanging="890"/>
      </w:pPr>
      <w:r>
        <w:tab/>
        <w:t>[Section 38B inserted: No. 36 of 2006 s. 39.]</w:t>
      </w:r>
    </w:p>
    <w:p>
      <w:pPr>
        <w:pStyle w:val="Heading5"/>
        <w:rPr>
          <w:snapToGrid w:val="0"/>
        </w:rPr>
      </w:pPr>
      <w:bookmarkStart w:id="233" w:name="_Toc182320763"/>
      <w:bookmarkStart w:id="234" w:name="_Toc106276450"/>
      <w:r>
        <w:rPr>
          <w:rStyle w:val="CharSectno"/>
        </w:rPr>
        <w:t>39</w:t>
      </w:r>
      <w:r>
        <w:rPr>
          <w:snapToGrid w:val="0"/>
        </w:rPr>
        <w:t>.</w:t>
      </w:r>
      <w:r>
        <w:rPr>
          <w:snapToGrid w:val="0"/>
        </w:rPr>
        <w:tab/>
        <w:t>Effect of parental leave on service record</w:t>
      </w:r>
      <w:bookmarkEnd w:id="233"/>
      <w:bookmarkEnd w:id="234"/>
    </w:p>
    <w:p>
      <w:pPr>
        <w:pStyle w:val="Subsection"/>
        <w:rPr>
          <w:snapToGrid w:val="0"/>
        </w:rPr>
      </w:pPr>
      <w:r>
        <w:rPr>
          <w:snapToGrid w:val="0"/>
        </w:rPr>
        <w:tab/>
      </w:r>
      <w:r>
        <w:rPr>
          <w:snapToGrid w:val="0"/>
        </w:rPr>
        <w:tab/>
        <w:t>Absence on parental leave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spacing w:before="100"/>
        <w:ind w:left="890" w:hanging="890"/>
      </w:pPr>
      <w:r>
        <w:tab/>
        <w:t>[Section 39 amended: No. 20 of 2002 s. 22(7); amended: Gazette 15 Aug 2003 p. 3688.]</w:t>
      </w:r>
    </w:p>
    <w:p>
      <w:pPr>
        <w:pStyle w:val="Heading3"/>
      </w:pPr>
      <w:bookmarkStart w:id="235" w:name="_Toc182315119"/>
      <w:bookmarkStart w:id="236" w:name="_Toc182315364"/>
      <w:bookmarkStart w:id="237" w:name="_Toc182320764"/>
      <w:bookmarkStart w:id="238" w:name="_Toc95209524"/>
      <w:bookmarkStart w:id="239" w:name="_Toc91144685"/>
      <w:bookmarkStart w:id="240" w:name="_Toc90558443"/>
      <w:bookmarkStart w:id="241" w:name="_Toc90553840"/>
      <w:bookmarkStart w:id="242" w:name="_Toc90551872"/>
      <w:bookmarkStart w:id="243" w:name="_Toc85544079"/>
      <w:bookmarkStart w:id="244" w:name="_Toc85533463"/>
      <w:bookmarkStart w:id="245" w:name="_Toc84935666"/>
      <w:bookmarkStart w:id="246" w:name="_Toc84927686"/>
      <w:bookmarkStart w:id="247" w:name="_Toc84926270"/>
      <w:bookmarkStart w:id="248" w:name="_Toc106204049"/>
      <w:bookmarkStart w:id="249" w:name="_Toc106276451"/>
      <w:bookmarkStart w:id="250" w:name="_Toc106117878"/>
      <w:r>
        <w:rPr>
          <w:rStyle w:val="CharDivNo"/>
        </w:rPr>
        <w:t>Division 7</w:t>
      </w:r>
      <w:r>
        <w:t> — </w:t>
      </w:r>
      <w:r>
        <w:rPr>
          <w:rStyle w:val="CharDivText"/>
        </w:rPr>
        <w:t>Unpaid family and domestic violence leave</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keepNext/>
        <w:tabs>
          <w:tab w:val="left" w:pos="851"/>
        </w:tabs>
      </w:pPr>
      <w:bookmarkStart w:id="251" w:name="_Toc95209525"/>
      <w:bookmarkStart w:id="252" w:name="_Toc90558444"/>
      <w:r>
        <w:tab/>
        <w:t>[Heading inserted: No. 30 of 2021 s. 117.]</w:t>
      </w:r>
    </w:p>
    <w:p>
      <w:pPr>
        <w:pStyle w:val="Heading5"/>
      </w:pPr>
      <w:bookmarkStart w:id="253" w:name="_Toc182320765"/>
      <w:bookmarkStart w:id="254" w:name="_Toc106276452"/>
      <w:r>
        <w:rPr>
          <w:rStyle w:val="CharSectno"/>
        </w:rPr>
        <w:t>39A</w:t>
      </w:r>
      <w:r>
        <w:t>.</w:t>
      </w:r>
      <w:r>
        <w:tab/>
        <w:t>Terms used</w:t>
      </w:r>
      <w:bookmarkEnd w:id="253"/>
      <w:bookmarkEnd w:id="251"/>
      <w:bookmarkEnd w:id="252"/>
      <w:bookmarkEnd w:id="254"/>
    </w:p>
    <w:p>
      <w:pPr>
        <w:pStyle w:val="Subsection"/>
      </w:pPr>
      <w:r>
        <w:tab/>
      </w:r>
      <w:r>
        <w:tab/>
        <w:t xml:space="preserve">In this Division — </w:t>
      </w:r>
    </w:p>
    <w:p>
      <w:pPr>
        <w:pStyle w:val="Defstart"/>
      </w:pPr>
      <w:r>
        <w:tab/>
      </w:r>
      <w:r>
        <w:rPr>
          <w:rStyle w:val="CharDefText"/>
        </w:rPr>
        <w:t>family and domestic violence</w:t>
      </w:r>
      <w:r>
        <w:t xml:space="preserve"> means family violence as defined in the </w:t>
      </w:r>
      <w:r>
        <w:rPr>
          <w:i/>
        </w:rPr>
        <w:t>Restraining Orders Act 1997</w:t>
      </w:r>
      <w:r>
        <w:t xml:space="preserve"> section 5A(1);</w:t>
      </w:r>
    </w:p>
    <w:p>
      <w:pPr>
        <w:pStyle w:val="Defstart"/>
      </w:pPr>
      <w:r>
        <w:tab/>
      </w:r>
      <w:r>
        <w:rPr>
          <w:rStyle w:val="CharDefText"/>
        </w:rPr>
        <w:t>family and domestic violence leave</w:t>
      </w:r>
      <w:r>
        <w:t xml:space="preserve"> means leave required for reasons relating to family and domestic violence.</w:t>
      </w:r>
    </w:p>
    <w:p>
      <w:pPr>
        <w:pStyle w:val="Footnotesection"/>
      </w:pPr>
      <w:bookmarkStart w:id="255" w:name="_Toc95209526"/>
      <w:bookmarkStart w:id="256" w:name="_Toc90558445"/>
      <w:r>
        <w:tab/>
        <w:t>[Section 39A inserted: No. 30 of 2021 s. 117.]</w:t>
      </w:r>
    </w:p>
    <w:p>
      <w:pPr>
        <w:pStyle w:val="Heading5"/>
      </w:pPr>
      <w:bookmarkStart w:id="257" w:name="_Toc182320766"/>
      <w:bookmarkStart w:id="258" w:name="_Toc106276453"/>
      <w:r>
        <w:rPr>
          <w:rStyle w:val="CharSectno"/>
        </w:rPr>
        <w:t>39B</w:t>
      </w:r>
      <w:r>
        <w:t>.</w:t>
      </w:r>
      <w:r>
        <w:tab/>
        <w:t>Entitlement to unpaid family and domestic violence leave</w:t>
      </w:r>
      <w:bookmarkEnd w:id="257"/>
      <w:bookmarkEnd w:id="255"/>
      <w:bookmarkEnd w:id="256"/>
      <w:bookmarkEnd w:id="258"/>
    </w:p>
    <w:p>
      <w:pPr>
        <w:pStyle w:val="Subsection"/>
      </w:pPr>
      <w:r>
        <w:tab/>
        <w:t>(1)</w:t>
      </w:r>
      <w:r>
        <w:tab/>
        <w:t>An employee is entitled to 5 days of unpaid family and domestic violence leave in a 12</w:t>
      </w:r>
      <w:r>
        <w:noBreakHyphen/>
        <w:t>month period.</w:t>
      </w:r>
    </w:p>
    <w:p>
      <w:pPr>
        <w:pStyle w:val="Subsection"/>
      </w:pPr>
      <w:r>
        <w:tab/>
        <w:t>(2)</w:t>
      </w:r>
      <w:r>
        <w:tab/>
        <w:t xml:space="preserve">Unpaid family and domestic violence leave — </w:t>
      </w:r>
    </w:p>
    <w:p>
      <w:pPr>
        <w:pStyle w:val="Indenta"/>
      </w:pPr>
      <w:r>
        <w:tab/>
        <w:t>(a)</w:t>
      </w:r>
      <w:r>
        <w:tab/>
        <w:t>is available in full at the start of each 12</w:t>
      </w:r>
      <w:r>
        <w:noBreakHyphen/>
        <w:t>month period of the employee’s employment; and</w:t>
      </w:r>
    </w:p>
    <w:p>
      <w:pPr>
        <w:pStyle w:val="Indenta"/>
      </w:pPr>
      <w:r>
        <w:tab/>
        <w:t>(b)</w:t>
      </w:r>
      <w:r>
        <w:tab/>
        <w:t>does not accumulate from year to year; and</w:t>
      </w:r>
    </w:p>
    <w:p>
      <w:pPr>
        <w:pStyle w:val="Indenta"/>
      </w:pPr>
      <w:r>
        <w:tab/>
        <w:t>(c)</w:t>
      </w:r>
      <w:r>
        <w:tab/>
        <w:t>is available in full to part</w:t>
      </w:r>
      <w:r>
        <w:noBreakHyphen/>
        <w:t>time and casual employees.</w:t>
      </w:r>
    </w:p>
    <w:p>
      <w:pPr>
        <w:pStyle w:val="Subsection"/>
      </w:pPr>
      <w:r>
        <w:tab/>
        <w:t>(3)</w:t>
      </w:r>
      <w:r>
        <w:tab/>
        <w:t xml:space="preserve">For the purposes of subsection (2), the start of an employee’s employment is taken to be the start of the employee’s first employment with that employer if the employee is employed by a particular employer — </w:t>
      </w:r>
    </w:p>
    <w:p>
      <w:pPr>
        <w:pStyle w:val="Indenta"/>
      </w:pPr>
      <w:r>
        <w:tab/>
        <w:t>(a)</w:t>
      </w:r>
      <w:r>
        <w:tab/>
        <w:t>as a casual employee; or</w:t>
      </w:r>
    </w:p>
    <w:p>
      <w:pPr>
        <w:pStyle w:val="Indenta"/>
      </w:pPr>
      <w:r>
        <w:tab/>
        <w:t>(b)</w:t>
      </w:r>
      <w:r>
        <w:tab/>
        <w:t>for a specified period of time, for a specified task or for the duration of a specified season.</w:t>
      </w:r>
    </w:p>
    <w:p>
      <w:pPr>
        <w:pStyle w:val="Subsection"/>
      </w:pPr>
      <w:r>
        <w:tab/>
        <w:t>(4)</w:t>
      </w:r>
      <w:r>
        <w:tab/>
        <w:t xml:space="preserve">The employee may take unpaid family and domestic violence leave as — </w:t>
      </w:r>
    </w:p>
    <w:p>
      <w:pPr>
        <w:pStyle w:val="Indenta"/>
      </w:pPr>
      <w:r>
        <w:tab/>
        <w:t>(a)</w:t>
      </w:r>
      <w:r>
        <w:tab/>
        <w:t>a single continuous 5 day period; or</w:t>
      </w:r>
    </w:p>
    <w:p>
      <w:pPr>
        <w:pStyle w:val="Indenta"/>
      </w:pPr>
      <w:r>
        <w:tab/>
        <w:t>(b)</w:t>
      </w:r>
      <w:r>
        <w:tab/>
        <w:t>separate periods of 1 or more days each; or</w:t>
      </w:r>
    </w:p>
    <w:p>
      <w:pPr>
        <w:pStyle w:val="Indenta"/>
      </w:pPr>
      <w:r>
        <w:tab/>
        <w:t>(c)</w:t>
      </w:r>
      <w:r>
        <w:tab/>
        <w:t>any separate periods to which the employee and the employer agree, including periods of less than 1 day.</w:t>
      </w:r>
    </w:p>
    <w:p>
      <w:pPr>
        <w:pStyle w:val="Subsection"/>
      </w:pPr>
      <w:r>
        <w:tab/>
        <w:t>(5)</w:t>
      </w:r>
      <w:r>
        <w:tab/>
        <w:t>Unpaid family and domestic violence leave can only be taken in accordance with section 39C.</w:t>
      </w:r>
    </w:p>
    <w:p>
      <w:pPr>
        <w:pStyle w:val="Subsection"/>
      </w:pPr>
      <w:r>
        <w:tab/>
        <w:t>(6)</w:t>
      </w:r>
      <w:r>
        <w:tab/>
        <w:t>Nothing in this section prevents the employee and the employer agreeing that the employee may take more than 5 days of unpaid leave to deal with the impact of family and domestic violence.</w:t>
      </w:r>
    </w:p>
    <w:p>
      <w:pPr>
        <w:pStyle w:val="Footnotesection"/>
      </w:pPr>
      <w:bookmarkStart w:id="259" w:name="_Toc95209527"/>
      <w:bookmarkStart w:id="260" w:name="_Toc90558446"/>
      <w:r>
        <w:tab/>
        <w:t>[Section 39B inserted: No. 30 of 2021 s. 117.]</w:t>
      </w:r>
    </w:p>
    <w:p>
      <w:pPr>
        <w:pStyle w:val="Heading5"/>
      </w:pPr>
      <w:bookmarkStart w:id="261" w:name="_Toc182320767"/>
      <w:bookmarkStart w:id="262" w:name="_Toc106276454"/>
      <w:r>
        <w:rPr>
          <w:rStyle w:val="CharSectno"/>
        </w:rPr>
        <w:t>39C</w:t>
      </w:r>
      <w:r>
        <w:t>.</w:t>
      </w:r>
      <w:r>
        <w:tab/>
        <w:t>Taking unpaid family and domestic violence leave</w:t>
      </w:r>
      <w:bookmarkEnd w:id="261"/>
      <w:bookmarkEnd w:id="259"/>
      <w:bookmarkEnd w:id="260"/>
      <w:bookmarkEnd w:id="262"/>
    </w:p>
    <w:p>
      <w:pPr>
        <w:pStyle w:val="Subsection"/>
      </w:pPr>
      <w:r>
        <w:tab/>
      </w:r>
      <w:r>
        <w:tab/>
        <w:t xml:space="preserve">The employee may take unpaid family and domestic violence leave if — </w:t>
      </w:r>
    </w:p>
    <w:p>
      <w:pPr>
        <w:pStyle w:val="Indenta"/>
      </w:pPr>
      <w:r>
        <w:tab/>
        <w:t>(a)</w:t>
      </w:r>
      <w:r>
        <w:tab/>
        <w:t>the employee is experiencing family and domestic violence; and</w:t>
      </w:r>
    </w:p>
    <w:p>
      <w:pPr>
        <w:pStyle w:val="Indenta"/>
      </w:pPr>
      <w:r>
        <w:tab/>
        <w:t>(b)</w:t>
      </w:r>
      <w:r>
        <w:tab/>
        <w:t>the employee needs to do something to deal with the impact of the family and domestic violence; and</w:t>
      </w:r>
    </w:p>
    <w:p>
      <w:pPr>
        <w:pStyle w:val="Indenta"/>
      </w:pPr>
      <w:r>
        <w:tab/>
        <w:t>(c)</w:t>
      </w:r>
      <w:r>
        <w:tab/>
        <w:t>it is impractical for the employee to do that thing outside the employee’s ordinary hours of work.</w:t>
      </w:r>
    </w:p>
    <w:p>
      <w:pPr>
        <w:pStyle w:val="Footnotesection"/>
      </w:pPr>
      <w:bookmarkStart w:id="263" w:name="_Toc95209528"/>
      <w:bookmarkStart w:id="264" w:name="_Toc90558447"/>
      <w:r>
        <w:tab/>
        <w:t>[Section 39C inserted: No. 30 of 2021 s. 117.]</w:t>
      </w:r>
    </w:p>
    <w:p>
      <w:pPr>
        <w:pStyle w:val="Heading5"/>
      </w:pPr>
      <w:bookmarkStart w:id="265" w:name="_Toc182320768"/>
      <w:bookmarkStart w:id="266" w:name="_Toc106276455"/>
      <w:r>
        <w:rPr>
          <w:rStyle w:val="CharSectno"/>
        </w:rPr>
        <w:t>39D</w:t>
      </w:r>
      <w:r>
        <w:t>.</w:t>
      </w:r>
      <w:r>
        <w:tab/>
        <w:t>Employee to prove entitlements to unpaid family and domestic violence leave</w:t>
      </w:r>
      <w:bookmarkEnd w:id="265"/>
      <w:bookmarkEnd w:id="263"/>
      <w:bookmarkEnd w:id="264"/>
      <w:bookmarkEnd w:id="266"/>
    </w:p>
    <w:p>
      <w:pPr>
        <w:pStyle w:val="Subsection"/>
      </w:pPr>
      <w:r>
        <w:tab/>
      </w:r>
      <w:r>
        <w:tab/>
        <w:t>An employee who claims to be entitled to unpaid family and domestic violence leave under this Division must, if required by the employer, provide to the employer evidence that would satisfy a reasonable person of the entitlement.</w:t>
      </w:r>
    </w:p>
    <w:p>
      <w:pPr>
        <w:pStyle w:val="Footnotesection"/>
      </w:pPr>
      <w:bookmarkStart w:id="267" w:name="_Toc95209529"/>
      <w:bookmarkStart w:id="268" w:name="_Toc90558448"/>
      <w:r>
        <w:tab/>
        <w:t>[Section 39D inserted: No. 30 of 2021 s. 117.]</w:t>
      </w:r>
    </w:p>
    <w:p>
      <w:pPr>
        <w:pStyle w:val="Heading5"/>
      </w:pPr>
      <w:bookmarkStart w:id="269" w:name="_Toc182320769"/>
      <w:bookmarkStart w:id="270" w:name="_Toc106276456"/>
      <w:r>
        <w:rPr>
          <w:rStyle w:val="CharSectno"/>
        </w:rPr>
        <w:t>39E</w:t>
      </w:r>
      <w:r>
        <w:t>.</w:t>
      </w:r>
      <w:r>
        <w:tab/>
        <w:t>Confidentiality</w:t>
      </w:r>
      <w:bookmarkEnd w:id="269"/>
      <w:bookmarkEnd w:id="267"/>
      <w:bookmarkEnd w:id="268"/>
      <w:bookmarkEnd w:id="270"/>
    </w:p>
    <w:p>
      <w:pPr>
        <w:pStyle w:val="Subsection"/>
      </w:pPr>
      <w:r>
        <w:tab/>
        <w:t>(1)</w:t>
      </w:r>
      <w:r>
        <w:tab/>
        <w:t>Employers must take steps to ensure information concerning any notice or evidence an employee has given of the employee taking leave under this Division is treated confidentially, as far as it is reasonably practicable to do so.</w:t>
      </w:r>
    </w:p>
    <w:p>
      <w:pPr>
        <w:pStyle w:val="Subsection"/>
      </w:pPr>
      <w:r>
        <w:tab/>
        <w:t>(2)</w:t>
      </w:r>
      <w:r>
        <w:tab/>
        <w:t>Nothing in this Division prevents an employer from disclosing information provided by an employee if the disclosure is required by a written law or is necessary to protect the life, health or safety of the employee or another person.</w:t>
      </w:r>
    </w:p>
    <w:p>
      <w:pPr>
        <w:pStyle w:val="Footnotesection"/>
      </w:pPr>
      <w:r>
        <w:tab/>
        <w:t>[Section 39E inserted: No. 30 of 2021 s. 117.]</w:t>
      </w:r>
    </w:p>
    <w:p>
      <w:pPr>
        <w:pStyle w:val="Heading2"/>
      </w:pPr>
      <w:bookmarkStart w:id="271" w:name="_Toc182315125"/>
      <w:bookmarkStart w:id="272" w:name="_Toc182315370"/>
      <w:bookmarkStart w:id="273" w:name="_Toc182320770"/>
      <w:bookmarkStart w:id="274" w:name="_Toc106204055"/>
      <w:bookmarkStart w:id="275" w:name="_Toc106276457"/>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271"/>
      <w:bookmarkEnd w:id="272"/>
      <w:bookmarkEnd w:id="273"/>
      <w:bookmarkEnd w:id="250"/>
      <w:bookmarkEnd w:id="274"/>
      <w:bookmarkEnd w:id="275"/>
    </w:p>
    <w:p>
      <w:pPr>
        <w:pStyle w:val="Heading5"/>
        <w:rPr>
          <w:snapToGrid w:val="0"/>
        </w:rPr>
      </w:pPr>
      <w:bookmarkStart w:id="276" w:name="_Toc182320771"/>
      <w:bookmarkStart w:id="277" w:name="_Toc106276458"/>
      <w:r>
        <w:rPr>
          <w:rStyle w:val="CharSectno"/>
        </w:rPr>
        <w:t>40</w:t>
      </w:r>
      <w:r>
        <w:rPr>
          <w:snapToGrid w:val="0"/>
        </w:rPr>
        <w:t>.</w:t>
      </w:r>
      <w:r>
        <w:rPr>
          <w:snapToGrid w:val="0"/>
        </w:rPr>
        <w:tab/>
        <w:t>Terms used</w:t>
      </w:r>
      <w:bookmarkEnd w:id="276"/>
      <w:bookmarkEnd w:id="277"/>
    </w:p>
    <w:p>
      <w:pPr>
        <w:pStyle w:val="Subsection"/>
        <w:rPr>
          <w:snapToGrid w:val="0"/>
        </w:rPr>
      </w:pPr>
      <w:r>
        <w:rPr>
          <w:snapToGrid w:val="0"/>
        </w:rPr>
        <w:tab/>
        <w:t>(1)</w:t>
      </w:r>
      <w:r>
        <w:rPr>
          <w:snapToGrid w:val="0"/>
        </w:rPr>
        <w:tab/>
        <w:t>In this Part —</w:t>
      </w:r>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w:t>
      </w:r>
    </w:p>
    <w:p>
      <w:pPr>
        <w:pStyle w:val="Indenta"/>
        <w:rPr>
          <w:snapToGrid w:val="0"/>
        </w:rPr>
      </w:pPr>
      <w:r>
        <w:rPr>
          <w:snapToGrid w:val="0"/>
        </w:rPr>
        <w:tab/>
        <w:t>(a)</w:t>
      </w:r>
      <w:r>
        <w:rPr>
          <w:snapToGrid w:val="0"/>
        </w:rPr>
        <w:tab/>
        <w:t>there is to be a major change in the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 or</w:t>
      </w:r>
    </w:p>
    <w:p>
      <w:pPr>
        <w:pStyle w:val="Indenta"/>
        <w:rPr>
          <w:snapToGrid w:val="0"/>
        </w:rPr>
      </w:pPr>
      <w:r>
        <w:rPr>
          <w:snapToGrid w:val="0"/>
        </w:rPr>
        <w:tab/>
        <w:t>(b)</w:t>
      </w:r>
      <w:r>
        <w:rPr>
          <w:snapToGrid w:val="0"/>
        </w:rPr>
        <w:tab/>
        <w:t>there is to be elimination or reduction of —</w:t>
      </w:r>
    </w:p>
    <w:p>
      <w:pPr>
        <w:pStyle w:val="Indenti"/>
        <w:rPr>
          <w:snapToGrid w:val="0"/>
        </w:rPr>
      </w:pPr>
      <w:r>
        <w:rPr>
          <w:snapToGrid w:val="0"/>
        </w:rPr>
        <w:tab/>
        <w:t>(i)</w:t>
      </w:r>
      <w:r>
        <w:rPr>
          <w:snapToGrid w:val="0"/>
        </w:rPr>
        <w:tab/>
        <w:t>a job opportunity; or</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 or</w:t>
      </w:r>
    </w:p>
    <w:p>
      <w:pPr>
        <w:pStyle w:val="Indenta"/>
        <w:rPr>
          <w:snapToGrid w:val="0"/>
        </w:rPr>
      </w:pPr>
      <w:r>
        <w:rPr>
          <w:snapToGrid w:val="0"/>
        </w:rPr>
        <w:tab/>
        <w:t>(c)</w:t>
      </w:r>
      <w:r>
        <w:rPr>
          <w:snapToGrid w:val="0"/>
        </w:rPr>
        <w:tab/>
        <w:t>the hours of the employee’s work are to significantly increase or decrease; or</w:t>
      </w:r>
    </w:p>
    <w:p>
      <w:pPr>
        <w:pStyle w:val="Indenta"/>
        <w:rPr>
          <w:snapToGrid w:val="0"/>
        </w:rPr>
      </w:pPr>
      <w:r>
        <w:rPr>
          <w:snapToGrid w:val="0"/>
        </w:rPr>
        <w:tab/>
        <w:t>(d)</w:t>
      </w:r>
      <w:r>
        <w:rPr>
          <w:snapToGrid w:val="0"/>
        </w:rPr>
        <w:tab/>
        <w:t>the employee is to be required to be retrained; or</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No. 20 of 2002 s. 174; No. 44 of 2008 s. 56(7).]</w:t>
      </w:r>
    </w:p>
    <w:p>
      <w:pPr>
        <w:pStyle w:val="Heading5"/>
        <w:rPr>
          <w:snapToGrid w:val="0"/>
        </w:rPr>
      </w:pPr>
      <w:bookmarkStart w:id="278" w:name="_Toc182320772"/>
      <w:bookmarkStart w:id="279" w:name="_Toc106276459"/>
      <w:r>
        <w:rPr>
          <w:rStyle w:val="CharSectno"/>
        </w:rPr>
        <w:t>41</w:t>
      </w:r>
      <w:r>
        <w:rPr>
          <w:snapToGrid w:val="0"/>
        </w:rPr>
        <w:t>.</w:t>
      </w:r>
      <w:r>
        <w:rPr>
          <w:snapToGrid w:val="0"/>
        </w:rPr>
        <w:tab/>
        <w:t>Employee to be informed</w:t>
      </w:r>
      <w:bookmarkEnd w:id="278"/>
      <w:bookmarkEnd w:id="279"/>
    </w:p>
    <w:p>
      <w:pPr>
        <w:pStyle w:val="Subsection"/>
        <w:keepNext/>
        <w:keepLines/>
        <w:rPr>
          <w:snapToGrid w:val="0"/>
        </w:rPr>
      </w:pPr>
      <w:r>
        <w:rPr>
          <w:snapToGrid w:val="0"/>
        </w:rPr>
        <w:tab/>
        <w:t>(1)</w:t>
      </w:r>
      <w:r>
        <w:rPr>
          <w:snapToGrid w:val="0"/>
        </w:rPr>
        <w:tab/>
        <w:t>Where an employer has decided to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(2)</w:t>
      </w:r>
      <w:r>
        <w:rPr>
          <w:snapToGrid w:val="0"/>
        </w:rPr>
        <w:tab/>
        <w:t>The matters to be discussed are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280" w:name="_Toc182320773"/>
      <w:bookmarkStart w:id="281" w:name="_Toc106276460"/>
      <w:r>
        <w:rPr>
          <w:rStyle w:val="CharSectno"/>
        </w:rPr>
        <w:t>42</w:t>
      </w:r>
      <w:r>
        <w:rPr>
          <w:snapToGrid w:val="0"/>
        </w:rPr>
        <w:t>.</w:t>
      </w:r>
      <w:r>
        <w:rPr>
          <w:snapToGrid w:val="0"/>
        </w:rPr>
        <w:tab/>
        <w:t>Employer not bound to disclose prejudicial information</w:t>
      </w:r>
      <w:bookmarkEnd w:id="280"/>
      <w:bookmarkEnd w:id="281"/>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282" w:name="_Toc182320774"/>
      <w:bookmarkStart w:id="283" w:name="_Toc106276461"/>
      <w:r>
        <w:rPr>
          <w:rStyle w:val="CharSectno"/>
        </w:rPr>
        <w:t>43</w:t>
      </w:r>
      <w:r>
        <w:rPr>
          <w:snapToGrid w:val="0"/>
        </w:rPr>
        <w:t>.</w:t>
      </w:r>
      <w:r>
        <w:rPr>
          <w:snapToGrid w:val="0"/>
        </w:rPr>
        <w:tab/>
        <w:t>Paid leave for job interviews, entitlement to</w:t>
      </w:r>
      <w:bookmarkEnd w:id="282"/>
      <w:bookmarkEnd w:id="283"/>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w:t>
      </w:r>
      <w:r>
        <w:t>the employee</w:t>
      </w:r>
      <w:r>
        <w:rPr>
          <w:snapToGrid w:val="0"/>
        </w:rPr>
        <w:t xml:space="preserve"> has been, or will be, made redundant is entitled to paid leave of up to 8 hours for the purpose of being interviewed for further employment.</w:t>
      </w:r>
    </w:p>
    <w:p>
      <w:pPr>
        <w:pStyle w:val="Subsection"/>
        <w:rPr>
          <w:snapToGrid w:val="0"/>
        </w:rPr>
      </w:pPr>
      <w:r>
        <w:rPr>
          <w:snapToGrid w:val="0"/>
        </w:rPr>
        <w:tab/>
        <w:t>(2)</w:t>
      </w:r>
      <w:r>
        <w:rPr>
          <w:snapToGrid w:val="0"/>
        </w:rPr>
        <w:tab/>
        <w:t>The 8 hours need not be consecutive.</w:t>
      </w:r>
    </w:p>
    <w:p>
      <w:pPr>
        <w:pStyle w:val="Subsection"/>
        <w:rPr>
          <w:snapToGrid w:val="0"/>
        </w:rPr>
      </w:pPr>
      <w:r>
        <w:rPr>
          <w:snapToGrid w:val="0"/>
        </w:rPr>
        <w:tab/>
        <w:t>(3)</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(4)</w:t>
      </w:r>
      <w:r>
        <w:rPr>
          <w:snapToGrid w:val="0"/>
        </w:rPr>
        <w:tab/>
        <w:t>Payment for leave under subsection (1) is to be made in accordance with section 18.</w:t>
      </w:r>
    </w:p>
    <w:p>
      <w:pPr>
        <w:pStyle w:val="Footnotesection"/>
      </w:pPr>
      <w:r>
        <w:tab/>
        <w:t>[Section 43 amended: No. 20 of 2002 s. 175; No. 30 of 2021 s. 121(2).]</w:t>
      </w:r>
    </w:p>
    <w:p>
      <w:pPr>
        <w:pStyle w:val="Ednotepart"/>
        <w:tabs>
          <w:tab w:val="left" w:pos="993"/>
        </w:tabs>
      </w:pPr>
      <w:bookmarkStart w:id="284" w:name="_Toc106117883"/>
      <w:r>
        <w:t>[Part 6:</w:t>
      </w:r>
      <w:r>
        <w:tab/>
        <w:t>s. 44, 45 deleted: No. 30 of 2021 s. 118;</w:t>
      </w:r>
      <w:r>
        <w:br/>
      </w:r>
      <w:r>
        <w:tab/>
        <w:t>s. 46 deleted: No. 36 of 2006 s. 42.]</w:t>
      </w:r>
    </w:p>
    <w:p>
      <w:pPr>
        <w:pStyle w:val="Heading2"/>
      </w:pPr>
      <w:bookmarkStart w:id="285" w:name="_Toc182315130"/>
      <w:bookmarkStart w:id="286" w:name="_Toc182315375"/>
      <w:bookmarkStart w:id="287" w:name="_Toc182320775"/>
      <w:bookmarkStart w:id="288" w:name="_Toc106117886"/>
      <w:bookmarkStart w:id="289" w:name="_Toc106204060"/>
      <w:bookmarkStart w:id="290" w:name="_Toc106276462"/>
      <w:bookmarkEnd w:id="284"/>
      <w:r>
        <w:rPr>
          <w:rStyle w:val="CharPartNo"/>
        </w:rPr>
        <w:t>Part 7</w:t>
      </w:r>
      <w:r>
        <w:rPr>
          <w:rStyle w:val="CharDivNo"/>
        </w:rPr>
        <w:t> </w:t>
      </w:r>
      <w:r>
        <w:t>—</w:t>
      </w:r>
      <w:r>
        <w:rPr>
          <w:rStyle w:val="CharDivText"/>
        </w:rPr>
        <w:t> </w:t>
      </w:r>
      <w:r>
        <w:rPr>
          <w:rStyle w:val="CharPartText"/>
        </w:rPr>
        <w:t>Regulations</w:t>
      </w:r>
      <w:bookmarkEnd w:id="285"/>
      <w:bookmarkEnd w:id="286"/>
      <w:bookmarkEnd w:id="287"/>
      <w:bookmarkEnd w:id="288"/>
      <w:bookmarkEnd w:id="289"/>
      <w:bookmarkEnd w:id="290"/>
    </w:p>
    <w:p>
      <w:pPr>
        <w:pStyle w:val="Heading5"/>
        <w:rPr>
          <w:snapToGrid w:val="0"/>
        </w:rPr>
      </w:pPr>
      <w:bookmarkStart w:id="291" w:name="_Toc182320776"/>
      <w:bookmarkStart w:id="292" w:name="_Toc106276463"/>
      <w:r>
        <w:rPr>
          <w:rStyle w:val="CharSectno"/>
        </w:rPr>
        <w:t>47</w:t>
      </w:r>
      <w:r>
        <w:rPr>
          <w:snapToGrid w:val="0"/>
        </w:rPr>
        <w:t>.</w:t>
      </w:r>
      <w:r>
        <w:rPr>
          <w:snapToGrid w:val="0"/>
        </w:rPr>
        <w:tab/>
        <w:t>Regulations</w:t>
      </w:r>
      <w:bookmarkEnd w:id="291"/>
      <w:bookmarkEnd w:id="29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293" w:name="_Toc182315132"/>
      <w:bookmarkStart w:id="294" w:name="_Toc182315377"/>
      <w:bookmarkStart w:id="295" w:name="_Toc182320777"/>
      <w:bookmarkStart w:id="296" w:name="_Toc95209532"/>
      <w:bookmarkStart w:id="297" w:name="_Toc91144693"/>
      <w:bookmarkStart w:id="298" w:name="_Toc90558451"/>
      <w:bookmarkStart w:id="299" w:name="_Toc90553848"/>
      <w:bookmarkStart w:id="300" w:name="_Toc90551880"/>
      <w:bookmarkStart w:id="301" w:name="_Toc85544087"/>
      <w:bookmarkStart w:id="302" w:name="_Toc85533471"/>
      <w:bookmarkStart w:id="303" w:name="_Toc84935674"/>
      <w:bookmarkStart w:id="304" w:name="_Toc84927694"/>
      <w:bookmarkStart w:id="305" w:name="_Toc84926278"/>
      <w:bookmarkStart w:id="306" w:name="_Toc106204062"/>
      <w:bookmarkStart w:id="307" w:name="_Toc106276464"/>
      <w:r>
        <w:rPr>
          <w:rStyle w:val="CharPartNo"/>
        </w:rPr>
        <w:t>Part 8</w:t>
      </w:r>
      <w:r>
        <w:rPr>
          <w:rStyle w:val="CharDivNo"/>
        </w:rPr>
        <w:t> </w:t>
      </w:r>
      <w:r>
        <w:t>—</w:t>
      </w:r>
      <w:r>
        <w:rPr>
          <w:rStyle w:val="CharDivText"/>
        </w:rPr>
        <w:t> </w:t>
      </w:r>
      <w:r>
        <w:rPr>
          <w:rStyle w:val="CharPartText"/>
        </w:rPr>
        <w:t xml:space="preserve">Transitional provisions for </w:t>
      </w:r>
      <w:r>
        <w:rPr>
          <w:rStyle w:val="CharPartText"/>
          <w:i/>
        </w:rPr>
        <w:t>Industrial Relations Legislation Amendment Act 2021</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Footnoteheading"/>
        <w:tabs>
          <w:tab w:val="left" w:pos="851"/>
        </w:tabs>
      </w:pPr>
      <w:bookmarkStart w:id="308" w:name="_Toc95209533"/>
      <w:bookmarkStart w:id="309" w:name="_Toc90558452"/>
      <w:r>
        <w:tab/>
        <w:t>[Heading inserted: No. 30 of 2021 s. 119.]</w:t>
      </w:r>
    </w:p>
    <w:p>
      <w:pPr>
        <w:pStyle w:val="Heading5"/>
      </w:pPr>
      <w:bookmarkStart w:id="310" w:name="_Toc182320778"/>
      <w:bookmarkStart w:id="311" w:name="_Toc106276465"/>
      <w:r>
        <w:rPr>
          <w:rStyle w:val="CharSectno"/>
        </w:rPr>
        <w:t>48</w:t>
      </w:r>
      <w:r>
        <w:t>.</w:t>
      </w:r>
      <w:r>
        <w:tab/>
        <w:t>Term used: commencement day</w:t>
      </w:r>
      <w:bookmarkEnd w:id="310"/>
      <w:bookmarkEnd w:id="308"/>
      <w:bookmarkEnd w:id="309"/>
      <w:bookmarkEnd w:id="311"/>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Industrial Relations Legislation Amendment Act 2021</w:t>
      </w:r>
      <w:r>
        <w:t xml:space="preserve"> section 100 comes into operation.</w:t>
      </w:r>
    </w:p>
    <w:p>
      <w:pPr>
        <w:pStyle w:val="Footnotesection"/>
      </w:pPr>
      <w:bookmarkStart w:id="312" w:name="_Toc95209534"/>
      <w:bookmarkStart w:id="313" w:name="_Toc90558453"/>
      <w:r>
        <w:tab/>
        <w:t>[Section 48 inserted: No. 30 of 2021 s. 119.]</w:t>
      </w:r>
    </w:p>
    <w:p>
      <w:pPr>
        <w:pStyle w:val="Heading5"/>
      </w:pPr>
      <w:bookmarkStart w:id="314" w:name="_Toc182320779"/>
      <w:bookmarkStart w:id="315" w:name="_Toc106276466"/>
      <w:r>
        <w:rPr>
          <w:rStyle w:val="CharSectno"/>
        </w:rPr>
        <w:t>49</w:t>
      </w:r>
      <w:r>
        <w:t>.</w:t>
      </w:r>
      <w:r>
        <w:tab/>
        <w:t>Employees with disabilities</w:t>
      </w:r>
      <w:bookmarkEnd w:id="314"/>
      <w:bookmarkEnd w:id="312"/>
      <w:bookmarkEnd w:id="313"/>
      <w:bookmarkEnd w:id="315"/>
    </w:p>
    <w:p>
      <w:pPr>
        <w:pStyle w:val="Subsection"/>
      </w:pPr>
      <w:r>
        <w:tab/>
        <w:t>(1)</w:t>
      </w:r>
      <w:r>
        <w:tab/>
        <w:t xml:space="preserve">In this section — </w:t>
      </w:r>
    </w:p>
    <w:p>
      <w:pPr>
        <w:pStyle w:val="Defstart"/>
      </w:pPr>
      <w:r>
        <w:tab/>
      </w:r>
      <w:r>
        <w:rPr>
          <w:rStyle w:val="CharDefText"/>
        </w:rPr>
        <w:t>assessment</w:t>
      </w:r>
      <w:r>
        <w:t xml:space="preserve"> means assessment of an employee’s productive capacity under the SWS as defined in section 15;</w:t>
      </w:r>
    </w:p>
    <w:p>
      <w:pPr>
        <w:pStyle w:val="Defstart"/>
      </w:pPr>
      <w:r>
        <w:tab/>
      </w:r>
      <w:r>
        <w:rPr>
          <w:rStyle w:val="CharDefText"/>
        </w:rPr>
        <w:t>assessment period</w:t>
      </w:r>
      <w:r>
        <w:t xml:space="preserve"> means a period starting on the commencement day and ending on the earlier of the following — </w:t>
      </w:r>
    </w:p>
    <w:p>
      <w:pPr>
        <w:pStyle w:val="Defpara"/>
      </w:pPr>
      <w:r>
        <w:tab/>
        <w:t>(a)</w:t>
      </w:r>
      <w:r>
        <w:tab/>
        <w:t>the day on which an assessment of the employee’s productive capacity is completed for the purposes of determining the employee’s minimum rate of pay under section 17(3)(a);</w:t>
      </w:r>
    </w:p>
    <w:p>
      <w:pPr>
        <w:pStyle w:val="Defpara"/>
      </w:pPr>
      <w:r>
        <w:tab/>
        <w:t>(b)</w:t>
      </w:r>
      <w:r>
        <w:tab/>
        <w:t>the day that is 6 months after the commencement day.</w:t>
      </w:r>
    </w:p>
    <w:p>
      <w:pPr>
        <w:pStyle w:val="Subsection"/>
      </w:pPr>
      <w:r>
        <w:tab/>
        <w:t>(2)</w:t>
      </w:r>
      <w:r>
        <w:tab/>
        <w:t>This section applies to a person who, immediately before the commencement day, was an employee with a disability whose contract of employment was not governed by an industrial instrument.</w:t>
      </w:r>
    </w:p>
    <w:p>
      <w:pPr>
        <w:pStyle w:val="Subsection"/>
      </w:pPr>
      <w:r>
        <w:tab/>
        <w:t>(3)</w:t>
      </w:r>
      <w:r>
        <w:tab/>
        <w:t xml:space="preserve">During the assessment period the employee is entitled to be paid, for each week worked by the employee, the higher of the following — </w:t>
      </w:r>
    </w:p>
    <w:p>
      <w:pPr>
        <w:pStyle w:val="Indenta"/>
      </w:pPr>
      <w:r>
        <w:tab/>
        <w:t>(a)</w:t>
      </w:r>
      <w:r>
        <w:tab/>
        <w:t>the employee’s weekly wage immediately before the commencement day;</w:t>
      </w:r>
    </w:p>
    <w:p>
      <w:pPr>
        <w:pStyle w:val="Indenta"/>
      </w:pPr>
      <w:r>
        <w:tab/>
        <w:t>(b)</w:t>
      </w:r>
      <w:r>
        <w:tab/>
        <w:t>the amount referred to in section 17(2).</w:t>
      </w:r>
    </w:p>
    <w:p>
      <w:pPr>
        <w:pStyle w:val="Subsection"/>
      </w:pPr>
      <w:r>
        <w:tab/>
        <w:t>(4)</w:t>
      </w:r>
      <w:r>
        <w:tab/>
        <w:t>If the employee’s assessment is completed, and the employee’s wage is determined, within the assessment period, subsection (3) ceases to apply to the employee on the day of completion.</w:t>
      </w:r>
    </w:p>
    <w:p>
      <w:pPr>
        <w:pStyle w:val="Subsection"/>
      </w:pPr>
      <w:r>
        <w:tab/>
        <w:t>(5)</w:t>
      </w:r>
      <w:r>
        <w:tab/>
        <w:t>If the employee is not assessed, or the employee’s assessment is not completed, within the assessment period, then on and after the expiry of the assessment period the employee is entitled to be paid in accordance with section 10(1) until such time as the employee’s productive capacity is determined, on an assessment, to be reduced by a disability.</w:t>
      </w:r>
    </w:p>
    <w:p>
      <w:pPr>
        <w:pStyle w:val="Footnotesection"/>
      </w:pPr>
      <w:bookmarkStart w:id="316" w:name="_Toc95209535"/>
      <w:bookmarkStart w:id="317" w:name="_Toc90558454"/>
      <w:r>
        <w:tab/>
        <w:t>[Section 49 inserted: No. 30 of 2021 s. 119.]</w:t>
      </w:r>
    </w:p>
    <w:p>
      <w:pPr>
        <w:pStyle w:val="Heading5"/>
      </w:pPr>
      <w:bookmarkStart w:id="318" w:name="_Toc182320780"/>
      <w:bookmarkStart w:id="319" w:name="_Toc106276467"/>
      <w:r>
        <w:rPr>
          <w:rStyle w:val="CharSectno"/>
        </w:rPr>
        <w:t>50</w:t>
      </w:r>
      <w:r>
        <w:t>.</w:t>
      </w:r>
      <w:r>
        <w:tab/>
        <w:t>“Under rate employee” provisions in awards</w:t>
      </w:r>
      <w:bookmarkEnd w:id="318"/>
      <w:bookmarkEnd w:id="316"/>
      <w:bookmarkEnd w:id="317"/>
      <w:bookmarkEnd w:id="319"/>
    </w:p>
    <w:p>
      <w:pPr>
        <w:pStyle w:val="Subsection"/>
      </w:pPr>
      <w:r>
        <w:tab/>
        <w:t>(1)</w:t>
      </w:r>
      <w:r>
        <w:tab/>
        <w:t xml:space="preserve">In this section — </w:t>
      </w:r>
    </w:p>
    <w:p>
      <w:pPr>
        <w:pStyle w:val="Defstart"/>
      </w:pPr>
      <w:r>
        <w:tab/>
      </w:r>
      <w:r>
        <w:rPr>
          <w:rStyle w:val="CharDefText"/>
        </w:rPr>
        <w:t>assessment</w:t>
      </w:r>
      <w:r>
        <w:t xml:space="preserve"> means assessment of an employee’s productive capacity under the SWS or a SWIIP, as those terms are defined in section 15;</w:t>
      </w:r>
    </w:p>
    <w:p>
      <w:pPr>
        <w:pStyle w:val="Defstart"/>
      </w:pPr>
      <w:r>
        <w:tab/>
      </w:r>
      <w:r>
        <w:rPr>
          <w:rStyle w:val="CharDefText"/>
        </w:rPr>
        <w:t>assessment period</w:t>
      </w:r>
      <w:r>
        <w:t xml:space="preserve"> means the period ending 6 months after the commencement day;</w:t>
      </w:r>
    </w:p>
    <w:p>
      <w:pPr>
        <w:pStyle w:val="Defstart"/>
      </w:pPr>
      <w:r>
        <w:tab/>
      </w:r>
      <w:r>
        <w:rPr>
          <w:rStyle w:val="CharDefText"/>
        </w:rPr>
        <w:t>pre</w:t>
      </w:r>
      <w:r>
        <w:rPr>
          <w:rStyle w:val="CharDefText"/>
        </w:rPr>
        <w:noBreakHyphen/>
        <w:t>commencement day wage</w:t>
      </w:r>
      <w:r>
        <w:t xml:space="preserve"> means the weekly wage that an under rate employee was entitled to be paid immediately before the commencement day;</w:t>
      </w:r>
    </w:p>
    <w:p>
      <w:pPr>
        <w:pStyle w:val="Defstart"/>
      </w:pPr>
      <w:r>
        <w:tab/>
      </w:r>
      <w:r>
        <w:rPr>
          <w:rStyle w:val="CharDefText"/>
        </w:rPr>
        <w:t>under rate employee</w:t>
      </w:r>
      <w:r>
        <w:t xml:space="preserve"> means an employee who was, immediately before the commencement day, entitled to be paid under an under rate employee provision by reason of infirmity;</w:t>
      </w:r>
    </w:p>
    <w:p>
      <w:pPr>
        <w:pStyle w:val="Defstart"/>
      </w:pPr>
      <w:r>
        <w:tab/>
      </w:r>
      <w:r>
        <w:rPr>
          <w:rStyle w:val="CharDefText"/>
        </w:rPr>
        <w:t>under rate employee provision</w:t>
      </w:r>
      <w:r>
        <w:t xml:space="preserve"> means a provision in an award to the effect that an employee who by reason of old age or infirmity is unable to earn the minimum wage may be paid a lesser wage as is agreed in writing between a union and the employer.</w:t>
      </w:r>
    </w:p>
    <w:p>
      <w:pPr>
        <w:pStyle w:val="Subsection"/>
      </w:pPr>
      <w:r>
        <w:tab/>
        <w:t>(2)</w:t>
      </w:r>
      <w:r>
        <w:tab/>
        <w:t>On and from the commencement day each under rate employee provision is of no effect to the extent to which it applies to an employee who by reason of infirmity or old age is unable to earn the minimum wage.</w:t>
      </w:r>
    </w:p>
    <w:p>
      <w:pPr>
        <w:pStyle w:val="Subsection"/>
      </w:pPr>
      <w:r>
        <w:tab/>
        <w:t>(3)</w:t>
      </w:r>
      <w:r>
        <w:tab/>
        <w:t xml:space="preserve">During the assessment period, an under rate employee is entitled to be paid, for each week worked by the employee, the higher of the following amounts — </w:t>
      </w:r>
    </w:p>
    <w:p>
      <w:pPr>
        <w:pStyle w:val="Indenta"/>
      </w:pPr>
      <w:r>
        <w:tab/>
        <w:t>(a)</w:t>
      </w:r>
      <w:r>
        <w:tab/>
        <w:t>the employee’s pre</w:t>
      </w:r>
      <w:r>
        <w:noBreakHyphen/>
        <w:t>commencement day wage;</w:t>
      </w:r>
    </w:p>
    <w:p>
      <w:pPr>
        <w:pStyle w:val="Indenta"/>
      </w:pPr>
      <w:r>
        <w:tab/>
        <w:t>(b)</w:t>
      </w:r>
      <w:r>
        <w:tab/>
        <w:t>the amount referred to in section 17(2).</w:t>
      </w:r>
    </w:p>
    <w:p>
      <w:pPr>
        <w:pStyle w:val="Subsection"/>
      </w:pPr>
      <w:r>
        <w:tab/>
        <w:t>(4)</w:t>
      </w:r>
      <w:r>
        <w:tab/>
        <w:t>If an employee’s assessment is completed, and the employee’s wage is determined, within the assessment period, subsection (3) ceases to apply to the employee on the day of completion.</w:t>
      </w:r>
    </w:p>
    <w:p>
      <w:pPr>
        <w:pStyle w:val="Subsection"/>
      </w:pPr>
      <w:r>
        <w:tab/>
        <w:t>(5)</w:t>
      </w:r>
      <w:r>
        <w:tab/>
        <w:t>If an employee is not assessed, or the employee’s assessment is not completed, within the assessment period, then on and after the expiry of the assessment period the employee is entitled to be paid in accordance with the rate of pay applicable under the award until such time as the employee’s productive capacity is determined, on an assessment, to be reduced by a disability.</w:t>
      </w:r>
    </w:p>
    <w:p>
      <w:pPr>
        <w:pStyle w:val="Footnotesection"/>
      </w:pPr>
      <w:r>
        <w:tab/>
        <w:t>[Section 50 inserted: No. 30 of 2021 s. 119.]</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320" w:name="_Toc182315136"/>
      <w:bookmarkStart w:id="321" w:name="_Toc182315381"/>
      <w:bookmarkStart w:id="322" w:name="_Toc182320781"/>
      <w:bookmarkStart w:id="323" w:name="_Toc106117888"/>
      <w:bookmarkStart w:id="324" w:name="_Toc106204066"/>
      <w:bookmarkStart w:id="325" w:name="_Toc106276468"/>
      <w:r>
        <w:rPr>
          <w:rStyle w:val="CharSchNo"/>
        </w:rPr>
        <w:t>Schedule 1</w:t>
      </w:r>
      <w:r>
        <w:rPr>
          <w:rStyle w:val="CharSDivNo"/>
        </w:rPr>
        <w:t> </w:t>
      </w:r>
      <w:r>
        <w:t>—</w:t>
      </w:r>
      <w:r>
        <w:rPr>
          <w:rStyle w:val="CharSDivText"/>
        </w:rPr>
        <w:t> </w:t>
      </w:r>
      <w:r>
        <w:rPr>
          <w:rStyle w:val="CharSchText"/>
        </w:rPr>
        <w:t>Public holidays</w:t>
      </w:r>
      <w:bookmarkEnd w:id="320"/>
      <w:bookmarkEnd w:id="321"/>
      <w:bookmarkEnd w:id="322"/>
      <w:bookmarkEnd w:id="323"/>
      <w:bookmarkEnd w:id="324"/>
      <w:bookmarkEnd w:id="325"/>
    </w:p>
    <w:p>
      <w:pPr>
        <w:pStyle w:val="yShoulderClause"/>
        <w:rPr>
          <w:snapToGrid w:val="0"/>
        </w:rPr>
      </w:pPr>
      <w:r>
        <w:t>[s. 3(1)]</w:t>
      </w:r>
    </w:p>
    <w:p>
      <w:pPr>
        <w:pStyle w:val="yFootnoteheading"/>
        <w:rPr>
          <w:b/>
          <w:snapToGrid w:val="0"/>
        </w:rPr>
      </w:pPr>
      <w:r>
        <w:tab/>
        <w:t>[Heading amended: No. 19 of 2010 s. 4; No. 53 of 2011 s. 50.]</w:t>
      </w:r>
    </w:p>
    <w:p>
      <w:pPr>
        <w:pStyle w:val="yMiscellaneousBody"/>
        <w:rPr>
          <w:snapToGrid w:val="0"/>
        </w:rPr>
      </w:pPr>
      <w:r>
        <w:rPr>
          <w:snapToGrid w:val="0"/>
        </w:rPr>
        <w:t>The following are public holidays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pPr>
      <w:r>
        <w:tab/>
      </w:r>
      <w:r>
        <w:rPr>
          <w:snapToGrid w:val="0"/>
        </w:rPr>
        <w:t>Easter</w:t>
      </w:r>
      <w:r>
        <w:t xml:space="preserve"> Sunday.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r>
      <w:r>
        <w:rPr>
          <w:szCs w:val="22"/>
        </w:rPr>
        <w:t>Western Australia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MiscellaneousBody"/>
        <w:tabs>
          <w:tab w:val="left" w:pos="567"/>
        </w:tabs>
        <w:ind w:left="1134" w:hanging="1134"/>
      </w:pPr>
      <w:r>
        <w:tab/>
        <w:t xml:space="preserve">Any special day appointed by proclamation under the </w:t>
      </w:r>
      <w:r>
        <w:rPr>
          <w:i/>
        </w:rPr>
        <w:t>Public and Bank Holidays Act 1972</w:t>
      </w:r>
      <w:r>
        <w:t xml:space="preserve"> section 7 to be a public holiday.</w:t>
      </w:r>
    </w:p>
    <w:p>
      <w:pPr>
        <w:pStyle w:val="yFootnotesection"/>
      </w:pPr>
      <w:r>
        <w:tab/>
        <w:t>[Schedule 1 amended: No. 74 of 2003 s. 84; No. 53 of 2011 s. 50; No. 3 of 2012 s. 7; No. 30 of 2021 s. 120.]</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nHeading2"/>
      </w:pPr>
      <w:bookmarkStart w:id="327" w:name="_Toc182315137"/>
      <w:bookmarkStart w:id="328" w:name="_Toc182315382"/>
      <w:bookmarkStart w:id="329" w:name="_Toc182320782"/>
      <w:bookmarkStart w:id="330" w:name="_Toc106117889"/>
      <w:bookmarkStart w:id="331" w:name="_Toc106204067"/>
      <w:bookmarkStart w:id="332" w:name="_Toc106276469"/>
      <w:r>
        <w:t>Notes</w:t>
      </w:r>
      <w:bookmarkEnd w:id="327"/>
      <w:bookmarkEnd w:id="328"/>
      <w:bookmarkEnd w:id="329"/>
      <w:bookmarkEnd w:id="330"/>
      <w:bookmarkEnd w:id="331"/>
      <w:bookmarkEnd w:id="332"/>
    </w:p>
    <w:p>
      <w:pPr>
        <w:pStyle w:val="nStatement"/>
      </w:pPr>
      <w:r>
        <w:t xml:space="preserve">This is a compilation of the </w:t>
      </w:r>
      <w:r>
        <w:rPr>
          <w:i/>
          <w:noProof/>
        </w:rPr>
        <w:t>Minimum Conditions of Employment Act 1993</w:t>
      </w:r>
      <w:r>
        <w:t xml:space="preserve"> and includes amendments made by other written laws. For provisions that have come into operation, and for information about any reprints, see the compilation table.</w:t>
      </w:r>
      <w:ins w:id="333" w:author="Master Repository Process" w:date="2025-07-03T11:10:00Z">
        <w:r>
          <w:t xml:space="preserve"> For provisions that have not yet come into operation see the uncommenced provisions table.</w:t>
        </w:r>
      </w:ins>
    </w:p>
    <w:p>
      <w:pPr>
        <w:pStyle w:val="nHeading3"/>
      </w:pPr>
      <w:bookmarkStart w:id="334" w:name="_Toc182320783"/>
      <w:bookmarkStart w:id="335" w:name="_Toc106276470"/>
      <w:r>
        <w:t>Compilation table</w:t>
      </w:r>
      <w:bookmarkEnd w:id="334"/>
      <w:bookmarkEnd w:id="335"/>
    </w:p>
    <w:tbl>
      <w:tblPr>
        <w:tblW w:w="7069"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32"/>
      </w:tblGrid>
      <w:tr>
        <w:trPr>
          <w:tblHeader/>
        </w:trPr>
        <w:tc>
          <w:tcPr>
            <w:tcW w:w="2240"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61"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Minimum Conditions of Employment Act 1993</w:t>
            </w:r>
          </w:p>
        </w:tc>
        <w:tc>
          <w:tcPr>
            <w:tcW w:w="1134" w:type="dxa"/>
            <w:gridSpan w:val="2"/>
          </w:tcPr>
          <w:p>
            <w:pPr>
              <w:pStyle w:val="nTable"/>
              <w:spacing w:after="40"/>
            </w:pPr>
            <w:r>
              <w:t>14 of 1993</w:t>
            </w:r>
          </w:p>
        </w:tc>
        <w:tc>
          <w:tcPr>
            <w:tcW w:w="1135" w:type="dxa"/>
            <w:gridSpan w:val="2"/>
          </w:tcPr>
          <w:p>
            <w:pPr>
              <w:pStyle w:val="nTable"/>
              <w:spacing w:after="40"/>
            </w:pPr>
            <w:r>
              <w:t>23 Nov 1993</w:t>
            </w:r>
          </w:p>
        </w:tc>
        <w:tc>
          <w:tcPr>
            <w:tcW w:w="2532" w:type="dxa"/>
          </w:tcPr>
          <w:p>
            <w:pPr>
              <w:pStyle w:val="nTable"/>
              <w:spacing w:after="40"/>
            </w:pPr>
            <w:r>
              <w:t>s. 1 and 2: 23 Nov 1993;</w:t>
            </w:r>
            <w:r>
              <w:br/>
              <w:t xml:space="preserve">Act other than s. 1 and 2: 1 Dec 1993 (see s. 2 and </w:t>
            </w:r>
            <w:r>
              <w:rPr>
                <w:i/>
              </w:rPr>
              <w:t>Gazette</w:t>
            </w:r>
            <w:r>
              <w:t xml:space="preserve"> 30 Nov 1993 p. 6439)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Industrial Relations Legislation Amendment and Repeal Act 1995</w:t>
            </w:r>
            <w:r>
              <w:t xml:space="preserve"> s. 64 and 66(5) and (6)</w:t>
            </w:r>
          </w:p>
        </w:tc>
        <w:tc>
          <w:tcPr>
            <w:tcW w:w="1134" w:type="dxa"/>
            <w:gridSpan w:val="2"/>
          </w:tcPr>
          <w:p>
            <w:pPr>
              <w:pStyle w:val="nTable"/>
              <w:spacing w:after="40"/>
            </w:pPr>
            <w:r>
              <w:t>79 of 1995</w:t>
            </w:r>
          </w:p>
        </w:tc>
        <w:tc>
          <w:tcPr>
            <w:tcW w:w="1135" w:type="dxa"/>
            <w:gridSpan w:val="2"/>
          </w:tcPr>
          <w:p>
            <w:pPr>
              <w:pStyle w:val="nTable"/>
              <w:spacing w:after="40"/>
            </w:pPr>
            <w:r>
              <w:t>16 Jan 1996</w:t>
            </w:r>
          </w:p>
        </w:tc>
        <w:tc>
          <w:tcPr>
            <w:tcW w:w="2532" w:type="dxa"/>
          </w:tcPr>
          <w:p>
            <w:pPr>
              <w:pStyle w:val="nTable"/>
              <w:spacing w:after="40"/>
            </w:pPr>
            <w:r>
              <w:t>s. 64: 16 Jan 1996 (see s. 3(1));</w:t>
            </w:r>
            <w:r>
              <w:br/>
              <w:t xml:space="preserve">s. 66(5) and (6): 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Minimum Conditions of Employment Amendment Act 1996</w:t>
            </w:r>
          </w:p>
        </w:tc>
        <w:tc>
          <w:tcPr>
            <w:tcW w:w="1134" w:type="dxa"/>
            <w:gridSpan w:val="2"/>
          </w:tcPr>
          <w:p>
            <w:pPr>
              <w:pStyle w:val="nTable"/>
              <w:spacing w:after="40"/>
            </w:pPr>
            <w:r>
              <w:t>58 of 1996</w:t>
            </w:r>
          </w:p>
        </w:tc>
        <w:tc>
          <w:tcPr>
            <w:tcW w:w="1135" w:type="dxa"/>
            <w:gridSpan w:val="2"/>
          </w:tcPr>
          <w:p>
            <w:pPr>
              <w:pStyle w:val="nTable"/>
              <w:spacing w:after="40"/>
            </w:pPr>
            <w:r>
              <w:t>11 Nov 1996</w:t>
            </w:r>
          </w:p>
        </w:tc>
        <w:tc>
          <w:tcPr>
            <w:tcW w:w="2532" w:type="dxa"/>
          </w:tcPr>
          <w:p>
            <w:pPr>
              <w:pStyle w:val="nTable"/>
              <w:spacing w:after="40"/>
            </w:pPr>
            <w:r>
              <w:t>1 Dec 1993 (see s. 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Labour Relations Legislation Amendment Act 1997</w:t>
            </w:r>
            <w:r>
              <w:t xml:space="preserve"> s. 39</w:t>
            </w:r>
          </w:p>
        </w:tc>
        <w:tc>
          <w:tcPr>
            <w:tcW w:w="1134" w:type="dxa"/>
            <w:gridSpan w:val="2"/>
          </w:tcPr>
          <w:p>
            <w:pPr>
              <w:pStyle w:val="nTable"/>
              <w:spacing w:after="40"/>
            </w:pPr>
            <w:r>
              <w:t>3 of 1997</w:t>
            </w:r>
          </w:p>
        </w:tc>
        <w:tc>
          <w:tcPr>
            <w:tcW w:w="1135" w:type="dxa"/>
            <w:gridSpan w:val="2"/>
          </w:tcPr>
          <w:p>
            <w:pPr>
              <w:pStyle w:val="nTable"/>
              <w:spacing w:after="40"/>
            </w:pPr>
            <w:r>
              <w:t>23 May 1997</w:t>
            </w:r>
          </w:p>
        </w:tc>
        <w:tc>
          <w:tcPr>
            <w:tcW w:w="2532" w:type="dxa"/>
          </w:tcPr>
          <w:p>
            <w:pPr>
              <w:pStyle w:val="nTable"/>
              <w:spacing w:after="40"/>
            </w:pPr>
            <w:r>
              <w:t>23 May 1997 (see s. 2(1))</w:t>
            </w:r>
          </w:p>
        </w:tc>
      </w:tr>
      <w:tr>
        <w:tblPrEx>
          <w:tblBorders>
            <w:top w:val="none" w:sz="0" w:space="0" w:color="auto"/>
            <w:bottom w:val="none" w:sz="0" w:space="0" w:color="auto"/>
            <w:insideH w:val="none" w:sz="0" w:space="0" w:color="auto"/>
          </w:tblBorders>
        </w:tblPrEx>
        <w:trPr>
          <w:cantSplit/>
        </w:trPr>
        <w:tc>
          <w:tcPr>
            <w:tcW w:w="7069" w:type="dxa"/>
            <w:gridSpan w:val="7"/>
          </w:tcPr>
          <w:p>
            <w:pPr>
              <w:pStyle w:val="nTable"/>
              <w:spacing w:after="40"/>
            </w:pPr>
            <w:r>
              <w:rPr>
                <w:b/>
              </w:rPr>
              <w:t xml:space="preserve">Reprint of the </w:t>
            </w:r>
            <w:r>
              <w:rPr>
                <w:b/>
                <w:i/>
              </w:rPr>
              <w:t>Minimum Conditions of Employment Act 1993</w:t>
            </w:r>
            <w:r>
              <w:rPr>
                <w:b/>
              </w:rPr>
              <w:t xml:space="preserve"> as at 4 Jun 1997</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rPr>
                <w:vertAlign w:val="superscript"/>
              </w:rPr>
            </w:pPr>
            <w:r>
              <w:rPr>
                <w:i/>
              </w:rPr>
              <w:t xml:space="preserve">Labour Relations Reform Act 2002 </w:t>
            </w:r>
            <w:r>
              <w:t>s. 22 and Pt. 10 Div. 1 </w:t>
            </w:r>
          </w:p>
        </w:tc>
        <w:tc>
          <w:tcPr>
            <w:tcW w:w="1134" w:type="dxa"/>
            <w:gridSpan w:val="2"/>
          </w:tcPr>
          <w:p>
            <w:pPr>
              <w:pStyle w:val="nTable"/>
              <w:spacing w:after="40"/>
            </w:pPr>
            <w:r>
              <w:t xml:space="preserve">20 of 2002 </w:t>
            </w:r>
          </w:p>
        </w:tc>
        <w:tc>
          <w:tcPr>
            <w:tcW w:w="1135" w:type="dxa"/>
            <w:gridSpan w:val="2"/>
          </w:tcPr>
          <w:p>
            <w:pPr>
              <w:pStyle w:val="nTable"/>
              <w:spacing w:after="40"/>
            </w:pPr>
            <w:r>
              <w:t>8 Jul 2002</w:t>
            </w:r>
          </w:p>
        </w:tc>
        <w:tc>
          <w:tcPr>
            <w:tcW w:w="2532" w:type="dxa"/>
          </w:tcPr>
          <w:p>
            <w:pPr>
              <w:pStyle w:val="nTable"/>
              <w:spacing w:after="40"/>
            </w:pPr>
            <w:r>
              <w:t xml:space="preserve">Pt. 10 Div. 1: 1 Aug 2002 (see s. 2 and </w:t>
            </w:r>
            <w:r>
              <w:rPr>
                <w:i/>
              </w:rPr>
              <w:t>Gazette</w:t>
            </w:r>
            <w:r>
              <w:t xml:space="preserve"> 26 Jul 2002 p. 3459);</w:t>
            </w:r>
            <w:r>
              <w:br/>
              <w:t xml:space="preserve">s. 22: 15 Sep 2002 (see s. 2 and </w:t>
            </w:r>
            <w:r>
              <w:rPr>
                <w:i/>
              </w:rPr>
              <w:t>Gazette</w:t>
            </w:r>
            <w:r>
              <w:t xml:space="preserve"> 6 Sep 2002 p. 4487)</w:t>
            </w:r>
          </w:p>
        </w:tc>
      </w:tr>
      <w:tr>
        <w:tblPrEx>
          <w:tblBorders>
            <w:top w:val="none" w:sz="0" w:space="0" w:color="auto"/>
            <w:bottom w:val="none" w:sz="0" w:space="0" w:color="auto"/>
            <w:insideH w:val="none" w:sz="0" w:space="0" w:color="auto"/>
          </w:tblBorders>
        </w:tblPrEx>
        <w:trPr>
          <w:cantSplit/>
        </w:trPr>
        <w:tc>
          <w:tcPr>
            <w:tcW w:w="7069" w:type="dxa"/>
            <w:gridSpan w:val="7"/>
          </w:tcPr>
          <w:p>
            <w:pPr>
              <w:pStyle w:val="nTable"/>
              <w:spacing w:after="40"/>
            </w:pPr>
            <w:r>
              <w:rPr>
                <w:b/>
              </w:rPr>
              <w:t xml:space="preserve">Reprint of the </w:t>
            </w:r>
            <w:r>
              <w:rPr>
                <w:b/>
                <w:i/>
              </w:rPr>
              <w:t>Minimum Conditions of Employment Act 1993</w:t>
            </w:r>
            <w:r>
              <w:rPr>
                <w:b/>
              </w:rPr>
              <w:t xml:space="preserve"> as at 4 Oct 2002</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Acts Amendment (Equality of Status) Act 2003</w:t>
            </w:r>
            <w:r>
              <w:t xml:space="preserve"> Pt. 45</w:t>
            </w:r>
          </w:p>
        </w:tc>
        <w:tc>
          <w:tcPr>
            <w:tcW w:w="1134" w:type="dxa"/>
            <w:gridSpan w:val="2"/>
          </w:tcPr>
          <w:p>
            <w:pPr>
              <w:pStyle w:val="nTable"/>
              <w:spacing w:after="40"/>
            </w:pPr>
            <w:r>
              <w:t>28 of 2003</w:t>
            </w:r>
          </w:p>
        </w:tc>
        <w:tc>
          <w:tcPr>
            <w:tcW w:w="1135" w:type="dxa"/>
            <w:gridSpan w:val="2"/>
          </w:tcPr>
          <w:p>
            <w:pPr>
              <w:pStyle w:val="nTable"/>
              <w:spacing w:after="40"/>
            </w:pPr>
            <w:r>
              <w:t>22 May 2003</w:t>
            </w:r>
          </w:p>
        </w:tc>
        <w:tc>
          <w:tcPr>
            <w:tcW w:w="253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4537" w:type="dxa"/>
            <w:gridSpan w:val="6"/>
          </w:tcPr>
          <w:p>
            <w:pPr>
              <w:pStyle w:val="nTable"/>
              <w:spacing w:after="40"/>
            </w:pPr>
            <w:r>
              <w:rPr>
                <w:i/>
              </w:rPr>
              <w:t>Labour Relations Reform (Consequential Amendments) Regulations 2003</w:t>
            </w:r>
            <w:r>
              <w:t xml:space="preserve"> r. 9 published in </w:t>
            </w:r>
            <w:r>
              <w:rPr>
                <w:i/>
              </w:rPr>
              <w:t>Gazette</w:t>
            </w:r>
            <w:r>
              <w:t xml:space="preserve"> 15 Aug 2003 p. 3685</w:t>
            </w:r>
            <w:r>
              <w:noBreakHyphen/>
              <w:t>92</w:t>
            </w:r>
          </w:p>
        </w:tc>
        <w:tc>
          <w:tcPr>
            <w:tcW w:w="2532" w:type="dxa"/>
          </w:tcPr>
          <w:p>
            <w:pPr>
              <w:pStyle w:val="nTable"/>
              <w:spacing w:after="40"/>
            </w:pPr>
            <w:r>
              <w:t>15 Sep 2003 (see r.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Statutes (Repeals and Minor Amendments) Act 2003</w:t>
            </w:r>
            <w:r>
              <w:t xml:space="preserve"> s. 84</w:t>
            </w:r>
          </w:p>
        </w:tc>
        <w:tc>
          <w:tcPr>
            <w:tcW w:w="1134" w:type="dxa"/>
            <w:gridSpan w:val="2"/>
          </w:tcPr>
          <w:p>
            <w:pPr>
              <w:pStyle w:val="nTable"/>
              <w:spacing w:after="40"/>
            </w:pPr>
            <w:r>
              <w:t>74 of 2003</w:t>
            </w:r>
          </w:p>
        </w:tc>
        <w:tc>
          <w:tcPr>
            <w:tcW w:w="1135" w:type="dxa"/>
            <w:gridSpan w:val="2"/>
          </w:tcPr>
          <w:p>
            <w:pPr>
              <w:pStyle w:val="nTable"/>
              <w:spacing w:after="40"/>
            </w:pPr>
            <w:r>
              <w:t>15 Dec 2003</w:t>
            </w:r>
          </w:p>
        </w:tc>
        <w:tc>
          <w:tcPr>
            <w:tcW w:w="2532"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59"/>
              <w:rPr>
                <w:i/>
              </w:rPr>
            </w:pPr>
            <w:r>
              <w:rPr>
                <w:i/>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3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rPr>
                <w:i/>
                <w:snapToGrid w:val="0"/>
              </w:rPr>
            </w:pPr>
            <w:r>
              <w:rPr>
                <w:i/>
                <w:snapToGrid w:val="0"/>
              </w:rPr>
              <w:t>Criminal Procedure and Appeals (Consequential and Other Provisions) Act 2004</w:t>
            </w:r>
            <w:r>
              <w:rPr>
                <w:snapToGrid w:val="0"/>
              </w:rPr>
              <w:t xml:space="preserve"> s. 78 </w:t>
            </w:r>
            <w:r>
              <w:rPr>
                <w:snapToGrid w:val="0"/>
                <w:vertAlign w:val="superscript"/>
              </w:rPr>
              <w:t>3</w:t>
            </w:r>
          </w:p>
        </w:tc>
        <w:tc>
          <w:tcPr>
            <w:tcW w:w="1134" w:type="dxa"/>
            <w:gridSpan w:val="2"/>
          </w:tcPr>
          <w:p>
            <w:pPr>
              <w:pStyle w:val="nTable"/>
              <w:spacing w:after="40"/>
              <w:rPr>
                <w:snapToGrid w:val="0"/>
              </w:rPr>
            </w:pPr>
            <w:r>
              <w:rPr>
                <w:snapToGrid w:val="0"/>
              </w:rPr>
              <w:t>84 of 2004 (as amended by No. 2 of 2008 s. 78(3))</w:t>
            </w:r>
          </w:p>
        </w:tc>
        <w:tc>
          <w:tcPr>
            <w:tcW w:w="1135" w:type="dxa"/>
            <w:gridSpan w:val="2"/>
          </w:tcPr>
          <w:p>
            <w:pPr>
              <w:pStyle w:val="nTable"/>
              <w:spacing w:after="40"/>
            </w:pPr>
            <w:r>
              <w:t>16 Dec 2004</w:t>
            </w:r>
          </w:p>
        </w:tc>
        <w:tc>
          <w:tcPr>
            <w:tcW w:w="253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69" w:type="dxa"/>
            <w:gridSpan w:val="7"/>
          </w:tcPr>
          <w:p>
            <w:pPr>
              <w:pStyle w:val="nTable"/>
              <w:spacing w:after="40"/>
              <w:rPr>
                <w:snapToGrid w:val="0"/>
              </w:rPr>
            </w:pPr>
            <w:r>
              <w:rPr>
                <w:b/>
              </w:rPr>
              <w:t xml:space="preserve">Reprint 3: The </w:t>
            </w:r>
            <w:r>
              <w:rPr>
                <w:b/>
                <w:i/>
              </w:rPr>
              <w:t>Minimum Conditions of Employment Act 1993</w:t>
            </w:r>
            <w:r>
              <w:rPr>
                <w:b/>
              </w:rPr>
              <w:t xml:space="preserve"> as at 5 May 2006</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rPr>
                <w:snapToGrid w:val="0"/>
              </w:rPr>
            </w:pPr>
            <w:r>
              <w:rPr>
                <w:i/>
                <w:snapToGrid w:val="0"/>
              </w:rPr>
              <w:t>Labour Relations Legislation Amendment Act 2006</w:t>
            </w:r>
            <w:r>
              <w:rPr>
                <w:snapToGrid w:val="0"/>
              </w:rPr>
              <w:t xml:space="preserve"> Pt. 2, s. 21 and Pt. 6 </w:t>
            </w:r>
            <w:r>
              <w:rPr>
                <w:snapToGrid w:val="0"/>
                <w:vertAlign w:val="superscript"/>
              </w:rPr>
              <w:t>4</w:t>
            </w:r>
          </w:p>
        </w:tc>
        <w:tc>
          <w:tcPr>
            <w:tcW w:w="1134" w:type="dxa"/>
            <w:gridSpan w:val="2"/>
          </w:tcPr>
          <w:p>
            <w:pPr>
              <w:pStyle w:val="nTable"/>
              <w:spacing w:after="40"/>
              <w:rPr>
                <w:snapToGrid w:val="0"/>
              </w:rPr>
            </w:pPr>
            <w:r>
              <w:rPr>
                <w:snapToGrid w:val="0"/>
              </w:rPr>
              <w:t>36 of 2006</w:t>
            </w:r>
          </w:p>
        </w:tc>
        <w:tc>
          <w:tcPr>
            <w:tcW w:w="1135" w:type="dxa"/>
            <w:gridSpan w:val="2"/>
          </w:tcPr>
          <w:p>
            <w:pPr>
              <w:pStyle w:val="nTable"/>
              <w:spacing w:after="40"/>
            </w:pPr>
            <w:r>
              <w:t>4 Jul 2006</w:t>
            </w:r>
          </w:p>
        </w:tc>
        <w:tc>
          <w:tcPr>
            <w:tcW w:w="2532" w:type="dxa"/>
          </w:tcPr>
          <w:p>
            <w:pPr>
              <w:pStyle w:val="nTable"/>
              <w:spacing w:after="40"/>
              <w:rPr>
                <w:snapToGrid w:val="0"/>
              </w:rPr>
            </w:pPr>
            <w:r>
              <w:rPr>
                <w:snapToGrid w:val="0"/>
              </w:rPr>
              <w:t>4 Jul 2006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rPr>
                <w:snapToGrid w:val="0"/>
              </w:rPr>
            </w:pPr>
            <w:r>
              <w:rPr>
                <w:i/>
                <w:snapToGrid w:val="0"/>
              </w:rPr>
              <w:t>Medical Practitioners Act 2008</w:t>
            </w:r>
            <w:r>
              <w:t xml:space="preserve"> Sch. 3 cl. 36</w:t>
            </w:r>
          </w:p>
        </w:tc>
        <w:tc>
          <w:tcPr>
            <w:tcW w:w="1134" w:type="dxa"/>
            <w:gridSpan w:val="2"/>
          </w:tcPr>
          <w:p>
            <w:pPr>
              <w:pStyle w:val="nTable"/>
              <w:spacing w:after="40"/>
              <w:rPr>
                <w:snapToGrid w:val="0"/>
              </w:rPr>
            </w:pPr>
            <w:r>
              <w:t>22 of 2008</w:t>
            </w:r>
          </w:p>
        </w:tc>
        <w:tc>
          <w:tcPr>
            <w:tcW w:w="1135" w:type="dxa"/>
            <w:gridSpan w:val="2"/>
          </w:tcPr>
          <w:p>
            <w:pPr>
              <w:pStyle w:val="nTable"/>
              <w:spacing w:after="40"/>
            </w:pPr>
            <w:r>
              <w:t>27 May 2008</w:t>
            </w:r>
          </w:p>
        </w:tc>
        <w:tc>
          <w:tcPr>
            <w:tcW w:w="2532" w:type="dxa"/>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7069" w:type="dxa"/>
            <w:gridSpan w:val="7"/>
          </w:tcPr>
          <w:p>
            <w:pPr>
              <w:pStyle w:val="nTable"/>
              <w:spacing w:after="40"/>
              <w:rPr>
                <w:snapToGrid w:val="0"/>
              </w:rPr>
            </w:pPr>
            <w:r>
              <w:rPr>
                <w:b/>
              </w:rPr>
              <w:t xml:space="preserve">Reprint 4: The </w:t>
            </w:r>
            <w:r>
              <w:rPr>
                <w:b/>
                <w:i/>
              </w:rPr>
              <w:t>Minimum Conditions of Employment Act 1993</w:t>
            </w:r>
            <w:r>
              <w:rPr>
                <w:b/>
              </w:rPr>
              <w:t xml:space="preserve"> as at 13 Jun 2008</w:t>
            </w:r>
            <w:r>
              <w:rPr>
                <w:b/>
              </w:rPr>
              <w:br/>
            </w:r>
            <w:r>
              <w:t xml:space="preserve">(includes amendments listed above except those in the </w:t>
            </w:r>
            <w:r>
              <w:rPr>
                <w:i/>
                <w:iCs/>
              </w:rPr>
              <w:t>Medical Practitioners Act 2008</w:t>
            </w:r>
            <w:r>
              <w:t>)</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rPr>
                <w:iCs/>
                <w:snapToGrid w:val="0"/>
              </w:rPr>
            </w:pPr>
            <w:r>
              <w:rPr>
                <w:i/>
                <w:snapToGrid w:val="0"/>
              </w:rPr>
              <w:t>Training Legislation Amendment and Repeal Act 2008</w:t>
            </w:r>
            <w:r>
              <w:rPr>
                <w:iCs/>
                <w:snapToGrid w:val="0"/>
              </w:rPr>
              <w:t xml:space="preserve"> s. 56</w:t>
            </w:r>
          </w:p>
        </w:tc>
        <w:tc>
          <w:tcPr>
            <w:tcW w:w="1134" w:type="dxa"/>
            <w:gridSpan w:val="2"/>
          </w:tcPr>
          <w:p>
            <w:pPr>
              <w:pStyle w:val="nTable"/>
              <w:spacing w:after="40"/>
            </w:pPr>
            <w:r>
              <w:t>44 of 2008</w:t>
            </w:r>
          </w:p>
        </w:tc>
        <w:tc>
          <w:tcPr>
            <w:tcW w:w="1135" w:type="dxa"/>
            <w:gridSpan w:val="2"/>
          </w:tcPr>
          <w:p>
            <w:pPr>
              <w:pStyle w:val="nTable"/>
              <w:spacing w:after="40"/>
            </w:pPr>
            <w:r>
              <w:t>10 Dec 2008</w:t>
            </w:r>
          </w:p>
        </w:tc>
        <w:tc>
          <w:tcPr>
            <w:tcW w:w="2532" w:type="dxa"/>
          </w:tcPr>
          <w:p>
            <w:pPr>
              <w:pStyle w:val="nTable"/>
              <w:spacing w:after="40"/>
              <w:rPr>
                <w:snapToGrid w:val="0"/>
              </w:rPr>
            </w:pPr>
            <w:r>
              <w:rPr>
                <w:snapToGrid w:val="0"/>
              </w:rPr>
              <w:t>10 Jun 2009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3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36</w:t>
            </w:r>
          </w:p>
        </w:tc>
        <w:tc>
          <w:tcPr>
            <w:tcW w:w="1134" w:type="dxa"/>
            <w:gridSpan w:val="2"/>
          </w:tcPr>
          <w:p>
            <w:pPr>
              <w:pStyle w:val="nTable"/>
              <w:spacing w:after="40"/>
              <w:rPr>
                <w:snapToGrid w:val="0"/>
              </w:rPr>
            </w:pPr>
            <w:r>
              <w:rPr>
                <w:snapToGrid w:val="0"/>
              </w:rPr>
              <w:t>35 of 2010</w:t>
            </w:r>
          </w:p>
        </w:tc>
        <w:tc>
          <w:tcPr>
            <w:tcW w:w="1135" w:type="dxa"/>
            <w:gridSpan w:val="2"/>
          </w:tcPr>
          <w:p>
            <w:pPr>
              <w:pStyle w:val="nTable"/>
              <w:spacing w:after="40"/>
              <w:rPr>
                <w:snapToGrid w:val="0"/>
              </w:rPr>
            </w:pPr>
            <w:r>
              <w:rPr>
                <w:snapToGrid w:val="0"/>
              </w:rPr>
              <w:t>30 Aug 2010</w:t>
            </w:r>
          </w:p>
        </w:tc>
        <w:tc>
          <w:tcPr>
            <w:tcW w:w="253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 xml:space="preserve">Industrial Legislation Amendment Act 2011 </w:t>
            </w:r>
            <w:r>
              <w:rPr>
                <w:snapToGrid w:val="0"/>
              </w:rPr>
              <w:t>Pt. 4</w:t>
            </w:r>
          </w:p>
        </w:tc>
        <w:tc>
          <w:tcPr>
            <w:tcW w:w="1134" w:type="dxa"/>
            <w:gridSpan w:val="2"/>
          </w:tcPr>
          <w:p>
            <w:pPr>
              <w:pStyle w:val="nTable"/>
              <w:spacing w:after="40"/>
              <w:rPr>
                <w:snapToGrid w:val="0"/>
              </w:rPr>
            </w:pPr>
            <w:r>
              <w:rPr>
                <w:snapToGrid w:val="0"/>
              </w:rPr>
              <w:t>53 of 2011</w:t>
            </w:r>
          </w:p>
        </w:tc>
        <w:tc>
          <w:tcPr>
            <w:tcW w:w="1135" w:type="dxa"/>
            <w:gridSpan w:val="2"/>
          </w:tcPr>
          <w:p>
            <w:pPr>
              <w:pStyle w:val="nTable"/>
              <w:spacing w:after="40"/>
              <w:rPr>
                <w:snapToGrid w:val="0"/>
              </w:rPr>
            </w:pPr>
            <w:r>
              <w:rPr>
                <w:snapToGrid w:val="0"/>
              </w:rPr>
              <w:t>11 Nov 2011</w:t>
            </w:r>
          </w:p>
        </w:tc>
        <w:tc>
          <w:tcPr>
            <w:tcW w:w="2532" w:type="dxa"/>
          </w:tcPr>
          <w:p>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Western Australia Day (Renaming) Act 2012</w:t>
            </w:r>
            <w:r>
              <w:rPr>
                <w:snapToGrid w:val="0"/>
              </w:rPr>
              <w:t xml:space="preserve"> Pt. 2 Div. 2</w:t>
            </w:r>
          </w:p>
        </w:tc>
        <w:tc>
          <w:tcPr>
            <w:tcW w:w="1134" w:type="dxa"/>
            <w:gridSpan w:val="2"/>
            <w:shd w:val="clear" w:color="auto" w:fill="auto"/>
          </w:tcPr>
          <w:p>
            <w:pPr>
              <w:pStyle w:val="nTable"/>
              <w:spacing w:after="40"/>
              <w:rPr>
                <w:snapToGrid w:val="0"/>
              </w:rPr>
            </w:pPr>
            <w:r>
              <w:rPr>
                <w:snapToGrid w:val="0"/>
              </w:rPr>
              <w:t>3 of 2012</w:t>
            </w:r>
          </w:p>
        </w:tc>
        <w:tc>
          <w:tcPr>
            <w:tcW w:w="1135" w:type="dxa"/>
            <w:gridSpan w:val="2"/>
            <w:shd w:val="clear" w:color="auto" w:fill="auto"/>
          </w:tcPr>
          <w:p>
            <w:pPr>
              <w:pStyle w:val="nTable"/>
              <w:spacing w:after="40"/>
              <w:rPr>
                <w:snapToGrid w:val="0"/>
              </w:rPr>
            </w:pPr>
            <w:r>
              <w:rPr>
                <w:snapToGrid w:val="0"/>
              </w:rPr>
              <w:t>10 Apr 2012</w:t>
            </w:r>
          </w:p>
        </w:tc>
        <w:tc>
          <w:tcPr>
            <w:tcW w:w="2532" w:type="dxa"/>
            <w:shd w:val="clear" w:color="auto" w:fill="auto"/>
          </w:tcPr>
          <w:p>
            <w:pPr>
              <w:pStyle w:val="nTable"/>
              <w:spacing w:after="40"/>
              <w:rPr>
                <w:snapToGrid w:val="0"/>
              </w:rPr>
            </w:pPr>
            <w:r>
              <w:rPr>
                <w:snapToGrid w:val="0"/>
              </w:rPr>
              <w:t>11 Apr 2012 (see s. 2(b))</w:t>
            </w:r>
          </w:p>
        </w:tc>
      </w:tr>
      <w:tr>
        <w:tblPrEx>
          <w:tblBorders>
            <w:top w:val="single" w:sz="4" w:space="0" w:color="auto"/>
            <w:bottom w:val="single" w:sz="4" w:space="0" w:color="auto"/>
            <w:insideH w:val="none" w:sz="0" w:space="0" w:color="auto"/>
          </w:tblBorders>
        </w:tblPrEx>
        <w:trPr>
          <w:cantSplit/>
        </w:trPr>
        <w:tc>
          <w:tcPr>
            <w:tcW w:w="7069" w:type="dxa"/>
            <w:gridSpan w:val="7"/>
            <w:tcBorders>
              <w:top w:val="nil"/>
              <w:bottom w:val="nil"/>
            </w:tcBorders>
            <w:shd w:val="clear" w:color="auto" w:fill="auto"/>
          </w:tcPr>
          <w:p>
            <w:pPr>
              <w:pStyle w:val="nTable"/>
              <w:spacing w:after="40"/>
              <w:rPr>
                <w:snapToGrid w:val="0"/>
              </w:rPr>
            </w:pPr>
            <w:r>
              <w:rPr>
                <w:b/>
              </w:rPr>
              <w:t xml:space="preserve">Reprint 5: The </w:t>
            </w:r>
            <w:r>
              <w:rPr>
                <w:b/>
                <w:i/>
              </w:rPr>
              <w:t>Minimum Conditions of Employment Act 1993</w:t>
            </w:r>
            <w:r>
              <w:rPr>
                <w:b/>
              </w:rPr>
              <w:t xml:space="preserve"> as at 6 Jul 2012</w:t>
            </w:r>
            <w:r>
              <w:rPr>
                <w:b/>
              </w:rPr>
              <w:br/>
            </w:r>
            <w:r>
              <w:t>(includes amendments listed above)</w:t>
            </w:r>
          </w:p>
        </w:tc>
      </w:tr>
      <w:tr>
        <w:tblPrEx>
          <w:tblBorders>
            <w:top w:val="single" w:sz="4" w:space="0" w:color="auto"/>
            <w:bottom w:val="single" w:sz="4" w:space="0" w:color="auto"/>
          </w:tblBorders>
        </w:tblPrEx>
        <w:trPr>
          <w:cantSplit/>
        </w:trPr>
        <w:tc>
          <w:tcPr>
            <w:tcW w:w="2268" w:type="dxa"/>
            <w:gridSpan w:val="2"/>
            <w:tcBorders>
              <w:top w:val="nil"/>
              <w:bottom w:val="nil"/>
            </w:tcBorders>
            <w:shd w:val="clear" w:color="auto" w:fill="auto"/>
          </w:tcPr>
          <w:p>
            <w:pPr>
              <w:pStyle w:val="nTable"/>
              <w:spacing w:after="40"/>
              <w:ind w:right="113"/>
              <w:rPr>
                <w:snapToGrid w:val="0"/>
              </w:rPr>
            </w:pPr>
            <w:r>
              <w:rPr>
                <w:i/>
                <w:snapToGrid w:val="0"/>
              </w:rPr>
              <w:t>Statutes (Repeals) Act 2016</w:t>
            </w:r>
            <w:r>
              <w:rPr>
                <w:snapToGrid w:val="0"/>
              </w:rPr>
              <w:t xml:space="preserve"> Pt. 3 Div. 3</w:t>
            </w:r>
          </w:p>
        </w:tc>
        <w:tc>
          <w:tcPr>
            <w:tcW w:w="1134" w:type="dxa"/>
            <w:gridSpan w:val="2"/>
            <w:tcBorders>
              <w:top w:val="nil"/>
              <w:bottom w:val="nil"/>
            </w:tcBorders>
            <w:shd w:val="clear" w:color="auto" w:fill="auto"/>
          </w:tcPr>
          <w:p>
            <w:pPr>
              <w:pStyle w:val="nTable"/>
              <w:spacing w:after="40"/>
              <w:rPr>
                <w:snapToGrid w:val="0"/>
              </w:rPr>
            </w:pPr>
            <w:r>
              <w:rPr>
                <w:snapToGrid w:val="0"/>
              </w:rPr>
              <w:t>50 of 2016</w:t>
            </w:r>
          </w:p>
        </w:tc>
        <w:tc>
          <w:tcPr>
            <w:tcW w:w="1135" w:type="dxa"/>
            <w:gridSpan w:val="2"/>
            <w:tcBorders>
              <w:top w:val="nil"/>
              <w:bottom w:val="nil"/>
            </w:tcBorders>
            <w:shd w:val="clear" w:color="auto" w:fill="auto"/>
          </w:tcPr>
          <w:p>
            <w:pPr>
              <w:pStyle w:val="nTable"/>
              <w:spacing w:after="40"/>
              <w:rPr>
                <w:snapToGrid w:val="0"/>
              </w:rPr>
            </w:pPr>
            <w:r>
              <w:rPr>
                <w:snapToGrid w:val="0"/>
              </w:rPr>
              <w:t>28 Nov 2016</w:t>
            </w:r>
          </w:p>
        </w:tc>
        <w:tc>
          <w:tcPr>
            <w:tcW w:w="2532" w:type="dxa"/>
            <w:tcBorders>
              <w:top w:val="nil"/>
              <w:bottom w:val="nil"/>
            </w:tcBorders>
            <w:shd w:val="clear" w:color="auto" w:fill="auto"/>
          </w:tcPr>
          <w:p>
            <w:pPr>
              <w:pStyle w:val="nTable"/>
              <w:spacing w:after="40"/>
              <w:rPr>
                <w:snapToGrid w:val="0"/>
              </w:rPr>
            </w:pPr>
            <w:r>
              <w:rPr>
                <w:snapToGrid w:val="0"/>
              </w:rPr>
              <w:t>29 Nov 2016 (see s. 2(b))</w:t>
            </w:r>
          </w:p>
        </w:tc>
      </w:tr>
      <w:tr>
        <w:tblPrEx>
          <w:tblBorders>
            <w:top w:val="single" w:sz="4" w:space="0" w:color="auto"/>
            <w:bottom w:val="single" w:sz="4" w:space="0" w:color="auto"/>
            <w:insideH w:val="none" w:sz="0" w:space="0" w:color="auto"/>
          </w:tblBorders>
        </w:tblPrEx>
        <w:trPr>
          <w:cantSplit/>
        </w:trPr>
        <w:tc>
          <w:tcPr>
            <w:tcW w:w="2268" w:type="dxa"/>
            <w:gridSpan w:val="2"/>
            <w:tcBorders>
              <w:top w:val="nil"/>
              <w:bottom w:val="single" w:sz="4" w:space="0" w:color="auto"/>
            </w:tcBorders>
            <w:shd w:val="clear" w:color="auto" w:fill="auto"/>
          </w:tcPr>
          <w:p>
            <w:pPr>
              <w:pStyle w:val="nTable"/>
              <w:spacing w:after="40"/>
              <w:ind w:right="113"/>
              <w:rPr>
                <w:i/>
                <w:snapToGrid w:val="0"/>
              </w:rPr>
            </w:pPr>
            <w:r>
              <w:rPr>
                <w:i/>
              </w:rPr>
              <w:t>Industrial Relations Legislation Amendment Act 2021</w:t>
            </w:r>
            <w:r>
              <w:t xml:space="preserve"> Pt. 5</w:t>
            </w:r>
          </w:p>
        </w:tc>
        <w:tc>
          <w:tcPr>
            <w:tcW w:w="1134" w:type="dxa"/>
            <w:gridSpan w:val="2"/>
            <w:tcBorders>
              <w:top w:val="nil"/>
              <w:bottom w:val="single" w:sz="4" w:space="0" w:color="auto"/>
            </w:tcBorders>
            <w:shd w:val="clear" w:color="auto" w:fill="auto"/>
          </w:tcPr>
          <w:p>
            <w:pPr>
              <w:pStyle w:val="nTable"/>
              <w:spacing w:after="40"/>
              <w:rPr>
                <w:snapToGrid w:val="0"/>
              </w:rPr>
            </w:pPr>
            <w:r>
              <w:t>30 of 2021</w:t>
            </w:r>
          </w:p>
        </w:tc>
        <w:tc>
          <w:tcPr>
            <w:tcW w:w="1135" w:type="dxa"/>
            <w:gridSpan w:val="2"/>
            <w:tcBorders>
              <w:top w:val="nil"/>
              <w:bottom w:val="single" w:sz="4" w:space="0" w:color="auto"/>
            </w:tcBorders>
            <w:shd w:val="clear" w:color="auto" w:fill="auto"/>
          </w:tcPr>
          <w:p>
            <w:pPr>
              <w:pStyle w:val="nTable"/>
              <w:spacing w:after="40"/>
              <w:rPr>
                <w:snapToGrid w:val="0"/>
              </w:rPr>
            </w:pPr>
            <w:r>
              <w:t>22 Dec 2021</w:t>
            </w:r>
          </w:p>
        </w:tc>
        <w:tc>
          <w:tcPr>
            <w:tcW w:w="2532" w:type="dxa"/>
            <w:tcBorders>
              <w:top w:val="nil"/>
              <w:bottom w:val="single" w:sz="4" w:space="0" w:color="auto"/>
            </w:tcBorders>
            <w:shd w:val="clear" w:color="auto" w:fill="auto"/>
          </w:tcPr>
          <w:p>
            <w:pPr>
              <w:pStyle w:val="nTable"/>
              <w:spacing w:after="40"/>
              <w:rPr>
                <w:snapToGrid w:val="0"/>
              </w:rPr>
            </w:pPr>
            <w:r>
              <w:rPr>
                <w:snapToGrid w:val="0"/>
              </w:rPr>
              <w:t>Pt. 5 (other than s. </w:t>
            </w:r>
            <w:r>
              <w:t>100</w:t>
            </w:r>
            <w:r>
              <w:noBreakHyphen/>
              <w:t xml:space="preserve">119 and 121): </w:t>
            </w:r>
            <w:r>
              <w:rPr>
                <w:snapToGrid w:val="0"/>
              </w:rPr>
              <w:t>12 Feb 2022 (see s. 2(1)(b) and SL 2022/10 cl. 2);</w:t>
            </w:r>
            <w:r>
              <w:rPr>
                <w:snapToGrid w:val="0"/>
              </w:rPr>
              <w:br/>
              <w:t>s. </w:t>
            </w:r>
            <w:r>
              <w:t>100</w:t>
            </w:r>
            <w:r>
              <w:noBreakHyphen/>
              <w:t>119 and 121: 20 Jun 2022 (see s. 2(1)(b) and SL 2022/79 cl. 2)</w:t>
            </w:r>
          </w:p>
        </w:tc>
      </w:tr>
    </w:tbl>
    <w:p>
      <w:pPr>
        <w:pStyle w:val="nHeading3"/>
        <w:rPr>
          <w:ins w:id="336" w:author="Master Repository Process" w:date="2025-07-03T11:10:00Z"/>
        </w:rPr>
      </w:pPr>
      <w:bookmarkStart w:id="337" w:name="_Toc182320784"/>
      <w:ins w:id="338" w:author="Master Repository Process" w:date="2025-07-03T11:10:00Z">
        <w:r>
          <w:t>Uncommenced provisions table</w:t>
        </w:r>
        <w:bookmarkEnd w:id="337"/>
      </w:ins>
    </w:p>
    <w:p>
      <w:pPr>
        <w:pStyle w:val="nStatement"/>
        <w:keepNext/>
        <w:spacing w:after="240"/>
        <w:rPr>
          <w:ins w:id="339" w:author="Master Repository Process" w:date="2025-07-03T11:10:00Z"/>
        </w:rPr>
      </w:pPr>
      <w:ins w:id="340" w:author="Master Repository Process" w:date="2025-07-03T11:10: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41" w:author="Master Repository Process" w:date="2025-07-03T11:10:00Z"/>
        </w:trPr>
        <w:tc>
          <w:tcPr>
            <w:tcW w:w="2268" w:type="dxa"/>
          </w:tcPr>
          <w:p>
            <w:pPr>
              <w:pStyle w:val="nTable"/>
              <w:spacing w:after="40"/>
              <w:rPr>
                <w:ins w:id="342" w:author="Master Repository Process" w:date="2025-07-03T11:10:00Z"/>
                <w:b/>
              </w:rPr>
            </w:pPr>
            <w:ins w:id="343" w:author="Master Repository Process" w:date="2025-07-03T11:10:00Z">
              <w:r>
                <w:rPr>
                  <w:b/>
                </w:rPr>
                <w:t>Short title</w:t>
              </w:r>
            </w:ins>
          </w:p>
        </w:tc>
        <w:tc>
          <w:tcPr>
            <w:tcW w:w="1134" w:type="dxa"/>
          </w:tcPr>
          <w:p>
            <w:pPr>
              <w:pStyle w:val="nTable"/>
              <w:spacing w:after="40"/>
              <w:rPr>
                <w:ins w:id="344" w:author="Master Repository Process" w:date="2025-07-03T11:10:00Z"/>
                <w:b/>
              </w:rPr>
            </w:pPr>
            <w:ins w:id="345" w:author="Master Repository Process" w:date="2025-07-03T11:10:00Z">
              <w:r>
                <w:rPr>
                  <w:b/>
                </w:rPr>
                <w:t>Number and year</w:t>
              </w:r>
            </w:ins>
          </w:p>
        </w:tc>
        <w:tc>
          <w:tcPr>
            <w:tcW w:w="1134" w:type="dxa"/>
          </w:tcPr>
          <w:p>
            <w:pPr>
              <w:pStyle w:val="nTable"/>
              <w:spacing w:after="40"/>
              <w:rPr>
                <w:ins w:id="346" w:author="Master Repository Process" w:date="2025-07-03T11:10:00Z"/>
                <w:b/>
              </w:rPr>
            </w:pPr>
            <w:ins w:id="347" w:author="Master Repository Process" w:date="2025-07-03T11:10:00Z">
              <w:r>
                <w:rPr>
                  <w:b/>
                </w:rPr>
                <w:t>Assent</w:t>
              </w:r>
            </w:ins>
          </w:p>
        </w:tc>
        <w:tc>
          <w:tcPr>
            <w:tcW w:w="2552" w:type="dxa"/>
          </w:tcPr>
          <w:p>
            <w:pPr>
              <w:pStyle w:val="nTable"/>
              <w:spacing w:after="40"/>
              <w:rPr>
                <w:ins w:id="348" w:author="Master Repository Process" w:date="2025-07-03T11:10:00Z"/>
                <w:b/>
              </w:rPr>
            </w:pPr>
            <w:ins w:id="349" w:author="Master Repository Process" w:date="2025-07-03T11:10:00Z">
              <w:r>
                <w:rPr>
                  <w:b/>
                </w:rPr>
                <w:t>Commencement</w:t>
              </w:r>
            </w:ins>
          </w:p>
        </w:tc>
      </w:tr>
      <w:tr>
        <w:trPr>
          <w:ins w:id="350" w:author="Master Repository Process" w:date="2025-07-03T11:10:00Z"/>
        </w:trPr>
        <w:tc>
          <w:tcPr>
            <w:tcW w:w="2268" w:type="dxa"/>
          </w:tcPr>
          <w:p>
            <w:pPr>
              <w:pStyle w:val="nTable"/>
              <w:spacing w:after="40"/>
              <w:rPr>
                <w:ins w:id="351" w:author="Master Repository Process" w:date="2025-07-03T11:10:00Z"/>
                <w:iCs/>
              </w:rPr>
            </w:pPr>
            <w:ins w:id="352" w:author="Master Repository Process" w:date="2025-07-03T11:10:00Z">
              <w:r>
                <w:rPr>
                  <w:i/>
                </w:rPr>
                <w:t>Industrial Relations Legislation Amendment Act 2024</w:t>
              </w:r>
              <w:r>
                <w:rPr>
                  <w:iCs/>
                </w:rPr>
                <w:t xml:space="preserve"> Pt. 3</w:t>
              </w:r>
            </w:ins>
          </w:p>
        </w:tc>
        <w:tc>
          <w:tcPr>
            <w:tcW w:w="1134" w:type="dxa"/>
          </w:tcPr>
          <w:p>
            <w:pPr>
              <w:pStyle w:val="nTable"/>
              <w:spacing w:after="40"/>
              <w:rPr>
                <w:ins w:id="353" w:author="Master Repository Process" w:date="2025-07-03T11:10:00Z"/>
              </w:rPr>
            </w:pPr>
            <w:ins w:id="354" w:author="Master Repository Process" w:date="2025-07-03T11:10:00Z">
              <w:r>
                <w:t>43 of 2024</w:t>
              </w:r>
            </w:ins>
          </w:p>
        </w:tc>
        <w:tc>
          <w:tcPr>
            <w:tcW w:w="1134" w:type="dxa"/>
          </w:tcPr>
          <w:p>
            <w:pPr>
              <w:pStyle w:val="nTable"/>
              <w:spacing w:after="40"/>
              <w:rPr>
                <w:ins w:id="355" w:author="Master Repository Process" w:date="2025-07-03T11:10:00Z"/>
              </w:rPr>
            </w:pPr>
            <w:ins w:id="356" w:author="Master Repository Process" w:date="2025-07-03T11:10:00Z">
              <w:r>
                <w:t>13 Nov 2024</w:t>
              </w:r>
            </w:ins>
          </w:p>
        </w:tc>
        <w:tc>
          <w:tcPr>
            <w:tcW w:w="2552" w:type="dxa"/>
          </w:tcPr>
          <w:p>
            <w:pPr>
              <w:pStyle w:val="nTable"/>
              <w:spacing w:after="40"/>
              <w:rPr>
                <w:ins w:id="357" w:author="Master Repository Process" w:date="2025-07-03T11:10:00Z"/>
              </w:rPr>
            </w:pPr>
            <w:ins w:id="358" w:author="Master Repository Process" w:date="2025-07-03T11:10:00Z">
              <w:r>
                <w:t>31 Jan 2025 (see s. 2(c))</w:t>
              </w:r>
            </w:ins>
          </w:p>
        </w:tc>
      </w:tr>
    </w:tbl>
    <w:p>
      <w:pPr>
        <w:pStyle w:val="nHeading3"/>
      </w:pPr>
      <w:bookmarkStart w:id="359" w:name="_Toc182320785"/>
      <w:bookmarkStart w:id="360" w:name="_Toc106276471"/>
      <w:r>
        <w:t>Other notes</w:t>
      </w:r>
      <w:bookmarkEnd w:id="359"/>
      <w:bookmarkEnd w:id="360"/>
    </w:p>
    <w:p>
      <w:pPr>
        <w:pStyle w:val="nNote"/>
        <w:spacing w:before="160"/>
        <w:rPr>
          <w:snapToGrid w:val="0"/>
        </w:rPr>
      </w:pPr>
      <w:r>
        <w:rPr>
          <w:snapToGrid w:val="0"/>
          <w:vertAlign w:val="superscript"/>
        </w:rPr>
        <w:t>1</w:t>
      </w:r>
      <w:r>
        <w:rPr>
          <w:snapToGrid w:val="0"/>
          <w:vertAlign w:val="superscript"/>
        </w:rPr>
        <w:tab/>
      </w:r>
      <w:r>
        <w:rPr>
          <w:snapToGrid w:val="0"/>
        </w:rPr>
        <w:t>Expired 14 September 2003.</w:t>
      </w:r>
    </w:p>
    <w:p>
      <w:pPr>
        <w:pStyle w:val="nNote"/>
        <w:keepNext/>
        <w:spacing w:before="160"/>
        <w:rPr>
          <w:snapToGrid w:val="0"/>
        </w:rPr>
      </w:pPr>
      <w:r>
        <w:rPr>
          <w:snapToGrid w:val="0"/>
          <w:vertAlign w:val="superscript"/>
        </w:rPr>
        <w:t>2</w:t>
      </w:r>
      <w:r>
        <w:rPr>
          <w:snapToGrid w:val="0"/>
          <w:vertAlign w:val="superscript"/>
        </w:rPr>
        <w:tab/>
      </w:r>
      <w:r>
        <w:t xml:space="preserve">Deleted by the </w:t>
      </w:r>
      <w:r>
        <w:rPr>
          <w:i/>
        </w:rPr>
        <w:t>Industrial Relations Amendment Act 1993</w:t>
      </w:r>
      <w:r>
        <w:t xml:space="preserve"> s. 18(1)(c).</w:t>
      </w:r>
    </w:p>
    <w:p>
      <w:pPr>
        <w:pStyle w:val="nNote"/>
        <w:spacing w:before="120"/>
        <w:rPr>
          <w:snapToGrid w:val="0"/>
        </w:rPr>
      </w:pPr>
      <w:r>
        <w:rPr>
          <w:vertAlign w:val="superscript"/>
        </w:rPr>
        <w:t>3</w:t>
      </w:r>
      <w:r>
        <w:tab/>
        <w:t xml:space="preserve">The </w:t>
      </w:r>
      <w:r>
        <w:rPr>
          <w:i/>
        </w:rPr>
        <w:t>Criminal Procedure and Appeals (Consequential and Other Provisions) Act 2004</w:t>
      </w:r>
      <w:r>
        <w:t xml:space="preserve"> Sch. 1 cl. 20 (amendment to s. 46(1)) </w:t>
      </w:r>
      <w:r>
        <w:rPr>
          <w:snapToGrid w:val="0"/>
        </w:rPr>
        <w:t xml:space="preserve">was deleted by the </w:t>
      </w:r>
      <w:r>
        <w:rPr>
          <w:i/>
          <w:iCs/>
          <w:snapToGrid w:val="0"/>
        </w:rPr>
        <w:t>Criminal Law and Evidence Amendment Act 2008</w:t>
      </w:r>
      <w:r>
        <w:rPr>
          <w:snapToGrid w:val="0"/>
        </w:rPr>
        <w:t xml:space="preserve"> s. 78(3).</w:t>
      </w:r>
    </w:p>
    <w:p>
      <w:pPr>
        <w:pStyle w:val="nNote"/>
        <w:spacing w:before="120"/>
        <w:rPr>
          <w:snapToGrid w:val="0"/>
          <w:sz w:val="19"/>
        </w:rPr>
      </w:pPr>
      <w:r>
        <w:rPr>
          <w:snapToGrid w:val="0"/>
          <w:vertAlign w:val="superscript"/>
        </w:rPr>
        <w:t>4</w:t>
      </w:r>
      <w:r>
        <w:rPr>
          <w:snapToGrid w:val="0"/>
        </w:rPr>
        <w:tab/>
        <w:t xml:space="preserve">The </w:t>
      </w:r>
      <w:r>
        <w:rPr>
          <w:i/>
          <w:snapToGrid w:val="0"/>
          <w:sz w:val="19"/>
        </w:rPr>
        <w:t>Labour Relations Legislation Amendment Act 2006</w:t>
      </w:r>
      <w:r>
        <w:rPr>
          <w:snapToGrid w:val="0"/>
          <w:sz w:val="19"/>
        </w:rPr>
        <w:t xml:space="preserve"> s. 31(2) reads as follows:</w:t>
      </w:r>
    </w:p>
    <w:p>
      <w:pPr>
        <w:pStyle w:val="BlankOpen"/>
        <w:rPr>
          <w:snapToGrid w:val="0"/>
        </w:rPr>
      </w:pP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BlankClose"/>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rPr>
          <w:snapToGrid w:val="0"/>
        </w:rPr>
      </w:pPr>
      <w:ins w:id="362" w:author="Master Repository Process" w:date="2025-07-03T11:1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63" w:author="Master Repository Process" w:date="2025-07-03T11:10:00Z"/>
                                  <w:sz w:val="16"/>
                                </w:rPr>
                              </w:pPr>
                              <w:ins w:id="364" w:author="Master Repository Process" w:date="2025-07-03T11:1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65" w:author="Master Repository Process" w:date="2025-07-03T11:10:00Z"/>
                                  <w:sz w:val="16"/>
                                </w:rPr>
                              </w:pPr>
                              <w:ins w:id="366" w:author="Master Repository Process" w:date="2025-07-03T11:1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67" w:author="Master Repository Process" w:date="2025-07-03T11:10:00Z"/>
                                  <w:sz w:val="16"/>
                                </w:rPr>
                              </w:pPr>
                              <w:ins w:id="368" w:author="Master Repository Process" w:date="2025-07-03T11:1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69" w:author="Master Repository Process" w:date="2025-07-03T11:10:00Z"/>
                                  <w:rFonts w:ascii="Arial" w:hAnsi="Arial" w:cs="Arial"/>
                                  <w:sz w:val="12"/>
                                </w:rPr>
                              </w:pPr>
                              <w:ins w:id="370" w:author="Master Repository Process" w:date="2025-07-03T11:1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71" w:author="Master Repository Process" w:date="2025-07-03T11:10:00Z"/>
                            <w:sz w:val="16"/>
                          </w:rPr>
                        </w:pPr>
                        <w:ins w:id="372" w:author="Master Repository Process" w:date="2025-07-03T11:1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73" w:author="Master Repository Process" w:date="2025-07-03T11:10:00Z"/>
                            <w:sz w:val="16"/>
                          </w:rPr>
                        </w:pPr>
                        <w:ins w:id="374" w:author="Master Repository Process" w:date="2025-07-03T11:1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75" w:author="Master Repository Process" w:date="2025-07-03T11:10:00Z"/>
                            <w:sz w:val="16"/>
                          </w:rPr>
                        </w:pPr>
                        <w:ins w:id="376" w:author="Master Repository Process" w:date="2025-07-03T11:1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77" w:author="Master Repository Process" w:date="2025-07-03T11:10:00Z"/>
                            <w:rFonts w:ascii="Arial" w:hAnsi="Arial" w:cs="Arial"/>
                            <w:sz w:val="12"/>
                          </w:rPr>
                        </w:pPr>
                        <w:ins w:id="378" w:author="Master Repository Process" w:date="2025-07-03T11:1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6" w:name="Schedule"/>
    <w:bookmarkEnd w:id="3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61" w:name="Compilation"/>
    <w:bookmarkEnd w:id="3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9" w:name="Coversheet"/>
    <w:bookmarkEnd w:id="3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12144210"/>
    <w:docVar w:name="WAFER_20140121110802" w:val="RemoveTocBookmarks,RemoveUnusedBookmarks,RemoveLanguageTags,UsedStyles,ResetPageSize,UpdateArrangement"/>
    <w:docVar w:name="WAFER_20140121110802_GUID" w:val="a446eb0e-bf77-4a30-bdb8-38e80804053c"/>
    <w:docVar w:name="WAFER_20140121115625" w:val="RemoveTocBookmarks,RunningHeaders"/>
    <w:docVar w:name="WAFER_20140121115625_GUID" w:val="1cdac7be-6086-4a6f-a9ae-c3fb4a0c30d1"/>
    <w:docVar w:name="WAFER_20150603164025" w:val="ResetPageSize,UpdateArrangement,UpdateNTable"/>
    <w:docVar w:name="WAFER_20150603164025_GUID" w:val="32387d75-7f95-48d5-977d-3481da19b57e"/>
    <w:docVar w:name="WAFER_20151106161240" w:val="UpdateStyles,UsedStyles"/>
    <w:docVar w:name="WAFER_20151106161240_GUID" w:val="d4cdd55d-63ac-4976-9242-14b975a54899"/>
    <w:docVar w:name="WAFER_20211221100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00349_GUID" w:val="cb0d49d3-915f-425d-a759-2fd74260b854"/>
    <w:docVar w:name="WAFER_20220208092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092826_GUID" w:val="99f9d207-70ef-4366-b36e-d116c05fbb80"/>
    <w:docVar w:name="WAFER_202202080928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092855_GUID" w:val="439ab382-14da-497d-8439-f2a94badafac"/>
    <w:docVar w:name="WAFER_202206141648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64837_GUID" w:val="1cb2d323-54c5-4e0f-ab65-3a1f4b60ecb5"/>
    <w:docVar w:name="WAFER_202206141649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64900_GUID" w:val="bc70131d-710d-48bf-93cd-e81452db18b7"/>
    <w:docVar w:name="WAFER_20241112144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12144210_GUID" w:val="a297faaf-96a0-4da1-9ffa-ad5c879d8c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3Char">
    <w:name w:val="Heading 3 Char"/>
    <w:basedOn w:val="DefaultParagraphFont"/>
    <w:link w:val="Heading3"/>
    <w:rPr>
      <w:b/>
      <w:sz w:val="26"/>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87914">
      <w:bodyDiv w:val="1"/>
      <w:marLeft w:val="0"/>
      <w:marRight w:val="0"/>
      <w:marTop w:val="0"/>
      <w:marBottom w:val="0"/>
      <w:divBdr>
        <w:top w:val="none" w:sz="0" w:space="0" w:color="auto"/>
        <w:left w:val="none" w:sz="0" w:space="0" w:color="auto"/>
        <w:bottom w:val="none" w:sz="0" w:space="0" w:color="auto"/>
        <w:right w:val="none" w:sz="0" w:space="0" w:color="auto"/>
      </w:divBdr>
    </w:div>
    <w:div w:id="695929559">
      <w:bodyDiv w:val="1"/>
      <w:marLeft w:val="0"/>
      <w:marRight w:val="0"/>
      <w:marTop w:val="0"/>
      <w:marBottom w:val="0"/>
      <w:divBdr>
        <w:top w:val="none" w:sz="0" w:space="0" w:color="auto"/>
        <w:left w:val="none" w:sz="0" w:space="0" w:color="auto"/>
        <w:bottom w:val="none" w:sz="0" w:space="0" w:color="auto"/>
        <w:right w:val="none" w:sz="0" w:space="0" w:color="auto"/>
      </w:divBdr>
    </w:div>
    <w:div w:id="787049544">
      <w:bodyDiv w:val="1"/>
      <w:marLeft w:val="0"/>
      <w:marRight w:val="0"/>
      <w:marTop w:val="0"/>
      <w:marBottom w:val="0"/>
      <w:divBdr>
        <w:top w:val="none" w:sz="0" w:space="0" w:color="auto"/>
        <w:left w:val="none" w:sz="0" w:space="0" w:color="auto"/>
        <w:bottom w:val="none" w:sz="0" w:space="0" w:color="auto"/>
        <w:right w:val="none" w:sz="0" w:space="0" w:color="auto"/>
      </w:divBdr>
    </w:div>
    <w:div w:id="895507250">
      <w:bodyDiv w:val="1"/>
      <w:marLeft w:val="0"/>
      <w:marRight w:val="0"/>
      <w:marTop w:val="0"/>
      <w:marBottom w:val="0"/>
      <w:divBdr>
        <w:top w:val="none" w:sz="0" w:space="0" w:color="auto"/>
        <w:left w:val="none" w:sz="0" w:space="0" w:color="auto"/>
        <w:bottom w:val="none" w:sz="0" w:space="0" w:color="auto"/>
        <w:right w:val="none" w:sz="0" w:space="0" w:color="auto"/>
      </w:divBdr>
    </w:div>
    <w:div w:id="895699375">
      <w:bodyDiv w:val="1"/>
      <w:marLeft w:val="0"/>
      <w:marRight w:val="0"/>
      <w:marTop w:val="0"/>
      <w:marBottom w:val="0"/>
      <w:divBdr>
        <w:top w:val="none" w:sz="0" w:space="0" w:color="auto"/>
        <w:left w:val="none" w:sz="0" w:space="0" w:color="auto"/>
        <w:bottom w:val="none" w:sz="0" w:space="0" w:color="auto"/>
        <w:right w:val="none" w:sz="0" w:space="0" w:color="auto"/>
      </w:divBdr>
    </w:div>
    <w:div w:id="1033506264">
      <w:bodyDiv w:val="1"/>
      <w:marLeft w:val="0"/>
      <w:marRight w:val="0"/>
      <w:marTop w:val="0"/>
      <w:marBottom w:val="0"/>
      <w:divBdr>
        <w:top w:val="none" w:sz="0" w:space="0" w:color="auto"/>
        <w:left w:val="none" w:sz="0" w:space="0" w:color="auto"/>
        <w:bottom w:val="none" w:sz="0" w:space="0" w:color="auto"/>
        <w:right w:val="none" w:sz="0" w:space="0" w:color="auto"/>
      </w:divBdr>
    </w:div>
    <w:div w:id="1579100245">
      <w:bodyDiv w:val="1"/>
      <w:marLeft w:val="0"/>
      <w:marRight w:val="0"/>
      <w:marTop w:val="0"/>
      <w:marBottom w:val="0"/>
      <w:divBdr>
        <w:top w:val="none" w:sz="0" w:space="0" w:color="auto"/>
        <w:left w:val="none" w:sz="0" w:space="0" w:color="auto"/>
        <w:bottom w:val="none" w:sz="0" w:space="0" w:color="auto"/>
        <w:right w:val="none" w:sz="0" w:space="0" w:color="auto"/>
      </w:divBdr>
    </w:div>
    <w:div w:id="1719620373">
      <w:bodyDiv w:val="1"/>
      <w:marLeft w:val="0"/>
      <w:marRight w:val="0"/>
      <w:marTop w:val="0"/>
      <w:marBottom w:val="0"/>
      <w:divBdr>
        <w:top w:val="none" w:sz="0" w:space="0" w:color="auto"/>
        <w:left w:val="none" w:sz="0" w:space="0" w:color="auto"/>
        <w:bottom w:val="none" w:sz="0" w:space="0" w:color="auto"/>
        <w:right w:val="none" w:sz="0" w:space="0" w:color="auto"/>
      </w:divBdr>
    </w:div>
    <w:div w:id="1931355837">
      <w:bodyDiv w:val="1"/>
      <w:marLeft w:val="0"/>
      <w:marRight w:val="0"/>
      <w:marTop w:val="0"/>
      <w:marBottom w:val="0"/>
      <w:divBdr>
        <w:top w:val="none" w:sz="0" w:space="0" w:color="auto"/>
        <w:left w:val="none" w:sz="0" w:space="0" w:color="auto"/>
        <w:bottom w:val="none" w:sz="0" w:space="0" w:color="auto"/>
        <w:right w:val="none" w:sz="0" w:space="0" w:color="auto"/>
      </w:divBdr>
    </w:div>
    <w:div w:id="1935433185">
      <w:bodyDiv w:val="1"/>
      <w:marLeft w:val="0"/>
      <w:marRight w:val="0"/>
      <w:marTop w:val="0"/>
      <w:marBottom w:val="0"/>
      <w:divBdr>
        <w:top w:val="none" w:sz="0" w:space="0" w:color="auto"/>
        <w:left w:val="none" w:sz="0" w:space="0" w:color="auto"/>
        <w:bottom w:val="none" w:sz="0" w:space="0" w:color="auto"/>
        <w:right w:val="none" w:sz="0" w:space="0" w:color="auto"/>
      </w:divBdr>
    </w:div>
    <w:div w:id="210426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11252</Words>
  <Characters>52551</Characters>
  <Application>Microsoft Office Word</Application>
  <DocSecurity>0</DocSecurity>
  <Lines>1459</Lines>
  <Paragraphs>862</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62941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05-e0-00 - 05-f0-00</dc:title>
  <dc:subject/>
  <dc:creator/>
  <cp:keywords/>
  <dc:description/>
  <cp:lastModifiedBy>Master Repository Process</cp:lastModifiedBy>
  <cp:revision>2</cp:revision>
  <cp:lastPrinted>2016-12-06T07:55:00Z</cp:lastPrinted>
  <dcterms:created xsi:type="dcterms:W3CDTF">2025-07-03T03:10:00Z</dcterms:created>
  <dcterms:modified xsi:type="dcterms:W3CDTF">2025-07-03T03:10:00Z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DocumentType">
    <vt:lpwstr>Act</vt:lpwstr>
  </property>
  <property fmtid="{D5CDD505-2E9C-101B-9397-08002B2CF9AE}" pid="4" name="OwlsUID">
    <vt:i4>516</vt:i4>
  </property>
  <property fmtid="{D5CDD505-2E9C-101B-9397-08002B2CF9AE}" pid="5" name="ReprintNo">
    <vt:lpwstr>5</vt:lpwstr>
  </property>
  <property fmtid="{D5CDD505-2E9C-101B-9397-08002B2CF9AE}" pid="6" name="ReprintedAsAt">
    <vt:filetime>2012-07-05T16:00:00Z</vt:filetime>
  </property>
  <property fmtid="{D5CDD505-2E9C-101B-9397-08002B2CF9AE}" pid="7" name="Official">
    <vt:lpwstr/>
  </property>
  <property fmtid="{D5CDD505-2E9C-101B-9397-08002B2CF9AE}" pid="8" name="CommencementDate">
    <vt:lpwstr>20241113</vt:lpwstr>
  </property>
  <property fmtid="{D5CDD505-2E9C-101B-9397-08002B2CF9AE}" pid="9" name="CommencementAsAt">
    <vt:filetime>2024-11-12T16:00:00Z</vt:filetime>
  </property>
  <property fmtid="{D5CDD505-2E9C-101B-9397-08002B2CF9AE}" pid="10" name="CommencementYear">
    <vt:lpwstr>2024</vt:lpwstr>
  </property>
  <property fmtid="{D5CDD505-2E9C-101B-9397-08002B2CF9AE}" pid="11" name="FromSuffix">
    <vt:lpwstr>05-e0-00</vt:lpwstr>
  </property>
  <property fmtid="{D5CDD505-2E9C-101B-9397-08002B2CF9AE}" pid="12" name="FromAsAtDate">
    <vt:lpwstr>20 Jun 2022</vt:lpwstr>
  </property>
  <property fmtid="{D5CDD505-2E9C-101B-9397-08002B2CF9AE}" pid="13" name="ToSuffix">
    <vt:lpwstr>05-f0-00</vt:lpwstr>
  </property>
  <property fmtid="{D5CDD505-2E9C-101B-9397-08002B2CF9AE}" pid="14" name="ToAsAtDate">
    <vt:lpwstr>13 Nov 2024</vt:lpwstr>
  </property>
</Properties>
</file>