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2024</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16 Nov 2024</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An Act to make provision for the authorisation of persons to drive motor vehicles and related matters.</w:t>
      </w:r>
    </w:p>
    <w:p>
      <w:pPr>
        <w:pStyle w:val="Heading2"/>
      </w:pPr>
      <w:bookmarkStart w:id="2" w:name="_Toc182465787"/>
      <w:bookmarkStart w:id="3" w:name="_Toc182466938"/>
      <w:bookmarkStart w:id="4" w:name="_Toc182487086"/>
      <w:bookmarkStart w:id="5" w:name="_Toc180582669"/>
      <w:bookmarkStart w:id="6" w:name="_Toc180583226"/>
      <w:bookmarkStart w:id="7" w:name="_Toc1806558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2487087"/>
      <w:bookmarkStart w:id="9" w:name="_Toc180655824"/>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0" w:name="_Toc182487088"/>
      <w:bookmarkStart w:id="11" w:name="_Toc180655825"/>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12" w:name="_Toc182487089"/>
      <w:bookmarkStart w:id="13" w:name="_Toc180655826"/>
      <w:r>
        <w:rPr>
          <w:rStyle w:val="CharSectno"/>
        </w:rPr>
        <w:t>3</w:t>
      </w:r>
      <w:r>
        <w:t>.</w:t>
      </w:r>
      <w:r>
        <w:tab/>
        <w:t>Terms used</w:t>
      </w:r>
      <w:bookmarkEnd w:id="12"/>
      <w:bookmarkEnd w:id="13"/>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del w:id="14" w:author="Master Repository Process" w:date="2025-05-30T12:54:00Z">
        <w:r>
          <w:delText>.</w:delText>
        </w:r>
      </w:del>
      <w:ins w:id="15" w:author="Master Repository Process" w:date="2025-05-30T12:54:00Z">
        <w:r>
          <w:t>;</w:t>
        </w:r>
      </w:ins>
    </w:p>
    <w:p>
      <w:pPr>
        <w:pStyle w:val="Defstart"/>
        <w:rPr>
          <w:ins w:id="16" w:author="Master Repository Process" w:date="2025-05-30T12:54:00Z"/>
        </w:rPr>
      </w:pPr>
      <w:ins w:id="17" w:author="Master Repository Process" w:date="2025-05-30T12:54:00Z">
        <w:r>
          <w:tab/>
        </w:r>
        <w:r>
          <w:rPr>
            <w:rStyle w:val="CharDefText"/>
          </w:rPr>
          <w:t>vary</w:t>
        </w:r>
        <w:r>
          <w:t>, the conditions or restrictions on a driver’s licence, includes impose a condition or restriction on a driver’s licence that was not subject to the condition or restriction before the variation.</w:t>
        </w:r>
      </w:ins>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8 of 2022 s. </w:t>
      </w:r>
      <w:del w:id="18" w:author="Master Repository Process" w:date="2025-05-30T12:54:00Z">
        <w:r>
          <w:delText>9</w:delText>
        </w:r>
      </w:del>
      <w:ins w:id="19" w:author="Master Repository Process" w:date="2025-05-30T12:54:00Z">
        <w:r>
          <w:t>9; No. 45 of 2024 s. 4</w:t>
        </w:r>
      </w:ins>
      <w:r>
        <w:t>.]</w:t>
      </w:r>
    </w:p>
    <w:p>
      <w:pPr>
        <w:pStyle w:val="Heading2"/>
      </w:pPr>
      <w:bookmarkStart w:id="20" w:name="_Toc182465791"/>
      <w:bookmarkStart w:id="21" w:name="_Toc182466942"/>
      <w:bookmarkStart w:id="22" w:name="_Toc182487090"/>
      <w:bookmarkStart w:id="23" w:name="_Toc180582673"/>
      <w:bookmarkStart w:id="24" w:name="_Toc180583230"/>
      <w:bookmarkStart w:id="25" w:name="_Toc180655827"/>
      <w:r>
        <w:rPr>
          <w:rStyle w:val="CharPartNo"/>
        </w:rPr>
        <w:t>Part 2</w:t>
      </w:r>
      <w:r>
        <w:t> — </w:t>
      </w:r>
      <w:r>
        <w:rPr>
          <w:rStyle w:val="CharPartText"/>
        </w:rPr>
        <w:t>Authorisation to drive</w:t>
      </w:r>
      <w:bookmarkEnd w:id="20"/>
      <w:bookmarkEnd w:id="21"/>
      <w:bookmarkEnd w:id="22"/>
      <w:bookmarkEnd w:id="23"/>
      <w:bookmarkEnd w:id="24"/>
      <w:bookmarkEnd w:id="25"/>
    </w:p>
    <w:p>
      <w:pPr>
        <w:pStyle w:val="Heading3"/>
      </w:pPr>
      <w:bookmarkStart w:id="26" w:name="_Toc182465792"/>
      <w:bookmarkStart w:id="27" w:name="_Toc182466943"/>
      <w:bookmarkStart w:id="28" w:name="_Toc182487091"/>
      <w:bookmarkStart w:id="29" w:name="_Toc180582674"/>
      <w:bookmarkStart w:id="30" w:name="_Toc180583231"/>
      <w:bookmarkStart w:id="31" w:name="_Toc180655828"/>
      <w:r>
        <w:rPr>
          <w:rStyle w:val="CharDivNo"/>
        </w:rPr>
        <w:t>Division 1</w:t>
      </w:r>
      <w:r>
        <w:t> — </w:t>
      </w:r>
      <w:r>
        <w:rPr>
          <w:rStyle w:val="CharDivText"/>
        </w:rPr>
        <w:t>Driver licensing</w:t>
      </w:r>
      <w:bookmarkEnd w:id="26"/>
      <w:bookmarkEnd w:id="27"/>
      <w:bookmarkEnd w:id="28"/>
      <w:bookmarkEnd w:id="29"/>
      <w:bookmarkEnd w:id="30"/>
      <w:bookmarkEnd w:id="31"/>
    </w:p>
    <w:p>
      <w:pPr>
        <w:pStyle w:val="Heading5"/>
      </w:pPr>
      <w:bookmarkStart w:id="32" w:name="_Toc182487092"/>
      <w:bookmarkStart w:id="33" w:name="_Toc180655829"/>
      <w:r>
        <w:rPr>
          <w:rStyle w:val="CharSectno"/>
        </w:rPr>
        <w:t>4</w:t>
      </w:r>
      <w:r>
        <w:t>.</w:t>
      </w:r>
      <w:r>
        <w:tab/>
        <w:t>Regulations for driver licensing scheme</w:t>
      </w:r>
      <w:bookmarkEnd w:id="32"/>
      <w:bookmarkEnd w:id="33"/>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w:t>
      </w:r>
      <w:ins w:id="34" w:author="Master Repository Process" w:date="2025-05-30T12:54:00Z">
        <w:r>
          <w:t xml:space="preserve"> or vary</w:t>
        </w:r>
      </w:ins>
      <w:r>
        <w:t>, or provide for the imposition</w:t>
      </w:r>
      <w:ins w:id="35" w:author="Master Repository Process" w:date="2025-05-30T12:54:00Z">
        <w:r>
          <w:t xml:space="preserve"> or variation</w:t>
        </w:r>
      </w:ins>
      <w:r>
        <w:t xml:space="preserve">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rPr>
          <w:ins w:id="36" w:author="Master Repository Process" w:date="2025-05-30T12:54:00Z"/>
        </w:rPr>
      </w:pPr>
      <w:ins w:id="37" w:author="Master Repository Process" w:date="2025-05-30T12:54:00Z">
        <w:r>
          <w:tab/>
          <w:t>(5A)</w:t>
        </w:r>
        <w:r>
          <w:tab/>
          <w:t xml:space="preserve">The regulations may impose or vary restrictions on a driver’s licence, including — </w:t>
        </w:r>
      </w:ins>
    </w:p>
    <w:p>
      <w:pPr>
        <w:pStyle w:val="Indenta"/>
        <w:rPr>
          <w:ins w:id="38" w:author="Master Repository Process" w:date="2025-05-30T12:54:00Z"/>
        </w:rPr>
      </w:pPr>
      <w:ins w:id="39" w:author="Master Repository Process" w:date="2025-05-30T12:54:00Z">
        <w:r>
          <w:tab/>
          <w:t>(a)</w:t>
        </w:r>
        <w:r>
          <w:tab/>
          <w:t>a licence authorising the holder to drive when learning; and</w:t>
        </w:r>
      </w:ins>
    </w:p>
    <w:p>
      <w:pPr>
        <w:pStyle w:val="Indenta"/>
        <w:rPr>
          <w:ins w:id="40" w:author="Master Repository Process" w:date="2025-05-30T12:54:00Z"/>
        </w:rPr>
      </w:pPr>
      <w:ins w:id="41" w:author="Master Repository Process" w:date="2025-05-30T12:54:00Z">
        <w:r>
          <w:tab/>
          <w:t>(b)</w:t>
        </w:r>
        <w:r>
          <w:tab/>
          <w:t>a provisional licence.</w:t>
        </w:r>
      </w:ins>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w:t>
      </w:r>
      <w:del w:id="42" w:author="Master Repository Process" w:date="2025-05-30T12:54:00Z">
        <w:r>
          <w:delText>6</w:delText>
        </w:r>
      </w:del>
      <w:ins w:id="43" w:author="Master Repository Process" w:date="2025-05-30T12:54:00Z">
        <w:r>
          <w:t>6; No. 45 of 2024 s. 5</w:t>
        </w:r>
      </w:ins>
      <w:r>
        <w:t>.]</w:t>
      </w:r>
    </w:p>
    <w:p>
      <w:pPr>
        <w:pStyle w:val="Heading5"/>
        <w:pageBreakBefore/>
        <w:spacing w:before="40"/>
      </w:pPr>
      <w:bookmarkStart w:id="44" w:name="_Toc182487093"/>
      <w:bookmarkStart w:id="45" w:name="_Toc180655830"/>
      <w:r>
        <w:rPr>
          <w:rStyle w:val="CharSectno"/>
        </w:rPr>
        <w:t>5A</w:t>
      </w:r>
      <w:r>
        <w:t>.</w:t>
      </w:r>
      <w:r>
        <w:tab/>
        <w:t>Regulations for alcohol interlock scheme</w:t>
      </w:r>
      <w:bookmarkEnd w:id="44"/>
      <w:bookmarkEnd w:id="45"/>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46" w:name="_Toc182487094"/>
      <w:bookmarkStart w:id="47" w:name="_Toc180655831"/>
      <w:r>
        <w:rPr>
          <w:rStyle w:val="CharSectno"/>
        </w:rPr>
        <w:t>5</w:t>
      </w:r>
      <w:r>
        <w:t>.</w:t>
      </w:r>
      <w:r>
        <w:tab/>
        <w:t>CEO’s licensing functions</w:t>
      </w:r>
      <w:bookmarkEnd w:id="46"/>
      <w:bookmarkEnd w:id="47"/>
    </w:p>
    <w:p>
      <w:pPr>
        <w:pStyle w:val="Subsection"/>
      </w:pPr>
      <w:r>
        <w:tab/>
      </w:r>
      <w:r>
        <w:tab/>
        <w:t>It is a function of the CEO to administer the driver licensing scheme under this Part.</w:t>
      </w:r>
    </w:p>
    <w:p>
      <w:pPr>
        <w:pStyle w:val="Heading5"/>
      </w:pPr>
      <w:bookmarkStart w:id="48" w:name="_Toc182487095"/>
      <w:bookmarkStart w:id="49" w:name="_Toc180655832"/>
      <w:r>
        <w:rPr>
          <w:rStyle w:val="CharSectno"/>
        </w:rPr>
        <w:t>6</w:t>
      </w:r>
      <w:r>
        <w:t>.</w:t>
      </w:r>
      <w:r>
        <w:tab/>
        <w:t>Certain licences authorise learner driving</w:t>
      </w:r>
      <w:bookmarkEnd w:id="48"/>
      <w:bookmarkEnd w:id="4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50" w:name="_Toc182487096"/>
      <w:bookmarkStart w:id="51" w:name="_Toc180655833"/>
      <w:r>
        <w:rPr>
          <w:rStyle w:val="CharSectno"/>
        </w:rPr>
        <w:t>7</w:t>
      </w:r>
      <w:r>
        <w:t>.</w:t>
      </w:r>
      <w:r>
        <w:tab/>
        <w:t>Dishonestly obtained driver’s licence</w:t>
      </w:r>
      <w:bookmarkEnd w:id="50"/>
      <w:bookmarkEnd w:id="51"/>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52" w:name="_Toc182487097"/>
      <w:bookmarkStart w:id="53" w:name="_Toc180655834"/>
      <w:r>
        <w:rPr>
          <w:rStyle w:val="CharSectno"/>
        </w:rPr>
        <w:t>8</w:t>
      </w:r>
      <w:r>
        <w:t>.</w:t>
      </w:r>
      <w:r>
        <w:tab/>
        <w:t>Driver’s licence not to be granted in certain circumstances</w:t>
      </w:r>
      <w:bookmarkEnd w:id="52"/>
      <w:bookmarkEnd w:id="53"/>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54" w:name="_Toc182487098"/>
      <w:bookmarkStart w:id="55" w:name="_Toc180655835"/>
      <w:r>
        <w:rPr>
          <w:rStyle w:val="CharSectno"/>
        </w:rPr>
        <w:t>9</w:t>
      </w:r>
      <w:r>
        <w:t>.</w:t>
      </w:r>
      <w:r>
        <w:tab/>
        <w:t>Additional matters to do with identity</w:t>
      </w:r>
      <w:bookmarkEnd w:id="54"/>
      <w:bookmarkEnd w:id="55"/>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56" w:name="PartIVADiv3"/>
      <w:bookmarkStart w:id="57" w:name="_Toc182465800"/>
      <w:bookmarkStart w:id="58" w:name="_Toc182466951"/>
      <w:bookmarkStart w:id="59" w:name="_Toc182487099"/>
      <w:bookmarkStart w:id="60" w:name="_Toc180582682"/>
      <w:bookmarkStart w:id="61" w:name="_Toc180583239"/>
      <w:bookmarkStart w:id="62" w:name="_Toc180655836"/>
      <w:bookmarkEnd w:id="56"/>
      <w:r>
        <w:rPr>
          <w:rStyle w:val="CharDivNo"/>
        </w:rPr>
        <w:t>Division 2</w:t>
      </w:r>
      <w:r>
        <w:t> — </w:t>
      </w:r>
      <w:r>
        <w:rPr>
          <w:rStyle w:val="CharDivText"/>
        </w:rPr>
        <w:t>Learner’s permit</w:t>
      </w:r>
      <w:bookmarkEnd w:id="57"/>
      <w:bookmarkEnd w:id="58"/>
      <w:bookmarkEnd w:id="59"/>
      <w:bookmarkEnd w:id="60"/>
      <w:bookmarkEnd w:id="61"/>
      <w:bookmarkEnd w:id="62"/>
    </w:p>
    <w:p>
      <w:pPr>
        <w:pStyle w:val="Heading5"/>
      </w:pPr>
      <w:bookmarkStart w:id="63" w:name="_Toc182487100"/>
      <w:bookmarkStart w:id="64" w:name="_Toc180655837"/>
      <w:r>
        <w:rPr>
          <w:rStyle w:val="CharSectno"/>
        </w:rPr>
        <w:t>10</w:t>
      </w:r>
      <w:r>
        <w:t>.</w:t>
      </w:r>
      <w:r>
        <w:tab/>
        <w:t>Learner’s permit</w:t>
      </w:r>
      <w:bookmarkEnd w:id="63"/>
      <w:bookmarkEnd w:id="64"/>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65" w:name="_Toc182487101"/>
      <w:bookmarkStart w:id="66" w:name="_Toc180655838"/>
      <w:r>
        <w:rPr>
          <w:rStyle w:val="CharSectno"/>
        </w:rPr>
        <w:t>11A</w:t>
      </w:r>
      <w:r>
        <w:t>.</w:t>
      </w:r>
      <w:r>
        <w:tab/>
        <w:t>Matters to do with identity</w:t>
      </w:r>
      <w:bookmarkEnd w:id="65"/>
      <w:bookmarkEnd w:id="66"/>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67" w:name="_Toc182465803"/>
      <w:bookmarkStart w:id="68" w:name="_Toc182466954"/>
      <w:bookmarkStart w:id="69" w:name="_Toc182487102"/>
      <w:bookmarkStart w:id="70" w:name="_Toc180582685"/>
      <w:bookmarkStart w:id="71" w:name="_Toc180583242"/>
      <w:bookmarkStart w:id="72" w:name="_Toc180655839"/>
      <w:r>
        <w:rPr>
          <w:rStyle w:val="CharDivNo"/>
        </w:rPr>
        <w:t>Division 3A</w:t>
      </w:r>
      <w:r>
        <w:t> — </w:t>
      </w:r>
      <w:r>
        <w:rPr>
          <w:rStyle w:val="CharDivText"/>
        </w:rPr>
        <w:t>Information management</w:t>
      </w:r>
      <w:bookmarkEnd w:id="67"/>
      <w:bookmarkEnd w:id="68"/>
      <w:bookmarkEnd w:id="69"/>
      <w:bookmarkEnd w:id="70"/>
      <w:bookmarkEnd w:id="71"/>
      <w:bookmarkEnd w:id="72"/>
    </w:p>
    <w:p>
      <w:pPr>
        <w:pStyle w:val="Footnoteheading"/>
        <w:keepNext/>
      </w:pPr>
      <w:r>
        <w:tab/>
        <w:t>[Heading inserted: No. 8 of 2022 s. 12.]</w:t>
      </w:r>
    </w:p>
    <w:p>
      <w:pPr>
        <w:pStyle w:val="Heading5"/>
      </w:pPr>
      <w:bookmarkStart w:id="73" w:name="_Toc182487103"/>
      <w:bookmarkStart w:id="74" w:name="_Toc180655840"/>
      <w:r>
        <w:rPr>
          <w:rStyle w:val="CharSectno"/>
        </w:rPr>
        <w:t>11B</w:t>
      </w:r>
      <w:r>
        <w:t>.</w:t>
      </w:r>
      <w:r>
        <w:tab/>
        <w:t>Terms used</w:t>
      </w:r>
      <w:bookmarkEnd w:id="73"/>
      <w:bookmarkEnd w:id="74"/>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r>
        <w:tab/>
        <w:t>[Section 11B inserted: No. 8 of 2022 s. 12.]</w:t>
      </w:r>
    </w:p>
    <w:p>
      <w:pPr>
        <w:pStyle w:val="Heading5"/>
      </w:pPr>
      <w:bookmarkStart w:id="75" w:name="_Toc182487104"/>
      <w:bookmarkStart w:id="76" w:name="_Toc180655841"/>
      <w:r>
        <w:rPr>
          <w:rStyle w:val="CharSectno"/>
        </w:rPr>
        <w:t>11C</w:t>
      </w:r>
      <w:r>
        <w:t>.</w:t>
      </w:r>
      <w:r>
        <w:tab/>
        <w:t>Disclosure of identifying information to prescribed person</w:t>
      </w:r>
      <w:bookmarkEnd w:id="75"/>
      <w:bookmarkEnd w:id="76"/>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r>
        <w:tab/>
        <w:t>[Section 11C inserted: No. 8 of 2022 s. 12.]</w:t>
      </w:r>
    </w:p>
    <w:p>
      <w:pPr>
        <w:pStyle w:val="Heading5"/>
      </w:pPr>
      <w:bookmarkStart w:id="77" w:name="_Toc182487105"/>
      <w:bookmarkStart w:id="78" w:name="_Toc180655842"/>
      <w:r>
        <w:rPr>
          <w:rStyle w:val="CharSectno"/>
        </w:rPr>
        <w:t>11D</w:t>
      </w:r>
      <w:r>
        <w:t>.</w:t>
      </w:r>
      <w:r>
        <w:tab/>
        <w:t>Disclosure of identifying information with consent</w:t>
      </w:r>
      <w:bookmarkEnd w:id="77"/>
      <w:bookmarkEnd w:id="78"/>
    </w:p>
    <w:p>
      <w:pPr>
        <w:pStyle w:val="Subsection"/>
      </w:pPr>
      <w:r>
        <w:tab/>
      </w:r>
      <w:r>
        <w:tab/>
        <w:t>The CEO may disclose identifying information to another person with the consent of the person to whom the information relates.</w:t>
      </w:r>
    </w:p>
    <w:p>
      <w:pPr>
        <w:pStyle w:val="Footnotesection"/>
      </w:pPr>
      <w:r>
        <w:tab/>
        <w:t>[Section 11D inserted: No. 8 of 2022 s. 12.]</w:t>
      </w:r>
    </w:p>
    <w:p>
      <w:pPr>
        <w:pStyle w:val="Heading5"/>
      </w:pPr>
      <w:bookmarkStart w:id="79" w:name="_Toc182487106"/>
      <w:bookmarkStart w:id="80" w:name="_Toc180655843"/>
      <w:r>
        <w:rPr>
          <w:rStyle w:val="CharSectno"/>
        </w:rPr>
        <w:t>11E</w:t>
      </w:r>
      <w:r>
        <w:t>.</w:t>
      </w:r>
      <w:r>
        <w:tab/>
        <w:t>Disclosure of photographs to police, ASIO and law enforcement officials</w:t>
      </w:r>
      <w:bookmarkEnd w:id="79"/>
      <w:bookmarkEnd w:id="80"/>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11E inserted: No. 8 of 2022 s. 12.]</w:t>
      </w:r>
    </w:p>
    <w:p>
      <w:pPr>
        <w:pStyle w:val="Heading5"/>
      </w:pPr>
      <w:bookmarkStart w:id="81" w:name="_Toc182487107"/>
      <w:bookmarkStart w:id="82" w:name="_Toc180655844"/>
      <w:r>
        <w:rPr>
          <w:rStyle w:val="CharSectno"/>
        </w:rPr>
        <w:t>11F</w:t>
      </w:r>
      <w:r>
        <w:t>.</w:t>
      </w:r>
      <w:r>
        <w:tab/>
        <w:t>Disclosure of photographs to executor or administrator</w:t>
      </w:r>
      <w:bookmarkEnd w:id="81"/>
      <w:bookmarkEnd w:id="82"/>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r>
        <w:tab/>
        <w:t>[Section 11F inserted: No. 8 of 2022 s. 12.]</w:t>
      </w:r>
    </w:p>
    <w:p>
      <w:pPr>
        <w:pStyle w:val="Heading5"/>
      </w:pPr>
      <w:bookmarkStart w:id="83" w:name="_Toc182487108"/>
      <w:bookmarkStart w:id="84" w:name="_Toc180655845"/>
      <w:r>
        <w:rPr>
          <w:rStyle w:val="CharSectno"/>
        </w:rPr>
        <w:t>11G</w:t>
      </w:r>
      <w:r>
        <w:t>.</w:t>
      </w:r>
      <w:r>
        <w:tab/>
        <w:t>Disclosure to CEO (road passenger services)</w:t>
      </w:r>
      <w:bookmarkEnd w:id="83"/>
      <w:bookmarkEnd w:id="84"/>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11G inserted: No. 8 of 2022 s. 12.]</w:t>
      </w:r>
    </w:p>
    <w:p>
      <w:pPr>
        <w:pStyle w:val="Heading5"/>
      </w:pPr>
      <w:bookmarkStart w:id="85" w:name="_Toc182487109"/>
      <w:bookmarkStart w:id="86" w:name="_Toc180655846"/>
      <w:r>
        <w:rPr>
          <w:rStyle w:val="CharSectno"/>
        </w:rPr>
        <w:t>11H</w:t>
      </w:r>
      <w:r>
        <w:t>.</w:t>
      </w:r>
      <w:r>
        <w:tab/>
        <w:t>Possession and reproduction of photographs and signatures</w:t>
      </w:r>
      <w:bookmarkEnd w:id="85"/>
      <w:bookmarkEnd w:id="86"/>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r>
        <w:tab/>
        <w:t>[Section 11H inserted: No. 8 of 2022 s. 12.]</w:t>
      </w:r>
    </w:p>
    <w:p>
      <w:pPr>
        <w:pStyle w:val="Heading5"/>
      </w:pPr>
      <w:bookmarkStart w:id="87" w:name="_Toc182487110"/>
      <w:bookmarkStart w:id="88" w:name="_Toc180655847"/>
      <w:r>
        <w:rPr>
          <w:rStyle w:val="CharSectno"/>
        </w:rPr>
        <w:t>11I</w:t>
      </w:r>
      <w:r>
        <w:t>.</w:t>
      </w:r>
      <w:r>
        <w:tab/>
        <w:t>No subpoena or orders for disclosure of identifying information</w:t>
      </w:r>
      <w:bookmarkEnd w:id="87"/>
      <w:bookmarkEnd w:id="88"/>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r>
        <w:tab/>
        <w:t>[Section 11I inserted: No. 8 of 2022 s. 12.]</w:t>
      </w:r>
    </w:p>
    <w:p>
      <w:pPr>
        <w:pStyle w:val="Heading5"/>
      </w:pPr>
      <w:bookmarkStart w:id="89" w:name="_Toc182487111"/>
      <w:bookmarkStart w:id="90" w:name="_Toc180655848"/>
      <w:r>
        <w:rPr>
          <w:rStyle w:val="CharSectno"/>
        </w:rPr>
        <w:t>11J</w:t>
      </w:r>
      <w:r>
        <w:t>.</w:t>
      </w:r>
      <w:r>
        <w:tab/>
        <w:t>Annual report in relation to identifying information</w:t>
      </w:r>
      <w:bookmarkEnd w:id="89"/>
      <w:bookmarkEnd w:id="90"/>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keepNext/>
      </w:pPr>
      <w:r>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r>
        <w:tab/>
        <w:t>[Section 11J inserted: No. 8 of 2022 s. 12.]</w:t>
      </w:r>
    </w:p>
    <w:p>
      <w:pPr>
        <w:pStyle w:val="Heading5"/>
      </w:pPr>
      <w:bookmarkStart w:id="91" w:name="_Toc182487112"/>
      <w:bookmarkStart w:id="92" w:name="_Toc180655849"/>
      <w:r>
        <w:rPr>
          <w:rStyle w:val="CharSectno"/>
        </w:rPr>
        <w:t>11K</w:t>
      </w:r>
      <w:r>
        <w:t>.</w:t>
      </w:r>
      <w:r>
        <w:tab/>
        <w:t>Tabling amendments to intergovernmental agreement</w:t>
      </w:r>
      <w:bookmarkEnd w:id="91"/>
      <w:bookmarkEnd w:id="92"/>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93" w:name="_Toc182465814"/>
      <w:bookmarkStart w:id="94" w:name="_Toc182466965"/>
      <w:bookmarkStart w:id="95" w:name="_Toc182487113"/>
      <w:bookmarkStart w:id="96" w:name="_Toc180582696"/>
      <w:bookmarkStart w:id="97" w:name="_Toc180583253"/>
      <w:bookmarkStart w:id="98" w:name="_Toc180655850"/>
      <w:r>
        <w:rPr>
          <w:rStyle w:val="CharDivNo"/>
        </w:rPr>
        <w:t>Division 3</w:t>
      </w:r>
      <w:r>
        <w:t> — </w:t>
      </w:r>
      <w:r>
        <w:rPr>
          <w:rStyle w:val="CharDivText"/>
        </w:rPr>
        <w:t>Other matters about driver authorisations</w:t>
      </w:r>
      <w:bookmarkEnd w:id="93"/>
      <w:bookmarkEnd w:id="94"/>
      <w:bookmarkEnd w:id="95"/>
      <w:bookmarkEnd w:id="96"/>
      <w:bookmarkEnd w:id="97"/>
      <w:bookmarkEnd w:id="98"/>
    </w:p>
    <w:p>
      <w:pPr>
        <w:pStyle w:val="Heading5"/>
      </w:pPr>
      <w:bookmarkStart w:id="99" w:name="_Toc182487114"/>
      <w:bookmarkStart w:id="100" w:name="_Toc180655851"/>
      <w:r>
        <w:rPr>
          <w:rStyle w:val="CharSectno"/>
        </w:rPr>
        <w:t>11</w:t>
      </w:r>
      <w:r>
        <w:t>.</w:t>
      </w:r>
      <w:r>
        <w:tab/>
        <w:t>Authorisation to drive without driver’s licence</w:t>
      </w:r>
      <w:bookmarkEnd w:id="99"/>
      <w:bookmarkEnd w:id="100"/>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101" w:name="_Toc182487115"/>
      <w:bookmarkStart w:id="102" w:name="_Toc180655852"/>
      <w:r>
        <w:rPr>
          <w:rStyle w:val="CharSectno"/>
        </w:rPr>
        <w:t>12</w:t>
      </w:r>
      <w:r>
        <w:t>.</w:t>
      </w:r>
      <w:r>
        <w:tab/>
        <w:t>Driving while undergoing driving test</w:t>
      </w:r>
      <w:bookmarkEnd w:id="101"/>
      <w:bookmarkEnd w:id="102"/>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103" w:name="_Toc182487116"/>
      <w:bookmarkStart w:id="104" w:name="_Toc180655853"/>
      <w:r>
        <w:rPr>
          <w:rStyle w:val="CharSectno"/>
        </w:rPr>
        <w:t>13</w:t>
      </w:r>
      <w:r>
        <w:t>.</w:t>
      </w:r>
      <w:r>
        <w:tab/>
        <w:t>Recognition of authorisation of another jurisdiction</w:t>
      </w:r>
      <w:bookmarkEnd w:id="103"/>
      <w:bookmarkEnd w:id="104"/>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keepNext/>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105" w:name="_Toc182487117"/>
      <w:bookmarkStart w:id="106" w:name="_Toc180655854"/>
      <w:r>
        <w:rPr>
          <w:rStyle w:val="CharSectno"/>
        </w:rPr>
        <w:t>14</w:t>
      </w:r>
      <w:r>
        <w:t>.</w:t>
      </w:r>
      <w:r>
        <w:tab/>
        <w:t>Things in other jurisdictions may affect authorisation to drive in WA</w:t>
      </w:r>
      <w:bookmarkEnd w:id="105"/>
      <w:bookmarkEnd w:id="106"/>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keepNext/>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107" w:name="_Toc182487118"/>
      <w:bookmarkStart w:id="108" w:name="_Toc180655855"/>
      <w:r>
        <w:rPr>
          <w:rStyle w:val="CharSectno"/>
        </w:rPr>
        <w:t>15</w:t>
      </w:r>
      <w:r>
        <w:t>.</w:t>
      </w:r>
      <w:r>
        <w:tab/>
        <w:t>External territories and other countries</w:t>
      </w:r>
      <w:bookmarkEnd w:id="107"/>
      <w:bookmarkEnd w:id="108"/>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109" w:name="_Toc182465820"/>
      <w:bookmarkStart w:id="110" w:name="_Toc182466971"/>
      <w:bookmarkStart w:id="111" w:name="_Toc182487119"/>
      <w:bookmarkStart w:id="112" w:name="_Toc180582702"/>
      <w:bookmarkStart w:id="113" w:name="_Toc180583259"/>
      <w:bookmarkStart w:id="114" w:name="_Toc180655856"/>
      <w:r>
        <w:rPr>
          <w:rStyle w:val="CharPartNo"/>
        </w:rPr>
        <w:t>Part 3</w:t>
      </w:r>
      <w:r>
        <w:t> — </w:t>
      </w:r>
      <w:r>
        <w:rPr>
          <w:rStyle w:val="CharPartText"/>
        </w:rPr>
        <w:t>Loss of authorisation to drive</w:t>
      </w:r>
      <w:bookmarkEnd w:id="109"/>
      <w:bookmarkEnd w:id="110"/>
      <w:bookmarkEnd w:id="111"/>
      <w:bookmarkEnd w:id="112"/>
      <w:bookmarkEnd w:id="113"/>
      <w:bookmarkEnd w:id="114"/>
    </w:p>
    <w:p>
      <w:pPr>
        <w:pStyle w:val="Heading3"/>
      </w:pPr>
      <w:bookmarkStart w:id="115" w:name="_Toc182465821"/>
      <w:bookmarkStart w:id="116" w:name="_Toc182466972"/>
      <w:bookmarkStart w:id="117" w:name="_Toc182487120"/>
      <w:bookmarkStart w:id="118" w:name="_Toc180582703"/>
      <w:bookmarkStart w:id="119" w:name="_Toc180583260"/>
      <w:bookmarkStart w:id="120" w:name="_Toc180655857"/>
      <w:r>
        <w:rPr>
          <w:rStyle w:val="CharDivNo"/>
        </w:rPr>
        <w:t>Division 1</w:t>
      </w:r>
      <w:r>
        <w:t> — </w:t>
      </w:r>
      <w:r>
        <w:rPr>
          <w:rStyle w:val="CharDivText"/>
        </w:rPr>
        <w:t>Provisional licences</w:t>
      </w:r>
      <w:bookmarkEnd w:id="115"/>
      <w:bookmarkEnd w:id="116"/>
      <w:bookmarkEnd w:id="117"/>
      <w:bookmarkEnd w:id="118"/>
      <w:bookmarkEnd w:id="119"/>
      <w:bookmarkEnd w:id="120"/>
    </w:p>
    <w:p>
      <w:pPr>
        <w:pStyle w:val="Heading5"/>
        <w:rPr>
          <w:snapToGrid w:val="0"/>
        </w:rPr>
      </w:pPr>
      <w:bookmarkStart w:id="121" w:name="_Toc182487121"/>
      <w:bookmarkStart w:id="122" w:name="_Toc180655858"/>
      <w:r>
        <w:rPr>
          <w:rStyle w:val="CharSectno"/>
        </w:rPr>
        <w:t>16</w:t>
      </w:r>
      <w:r>
        <w:t>.</w:t>
      </w:r>
      <w:r>
        <w:tab/>
      </w:r>
      <w:r>
        <w:rPr>
          <w:snapToGrid w:val="0"/>
        </w:rPr>
        <w:t>Cancellation of provisional licence</w:t>
      </w:r>
      <w:bookmarkEnd w:id="121"/>
      <w:bookmarkEnd w:id="122"/>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123" w:name="_Toc182487122"/>
      <w:bookmarkStart w:id="124" w:name="_Toc180655859"/>
      <w:r>
        <w:rPr>
          <w:rStyle w:val="CharSectno"/>
        </w:rPr>
        <w:t>17</w:t>
      </w:r>
      <w:r>
        <w:t>.</w:t>
      </w:r>
      <w:r>
        <w:tab/>
        <w:t xml:space="preserve">Suspension of provisional </w:t>
      </w:r>
      <w:r>
        <w:rPr>
          <w:snapToGrid w:val="0"/>
        </w:rPr>
        <w:t>licence</w:t>
      </w:r>
      <w:bookmarkEnd w:id="123"/>
      <w:bookmarkEnd w:id="124"/>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125" w:name="_Toc182487123"/>
      <w:bookmarkStart w:id="126" w:name="_Toc180655860"/>
      <w:r>
        <w:rPr>
          <w:rStyle w:val="CharSectno"/>
        </w:rPr>
        <w:t>18</w:t>
      </w:r>
      <w:r>
        <w:t>.</w:t>
      </w:r>
      <w:r>
        <w:tab/>
        <w:t>Disqualification from holding provisional licence</w:t>
      </w:r>
      <w:bookmarkEnd w:id="125"/>
      <w:bookmarkEnd w:id="126"/>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127" w:name="_Toc182465825"/>
      <w:bookmarkStart w:id="128" w:name="_Toc182466976"/>
      <w:bookmarkStart w:id="129" w:name="_Toc182487124"/>
      <w:bookmarkStart w:id="130" w:name="_Toc180582707"/>
      <w:bookmarkStart w:id="131" w:name="_Toc180583264"/>
      <w:bookmarkStart w:id="132" w:name="_Toc180655861"/>
      <w:r>
        <w:rPr>
          <w:rStyle w:val="CharDivNo"/>
        </w:rPr>
        <w:t>Division 2</w:t>
      </w:r>
      <w:r>
        <w:t> — </w:t>
      </w:r>
      <w:r>
        <w:rPr>
          <w:rStyle w:val="CharDivText"/>
        </w:rPr>
        <w:t>Disqualification</w:t>
      </w:r>
      <w:bookmarkEnd w:id="127"/>
      <w:bookmarkEnd w:id="128"/>
      <w:bookmarkEnd w:id="129"/>
      <w:bookmarkEnd w:id="130"/>
      <w:bookmarkEnd w:id="131"/>
      <w:bookmarkEnd w:id="132"/>
    </w:p>
    <w:p>
      <w:pPr>
        <w:pStyle w:val="Heading5"/>
      </w:pPr>
      <w:bookmarkStart w:id="133" w:name="_Toc182487125"/>
      <w:bookmarkStart w:id="134" w:name="_Toc180655862"/>
      <w:r>
        <w:rPr>
          <w:rStyle w:val="CharSectno"/>
        </w:rPr>
        <w:t>19</w:t>
      </w:r>
      <w:r>
        <w:t>.</w:t>
      </w:r>
      <w:r>
        <w:tab/>
        <w:t>Term used: driver’s licence held: a person</w:t>
      </w:r>
      <w:bookmarkEnd w:id="133"/>
      <w:bookmarkEnd w:id="134"/>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135" w:name="_Toc182487126"/>
      <w:bookmarkStart w:id="136" w:name="_Toc180655863"/>
      <w:r>
        <w:rPr>
          <w:rStyle w:val="CharSectno"/>
        </w:rPr>
        <w:t>20</w:t>
      </w:r>
      <w:r>
        <w:t>.</w:t>
      </w:r>
      <w:r>
        <w:tab/>
        <w:t>Notice of disqualification</w:t>
      </w:r>
      <w:bookmarkEnd w:id="135"/>
      <w:bookmarkEnd w:id="136"/>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137" w:name="_Toc182487127"/>
      <w:bookmarkStart w:id="138" w:name="_Toc180655864"/>
      <w:r>
        <w:rPr>
          <w:rStyle w:val="CharSectno"/>
        </w:rPr>
        <w:t>21</w:t>
      </w:r>
      <w:r>
        <w:t>.</w:t>
      </w:r>
      <w:r>
        <w:tab/>
        <w:t>Effect of disqualification</w:t>
      </w:r>
      <w:bookmarkEnd w:id="137"/>
      <w:bookmarkEnd w:id="138"/>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keepNext/>
      </w:pPr>
      <w:r>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139" w:name="_Toc182487128"/>
      <w:bookmarkStart w:id="140" w:name="_Toc180655865"/>
      <w:r>
        <w:rPr>
          <w:rStyle w:val="CharSectno"/>
        </w:rPr>
        <w:t>23A</w:t>
      </w:r>
      <w:r>
        <w:t>.</w:t>
      </w:r>
      <w:r>
        <w:tab/>
        <w:t>Calculation of period of disqualification</w:t>
      </w:r>
      <w:bookmarkEnd w:id="139"/>
      <w:bookmarkEnd w:id="140"/>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141" w:name="_Toc182487129"/>
      <w:bookmarkStart w:id="142" w:name="_Toc180655866"/>
      <w:r>
        <w:rPr>
          <w:rStyle w:val="CharSectno"/>
        </w:rPr>
        <w:t>23</w:t>
      </w:r>
      <w:r>
        <w:t>.</w:t>
      </w:r>
      <w:r>
        <w:tab/>
        <w:t>Licence obtained by</w:t>
      </w:r>
      <w:r>
        <w:rPr>
          <w:snapToGrid w:val="0"/>
        </w:rPr>
        <w:t xml:space="preserve"> disqualified person of no effect</w:t>
      </w:r>
      <w:bookmarkEnd w:id="141"/>
      <w:bookmarkEnd w:id="142"/>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143" w:name="_Toc182487130"/>
      <w:bookmarkStart w:id="144" w:name="_Toc180655867"/>
      <w:r>
        <w:rPr>
          <w:rStyle w:val="CharSectno"/>
        </w:rPr>
        <w:t>24</w:t>
      </w:r>
      <w:r>
        <w:t>.</w:t>
      </w:r>
      <w:r>
        <w:tab/>
      </w:r>
      <w:r>
        <w:rPr>
          <w:snapToGrid w:val="0"/>
        </w:rPr>
        <w:t>Removal of disqualification</w:t>
      </w:r>
      <w:bookmarkEnd w:id="143"/>
      <w:bookmarkEnd w:id="144"/>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145" w:name="_Toc182465832"/>
      <w:bookmarkStart w:id="146" w:name="_Toc182466983"/>
      <w:bookmarkStart w:id="147" w:name="_Toc182487131"/>
      <w:bookmarkStart w:id="148" w:name="_Toc180582714"/>
      <w:bookmarkStart w:id="149" w:name="_Toc180583271"/>
      <w:bookmarkStart w:id="150" w:name="_Toc180655868"/>
      <w:r>
        <w:rPr>
          <w:rStyle w:val="CharDivNo"/>
        </w:rPr>
        <w:t>Division 3</w:t>
      </w:r>
      <w:r>
        <w:t> — </w:t>
      </w:r>
      <w:r>
        <w:rPr>
          <w:rStyle w:val="CharDivText"/>
        </w:rPr>
        <w:t>Extraordinary licences</w:t>
      </w:r>
      <w:bookmarkEnd w:id="145"/>
      <w:bookmarkEnd w:id="146"/>
      <w:bookmarkEnd w:id="147"/>
      <w:bookmarkEnd w:id="148"/>
      <w:bookmarkEnd w:id="149"/>
      <w:bookmarkEnd w:id="150"/>
    </w:p>
    <w:p>
      <w:pPr>
        <w:pStyle w:val="Heading5"/>
      </w:pPr>
      <w:bookmarkStart w:id="151" w:name="_Toc182487132"/>
      <w:bookmarkStart w:id="152" w:name="_Toc180655869"/>
      <w:r>
        <w:rPr>
          <w:rStyle w:val="CharSectno"/>
        </w:rPr>
        <w:t>25</w:t>
      </w:r>
      <w:r>
        <w:t>.</w:t>
      </w:r>
      <w:r>
        <w:tab/>
        <w:t>Term used: application</w:t>
      </w:r>
      <w:bookmarkEnd w:id="151"/>
      <w:bookmarkEnd w:id="152"/>
    </w:p>
    <w:p>
      <w:pPr>
        <w:pStyle w:val="Subsection"/>
        <w:keepNext/>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153" w:name="_Toc182487133"/>
      <w:bookmarkStart w:id="154" w:name="_Toc180655870"/>
      <w:r>
        <w:rPr>
          <w:rStyle w:val="CharSectno"/>
        </w:rPr>
        <w:t>26</w:t>
      </w:r>
      <w:r>
        <w:t>.</w:t>
      </w:r>
      <w:r>
        <w:tab/>
        <w:t>Inconsistency with Part 2</w:t>
      </w:r>
      <w:bookmarkEnd w:id="153"/>
      <w:bookmarkEnd w:id="154"/>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155" w:name="_Toc182487134"/>
      <w:bookmarkStart w:id="156" w:name="_Toc180655871"/>
      <w:r>
        <w:rPr>
          <w:rStyle w:val="CharSectno"/>
        </w:rPr>
        <w:t>27</w:t>
      </w:r>
      <w:r>
        <w:t>.</w:t>
      </w:r>
      <w:r>
        <w:tab/>
        <w:t>Application for extraordinary licence</w:t>
      </w:r>
      <w:bookmarkEnd w:id="155"/>
      <w:bookmarkEnd w:id="156"/>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keepNext/>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157" w:name="_Toc182487135"/>
      <w:bookmarkStart w:id="158" w:name="_Toc180655872"/>
      <w:r>
        <w:rPr>
          <w:rStyle w:val="CharSectno"/>
        </w:rPr>
        <w:t>28</w:t>
      </w:r>
      <w:r>
        <w:t>.</w:t>
      </w:r>
      <w:r>
        <w:tab/>
        <w:t>When application can be made</w:t>
      </w:r>
      <w:bookmarkEnd w:id="157"/>
      <w:bookmarkEnd w:id="158"/>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159" w:name="_Toc182487136"/>
      <w:bookmarkStart w:id="160" w:name="_Toc180655873"/>
      <w:r>
        <w:rPr>
          <w:rStyle w:val="CharSectno"/>
        </w:rPr>
        <w:t>29</w:t>
      </w:r>
      <w:r>
        <w:t>.</w:t>
      </w:r>
      <w:r>
        <w:tab/>
        <w:t>Court to which application can be made</w:t>
      </w:r>
      <w:bookmarkEnd w:id="159"/>
      <w:bookmarkEnd w:id="160"/>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161" w:name="_Toc182487137"/>
      <w:bookmarkStart w:id="162" w:name="_Toc180655874"/>
      <w:r>
        <w:rPr>
          <w:rStyle w:val="CharSectno"/>
        </w:rPr>
        <w:t>30</w:t>
      </w:r>
      <w:r>
        <w:t>.</w:t>
      </w:r>
      <w:r>
        <w:tab/>
        <w:t>Matters for consideration of court</w:t>
      </w:r>
      <w:bookmarkEnd w:id="161"/>
      <w:bookmarkEnd w:id="162"/>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163" w:name="_Toc182487138"/>
      <w:bookmarkStart w:id="164" w:name="_Toc180655875"/>
      <w:r>
        <w:rPr>
          <w:rStyle w:val="CharSectno"/>
        </w:rPr>
        <w:t>31</w:t>
      </w:r>
      <w:r>
        <w:t>.</w:t>
      </w:r>
      <w:r>
        <w:tab/>
        <w:t>When further application can be made</w:t>
      </w:r>
      <w:bookmarkEnd w:id="163"/>
      <w:bookmarkEnd w:id="164"/>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165" w:name="_Toc182487139"/>
      <w:bookmarkStart w:id="166" w:name="_Toc180655876"/>
      <w:r>
        <w:rPr>
          <w:rStyle w:val="CharSectno"/>
        </w:rPr>
        <w:t>32</w:t>
      </w:r>
      <w:r>
        <w:t>.</w:t>
      </w:r>
      <w:r>
        <w:tab/>
        <w:t>Conditions</w:t>
      </w:r>
      <w:bookmarkEnd w:id="165"/>
      <w:bookmarkEnd w:id="166"/>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167" w:name="_Toc182487140"/>
      <w:bookmarkStart w:id="168" w:name="_Toc180655877"/>
      <w:r>
        <w:rPr>
          <w:rStyle w:val="CharSectno"/>
        </w:rPr>
        <w:t>33</w:t>
      </w:r>
      <w:r>
        <w:t>.</w:t>
      </w:r>
      <w:r>
        <w:tab/>
        <w:t>Duties of CEO</w:t>
      </w:r>
      <w:bookmarkEnd w:id="167"/>
      <w:bookmarkEnd w:id="168"/>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169" w:name="_Toc182487141"/>
      <w:bookmarkStart w:id="170" w:name="_Toc180655878"/>
      <w:r>
        <w:rPr>
          <w:rStyle w:val="CharSectno"/>
        </w:rPr>
        <w:t>34</w:t>
      </w:r>
      <w:r>
        <w:t>.</w:t>
      </w:r>
      <w:r>
        <w:tab/>
        <w:t>Disqualification ends: effect on extraordinary licence</w:t>
      </w:r>
      <w:bookmarkEnd w:id="169"/>
      <w:bookmarkEnd w:id="170"/>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171" w:name="_Toc182487142"/>
      <w:bookmarkStart w:id="172" w:name="_Toc180655879"/>
      <w:r>
        <w:rPr>
          <w:rStyle w:val="CharSectno"/>
        </w:rPr>
        <w:t>35</w:t>
      </w:r>
      <w:r>
        <w:t>.</w:t>
      </w:r>
      <w:r>
        <w:tab/>
        <w:t>Application to vary or cancel conditions of, or cancel, extraordinary licences</w:t>
      </w:r>
      <w:bookmarkEnd w:id="171"/>
      <w:bookmarkEnd w:id="172"/>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173" w:name="_Toc182487143"/>
      <w:bookmarkStart w:id="174" w:name="_Toc180655880"/>
      <w:r>
        <w:rPr>
          <w:rStyle w:val="CharSectno"/>
        </w:rPr>
        <w:t>36</w:t>
      </w:r>
      <w:r>
        <w:t>.</w:t>
      </w:r>
      <w:r>
        <w:tab/>
        <w:t>How application to be made</w:t>
      </w:r>
      <w:bookmarkEnd w:id="173"/>
      <w:bookmarkEnd w:id="174"/>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175" w:name="_Toc182487144"/>
      <w:bookmarkStart w:id="176" w:name="_Toc180655881"/>
      <w:r>
        <w:rPr>
          <w:rStyle w:val="CharSectno"/>
        </w:rPr>
        <w:t>37</w:t>
      </w:r>
      <w:r>
        <w:t>.</w:t>
      </w:r>
      <w:r>
        <w:tab/>
        <w:t>Costs of application</w:t>
      </w:r>
      <w:bookmarkEnd w:id="175"/>
      <w:bookmarkEnd w:id="176"/>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177" w:name="_Toc182487145"/>
      <w:bookmarkStart w:id="178" w:name="_Toc180655882"/>
      <w:r>
        <w:rPr>
          <w:rStyle w:val="CharSectno"/>
        </w:rPr>
        <w:t>38</w:t>
      </w:r>
      <w:r>
        <w:t>.</w:t>
      </w:r>
      <w:r>
        <w:tab/>
        <w:t>E</w:t>
      </w:r>
      <w:r>
        <w:rPr>
          <w:snapToGrid w:val="0"/>
        </w:rPr>
        <w:t>xtraordinary licences to be complied with</w:t>
      </w:r>
      <w:bookmarkEnd w:id="177"/>
      <w:bookmarkEnd w:id="178"/>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179" w:name="_Toc182487146"/>
      <w:bookmarkStart w:id="180" w:name="_Toc180655883"/>
      <w:r>
        <w:rPr>
          <w:rStyle w:val="CharSectno"/>
        </w:rPr>
        <w:t>39</w:t>
      </w:r>
      <w:r>
        <w:t>.</w:t>
      </w:r>
      <w:r>
        <w:tab/>
        <w:t>Representation in proceedings under this Division</w:t>
      </w:r>
      <w:bookmarkEnd w:id="179"/>
      <w:bookmarkEnd w:id="180"/>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181" w:name="_Toc182465848"/>
      <w:bookmarkStart w:id="182" w:name="_Toc182466999"/>
      <w:bookmarkStart w:id="183" w:name="_Toc182487147"/>
      <w:bookmarkStart w:id="184" w:name="_Toc180582730"/>
      <w:bookmarkStart w:id="185" w:name="_Toc180583287"/>
      <w:bookmarkStart w:id="186" w:name="_Toc180655884"/>
      <w:r>
        <w:rPr>
          <w:rStyle w:val="CharPartNo"/>
        </w:rPr>
        <w:t>Part 4</w:t>
      </w:r>
      <w:r>
        <w:t> — </w:t>
      </w:r>
      <w:r>
        <w:rPr>
          <w:rStyle w:val="CharPartText"/>
        </w:rPr>
        <w:t>Demerit points</w:t>
      </w:r>
      <w:bookmarkEnd w:id="181"/>
      <w:bookmarkEnd w:id="182"/>
      <w:bookmarkEnd w:id="183"/>
      <w:bookmarkEnd w:id="184"/>
      <w:bookmarkEnd w:id="185"/>
      <w:bookmarkEnd w:id="186"/>
    </w:p>
    <w:p>
      <w:pPr>
        <w:pStyle w:val="Heading3"/>
      </w:pPr>
      <w:bookmarkStart w:id="187" w:name="_Toc182465849"/>
      <w:bookmarkStart w:id="188" w:name="_Toc182467000"/>
      <w:bookmarkStart w:id="189" w:name="_Toc182487148"/>
      <w:bookmarkStart w:id="190" w:name="_Toc180582731"/>
      <w:bookmarkStart w:id="191" w:name="_Toc180583288"/>
      <w:bookmarkStart w:id="192" w:name="_Toc180655885"/>
      <w:r>
        <w:rPr>
          <w:rStyle w:val="CharDivNo"/>
        </w:rPr>
        <w:t>Division 1</w:t>
      </w:r>
      <w:r>
        <w:t> — </w:t>
      </w:r>
      <w:r>
        <w:rPr>
          <w:rStyle w:val="CharDivText"/>
        </w:rPr>
        <w:t>Preliminary</w:t>
      </w:r>
      <w:bookmarkEnd w:id="187"/>
      <w:bookmarkEnd w:id="188"/>
      <w:bookmarkEnd w:id="189"/>
      <w:bookmarkEnd w:id="190"/>
      <w:bookmarkEnd w:id="191"/>
      <w:bookmarkEnd w:id="192"/>
    </w:p>
    <w:p>
      <w:pPr>
        <w:pStyle w:val="Heading5"/>
      </w:pPr>
      <w:bookmarkStart w:id="193" w:name="_Toc182487149"/>
      <w:bookmarkStart w:id="194" w:name="_Toc180655886"/>
      <w:r>
        <w:rPr>
          <w:rStyle w:val="CharSectno"/>
        </w:rPr>
        <w:t>40</w:t>
      </w:r>
      <w:r>
        <w:t>.</w:t>
      </w:r>
      <w:r>
        <w:tab/>
        <w:t>Terms used</w:t>
      </w:r>
      <w:bookmarkEnd w:id="193"/>
      <w:bookmarkEnd w:id="194"/>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xml:space="preserve"> has the meaning given in subsection (1A);</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keepNext/>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(1A)</w:t>
      </w:r>
      <w:r>
        <w:tab/>
        <w:t xml:space="preserve">For the purposes of this Part, an alleged demerit point offence for which an infringement notice is issued is </w:t>
      </w:r>
      <w:r>
        <w:rPr>
          <w:rStyle w:val="CharDefText"/>
        </w:rPr>
        <w:t>dealt with by infringement notice</w:t>
      </w:r>
      <w:r>
        <w:t xml:space="preserve"> — </w:t>
      </w:r>
    </w:p>
    <w:p>
      <w:pPr>
        <w:pStyle w:val="Indenta"/>
      </w:pPr>
      <w:r>
        <w:tab/>
        <w:t>(a)</w:t>
      </w:r>
      <w:r>
        <w:tab/>
        <w:t>if the infringement notice is issued under a law of another jurisdiction — the first time the matter is dealt with in a way that the regulations specify is to be treated as having been dealt with by infringement notice; or</w:t>
      </w:r>
    </w:p>
    <w:p>
      <w:pPr>
        <w:pStyle w:val="Indenta"/>
      </w:pPr>
      <w:r>
        <w:tab/>
        <w:t>(b)</w:t>
      </w:r>
      <w:r>
        <w:tab/>
        <w:t xml:space="preserve">if the </w:t>
      </w:r>
      <w:r>
        <w:rPr>
          <w:i/>
        </w:rPr>
        <w:t>Fines, Penalties and Infringement Notices Enforcement Act 1994</w:t>
      </w:r>
      <w:r>
        <w:t xml:space="preserve"> Part 3 applies to the infringement notice — the first time 1 of the following events occurs — </w:t>
      </w:r>
    </w:p>
    <w:p>
      <w:pPr>
        <w:pStyle w:val="Indenti"/>
      </w:pPr>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p>
    <w:p>
      <w:pPr>
        <w:pStyle w:val="Indenti"/>
      </w:pPr>
      <w:r>
        <w:tab/>
        <w:t>(ii)</w:t>
      </w:r>
      <w:r>
        <w:tab/>
        <w:t xml:space="preserve">an order to pay or elect is issued in relation to the infringement notice under the </w:t>
      </w:r>
      <w:r>
        <w:rPr>
          <w:i/>
        </w:rPr>
        <w:t>Fines, Penalties and Infringement Notices Enforcement Act 1994</w:t>
      </w:r>
      <w:r>
        <w:t xml:space="preserve"> section 17;</w:t>
      </w:r>
    </w:p>
    <w:p>
      <w:pPr>
        <w:pStyle w:val="Indenta"/>
      </w:pPr>
      <w:r>
        <w:tab/>
      </w:r>
      <w:r>
        <w:tab/>
        <w:t>or</w:t>
      </w:r>
    </w:p>
    <w:p>
      <w:pPr>
        <w:pStyle w:val="Indenta"/>
      </w:pPr>
      <w:r>
        <w:tab/>
        <w:t>(c)</w:t>
      </w:r>
      <w:r>
        <w:tab/>
        <w:t>otherwise — when an amount is paid under the infringement notice (regardless of whether it is the full amount).</w:t>
      </w:r>
    </w:p>
    <w:p>
      <w:pPr>
        <w:pStyle w:val="Subsection"/>
        <w:rPr>
          <w:snapToGrid w:val="0"/>
        </w:rPr>
      </w:pPr>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40 amended: No. 15 of 2024 s. 75.]</w:t>
      </w:r>
    </w:p>
    <w:p>
      <w:pPr>
        <w:pStyle w:val="Heading5"/>
      </w:pPr>
      <w:bookmarkStart w:id="195" w:name="_Toc182487150"/>
      <w:bookmarkStart w:id="196" w:name="_Toc180655887"/>
      <w:r>
        <w:rPr>
          <w:rStyle w:val="CharSectno"/>
        </w:rPr>
        <w:t>41</w:t>
      </w:r>
      <w:r>
        <w:t>.</w:t>
      </w:r>
      <w:r>
        <w:tab/>
        <w:t>Demerit point offences in WA</w:t>
      </w:r>
      <w:bookmarkEnd w:id="195"/>
      <w:bookmarkEnd w:id="196"/>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197" w:name="_Toc182487151"/>
      <w:bookmarkStart w:id="198" w:name="_Toc180655888"/>
      <w:r>
        <w:rPr>
          <w:rStyle w:val="CharSectno"/>
        </w:rPr>
        <w:t>42</w:t>
      </w:r>
      <w:r>
        <w:t>.</w:t>
      </w:r>
      <w:r>
        <w:tab/>
        <w:t>National demerit point offence schedule</w:t>
      </w:r>
      <w:bookmarkEnd w:id="197"/>
      <w:bookmarkEnd w:id="198"/>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199" w:name="_Toc182487152"/>
      <w:bookmarkStart w:id="200" w:name="_Toc180655889"/>
      <w:r>
        <w:rPr>
          <w:rStyle w:val="CharSectno"/>
        </w:rPr>
        <w:t>43</w:t>
      </w:r>
      <w:r>
        <w:t>.</w:t>
      </w:r>
      <w:r>
        <w:tab/>
        <w:t>Demerit point registry jurisdiction</w:t>
      </w:r>
      <w:bookmarkEnd w:id="199"/>
      <w:bookmarkEnd w:id="20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201" w:name="_Toc182465854"/>
      <w:bookmarkStart w:id="202" w:name="_Toc182467005"/>
      <w:bookmarkStart w:id="203" w:name="_Toc182487153"/>
      <w:bookmarkStart w:id="204" w:name="_Toc180582736"/>
      <w:bookmarkStart w:id="205" w:name="_Toc180583293"/>
      <w:bookmarkStart w:id="206" w:name="_Toc180655890"/>
      <w:r>
        <w:rPr>
          <w:rStyle w:val="CharDivNo"/>
        </w:rPr>
        <w:t>Division 2</w:t>
      </w:r>
      <w:r>
        <w:t> — </w:t>
      </w:r>
      <w:r>
        <w:rPr>
          <w:rStyle w:val="CharDivText"/>
        </w:rPr>
        <w:t>Incurring demerit points</w:t>
      </w:r>
      <w:bookmarkEnd w:id="201"/>
      <w:bookmarkEnd w:id="202"/>
      <w:bookmarkEnd w:id="203"/>
      <w:bookmarkEnd w:id="204"/>
      <w:bookmarkEnd w:id="205"/>
      <w:bookmarkEnd w:id="206"/>
    </w:p>
    <w:p>
      <w:pPr>
        <w:pStyle w:val="Heading5"/>
      </w:pPr>
      <w:bookmarkStart w:id="207" w:name="_Toc182487154"/>
      <w:bookmarkStart w:id="208" w:name="_Toc180655891"/>
      <w:r>
        <w:rPr>
          <w:rStyle w:val="CharSectno"/>
        </w:rPr>
        <w:t>44</w:t>
      </w:r>
      <w:r>
        <w:t>.</w:t>
      </w:r>
      <w:r>
        <w:tab/>
        <w:t>Demerit point action after conviction</w:t>
      </w:r>
      <w:bookmarkEnd w:id="207"/>
      <w:bookmarkEnd w:id="20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keepNext/>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209" w:name="_Toc182487155"/>
      <w:bookmarkStart w:id="210" w:name="_Toc180655892"/>
      <w:r>
        <w:rPr>
          <w:rStyle w:val="CharSectno"/>
        </w:rPr>
        <w:t>45</w:t>
      </w:r>
      <w:r>
        <w:t>.</w:t>
      </w:r>
      <w:r>
        <w:tab/>
        <w:t>Demerit point action after infringement notice</w:t>
      </w:r>
      <w:bookmarkEnd w:id="209"/>
      <w:bookmarkEnd w:id="210"/>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211" w:name="_Toc182487156"/>
      <w:bookmarkStart w:id="212" w:name="_Toc180655893"/>
      <w:r>
        <w:rPr>
          <w:rStyle w:val="CharSectno"/>
        </w:rPr>
        <w:t>46</w:t>
      </w:r>
      <w:r>
        <w:t>.</w:t>
      </w:r>
      <w:r>
        <w:tab/>
        <w:t>No demerit point action against body corporate</w:t>
      </w:r>
      <w:bookmarkEnd w:id="211"/>
      <w:bookmarkEnd w:id="212"/>
    </w:p>
    <w:p>
      <w:pPr>
        <w:pStyle w:val="Subsection"/>
      </w:pPr>
      <w:r>
        <w:tab/>
      </w:r>
      <w:r>
        <w:tab/>
        <w:t>Demerit point action can be taken only against an individual.</w:t>
      </w:r>
    </w:p>
    <w:p>
      <w:pPr>
        <w:pStyle w:val="Heading5"/>
      </w:pPr>
      <w:bookmarkStart w:id="213" w:name="_Toc182487157"/>
      <w:bookmarkStart w:id="214" w:name="_Toc180655894"/>
      <w:r>
        <w:rPr>
          <w:rStyle w:val="CharSectno"/>
        </w:rPr>
        <w:t>47</w:t>
      </w:r>
      <w:r>
        <w:t>.</w:t>
      </w:r>
      <w:r>
        <w:tab/>
        <w:t>What demerit point action is to be taken</w:t>
      </w:r>
      <w:bookmarkEnd w:id="213"/>
      <w:bookmarkEnd w:id="21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215" w:name="_Toc182465859"/>
      <w:bookmarkStart w:id="216" w:name="_Toc182467010"/>
      <w:bookmarkStart w:id="217" w:name="_Toc182487158"/>
      <w:bookmarkStart w:id="218" w:name="_Toc180582741"/>
      <w:bookmarkStart w:id="219" w:name="_Toc180583298"/>
      <w:bookmarkStart w:id="220" w:name="_Toc180655895"/>
      <w:r>
        <w:rPr>
          <w:rStyle w:val="CharDivNo"/>
        </w:rPr>
        <w:t>Division 3</w:t>
      </w:r>
      <w:r>
        <w:t> — </w:t>
      </w:r>
      <w:r>
        <w:rPr>
          <w:rStyle w:val="CharDivText"/>
        </w:rPr>
        <w:t>Consequences of demerit points</w:t>
      </w:r>
      <w:bookmarkEnd w:id="215"/>
      <w:bookmarkEnd w:id="216"/>
      <w:bookmarkEnd w:id="217"/>
      <w:bookmarkEnd w:id="218"/>
      <w:bookmarkEnd w:id="219"/>
      <w:bookmarkEnd w:id="220"/>
    </w:p>
    <w:p>
      <w:pPr>
        <w:pStyle w:val="Heading5"/>
      </w:pPr>
      <w:bookmarkStart w:id="221" w:name="_Toc182487159"/>
      <w:bookmarkStart w:id="222" w:name="_Toc180655896"/>
      <w:r>
        <w:rPr>
          <w:rStyle w:val="CharSectno"/>
        </w:rPr>
        <w:t>48</w:t>
      </w:r>
      <w:r>
        <w:t>.</w:t>
      </w:r>
      <w:r>
        <w:tab/>
        <w:t>Expiry of demerit points</w:t>
      </w:r>
      <w:bookmarkEnd w:id="221"/>
      <w:bookmarkEnd w:id="222"/>
    </w:p>
    <w:p>
      <w:pPr>
        <w:pStyle w:val="Subsection"/>
      </w:pPr>
      <w:r>
        <w:tab/>
      </w:r>
      <w:r>
        <w:tab/>
        <w:t>At the end of the period of 3 years after the day on which an offence was committed or allegedly committed, any demerit points applying to the offence expire.</w:t>
      </w:r>
    </w:p>
    <w:p>
      <w:pPr>
        <w:pStyle w:val="Heading5"/>
      </w:pPr>
      <w:bookmarkStart w:id="223" w:name="_Toc182487160"/>
      <w:bookmarkStart w:id="224" w:name="_Toc180655897"/>
      <w:r>
        <w:rPr>
          <w:rStyle w:val="CharSectno"/>
        </w:rPr>
        <w:t>49</w:t>
      </w:r>
      <w:r>
        <w:t>.</w:t>
      </w:r>
      <w:r>
        <w:tab/>
        <w:t>Excessive demerit points notice</w:t>
      </w:r>
      <w:bookmarkEnd w:id="223"/>
      <w:bookmarkEnd w:id="224"/>
    </w:p>
    <w:p>
      <w:pPr>
        <w:pStyle w:val="Subsection"/>
        <w:keepNext/>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225" w:name="_Toc182487161"/>
      <w:bookmarkStart w:id="226" w:name="_Toc180655898"/>
      <w:r>
        <w:rPr>
          <w:rStyle w:val="CharSectno"/>
        </w:rPr>
        <w:t>50</w:t>
      </w:r>
      <w:r>
        <w:t>.</w:t>
      </w:r>
      <w:r>
        <w:tab/>
        <w:t>Excessive demerit points (novice drivers) notice</w:t>
      </w:r>
      <w:bookmarkEnd w:id="225"/>
      <w:bookmarkEnd w:id="22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227" w:name="_Toc182487162"/>
      <w:bookmarkStart w:id="228" w:name="_Toc180655899"/>
      <w:r>
        <w:rPr>
          <w:rStyle w:val="CharSectno"/>
        </w:rPr>
        <w:t>51</w:t>
      </w:r>
      <w:r>
        <w:t>.</w:t>
      </w:r>
      <w:r>
        <w:tab/>
        <w:t>Making a section 51 election</w:t>
      </w:r>
      <w:bookmarkEnd w:id="227"/>
      <w:bookmarkEnd w:id="228"/>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229" w:name="_Toc182487163"/>
      <w:bookmarkStart w:id="230" w:name="_Toc180655900"/>
      <w:r>
        <w:rPr>
          <w:rStyle w:val="CharSectno"/>
        </w:rPr>
        <w:t>52</w:t>
      </w:r>
      <w:r>
        <w:t>.</w:t>
      </w:r>
      <w:r>
        <w:tab/>
        <w:t>Double disqualification after section 51 election</w:t>
      </w:r>
      <w:bookmarkEnd w:id="229"/>
      <w:bookmarkEnd w:id="230"/>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keepNext/>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231" w:name="_Toc182487164"/>
      <w:bookmarkStart w:id="232" w:name="_Toc180655901"/>
      <w:r>
        <w:rPr>
          <w:rStyle w:val="CharSectno"/>
        </w:rPr>
        <w:t>53</w:t>
      </w:r>
      <w:r>
        <w:t>.</w:t>
      </w:r>
      <w:r>
        <w:tab/>
        <w:t>Permanent disqualification ends section 51 election period</w:t>
      </w:r>
      <w:bookmarkEnd w:id="231"/>
      <w:bookmarkEnd w:id="232"/>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233" w:name="_Toc182487165"/>
      <w:bookmarkStart w:id="234" w:name="_Toc180655902"/>
      <w:r>
        <w:rPr>
          <w:rStyle w:val="CharSectno"/>
        </w:rPr>
        <w:t>54</w:t>
      </w:r>
      <w:r>
        <w:t>.</w:t>
      </w:r>
      <w:r>
        <w:tab/>
        <w:t>Cumulative effect of demerit points disqualification</w:t>
      </w:r>
      <w:bookmarkEnd w:id="233"/>
      <w:bookmarkEnd w:id="234"/>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keepNext/>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235" w:name="_Toc182487166"/>
      <w:bookmarkStart w:id="236" w:name="_Toc180655903"/>
      <w:r>
        <w:rPr>
          <w:rStyle w:val="CharSectno"/>
        </w:rPr>
        <w:t>55</w:t>
      </w:r>
      <w:r>
        <w:t>.</w:t>
      </w:r>
      <w:r>
        <w:tab/>
        <w:t>Certain disqualifications after demerit points disqualification or section 51 election</w:t>
      </w:r>
      <w:bookmarkEnd w:id="235"/>
      <w:bookmarkEnd w:id="236"/>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237" w:name="_Toc182465868"/>
      <w:bookmarkStart w:id="238" w:name="_Toc182467019"/>
      <w:bookmarkStart w:id="239" w:name="_Toc182487167"/>
      <w:bookmarkStart w:id="240" w:name="_Toc180582750"/>
      <w:bookmarkStart w:id="241" w:name="_Toc180583307"/>
      <w:bookmarkStart w:id="242" w:name="_Toc180655904"/>
      <w:r>
        <w:rPr>
          <w:rStyle w:val="CharDivNo"/>
        </w:rPr>
        <w:t>Division 4</w:t>
      </w:r>
      <w:r>
        <w:t> — </w:t>
      </w:r>
      <w:r>
        <w:rPr>
          <w:rStyle w:val="CharDivText"/>
        </w:rPr>
        <w:t>Administrative and other provisions</w:t>
      </w:r>
      <w:bookmarkEnd w:id="237"/>
      <w:bookmarkEnd w:id="238"/>
      <w:bookmarkEnd w:id="239"/>
      <w:bookmarkEnd w:id="240"/>
      <w:bookmarkEnd w:id="241"/>
      <w:bookmarkEnd w:id="242"/>
    </w:p>
    <w:p>
      <w:pPr>
        <w:pStyle w:val="Heading5"/>
      </w:pPr>
      <w:bookmarkStart w:id="243" w:name="_Toc182487168"/>
      <w:bookmarkStart w:id="244" w:name="_Toc180655905"/>
      <w:r>
        <w:rPr>
          <w:rStyle w:val="CharSectno"/>
        </w:rPr>
        <w:t>56</w:t>
      </w:r>
      <w:r>
        <w:t>.</w:t>
      </w:r>
      <w:r>
        <w:tab/>
        <w:t>Demerit points register</w:t>
      </w:r>
      <w:bookmarkEnd w:id="243"/>
      <w:bookmarkEnd w:id="244"/>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245" w:name="_Toc182487169"/>
      <w:bookmarkStart w:id="246" w:name="_Toc180655906"/>
      <w:r>
        <w:rPr>
          <w:rStyle w:val="CharSectno"/>
        </w:rPr>
        <w:t>57</w:t>
      </w:r>
      <w:r>
        <w:t>.</w:t>
      </w:r>
      <w:r>
        <w:tab/>
        <w:t>Obtaining Australian driver licence elsewhere</w:t>
      </w:r>
      <w:bookmarkEnd w:id="245"/>
      <w:bookmarkEnd w:id="246"/>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247" w:name="_Toc182487170"/>
      <w:bookmarkStart w:id="248" w:name="_Toc180655907"/>
      <w:r>
        <w:rPr>
          <w:rStyle w:val="CharSectno"/>
        </w:rPr>
        <w:t>58</w:t>
      </w:r>
      <w:r>
        <w:t>.</w:t>
      </w:r>
      <w:r>
        <w:tab/>
        <w:t>Holder of licence in another jurisdiction applying</w:t>
      </w:r>
      <w:bookmarkEnd w:id="247"/>
      <w:bookmarkEnd w:id="248"/>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249" w:name="_Toc182487171"/>
      <w:bookmarkStart w:id="250" w:name="_Toc180655908"/>
      <w:r>
        <w:rPr>
          <w:rStyle w:val="CharSectno"/>
        </w:rPr>
        <w:t>59</w:t>
      </w:r>
      <w:r>
        <w:t>.</w:t>
      </w:r>
      <w:r>
        <w:tab/>
        <w:t>How certain notices to be given</w:t>
      </w:r>
      <w:bookmarkEnd w:id="249"/>
      <w:bookmarkEnd w:id="250"/>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251" w:name="_Toc182487172"/>
      <w:bookmarkStart w:id="252" w:name="_Toc180655909"/>
      <w:r>
        <w:rPr>
          <w:rStyle w:val="CharSectno"/>
        </w:rPr>
        <w:t>60</w:t>
      </w:r>
      <w:r>
        <w:t>.</w:t>
      </w:r>
      <w:r>
        <w:tab/>
        <w:t>Regulations adapting to schemes of other jurisdictions</w:t>
      </w:r>
      <w:bookmarkEnd w:id="251"/>
      <w:bookmarkEnd w:id="252"/>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253" w:name="_Toc182465874"/>
      <w:bookmarkStart w:id="254" w:name="_Toc182467025"/>
      <w:bookmarkStart w:id="255" w:name="_Toc182487173"/>
      <w:bookmarkStart w:id="256" w:name="_Toc180582756"/>
      <w:bookmarkStart w:id="257" w:name="_Toc180583313"/>
      <w:bookmarkStart w:id="258" w:name="_Toc180655910"/>
      <w:r>
        <w:rPr>
          <w:rStyle w:val="CharPartNo"/>
        </w:rPr>
        <w:t>Part 5</w:t>
      </w:r>
      <w:r>
        <w:rPr>
          <w:rStyle w:val="CharDivNo"/>
        </w:rPr>
        <w:t> </w:t>
      </w:r>
      <w:r>
        <w:t>—</w:t>
      </w:r>
      <w:r>
        <w:rPr>
          <w:rStyle w:val="CharDivText"/>
        </w:rPr>
        <w:t> </w:t>
      </w:r>
      <w:r>
        <w:rPr>
          <w:rStyle w:val="CharPartText"/>
        </w:rPr>
        <w:t>Miscellaneous</w:t>
      </w:r>
      <w:bookmarkEnd w:id="253"/>
      <w:bookmarkEnd w:id="254"/>
      <w:bookmarkEnd w:id="255"/>
      <w:bookmarkEnd w:id="256"/>
      <w:bookmarkEnd w:id="257"/>
      <w:bookmarkEnd w:id="258"/>
    </w:p>
    <w:p>
      <w:pPr>
        <w:pStyle w:val="Heading5"/>
      </w:pPr>
      <w:bookmarkStart w:id="259" w:name="_Toc182487174"/>
      <w:bookmarkStart w:id="260" w:name="_Toc180655911"/>
      <w:r>
        <w:rPr>
          <w:rStyle w:val="CharSectno"/>
        </w:rPr>
        <w:t>61</w:t>
      </w:r>
      <w:r>
        <w:t>.</w:t>
      </w:r>
      <w:r>
        <w:tab/>
        <w:t>Regulations</w:t>
      </w:r>
      <w:bookmarkEnd w:id="259"/>
      <w:bookmarkEnd w:id="260"/>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261" w:name="_Toc182487175"/>
      <w:bookmarkStart w:id="262" w:name="_Toc180655912"/>
      <w:r>
        <w:rPr>
          <w:rStyle w:val="CharSectno"/>
        </w:rPr>
        <w:t>62</w:t>
      </w:r>
      <w:r>
        <w:t>.</w:t>
      </w:r>
      <w:r>
        <w:tab/>
        <w:t>Minister’s declarations that specified regulations do not apply to specified persons</w:t>
      </w:r>
      <w:bookmarkEnd w:id="261"/>
      <w:bookmarkEnd w:id="262"/>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263" w:name="_Toc182487176"/>
      <w:bookmarkStart w:id="264" w:name="_Toc180655913"/>
      <w:r>
        <w:rPr>
          <w:rStyle w:val="CharSectno"/>
        </w:rPr>
        <w:t>63</w:t>
      </w:r>
      <w:r>
        <w:t>.</w:t>
      </w:r>
      <w:r>
        <w:tab/>
        <w:t>Regulations may refer to published documents</w:t>
      </w:r>
      <w:bookmarkEnd w:id="263"/>
      <w:bookmarkEnd w:id="26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65" w:name="_Toc182487177"/>
      <w:bookmarkStart w:id="266" w:name="_Toc180655914"/>
      <w:r>
        <w:rPr>
          <w:rStyle w:val="CharSectno"/>
        </w:rPr>
        <w:t>64A</w:t>
      </w:r>
      <w:r>
        <w:t>.</w:t>
      </w:r>
      <w:r>
        <w:tab/>
        <w:t>Review of certain amendments relating to alcohol offences</w:t>
      </w:r>
      <w:bookmarkEnd w:id="265"/>
      <w:bookmarkEnd w:id="266"/>
    </w:p>
    <w:p>
      <w:pPr>
        <w:pStyle w:val="Subsection"/>
        <w:keepNext/>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267" w:name="_Toc182465879"/>
      <w:bookmarkStart w:id="268" w:name="_Toc182467030"/>
      <w:bookmarkStart w:id="269" w:name="_Toc182487178"/>
      <w:bookmarkStart w:id="270" w:name="_Toc180582761"/>
      <w:bookmarkStart w:id="271" w:name="_Toc180583318"/>
      <w:bookmarkStart w:id="272" w:name="_Toc180655915"/>
      <w:r>
        <w:rPr>
          <w:rStyle w:val="CharPartNo"/>
        </w:rPr>
        <w:t>Part 6</w:t>
      </w:r>
      <w:r>
        <w:t> — </w:t>
      </w:r>
      <w:r>
        <w:rPr>
          <w:rStyle w:val="CharPartText"/>
        </w:rPr>
        <w:t>Transitional provisions</w:t>
      </w:r>
      <w:bookmarkEnd w:id="267"/>
      <w:bookmarkEnd w:id="268"/>
      <w:bookmarkEnd w:id="269"/>
      <w:bookmarkEnd w:id="270"/>
      <w:bookmarkEnd w:id="271"/>
      <w:bookmarkEnd w:id="272"/>
    </w:p>
    <w:p>
      <w:pPr>
        <w:pStyle w:val="Heading3"/>
      </w:pPr>
      <w:bookmarkStart w:id="273" w:name="_Toc182465880"/>
      <w:bookmarkStart w:id="274" w:name="_Toc182467031"/>
      <w:bookmarkStart w:id="275" w:name="_Toc182487179"/>
      <w:bookmarkStart w:id="276" w:name="_Toc180582762"/>
      <w:bookmarkStart w:id="277" w:name="_Toc180583319"/>
      <w:bookmarkStart w:id="278" w:name="_Toc180655916"/>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73"/>
      <w:bookmarkEnd w:id="274"/>
      <w:bookmarkEnd w:id="275"/>
      <w:bookmarkEnd w:id="276"/>
      <w:bookmarkEnd w:id="277"/>
      <w:bookmarkEnd w:id="278"/>
    </w:p>
    <w:p>
      <w:pPr>
        <w:pStyle w:val="Footnoteheading"/>
      </w:pPr>
      <w:r>
        <w:tab/>
        <w:t xml:space="preserve">[Heading amended: No. 8 of 2012 s. 234.] </w:t>
      </w:r>
    </w:p>
    <w:p>
      <w:pPr>
        <w:pStyle w:val="Heading5"/>
      </w:pPr>
      <w:bookmarkStart w:id="279" w:name="_Toc182487180"/>
      <w:bookmarkStart w:id="280" w:name="_Toc180655917"/>
      <w:r>
        <w:rPr>
          <w:rStyle w:val="CharSectno"/>
        </w:rPr>
        <w:t>64</w:t>
      </w:r>
      <w:r>
        <w:t>.</w:t>
      </w:r>
      <w:r>
        <w:tab/>
        <w:t>Terms used</w:t>
      </w:r>
      <w:bookmarkEnd w:id="279"/>
      <w:bookmarkEnd w:id="280"/>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281" w:name="_Toc182487181"/>
      <w:bookmarkStart w:id="282" w:name="_Toc180655918"/>
      <w:r>
        <w:rPr>
          <w:rStyle w:val="CharSectno"/>
        </w:rPr>
        <w:t>65</w:t>
      </w:r>
      <w:r>
        <w:t>.</w:t>
      </w:r>
      <w:r>
        <w:tab/>
        <w:t xml:space="preserve">Application of </w:t>
      </w:r>
      <w:r>
        <w:rPr>
          <w:i/>
        </w:rPr>
        <w:t>Interpretation Act 1984</w:t>
      </w:r>
      <w:bookmarkEnd w:id="281"/>
      <w:bookmarkEnd w:id="28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83" w:name="_Toc182487182"/>
      <w:bookmarkStart w:id="284" w:name="_Toc180655919"/>
      <w:r>
        <w:rPr>
          <w:rStyle w:val="CharSectno"/>
        </w:rPr>
        <w:t>66</w:t>
      </w:r>
      <w:r>
        <w:t>.</w:t>
      </w:r>
      <w:r>
        <w:tab/>
        <w:t>Learner’s permits</w:t>
      </w:r>
      <w:bookmarkEnd w:id="283"/>
      <w:bookmarkEnd w:id="284"/>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285" w:name="_Toc182487183"/>
      <w:bookmarkStart w:id="286" w:name="_Toc180655920"/>
      <w:r>
        <w:rPr>
          <w:rStyle w:val="CharSectno"/>
        </w:rPr>
        <w:t>67</w:t>
      </w:r>
      <w:r>
        <w:t>.</w:t>
      </w:r>
      <w:r>
        <w:tab/>
        <w:t>Extraordinary licences</w:t>
      </w:r>
      <w:bookmarkEnd w:id="285"/>
      <w:bookmarkEnd w:id="286"/>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287" w:name="_Toc182487184"/>
      <w:bookmarkStart w:id="288" w:name="_Toc180655921"/>
      <w:r>
        <w:rPr>
          <w:rStyle w:val="CharSectno"/>
        </w:rPr>
        <w:t>68</w:t>
      </w:r>
      <w:r>
        <w:t>.</w:t>
      </w:r>
      <w:r>
        <w:tab/>
        <w:t>Removal of disqualification</w:t>
      </w:r>
      <w:bookmarkEnd w:id="287"/>
      <w:bookmarkEnd w:id="28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289" w:name="_Toc182487185"/>
      <w:bookmarkStart w:id="290" w:name="_Toc180655922"/>
      <w:r>
        <w:rPr>
          <w:rStyle w:val="CharSectno"/>
        </w:rPr>
        <w:t>69</w:t>
      </w:r>
      <w:r>
        <w:t>.</w:t>
      </w:r>
      <w:r>
        <w:tab/>
        <w:t>Demerit points</w:t>
      </w:r>
      <w:bookmarkEnd w:id="289"/>
      <w:bookmarkEnd w:id="290"/>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291" w:name="_Toc182487186"/>
      <w:bookmarkStart w:id="292" w:name="_Toc180655923"/>
      <w:r>
        <w:rPr>
          <w:rStyle w:val="CharSectno"/>
        </w:rPr>
        <w:t>70</w:t>
      </w:r>
      <w:r>
        <w:t>.</w:t>
      </w:r>
      <w:r>
        <w:tab/>
        <w:t>Transitional regulations</w:t>
      </w:r>
      <w:bookmarkEnd w:id="291"/>
      <w:bookmarkEnd w:id="292"/>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Heading3"/>
        <w:rPr>
          <w:ins w:id="293" w:author="Master Repository Process" w:date="2025-05-30T12:54:00Z"/>
        </w:rPr>
      </w:pPr>
      <w:bookmarkStart w:id="294" w:name="_Toc181359910"/>
      <w:bookmarkStart w:id="295" w:name="_Toc181617938"/>
      <w:bookmarkStart w:id="296" w:name="_Toc182321250"/>
      <w:bookmarkStart w:id="297" w:name="_Toc182467039"/>
      <w:bookmarkStart w:id="298" w:name="_Toc182487187"/>
      <w:ins w:id="299" w:author="Master Repository Process" w:date="2025-05-30T12:54:00Z">
        <w:r>
          <w:rPr>
            <w:rStyle w:val="CharDivNo"/>
          </w:rPr>
          <w:t>Division 2</w:t>
        </w:r>
        <w:r>
          <w:t> — </w:t>
        </w:r>
        <w:bookmarkEnd w:id="294"/>
        <w:bookmarkEnd w:id="295"/>
        <w:bookmarkEnd w:id="296"/>
        <w:bookmarkEnd w:id="297"/>
        <w:r>
          <w:rPr>
            <w:rStyle w:val="CharDivText"/>
          </w:rPr>
          <w:t xml:space="preserve">Transitional provision for </w:t>
        </w:r>
        <w:r>
          <w:rPr>
            <w:rStyle w:val="CharDivText"/>
            <w:i/>
            <w:iCs/>
          </w:rPr>
          <w:t>Road Traffic (Authorisation to Drive) Amendment (Driving Restrictions) Act 2024</w:t>
        </w:r>
        <w:bookmarkEnd w:id="298"/>
      </w:ins>
    </w:p>
    <w:p>
      <w:pPr>
        <w:pStyle w:val="Footnoteheading"/>
        <w:rPr>
          <w:ins w:id="300" w:author="Master Repository Process" w:date="2025-05-30T12:54:00Z"/>
        </w:rPr>
      </w:pPr>
      <w:ins w:id="301" w:author="Master Repository Process" w:date="2025-05-30T12:54:00Z">
        <w:r>
          <w:tab/>
          <w:t>[Heading inserted: No. 45 of 2024 s. 6.]</w:t>
        </w:r>
      </w:ins>
    </w:p>
    <w:p>
      <w:pPr>
        <w:pStyle w:val="Heading5"/>
        <w:rPr>
          <w:ins w:id="302" w:author="Master Repository Process" w:date="2025-05-30T12:54:00Z"/>
        </w:rPr>
      </w:pPr>
      <w:bookmarkStart w:id="303" w:name="_Toc182321251"/>
      <w:bookmarkStart w:id="304" w:name="_Toc182487188"/>
      <w:ins w:id="305" w:author="Master Repository Process" w:date="2025-05-30T12:54:00Z">
        <w:r>
          <w:rPr>
            <w:rStyle w:val="CharSectno"/>
          </w:rPr>
          <w:t>71</w:t>
        </w:r>
        <w:r>
          <w:t>.</w:t>
        </w:r>
        <w:r>
          <w:tab/>
          <w:t>Application of amended regulation</w:t>
        </w:r>
        <w:r>
          <w:noBreakHyphen/>
          <w:t>making provision for driver licensing scheme</w:t>
        </w:r>
        <w:bookmarkEnd w:id="303"/>
        <w:bookmarkEnd w:id="304"/>
      </w:ins>
    </w:p>
    <w:p>
      <w:pPr>
        <w:pStyle w:val="Subsection"/>
        <w:rPr>
          <w:ins w:id="306" w:author="Master Repository Process" w:date="2025-05-30T12:54:00Z"/>
        </w:rPr>
      </w:pPr>
      <w:ins w:id="307" w:author="Master Repository Process" w:date="2025-05-30T12:54:00Z">
        <w:r>
          <w:tab/>
          <w:t>(1)</w:t>
        </w:r>
        <w:r>
          <w:tab/>
          <w:t xml:space="preserve">In this section — </w:t>
        </w:r>
      </w:ins>
    </w:p>
    <w:p>
      <w:pPr>
        <w:pStyle w:val="Defstart"/>
        <w:rPr>
          <w:ins w:id="308" w:author="Master Repository Process" w:date="2025-05-30T12:54:00Z"/>
        </w:rPr>
      </w:pPr>
      <w:ins w:id="309" w:author="Master Repository Process" w:date="2025-05-30T12:54:00Z">
        <w:r>
          <w:tab/>
        </w:r>
        <w:r>
          <w:rPr>
            <w:rStyle w:val="CharDefText"/>
          </w:rPr>
          <w:t>commencement day</w:t>
        </w:r>
        <w:r>
          <w:t xml:space="preserve"> means the day on which the </w:t>
        </w:r>
        <w:r>
          <w:rPr>
            <w:i/>
          </w:rPr>
          <w:t>Road Traffic (Authorisation to Drive) Amendment (Driving Restrictions) Act 2024</w:t>
        </w:r>
        <w:r>
          <w:t xml:space="preserve"> section 5 comes into operation.</w:t>
        </w:r>
      </w:ins>
    </w:p>
    <w:p>
      <w:pPr>
        <w:pStyle w:val="Subsection"/>
        <w:rPr>
          <w:ins w:id="310" w:author="Master Repository Process" w:date="2025-05-30T12:54:00Z"/>
        </w:rPr>
      </w:pPr>
      <w:ins w:id="311" w:author="Master Repository Process" w:date="2025-05-30T12:54:00Z">
        <w:r>
          <w:tab/>
          <w:t>(2)</w:t>
        </w:r>
        <w:r>
          <w:tab/>
          <w:t>Section 4, as in force after commencement day, applies, and regulations made under that section may apply, in relation to drivers’ licences granted before, on or after commencement day.</w:t>
        </w:r>
      </w:ins>
    </w:p>
    <w:p>
      <w:pPr>
        <w:pStyle w:val="Footnotesection"/>
        <w:rPr>
          <w:ins w:id="312" w:author="Master Repository Process" w:date="2025-05-30T12:54:00Z"/>
        </w:rPr>
      </w:pPr>
      <w:ins w:id="313" w:author="Master Repository Process" w:date="2025-05-30T12:54:00Z">
        <w:r>
          <w:tab/>
          <w:t>[Section 71 inserted: No. 45 of 2024 s. 6.]</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14" w:name="_Toc182465888"/>
      <w:bookmarkStart w:id="315" w:name="_Toc182467041"/>
      <w:bookmarkStart w:id="316" w:name="_Toc182487189"/>
      <w:bookmarkStart w:id="317" w:name="_Toc180582770"/>
      <w:bookmarkStart w:id="318" w:name="_Toc180583327"/>
      <w:bookmarkStart w:id="319" w:name="_Toc180655924"/>
      <w:r>
        <w:t>Notes</w:t>
      </w:r>
      <w:bookmarkEnd w:id="314"/>
      <w:bookmarkEnd w:id="315"/>
      <w:bookmarkEnd w:id="316"/>
      <w:bookmarkEnd w:id="317"/>
      <w:bookmarkEnd w:id="318"/>
      <w:bookmarkEnd w:id="319"/>
    </w:p>
    <w:p>
      <w:pPr>
        <w:pStyle w:val="nStatement"/>
      </w:pPr>
      <w:r>
        <w:t xml:space="preserve">This is a compilation of the </w:t>
      </w:r>
      <w:r>
        <w:rPr>
          <w:i/>
          <w:noProof/>
        </w:rPr>
        <w:t>Road Traffic (Authorisation to Drive) Act 2008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320" w:name="_Toc182487190"/>
      <w:bookmarkStart w:id="321" w:name="_Toc180655925"/>
      <w:r>
        <w:t>Compilation table</w:t>
      </w:r>
      <w:bookmarkEnd w:id="320"/>
      <w:bookmarkEnd w:id="321"/>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rPr>
          <w:cantSplit/>
        </w:trPr>
        <w:tc>
          <w:tcPr>
            <w:tcW w:w="2268" w:type="dxa"/>
            <w:tcBorders>
              <w:top w:val="nil"/>
              <w:bottom w:val="nil"/>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pPr>
              <w:pStyle w:val="nTable"/>
              <w:keepNext/>
              <w:spacing w:after="40"/>
            </w:pPr>
            <w:r>
              <w:t>8 of 2022</w:t>
            </w:r>
          </w:p>
        </w:tc>
        <w:tc>
          <w:tcPr>
            <w:tcW w:w="1136"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t>15 Apr 2022 (see s. 2(b))</w:t>
            </w:r>
          </w:p>
        </w:tc>
      </w:tr>
      <w:tr>
        <w:trPr>
          <w:cantSplit/>
        </w:trPr>
        <w:tc>
          <w:tcPr>
            <w:tcW w:w="2268" w:type="dxa"/>
            <w:tcBorders>
              <w:top w:val="nil"/>
              <w:bottom w:val="nil"/>
            </w:tcBorders>
            <w:shd w:val="clear" w:color="auto" w:fill="auto"/>
          </w:tcPr>
          <w:p>
            <w:pPr>
              <w:pStyle w:val="nTable"/>
              <w:spacing w:after="40"/>
              <w:ind w:right="113"/>
              <w:rPr>
                <w:i/>
              </w:rPr>
            </w:pPr>
            <w:r>
              <w:rPr>
                <w:i/>
              </w:rPr>
              <w:t>Road Traffic Legislation Amendment (Infringement Management Reform) Act 2024</w:t>
            </w:r>
            <w:r>
              <w:rPr>
                <w:iCs/>
              </w:rPr>
              <w:t xml:space="preserve"> Pt. 4 Div. 5</w:t>
            </w:r>
          </w:p>
        </w:tc>
        <w:tc>
          <w:tcPr>
            <w:tcW w:w="1134" w:type="dxa"/>
            <w:tcBorders>
              <w:top w:val="nil"/>
              <w:bottom w:val="nil"/>
            </w:tcBorders>
            <w:shd w:val="clear" w:color="auto" w:fill="auto"/>
          </w:tcPr>
          <w:p>
            <w:pPr>
              <w:pStyle w:val="nTable"/>
              <w:keepNext/>
              <w:spacing w:after="40"/>
            </w:pPr>
            <w:r>
              <w:t>15 of 2024</w:t>
            </w:r>
          </w:p>
        </w:tc>
        <w:tc>
          <w:tcPr>
            <w:tcW w:w="1136" w:type="dxa"/>
            <w:tcBorders>
              <w:top w:val="nil"/>
              <w:bottom w:val="nil"/>
            </w:tcBorders>
            <w:shd w:val="clear" w:color="auto" w:fill="auto"/>
          </w:tcPr>
          <w:p>
            <w:pPr>
              <w:pStyle w:val="nTable"/>
              <w:keepNext/>
              <w:spacing w:after="40"/>
            </w:pPr>
            <w:r>
              <w:t>14 May 2024</w:t>
            </w:r>
          </w:p>
        </w:tc>
        <w:tc>
          <w:tcPr>
            <w:tcW w:w="2552" w:type="dxa"/>
            <w:tcBorders>
              <w:top w:val="nil"/>
              <w:bottom w:val="nil"/>
            </w:tcBorders>
            <w:shd w:val="clear" w:color="auto" w:fill="auto"/>
          </w:tcPr>
          <w:p>
            <w:pPr>
              <w:pStyle w:val="nTable"/>
              <w:keepNext/>
              <w:spacing w:after="40"/>
            </w:pPr>
            <w:r>
              <w:t>7 Oct 2024 (see s. 2(b) and SL 2024/200 cl. 2)</w:t>
            </w:r>
          </w:p>
        </w:tc>
      </w:tr>
      <w:tr>
        <w:tblPrEx>
          <w:tblBorders>
            <w:top w:val="none" w:sz="0" w:space="0" w:color="auto"/>
            <w:bottom w:val="none" w:sz="0" w:space="0" w:color="auto"/>
            <w:insideH w:val="none" w:sz="0" w:space="0" w:color="auto"/>
          </w:tblBorders>
        </w:tblPrEx>
        <w:trPr>
          <w:cantSplit/>
          <w:ins w:id="322" w:author="Master Repository Process" w:date="2025-05-30T12:54:00Z"/>
        </w:trPr>
        <w:tc>
          <w:tcPr>
            <w:tcW w:w="2268" w:type="dxa"/>
            <w:tcBorders>
              <w:bottom w:val="single" w:sz="2" w:space="0" w:color="auto"/>
            </w:tcBorders>
            <w:shd w:val="clear" w:color="auto" w:fill="auto"/>
          </w:tcPr>
          <w:p>
            <w:pPr>
              <w:pStyle w:val="nTable"/>
              <w:spacing w:after="40"/>
              <w:ind w:right="113"/>
              <w:rPr>
                <w:ins w:id="323" w:author="Master Repository Process" w:date="2025-05-30T12:54:00Z"/>
                <w:iCs/>
              </w:rPr>
            </w:pPr>
            <w:ins w:id="324" w:author="Master Repository Process" w:date="2025-05-30T12:54:00Z">
              <w:r>
                <w:rPr>
                  <w:i/>
                </w:rPr>
                <w:t xml:space="preserve">Road Traffic (Authorisation to Drive) Amendment (Driving Restrictions) Act 2024 </w:t>
              </w:r>
            </w:ins>
          </w:p>
        </w:tc>
        <w:tc>
          <w:tcPr>
            <w:tcW w:w="1134" w:type="dxa"/>
            <w:tcBorders>
              <w:bottom w:val="single" w:sz="2" w:space="0" w:color="auto"/>
            </w:tcBorders>
            <w:shd w:val="clear" w:color="auto" w:fill="auto"/>
          </w:tcPr>
          <w:p>
            <w:pPr>
              <w:pStyle w:val="nTable"/>
              <w:keepNext/>
              <w:spacing w:after="40"/>
              <w:rPr>
                <w:ins w:id="325" w:author="Master Repository Process" w:date="2025-05-30T12:54:00Z"/>
              </w:rPr>
            </w:pPr>
            <w:ins w:id="326" w:author="Master Repository Process" w:date="2025-05-30T12:54:00Z">
              <w:r>
                <w:t>45 of 2024</w:t>
              </w:r>
            </w:ins>
          </w:p>
        </w:tc>
        <w:tc>
          <w:tcPr>
            <w:tcW w:w="1136" w:type="dxa"/>
            <w:tcBorders>
              <w:bottom w:val="single" w:sz="2" w:space="0" w:color="auto"/>
            </w:tcBorders>
            <w:shd w:val="clear" w:color="auto" w:fill="auto"/>
          </w:tcPr>
          <w:p>
            <w:pPr>
              <w:pStyle w:val="nTable"/>
              <w:keepNext/>
              <w:spacing w:after="40"/>
              <w:rPr>
                <w:ins w:id="327" w:author="Master Repository Process" w:date="2025-05-30T12:54:00Z"/>
              </w:rPr>
            </w:pPr>
            <w:ins w:id="328" w:author="Master Repository Process" w:date="2025-05-30T12:54:00Z">
              <w:r>
                <w:t>15 Nov 2024</w:t>
              </w:r>
            </w:ins>
          </w:p>
        </w:tc>
        <w:tc>
          <w:tcPr>
            <w:tcW w:w="2552" w:type="dxa"/>
            <w:tcBorders>
              <w:bottom w:val="single" w:sz="2" w:space="0" w:color="auto"/>
            </w:tcBorders>
            <w:shd w:val="clear" w:color="auto" w:fill="auto"/>
          </w:tcPr>
          <w:p>
            <w:pPr>
              <w:pStyle w:val="nTable"/>
              <w:keepNext/>
              <w:spacing w:after="40"/>
              <w:rPr>
                <w:ins w:id="329" w:author="Master Repository Process" w:date="2025-05-30T12:54:00Z"/>
              </w:rPr>
            </w:pPr>
            <w:ins w:id="330" w:author="Master Repository Process" w:date="2025-05-30T12:54:00Z">
              <w:r>
                <w:rPr>
                  <w:iCs/>
                  <w:noProof/>
                  <w:snapToGrid w:val="0"/>
                </w:rPr>
                <w:t xml:space="preserve">s. 1 and 2: </w:t>
              </w:r>
              <w:r>
                <w:t>15 Nov 2024 (see s. 2(a));</w:t>
              </w:r>
              <w:r>
                <w:br/>
                <w:t xml:space="preserve">Act other than </w:t>
              </w:r>
              <w:r>
                <w:rPr>
                  <w:iCs/>
                  <w:noProof/>
                  <w:snapToGrid w:val="0"/>
                </w:rPr>
                <w:t>s. 1 and 2: 16 Nov 2024 (see s. 2(b))</w:t>
              </w:r>
            </w:ins>
          </w:p>
        </w:tc>
      </w:tr>
    </w:tbl>
    <w:p>
      <w:pPr>
        <w:pStyle w:val="nHeading3"/>
      </w:pPr>
      <w:bookmarkStart w:id="331" w:name="_Toc182487191"/>
      <w:bookmarkStart w:id="332" w:name="_Toc180655926"/>
      <w:r>
        <w:t>Uncommenced provisions table</w:t>
      </w:r>
      <w:bookmarkEnd w:id="331"/>
      <w:bookmarkEnd w:id="3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Towing Services Act 2024</w:t>
            </w:r>
            <w:r>
              <w:rPr>
                <w:iCs/>
              </w:rPr>
              <w:t xml:space="preserve"> Pt. 11 Div. 4</w:t>
            </w:r>
          </w:p>
        </w:tc>
        <w:tc>
          <w:tcPr>
            <w:tcW w:w="1134" w:type="dxa"/>
          </w:tcPr>
          <w:p>
            <w:pPr>
              <w:pStyle w:val="nTable"/>
              <w:spacing w:after="40"/>
            </w:pPr>
            <w:r>
              <w:t>37 of 2024</w:t>
            </w:r>
          </w:p>
        </w:tc>
        <w:tc>
          <w:tcPr>
            <w:tcW w:w="1134" w:type="dxa"/>
          </w:tcPr>
          <w:p>
            <w:pPr>
              <w:pStyle w:val="nTable"/>
              <w:spacing w:after="40"/>
            </w:pPr>
            <w:r>
              <w:t>29 Oct 2024</w:t>
            </w:r>
          </w:p>
        </w:tc>
        <w:tc>
          <w:tcPr>
            <w:tcW w:w="2552" w:type="dxa"/>
          </w:tcPr>
          <w:p>
            <w:pPr>
              <w:pStyle w:val="nTable"/>
              <w:spacing w:after="40"/>
            </w:pPr>
            <w:r>
              <w:t>To be proclaimed (see s. 2(c))</w:t>
            </w:r>
          </w:p>
        </w:tc>
      </w:tr>
    </w:tbl>
    <w:p>
      <w:pPr>
        <w:pStyle w:val="nHeading3"/>
      </w:pPr>
      <w:bookmarkStart w:id="333" w:name="_Toc182487192"/>
      <w:bookmarkStart w:id="334" w:name="_Toc180655927"/>
      <w:r>
        <w:t>Other notes</w:t>
      </w:r>
      <w:bookmarkEnd w:id="333"/>
      <w:bookmarkEnd w:id="334"/>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rPr>
          <w:del w:id="335" w:author="Master Repository Process" w:date="2025-05-30T12:54:00Z"/>
        </w:rPr>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4083455"/>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 w:name="WAFER_20241023132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2349_GUID" w:val="2b09e895-86e8-4e61-848d-9d873bc12123"/>
    <w:docVar w:name="WAFER_2024111408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4083455_GUID" w:val="490fc88d-5551-4580-b4b7-4c31a6034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15996</Words>
  <Characters>77741</Characters>
  <Application>Microsoft Office Word</Application>
  <DocSecurity>0</DocSecurity>
  <Lines>2045</Lines>
  <Paragraphs>1065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01-m0-00 - 01-n0-00</dc:title>
  <dc:subject/>
  <dc:creator/>
  <cp:keywords/>
  <dc:description/>
  <cp:lastModifiedBy>Master Repository Process</cp:lastModifiedBy>
  <cp:revision>2</cp:revision>
  <cp:lastPrinted>2019-05-30T02:25:00Z</cp:lastPrinted>
  <dcterms:created xsi:type="dcterms:W3CDTF">2025-05-30T04:54:00Z</dcterms:created>
  <dcterms:modified xsi:type="dcterms:W3CDTF">2025-05-30T04:54:00Z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20241116</vt:lpwstr>
  </property>
  <property fmtid="{D5CDD505-2E9C-101B-9397-08002B2CF9AE}" pid="9" name="CommencementAsAt">
    <vt:filetime>2024-11-15T16:00:00Z</vt:filetime>
  </property>
  <property fmtid="{D5CDD505-2E9C-101B-9397-08002B2CF9AE}" pid="10" name="CommencementYear">
    <vt:lpwstr>2024</vt:lpwstr>
  </property>
  <property fmtid="{D5CDD505-2E9C-101B-9397-08002B2CF9AE}" pid="11" name="FromSuffix">
    <vt:lpwstr>01-m0-00</vt:lpwstr>
  </property>
  <property fmtid="{D5CDD505-2E9C-101B-9397-08002B2CF9AE}" pid="12" name="FromAsAtDate">
    <vt:lpwstr>29 Oct 2024</vt:lpwstr>
  </property>
  <property fmtid="{D5CDD505-2E9C-101B-9397-08002B2CF9AE}" pid="13" name="ToSuffix">
    <vt:lpwstr>01-n0-00</vt:lpwstr>
  </property>
  <property fmtid="{D5CDD505-2E9C-101B-9397-08002B2CF9AE}" pid="14" name="ToAsAtDate">
    <vt:lpwstr>16 Nov 2024</vt:lpwstr>
  </property>
</Properties>
</file>