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1" w:name="BillCited"/>
      <w:bookmarkEnd w:id="1"/>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4118573"/>
      <w:bookmarkStart w:id="3" w:name="_Toc184119037"/>
      <w:bookmarkStart w:id="4" w:name="_Toc184119095"/>
      <w:bookmarkStart w:id="5" w:name="_Toc184198022"/>
      <w:bookmarkStart w:id="6" w:name="_Toc184198159"/>
      <w:bookmarkStart w:id="7" w:name="_Toc166661796"/>
      <w:bookmarkStart w:id="8" w:name="_Toc166662061"/>
      <w:bookmarkStart w:id="9" w:name="_Toc1666638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84198160"/>
      <w:bookmarkStart w:id="11" w:name="_Toc166663898"/>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National Health Funding Pool Act 2012</w:t>
      </w:r>
      <w:r>
        <w:rPr>
          <w:snapToGrid w:val="0"/>
        </w:rPr>
        <w:t>.</w:t>
      </w:r>
    </w:p>
    <w:p>
      <w:pPr>
        <w:pStyle w:val="Heading5"/>
        <w:rPr>
          <w:snapToGrid w:val="0"/>
        </w:rPr>
      </w:pPr>
      <w:bookmarkStart w:id="12" w:name="_Toc184198161"/>
      <w:bookmarkStart w:id="13" w:name="_Toc166663899"/>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84198162"/>
      <w:bookmarkStart w:id="15" w:name="_Toc166663900"/>
      <w:r>
        <w:rPr>
          <w:rStyle w:val="CharSectno"/>
        </w:rPr>
        <w:t>3</w:t>
      </w:r>
      <w:r>
        <w:t>.</w:t>
      </w:r>
      <w:r>
        <w:tab/>
        <w:t>Terms used</w:t>
      </w:r>
      <w:bookmarkEnd w:id="14"/>
      <w:bookmarkEnd w:id="15"/>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Australian Capital Territory and the Northern Territory;</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the </w:t>
      </w:r>
      <w:r>
        <w:rPr>
          <w:i/>
        </w:rPr>
        <w:t xml:space="preserve">Health Practitioner Regulation National Law (Western Australia) </w:t>
      </w:r>
      <w:r>
        <w:t>Schedule 7 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Footnotesection"/>
      </w:pPr>
      <w:r>
        <w:tab/>
        <w:t>[Section 3 amended: No. 21 of 2024 s. 53.]</w:t>
      </w:r>
    </w:p>
    <w:p>
      <w:pPr>
        <w:pStyle w:val="Heading2"/>
      </w:pPr>
      <w:bookmarkStart w:id="16" w:name="_Toc184118577"/>
      <w:bookmarkStart w:id="17" w:name="_Toc184119041"/>
      <w:bookmarkStart w:id="18" w:name="_Toc184119099"/>
      <w:bookmarkStart w:id="19" w:name="_Toc184198026"/>
      <w:bookmarkStart w:id="20" w:name="_Toc184198163"/>
      <w:bookmarkStart w:id="21" w:name="_Toc166661800"/>
      <w:bookmarkStart w:id="22" w:name="_Toc166662065"/>
      <w:bookmarkStart w:id="23" w:name="_Toc166663901"/>
      <w:r>
        <w:rPr>
          <w:rStyle w:val="CharPartNo"/>
        </w:rPr>
        <w:t>Part 2</w:t>
      </w:r>
      <w:r>
        <w:rPr>
          <w:rStyle w:val="CharDivNo"/>
        </w:rPr>
        <w:t> </w:t>
      </w:r>
      <w:r>
        <w:t>—</w:t>
      </w:r>
      <w:r>
        <w:rPr>
          <w:rStyle w:val="CharDivText"/>
        </w:rPr>
        <w:t> </w:t>
      </w:r>
      <w:r>
        <w:rPr>
          <w:rStyle w:val="CharPartText"/>
        </w:rPr>
        <w:t>Administrator of the National Health Funding Pool</w:t>
      </w:r>
      <w:bookmarkEnd w:id="16"/>
      <w:bookmarkEnd w:id="17"/>
      <w:bookmarkEnd w:id="18"/>
      <w:bookmarkEnd w:id="19"/>
      <w:bookmarkEnd w:id="20"/>
      <w:bookmarkEnd w:id="21"/>
      <w:bookmarkEnd w:id="22"/>
      <w:bookmarkEnd w:id="23"/>
    </w:p>
    <w:p>
      <w:pPr>
        <w:pStyle w:val="Heading5"/>
      </w:pPr>
      <w:bookmarkStart w:id="24" w:name="_Toc184198164"/>
      <w:bookmarkStart w:id="25" w:name="_Toc166663902"/>
      <w:r>
        <w:rPr>
          <w:rStyle w:val="CharSectno"/>
        </w:rPr>
        <w:t>4</w:t>
      </w:r>
      <w:r>
        <w:t>.</w:t>
      </w:r>
      <w:r>
        <w:tab/>
        <w:t>The office of Administrator</w:t>
      </w:r>
      <w:bookmarkEnd w:id="24"/>
      <w:bookmarkEnd w:id="25"/>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6" w:name="_Toc184198165"/>
      <w:bookmarkStart w:id="27" w:name="_Toc166663903"/>
      <w:r>
        <w:rPr>
          <w:rStyle w:val="CharSectno"/>
        </w:rPr>
        <w:t>5</w:t>
      </w:r>
      <w:r>
        <w:t>.</w:t>
      </w:r>
      <w:r>
        <w:tab/>
        <w:t>Appointment of Administrator</w:t>
      </w:r>
      <w:bookmarkEnd w:id="26"/>
      <w:bookmarkEnd w:id="27"/>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28" w:name="_Toc184198166"/>
      <w:bookmarkStart w:id="29" w:name="_Toc166663904"/>
      <w:r>
        <w:rPr>
          <w:rStyle w:val="CharSectno"/>
        </w:rPr>
        <w:t>6</w:t>
      </w:r>
      <w:r>
        <w:t>.</w:t>
      </w:r>
      <w:r>
        <w:tab/>
        <w:t>Suspension of Administrator</w:t>
      </w:r>
      <w:bookmarkEnd w:id="28"/>
      <w:bookmarkEnd w:id="29"/>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30" w:name="_Toc184198167"/>
      <w:bookmarkStart w:id="31" w:name="_Toc166663905"/>
      <w:r>
        <w:rPr>
          <w:rStyle w:val="CharSectno"/>
        </w:rPr>
        <w:t>7</w:t>
      </w:r>
      <w:r>
        <w:t>.</w:t>
      </w:r>
      <w:r>
        <w:tab/>
        <w:t>Removal or resignation of Administrator</w:t>
      </w:r>
      <w:bookmarkEnd w:id="30"/>
      <w:bookmarkEnd w:id="31"/>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32" w:name="_Toc184198168"/>
      <w:bookmarkStart w:id="33" w:name="_Toc166663906"/>
      <w:r>
        <w:rPr>
          <w:rStyle w:val="CharSectno"/>
        </w:rPr>
        <w:t>8</w:t>
      </w:r>
      <w:r>
        <w:t>.</w:t>
      </w:r>
      <w:r>
        <w:tab/>
        <w:t>Acting Administrator</w:t>
      </w:r>
      <w:bookmarkEnd w:id="32"/>
      <w:bookmarkEnd w:id="33"/>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 for this section:</w:t>
      </w:r>
    </w:p>
    <w:p>
      <w:pPr>
        <w:pStyle w:val="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Footnotesection"/>
      </w:pPr>
      <w:r>
        <w:tab/>
        <w:t>[Section 8 amended: No. 21 of 2024 s. 54.]</w:t>
      </w:r>
    </w:p>
    <w:p>
      <w:pPr>
        <w:pStyle w:val="Heading5"/>
      </w:pPr>
      <w:bookmarkStart w:id="34" w:name="_Toc184198169"/>
      <w:bookmarkStart w:id="35" w:name="_Toc166663907"/>
      <w:r>
        <w:rPr>
          <w:rStyle w:val="CharSectno"/>
        </w:rPr>
        <w:t>9</w:t>
      </w:r>
      <w:r>
        <w:t>.</w:t>
      </w:r>
      <w:r>
        <w:tab/>
        <w:t>Provision of staff and facilities for Administrator</w:t>
      </w:r>
      <w:bookmarkEnd w:id="34"/>
      <w:bookmarkEnd w:id="35"/>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36" w:name="_Toc184198170"/>
      <w:bookmarkStart w:id="37" w:name="_Toc166663908"/>
      <w:r>
        <w:rPr>
          <w:rStyle w:val="CharSectno"/>
        </w:rPr>
        <w:t>10</w:t>
      </w:r>
      <w:r>
        <w:t>.</w:t>
      </w:r>
      <w:r>
        <w:tab/>
        <w:t>Functions of Administrator</w:t>
      </w:r>
      <w:bookmarkEnd w:id="36"/>
      <w:bookmarkEnd w:id="37"/>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38" w:name="_Toc184118585"/>
      <w:bookmarkStart w:id="39" w:name="_Toc184119049"/>
      <w:bookmarkStart w:id="40" w:name="_Toc184119107"/>
      <w:bookmarkStart w:id="41" w:name="_Toc184198034"/>
      <w:bookmarkStart w:id="42" w:name="_Toc184198171"/>
      <w:bookmarkStart w:id="43" w:name="_Toc166661808"/>
      <w:bookmarkStart w:id="44" w:name="_Toc166662073"/>
      <w:bookmarkStart w:id="45" w:name="_Toc166663909"/>
      <w:r>
        <w:rPr>
          <w:rStyle w:val="CharPartNo"/>
        </w:rPr>
        <w:t>Part 3</w:t>
      </w:r>
      <w:r>
        <w:rPr>
          <w:rStyle w:val="CharDivNo"/>
        </w:rPr>
        <w:t> </w:t>
      </w:r>
      <w:r>
        <w:t>—</w:t>
      </w:r>
      <w:r>
        <w:rPr>
          <w:rStyle w:val="CharDivText"/>
        </w:rPr>
        <w:t> </w:t>
      </w:r>
      <w:r>
        <w:rPr>
          <w:rStyle w:val="CharPartText"/>
        </w:rPr>
        <w:t>State Pool Accounts — the National Health Funding Pool</w:t>
      </w:r>
      <w:bookmarkEnd w:id="38"/>
      <w:bookmarkEnd w:id="39"/>
      <w:bookmarkEnd w:id="40"/>
      <w:bookmarkEnd w:id="41"/>
      <w:bookmarkEnd w:id="42"/>
      <w:bookmarkEnd w:id="43"/>
      <w:bookmarkEnd w:id="44"/>
      <w:bookmarkEnd w:id="45"/>
    </w:p>
    <w:p>
      <w:pPr>
        <w:pStyle w:val="Heading5"/>
      </w:pPr>
      <w:bookmarkStart w:id="46" w:name="_Toc184198172"/>
      <w:bookmarkStart w:id="47" w:name="_Toc166663910"/>
      <w:r>
        <w:rPr>
          <w:rStyle w:val="CharSectno"/>
        </w:rPr>
        <w:t>11</w:t>
      </w:r>
      <w:r>
        <w:t>.</w:t>
      </w:r>
      <w:r>
        <w:tab/>
        <w:t xml:space="preserve">Establishment of State Pool Account </w:t>
      </w:r>
      <w:r>
        <w:noBreakHyphen/>
        <w:t xml:space="preserve"> Special Purpose Account</w:t>
      </w:r>
      <w:bookmarkEnd w:id="46"/>
      <w:bookmarkEnd w:id="47"/>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48" w:name="_Toc184198173"/>
      <w:bookmarkStart w:id="49" w:name="_Toc166663911"/>
      <w:r>
        <w:rPr>
          <w:rStyle w:val="CharSectno"/>
        </w:rPr>
        <w:t>12</w:t>
      </w:r>
      <w:r>
        <w:t>.</w:t>
      </w:r>
      <w:r>
        <w:tab/>
        <w:t xml:space="preserve">Establishment of State Pool Account </w:t>
      </w:r>
      <w:r>
        <w:noBreakHyphen/>
        <w:t xml:space="preserve"> Bank Account</w:t>
      </w:r>
      <w:bookmarkEnd w:id="48"/>
      <w:bookmarkEnd w:id="49"/>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the Reserve Bank of Australia;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50" w:name="_Toc184198174"/>
      <w:bookmarkStart w:id="51" w:name="_Toc166663912"/>
      <w:r>
        <w:rPr>
          <w:rStyle w:val="CharSectno"/>
        </w:rPr>
        <w:t>13</w:t>
      </w:r>
      <w:r>
        <w:t>.</w:t>
      </w:r>
      <w:r>
        <w:tab/>
        <w:t>Administration of State Pool Account</w:t>
      </w:r>
      <w:bookmarkEnd w:id="50"/>
      <w:bookmarkEnd w:id="51"/>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52" w:name="_Toc184198175"/>
      <w:bookmarkStart w:id="53" w:name="_Toc166663913"/>
      <w:r>
        <w:rPr>
          <w:rStyle w:val="CharSectno"/>
        </w:rPr>
        <w:t>14</w:t>
      </w:r>
      <w:r>
        <w:t>.</w:t>
      </w:r>
      <w:r>
        <w:tab/>
        <w:t>Payments from State Pool Account</w:t>
      </w:r>
      <w:bookmarkEnd w:id="52"/>
      <w:bookmarkEnd w:id="53"/>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54" w:name="_Toc184198176"/>
      <w:bookmarkStart w:id="55" w:name="_Toc166663914"/>
      <w:r>
        <w:rPr>
          <w:rStyle w:val="CharSectno"/>
        </w:rPr>
        <w:t>15</w:t>
      </w:r>
      <w:r>
        <w:t>.</w:t>
      </w:r>
      <w:r>
        <w:tab/>
        <w:t>Distribution of Commonwealth funding</w:t>
      </w:r>
      <w:bookmarkEnd w:id="54"/>
      <w:bookmarkEnd w:id="55"/>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56" w:name="_Toc184118591"/>
      <w:bookmarkStart w:id="57" w:name="_Toc184119055"/>
      <w:bookmarkStart w:id="58" w:name="_Toc184119113"/>
      <w:bookmarkStart w:id="59" w:name="_Toc184198040"/>
      <w:bookmarkStart w:id="60" w:name="_Toc184198177"/>
      <w:bookmarkStart w:id="61" w:name="_Toc166661814"/>
      <w:bookmarkStart w:id="62" w:name="_Toc166662079"/>
      <w:bookmarkStart w:id="63" w:name="_Toc166663915"/>
      <w:r>
        <w:rPr>
          <w:rStyle w:val="CharPartNo"/>
        </w:rPr>
        <w:t>Part 4</w:t>
      </w:r>
      <w:r>
        <w:rPr>
          <w:rStyle w:val="CharDivNo"/>
        </w:rPr>
        <w:t> </w:t>
      </w:r>
      <w:r>
        <w:t>—</w:t>
      </w:r>
      <w:r>
        <w:rPr>
          <w:rStyle w:val="CharDivText"/>
        </w:rPr>
        <w:t> </w:t>
      </w:r>
      <w:r>
        <w:rPr>
          <w:rStyle w:val="CharPartText"/>
        </w:rPr>
        <w:t>State Managed Funds</w:t>
      </w:r>
      <w:bookmarkEnd w:id="56"/>
      <w:bookmarkEnd w:id="57"/>
      <w:bookmarkEnd w:id="58"/>
      <w:bookmarkEnd w:id="59"/>
      <w:bookmarkEnd w:id="60"/>
      <w:bookmarkEnd w:id="61"/>
      <w:bookmarkEnd w:id="62"/>
      <w:bookmarkEnd w:id="63"/>
    </w:p>
    <w:p>
      <w:pPr>
        <w:pStyle w:val="Heading5"/>
      </w:pPr>
      <w:bookmarkStart w:id="64" w:name="_Toc184198178"/>
      <w:bookmarkStart w:id="65" w:name="_Toc166663916"/>
      <w:r>
        <w:rPr>
          <w:rStyle w:val="CharSectno"/>
        </w:rPr>
        <w:t>16</w:t>
      </w:r>
      <w:r>
        <w:t>.</w:t>
      </w:r>
      <w:r>
        <w:tab/>
        <w:t>State Managed Funds</w:t>
      </w:r>
      <w:bookmarkEnd w:id="64"/>
      <w:bookmarkEnd w:id="65"/>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Health Services Act 2016</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No. 25 of 2014 s. 73; No. 11 of 2016 s. 297.]</w:t>
      </w:r>
    </w:p>
    <w:p>
      <w:pPr>
        <w:pStyle w:val="Heading2"/>
      </w:pPr>
      <w:bookmarkStart w:id="66" w:name="_Toc184118593"/>
      <w:bookmarkStart w:id="67" w:name="_Toc184119057"/>
      <w:bookmarkStart w:id="68" w:name="_Toc184119115"/>
      <w:bookmarkStart w:id="69" w:name="_Toc184198042"/>
      <w:bookmarkStart w:id="70" w:name="_Toc184198179"/>
      <w:bookmarkStart w:id="71" w:name="_Toc166661816"/>
      <w:bookmarkStart w:id="72" w:name="_Toc166662081"/>
      <w:bookmarkStart w:id="73" w:name="_Toc166663917"/>
      <w:r>
        <w:rPr>
          <w:rStyle w:val="CharPartNo"/>
        </w:rPr>
        <w:t>Part 5</w:t>
      </w:r>
      <w:r>
        <w:rPr>
          <w:rStyle w:val="CharDivNo"/>
        </w:rPr>
        <w:t> </w:t>
      </w:r>
      <w:r>
        <w:t>—</w:t>
      </w:r>
      <w:r>
        <w:rPr>
          <w:rStyle w:val="CharDivText"/>
        </w:rPr>
        <w:t> </w:t>
      </w:r>
      <w:r>
        <w:rPr>
          <w:rStyle w:val="CharPartText"/>
        </w:rPr>
        <w:t>Financial management and reporting</w:t>
      </w:r>
      <w:bookmarkEnd w:id="66"/>
      <w:bookmarkEnd w:id="67"/>
      <w:bookmarkEnd w:id="68"/>
      <w:bookmarkEnd w:id="69"/>
      <w:bookmarkEnd w:id="70"/>
      <w:bookmarkEnd w:id="71"/>
      <w:bookmarkEnd w:id="72"/>
      <w:bookmarkEnd w:id="73"/>
    </w:p>
    <w:p>
      <w:pPr>
        <w:pStyle w:val="Heading5"/>
      </w:pPr>
      <w:bookmarkStart w:id="74" w:name="_Toc184198180"/>
      <w:bookmarkStart w:id="75" w:name="_Toc166663918"/>
      <w:r>
        <w:rPr>
          <w:rStyle w:val="CharSectno"/>
        </w:rPr>
        <w:t>17</w:t>
      </w:r>
      <w:r>
        <w:t>.</w:t>
      </w:r>
      <w:r>
        <w:tab/>
        <w:t>Financial management obligations of Administrator</w:t>
      </w:r>
      <w:bookmarkEnd w:id="74"/>
      <w:bookmarkEnd w:id="75"/>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76" w:name="_Toc184198181"/>
      <w:bookmarkStart w:id="77" w:name="_Toc166663919"/>
      <w:r>
        <w:rPr>
          <w:rStyle w:val="CharSectno"/>
        </w:rPr>
        <w:t>18</w:t>
      </w:r>
      <w:r>
        <w:t>.</w:t>
      </w:r>
      <w:r>
        <w:tab/>
        <w:t>Monthly reports by Administrator</w:t>
      </w:r>
      <w:bookmarkEnd w:id="76"/>
      <w:bookmarkEnd w:id="77"/>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78" w:name="_Toc184198182"/>
      <w:bookmarkStart w:id="79" w:name="_Toc166663920"/>
      <w:r>
        <w:rPr>
          <w:rStyle w:val="CharSectno"/>
        </w:rPr>
        <w:t>19</w:t>
      </w:r>
      <w:r>
        <w:t>.</w:t>
      </w:r>
      <w:r>
        <w:tab/>
        <w:t>Annual report by Administrator</w:t>
      </w:r>
      <w:bookmarkEnd w:id="78"/>
      <w:bookmarkEnd w:id="79"/>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80" w:name="_Toc184198183"/>
      <w:bookmarkStart w:id="81" w:name="_Toc166663921"/>
      <w:r>
        <w:rPr>
          <w:rStyle w:val="CharSectno"/>
        </w:rPr>
        <w:t>20</w:t>
      </w:r>
      <w:r>
        <w:t>.</w:t>
      </w:r>
      <w:r>
        <w:tab/>
        <w:t>Administrator to prepare financial statements for State Pool Accounts</w:t>
      </w:r>
      <w:bookmarkEnd w:id="80"/>
      <w:bookmarkEnd w:id="81"/>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82" w:name="_Toc184198184"/>
      <w:bookmarkStart w:id="83" w:name="_Toc166663922"/>
      <w:r>
        <w:rPr>
          <w:rStyle w:val="CharSectno"/>
        </w:rPr>
        <w:t>21</w:t>
      </w:r>
      <w:r>
        <w:t>.</w:t>
      </w:r>
      <w:r>
        <w:tab/>
        <w:t>Audit of financial statements</w:t>
      </w:r>
      <w:bookmarkEnd w:id="82"/>
      <w:bookmarkEnd w:id="83"/>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84" w:name="_Toc184198185"/>
      <w:bookmarkStart w:id="85" w:name="_Toc166663923"/>
      <w:r>
        <w:rPr>
          <w:rStyle w:val="CharSectno"/>
        </w:rPr>
        <w:t>22</w:t>
      </w:r>
      <w:r>
        <w:t>.</w:t>
      </w:r>
      <w:r>
        <w:tab/>
        <w:t>Performance audits</w:t>
      </w:r>
      <w:bookmarkEnd w:id="84"/>
      <w:bookmarkEnd w:id="85"/>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86" w:name="_Toc184198186"/>
      <w:bookmarkStart w:id="87" w:name="_Toc166663924"/>
      <w:r>
        <w:rPr>
          <w:rStyle w:val="CharSectno"/>
        </w:rPr>
        <w:t>23</w:t>
      </w:r>
      <w:r>
        <w:t>.</w:t>
      </w:r>
      <w:r>
        <w:tab/>
        <w:t>States to provide Administrator with information about State Managed Funds</w:t>
      </w:r>
      <w:bookmarkEnd w:id="86"/>
      <w:bookmarkEnd w:id="87"/>
    </w:p>
    <w:p>
      <w:pPr>
        <w:pStyle w:val="Subsection"/>
        <w:keepNext/>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88" w:name="_Toc184198187"/>
      <w:bookmarkStart w:id="89" w:name="_Toc166663925"/>
      <w:r>
        <w:rPr>
          <w:rStyle w:val="CharSectno"/>
        </w:rPr>
        <w:t>24</w:t>
      </w:r>
      <w:r>
        <w:t>.</w:t>
      </w:r>
      <w:r>
        <w:tab/>
        <w:t>Provision of other information</w:t>
      </w:r>
      <w:bookmarkEnd w:id="88"/>
      <w:bookmarkEnd w:id="89"/>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90" w:name="_Toc184118602"/>
      <w:bookmarkStart w:id="91" w:name="_Toc184119066"/>
      <w:bookmarkStart w:id="92" w:name="_Toc184119124"/>
      <w:bookmarkStart w:id="93" w:name="_Toc184198051"/>
      <w:bookmarkStart w:id="94" w:name="_Toc184198188"/>
      <w:bookmarkStart w:id="95" w:name="_Toc166661825"/>
      <w:bookmarkStart w:id="96" w:name="_Toc166662090"/>
      <w:bookmarkStart w:id="97" w:name="_Toc166663926"/>
      <w:r>
        <w:rPr>
          <w:rStyle w:val="CharPartNo"/>
        </w:rPr>
        <w:t>Part 6</w:t>
      </w:r>
      <w:r>
        <w:rPr>
          <w:rStyle w:val="CharDivNo"/>
        </w:rPr>
        <w:t> </w:t>
      </w:r>
      <w:r>
        <w:t>—</w:t>
      </w:r>
      <w:r>
        <w:rPr>
          <w:rStyle w:val="CharDivText"/>
        </w:rPr>
        <w:t> </w:t>
      </w:r>
      <w:r>
        <w:rPr>
          <w:rStyle w:val="CharPartText"/>
        </w:rPr>
        <w:t>Miscellaneous</w:t>
      </w:r>
      <w:bookmarkEnd w:id="90"/>
      <w:bookmarkEnd w:id="91"/>
      <w:bookmarkEnd w:id="92"/>
      <w:bookmarkEnd w:id="93"/>
      <w:bookmarkEnd w:id="94"/>
      <w:bookmarkEnd w:id="95"/>
      <w:bookmarkEnd w:id="96"/>
      <w:bookmarkEnd w:id="97"/>
    </w:p>
    <w:p>
      <w:pPr>
        <w:pStyle w:val="Heading5"/>
      </w:pPr>
      <w:bookmarkStart w:id="98" w:name="_Toc184198189"/>
      <w:bookmarkStart w:id="99" w:name="_Toc166663927"/>
      <w:r>
        <w:rPr>
          <w:rStyle w:val="CharSectno"/>
        </w:rPr>
        <w:t>25</w:t>
      </w:r>
      <w:r>
        <w:t>.</w:t>
      </w:r>
      <w:r>
        <w:tab/>
        <w:t>Exclusion of legislation of this jurisdiction</w:t>
      </w:r>
      <w:bookmarkEnd w:id="98"/>
      <w:bookmarkEnd w:id="99"/>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00" w:name="_Toc184198190"/>
      <w:bookmarkStart w:id="101" w:name="_Toc166663928"/>
      <w:r>
        <w:rPr>
          <w:rStyle w:val="CharSectno"/>
        </w:rPr>
        <w:t>26</w:t>
      </w:r>
      <w:r>
        <w:t>.</w:t>
      </w:r>
      <w:r>
        <w:tab/>
        <w:t>Application of Commonwealth Acts</w:t>
      </w:r>
      <w:bookmarkEnd w:id="100"/>
      <w:bookmarkEnd w:id="101"/>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02" w:name="_Toc184198191"/>
      <w:bookmarkStart w:id="103" w:name="_Toc166663929"/>
      <w:r>
        <w:rPr>
          <w:rStyle w:val="CharSectno"/>
        </w:rPr>
        <w:t>27</w:t>
      </w:r>
      <w:r>
        <w:t>.</w:t>
      </w:r>
      <w:r>
        <w:tab/>
        <w:t>Extraterritorial operation of Act</w:t>
      </w:r>
      <w:bookmarkEnd w:id="102"/>
      <w:bookmarkEnd w:id="103"/>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04" w:name="_Toc184198192"/>
      <w:bookmarkStart w:id="105" w:name="_Toc166663930"/>
      <w:r>
        <w:rPr>
          <w:rStyle w:val="CharSectno"/>
        </w:rPr>
        <w:t>28</w:t>
      </w:r>
      <w:r>
        <w:t>.</w:t>
      </w:r>
      <w:r>
        <w:tab/>
        <w:t>Act binds the State</w:t>
      </w:r>
      <w:bookmarkEnd w:id="104"/>
      <w:bookmarkEnd w:id="105"/>
    </w:p>
    <w:p>
      <w:pPr>
        <w:pStyle w:val="Subsection"/>
      </w:pPr>
      <w:r>
        <w:tab/>
      </w:r>
      <w:r>
        <w:tab/>
        <w:t>This Act binds the State and, so far as the legislative power of the State permits, the Crown in all its other capacities.</w:t>
      </w:r>
    </w:p>
    <w:p>
      <w:pPr>
        <w:pStyle w:val="Heading5"/>
      </w:pPr>
      <w:bookmarkStart w:id="106" w:name="_Toc184198193"/>
      <w:bookmarkStart w:id="107" w:name="_Toc166663931"/>
      <w:r>
        <w:rPr>
          <w:rStyle w:val="CharSectno"/>
        </w:rPr>
        <w:t>29</w:t>
      </w:r>
      <w:r>
        <w:t>.</w:t>
      </w:r>
      <w:r>
        <w:tab/>
        <w:t>Delegation of functions of responsible Minister</w:t>
      </w:r>
      <w:bookmarkEnd w:id="106"/>
      <w:bookmarkEnd w:id="107"/>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08" w:name="_Toc184198194"/>
      <w:bookmarkStart w:id="109" w:name="_Toc166663932"/>
      <w:r>
        <w:rPr>
          <w:rStyle w:val="CharSectno"/>
        </w:rPr>
        <w:t>30</w:t>
      </w:r>
      <w:r>
        <w:t>.</w:t>
      </w:r>
      <w:r>
        <w:tab/>
        <w:t>Regulations</w:t>
      </w:r>
      <w:bookmarkEnd w:id="108"/>
      <w:bookmarkEnd w:id="1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10" w:name="_Toc184198195"/>
      <w:bookmarkStart w:id="111" w:name="_Toc166663933"/>
      <w:r>
        <w:rPr>
          <w:rStyle w:val="CharSectno"/>
        </w:rPr>
        <w:t>31</w:t>
      </w:r>
      <w:r>
        <w:t>.</w:t>
      </w:r>
      <w:r>
        <w:tab/>
        <w:t>Transitional and validation provisions</w:t>
      </w:r>
      <w:bookmarkEnd w:id="110"/>
      <w:bookmarkEnd w:id="111"/>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12" w:name="_Toc184118610"/>
      <w:bookmarkStart w:id="113" w:name="_Toc184119074"/>
      <w:bookmarkStart w:id="114" w:name="_Toc184119132"/>
      <w:bookmarkStart w:id="115" w:name="_Toc184198059"/>
      <w:bookmarkStart w:id="116" w:name="_Toc184198196"/>
      <w:bookmarkStart w:id="117" w:name="_Toc166661833"/>
      <w:bookmarkStart w:id="118" w:name="_Toc166662098"/>
      <w:bookmarkStart w:id="119" w:name="_Toc166663934"/>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12"/>
      <w:bookmarkEnd w:id="113"/>
      <w:bookmarkEnd w:id="114"/>
      <w:bookmarkEnd w:id="115"/>
      <w:bookmarkEnd w:id="116"/>
      <w:bookmarkEnd w:id="117"/>
      <w:bookmarkEnd w:id="118"/>
      <w:bookmarkEnd w:id="119"/>
    </w:p>
    <w:p>
      <w:pPr>
        <w:pStyle w:val="Heading5"/>
      </w:pPr>
      <w:bookmarkStart w:id="120" w:name="_Toc184198197"/>
      <w:bookmarkStart w:id="121" w:name="_Toc166663935"/>
      <w:r>
        <w:rPr>
          <w:rStyle w:val="CharSectno"/>
        </w:rPr>
        <w:t>32</w:t>
      </w:r>
      <w:r>
        <w:t>.</w:t>
      </w:r>
      <w:r>
        <w:tab/>
        <w:t>Act amended</w:t>
      </w:r>
      <w:bookmarkEnd w:id="120"/>
      <w:bookmarkEnd w:id="121"/>
    </w:p>
    <w:p>
      <w:pPr>
        <w:pStyle w:val="Subsection"/>
      </w:pPr>
      <w:r>
        <w:tab/>
      </w:r>
      <w:r>
        <w:tab/>
        <w:t xml:space="preserve">This Part amends the </w:t>
      </w:r>
      <w:r>
        <w:rPr>
          <w:i/>
        </w:rPr>
        <w:t>Hospitals and Health Services Act 1927</w:t>
      </w:r>
      <w:r>
        <w:t>.</w:t>
      </w:r>
    </w:p>
    <w:p>
      <w:pPr>
        <w:pStyle w:val="Heading5"/>
      </w:pPr>
      <w:bookmarkStart w:id="122" w:name="_Toc184198198"/>
      <w:bookmarkStart w:id="123" w:name="_Toc166663936"/>
      <w:r>
        <w:rPr>
          <w:rStyle w:val="CharSectno"/>
        </w:rPr>
        <w:t>33</w:t>
      </w:r>
      <w:r>
        <w:t>.</w:t>
      </w:r>
      <w:r>
        <w:tab/>
        <w:t>Section 21 amended</w:t>
      </w:r>
      <w:bookmarkEnd w:id="122"/>
      <w:bookmarkEnd w:id="123"/>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24" w:name="_Toc184118613"/>
      <w:bookmarkStart w:id="125" w:name="_Toc184119077"/>
      <w:bookmarkStart w:id="126" w:name="_Toc184119135"/>
      <w:bookmarkStart w:id="127" w:name="_Toc184198062"/>
      <w:bookmarkStart w:id="128" w:name="_Toc184198199"/>
      <w:bookmarkStart w:id="129" w:name="_Toc166661836"/>
      <w:bookmarkStart w:id="130" w:name="_Toc166662101"/>
      <w:bookmarkStart w:id="131" w:name="_Toc166663937"/>
      <w:r>
        <w:rPr>
          <w:rStyle w:val="CharPartNo"/>
        </w:rPr>
        <w:t>Part 8</w:t>
      </w:r>
      <w:r>
        <w:t> — </w:t>
      </w:r>
      <w:r>
        <w:rPr>
          <w:rStyle w:val="CharPartText"/>
          <w:i/>
        </w:rPr>
        <w:t>Hospital Fund Act 1930</w:t>
      </w:r>
      <w:r>
        <w:rPr>
          <w:rStyle w:val="CharPartText"/>
        </w:rPr>
        <w:t xml:space="preserve"> repealed</w:t>
      </w:r>
      <w:bookmarkEnd w:id="124"/>
      <w:bookmarkEnd w:id="125"/>
      <w:bookmarkEnd w:id="126"/>
      <w:bookmarkEnd w:id="127"/>
      <w:bookmarkEnd w:id="128"/>
      <w:bookmarkEnd w:id="129"/>
      <w:bookmarkEnd w:id="130"/>
      <w:bookmarkEnd w:id="131"/>
    </w:p>
    <w:p>
      <w:pPr>
        <w:pStyle w:val="Heading3"/>
      </w:pPr>
      <w:bookmarkStart w:id="132" w:name="_Toc184118614"/>
      <w:bookmarkStart w:id="133" w:name="_Toc184119078"/>
      <w:bookmarkStart w:id="134" w:name="_Toc184119136"/>
      <w:bookmarkStart w:id="135" w:name="_Toc184198063"/>
      <w:bookmarkStart w:id="136" w:name="_Toc184198200"/>
      <w:bookmarkStart w:id="137" w:name="_Toc166661837"/>
      <w:bookmarkStart w:id="138" w:name="_Toc166662102"/>
      <w:bookmarkStart w:id="139" w:name="_Toc166663938"/>
      <w:r>
        <w:rPr>
          <w:rStyle w:val="CharDivNo"/>
        </w:rPr>
        <w:t>Division 1</w:t>
      </w:r>
      <w:r>
        <w:t> — </w:t>
      </w:r>
      <w:r>
        <w:rPr>
          <w:rStyle w:val="CharDivText"/>
        </w:rPr>
        <w:t>Repeal</w:t>
      </w:r>
      <w:bookmarkEnd w:id="132"/>
      <w:bookmarkEnd w:id="133"/>
      <w:bookmarkEnd w:id="134"/>
      <w:bookmarkEnd w:id="135"/>
      <w:bookmarkEnd w:id="136"/>
      <w:bookmarkEnd w:id="137"/>
      <w:bookmarkEnd w:id="138"/>
      <w:bookmarkEnd w:id="139"/>
    </w:p>
    <w:p>
      <w:pPr>
        <w:pStyle w:val="Heading5"/>
      </w:pPr>
      <w:bookmarkStart w:id="140" w:name="_Toc184198201"/>
      <w:bookmarkStart w:id="141" w:name="_Toc166663939"/>
      <w:r>
        <w:rPr>
          <w:rStyle w:val="CharSectno"/>
        </w:rPr>
        <w:t>34</w:t>
      </w:r>
      <w:r>
        <w:t>.</w:t>
      </w:r>
      <w:r>
        <w:tab/>
      </w:r>
      <w:r>
        <w:rPr>
          <w:i/>
        </w:rPr>
        <w:t>Hospital Fund Act 1930</w:t>
      </w:r>
      <w:r>
        <w:t xml:space="preserve"> repealed</w:t>
      </w:r>
      <w:bookmarkEnd w:id="140"/>
      <w:bookmarkEnd w:id="141"/>
    </w:p>
    <w:p>
      <w:pPr>
        <w:pStyle w:val="Subsection"/>
        <w:spacing w:before="100"/>
      </w:pPr>
      <w:r>
        <w:tab/>
      </w:r>
      <w:r>
        <w:tab/>
        <w:t xml:space="preserve">The </w:t>
      </w:r>
      <w:r>
        <w:rPr>
          <w:i/>
        </w:rPr>
        <w:t>Hospital Fund Act 1930</w:t>
      </w:r>
      <w:r>
        <w:t xml:space="preserve"> is repealed.</w:t>
      </w:r>
    </w:p>
    <w:p>
      <w:pPr>
        <w:pStyle w:val="Heading5"/>
        <w:spacing w:before="120"/>
      </w:pPr>
      <w:bookmarkStart w:id="142" w:name="_Toc184198202"/>
      <w:bookmarkStart w:id="143" w:name="_Toc166663940"/>
      <w:r>
        <w:rPr>
          <w:rStyle w:val="CharSectno"/>
        </w:rPr>
        <w:t>35</w:t>
      </w:r>
      <w:r>
        <w:t>.</w:t>
      </w:r>
      <w:r>
        <w:tab/>
        <w:t>Funds to be transferred</w:t>
      </w:r>
      <w:bookmarkEnd w:id="142"/>
      <w:bookmarkEnd w:id="143"/>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44" w:name="_Toc184118617"/>
      <w:bookmarkStart w:id="145" w:name="_Toc184119081"/>
      <w:bookmarkStart w:id="146" w:name="_Toc184119139"/>
      <w:bookmarkStart w:id="147" w:name="_Toc184198066"/>
      <w:bookmarkStart w:id="148" w:name="_Toc184198203"/>
      <w:bookmarkStart w:id="149" w:name="_Toc166661840"/>
      <w:bookmarkStart w:id="150" w:name="_Toc166662105"/>
      <w:bookmarkStart w:id="151" w:name="_Toc166663941"/>
      <w:r>
        <w:rPr>
          <w:rStyle w:val="CharDivNo"/>
        </w:rPr>
        <w:t>Division 2</w:t>
      </w:r>
      <w:r>
        <w:t> — </w:t>
      </w:r>
      <w:r>
        <w:rPr>
          <w:rStyle w:val="CharDivText"/>
          <w:i/>
        </w:rPr>
        <w:t>Lotteries Commission Act 1990</w:t>
      </w:r>
      <w:r>
        <w:rPr>
          <w:rStyle w:val="CharDivText"/>
        </w:rPr>
        <w:t xml:space="preserve"> amended</w:t>
      </w:r>
      <w:bookmarkEnd w:id="144"/>
      <w:bookmarkEnd w:id="145"/>
      <w:bookmarkEnd w:id="146"/>
      <w:bookmarkEnd w:id="147"/>
      <w:bookmarkEnd w:id="148"/>
      <w:bookmarkEnd w:id="149"/>
      <w:bookmarkEnd w:id="150"/>
      <w:bookmarkEnd w:id="151"/>
    </w:p>
    <w:p>
      <w:pPr>
        <w:pStyle w:val="Heading5"/>
      </w:pPr>
      <w:bookmarkStart w:id="152" w:name="_Toc184198204"/>
      <w:bookmarkStart w:id="153" w:name="_Toc166663942"/>
      <w:r>
        <w:rPr>
          <w:rStyle w:val="CharSectno"/>
        </w:rPr>
        <w:t>36</w:t>
      </w:r>
      <w:r>
        <w:t>.</w:t>
      </w:r>
      <w:r>
        <w:tab/>
        <w:t>Act amended</w:t>
      </w:r>
      <w:bookmarkEnd w:id="152"/>
      <w:bookmarkEnd w:id="153"/>
    </w:p>
    <w:p>
      <w:pPr>
        <w:pStyle w:val="Subsection"/>
      </w:pPr>
      <w:r>
        <w:tab/>
      </w:r>
      <w:r>
        <w:tab/>
        <w:t xml:space="preserve">This Division amends the </w:t>
      </w:r>
      <w:r>
        <w:rPr>
          <w:i/>
        </w:rPr>
        <w:t>Lotteries Commission Act 1990</w:t>
      </w:r>
      <w:r>
        <w:t>.</w:t>
      </w:r>
    </w:p>
    <w:p>
      <w:pPr>
        <w:pStyle w:val="Heading5"/>
      </w:pPr>
      <w:bookmarkStart w:id="154" w:name="_Toc184198205"/>
      <w:bookmarkStart w:id="155" w:name="_Toc166663943"/>
      <w:r>
        <w:rPr>
          <w:rStyle w:val="CharSectno"/>
        </w:rPr>
        <w:t>37</w:t>
      </w:r>
      <w:r>
        <w:t>.</w:t>
      </w:r>
      <w:r>
        <w:tab/>
        <w:t>Section 22 amended</w:t>
      </w:r>
      <w:bookmarkEnd w:id="154"/>
      <w:bookmarkEnd w:id="155"/>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type w:val="evenPage"/>
          <w:pgSz w:w="11907" w:h="16840" w:code="9"/>
          <w:pgMar w:top="2376" w:right="2404" w:bottom="3544" w:left="2404" w:header="709" w:footer="3544" w:gutter="0"/>
          <w:pgNumType w:start="1"/>
          <w:cols w:space="720"/>
          <w:noEndnote/>
          <w:docGrid w:linePitch="78"/>
        </w:sectPr>
      </w:pPr>
    </w:p>
    <w:p>
      <w:pPr>
        <w:pStyle w:val="nHeading2"/>
      </w:pPr>
      <w:bookmarkStart w:id="156" w:name="_Toc184118620"/>
      <w:bookmarkStart w:id="157" w:name="_Toc184119084"/>
      <w:bookmarkStart w:id="158" w:name="_Toc184119142"/>
      <w:bookmarkStart w:id="159" w:name="_Toc184198069"/>
      <w:bookmarkStart w:id="160" w:name="_Toc184198206"/>
      <w:bookmarkStart w:id="161" w:name="_Toc166662108"/>
      <w:bookmarkStart w:id="162" w:name="_Toc166663944"/>
      <w:bookmarkStart w:id="163" w:name="_Toc184118622"/>
      <w:bookmarkStart w:id="164" w:name="_Toc166661845"/>
      <w:r>
        <w:t>Notes</w:t>
      </w:r>
      <w:bookmarkEnd w:id="156"/>
      <w:bookmarkEnd w:id="157"/>
      <w:bookmarkEnd w:id="158"/>
      <w:bookmarkEnd w:id="159"/>
      <w:bookmarkEnd w:id="160"/>
      <w:bookmarkEnd w:id="161"/>
      <w:bookmarkEnd w:id="162"/>
    </w:p>
    <w:p>
      <w:pPr>
        <w:pStyle w:val="nStatement"/>
      </w:pPr>
      <w:r>
        <w:t xml:space="preserve">This is a compilation of the </w:t>
      </w:r>
      <w:r>
        <w:rPr>
          <w:i/>
          <w:noProof/>
        </w:rPr>
        <w:t>National Health Funding Pool Act 2012</w:t>
      </w:r>
      <w:r>
        <w:t xml:space="preserve"> and includes amendments made by other written laws. For provisions that have come into operation see the compilation table.</w:t>
      </w:r>
      <w:ins w:id="165" w:author="Master Repository Process" w:date="2025-06-23T13:23:00Z">
        <w:r>
          <w:t xml:space="preserve"> For provisions that have not yet come into operation see the uncommenced provisions table.</w:t>
        </w:r>
      </w:ins>
    </w:p>
    <w:p>
      <w:pPr>
        <w:pStyle w:val="nHeading3"/>
      </w:pPr>
      <w:bookmarkStart w:id="166" w:name="_Toc184198207"/>
      <w:bookmarkStart w:id="167" w:name="_Toc166663945"/>
      <w:r>
        <w:t>Compilation table</w:t>
      </w:r>
      <w:bookmarkEnd w:id="166"/>
      <w:bookmarkEnd w:id="1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National Health Funding Pool Act 2012</w:t>
            </w:r>
          </w:p>
        </w:tc>
        <w:tc>
          <w:tcPr>
            <w:tcW w:w="1134" w:type="dxa"/>
            <w:tcBorders>
              <w:bottom w:val="nil"/>
            </w:tcBorders>
          </w:tcPr>
          <w:p>
            <w:pPr>
              <w:pStyle w:val="nTable"/>
              <w:spacing w:after="40"/>
            </w:pPr>
            <w:r>
              <w:t>44 of 2012</w:t>
            </w:r>
          </w:p>
        </w:tc>
        <w:tc>
          <w:tcPr>
            <w:tcW w:w="1134" w:type="dxa"/>
            <w:tcBorders>
              <w:bottom w:val="nil"/>
            </w:tcBorders>
          </w:tcPr>
          <w:p>
            <w:pPr>
              <w:pStyle w:val="nTable"/>
              <w:spacing w:after="40"/>
            </w:pPr>
            <w:r>
              <w:t>20 Nov 2012</w:t>
            </w:r>
          </w:p>
        </w:tc>
        <w:tc>
          <w:tcPr>
            <w:tcW w:w="2552" w:type="dxa"/>
            <w:tcBorders>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nil"/>
            </w:tcBorders>
          </w:tcPr>
          <w:p>
            <w:pPr>
              <w:pStyle w:val="nTable"/>
              <w:spacing w:after="40"/>
              <w:rPr>
                <w:i/>
              </w:rPr>
            </w:pPr>
            <w:r>
              <w:rPr>
                <w:i/>
              </w:rPr>
              <w:t xml:space="preserve">Mental Health Legislation Amendment Act 2014 </w:t>
            </w:r>
            <w:r>
              <w:t>Pt. 4 Div. 4 Subdiv. 17</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297</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tcBorders>
          </w:tcPr>
          <w:p>
            <w:pPr>
              <w:pStyle w:val="nTable"/>
              <w:spacing w:after="40"/>
              <w:rPr>
                <w:iCs/>
                <w:snapToGrid w:val="0"/>
              </w:rPr>
            </w:pPr>
            <w:r>
              <w:rPr>
                <w:i/>
              </w:rPr>
              <w:t>Health Practitioner Regulation National Law Application Act 2024</w:t>
            </w:r>
            <w:r>
              <w:rPr>
                <w:iCs/>
              </w:rPr>
              <w:t xml:space="preserve"> Pt. 6 Div. 2</w:t>
            </w:r>
          </w:p>
        </w:tc>
        <w:tc>
          <w:tcPr>
            <w:tcW w:w="1134" w:type="dxa"/>
            <w:tcBorders>
              <w:top w:val="nil"/>
            </w:tcBorders>
          </w:tcPr>
          <w:p>
            <w:pPr>
              <w:pStyle w:val="nTable"/>
              <w:spacing w:after="40"/>
            </w:pPr>
            <w:r>
              <w:t>21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pPr>
            <w:r>
              <w:t>15 May 2024 (see s. 2(c))</w:t>
            </w:r>
          </w:p>
        </w:tc>
      </w:tr>
    </w:tbl>
    <w:p/>
    <w:p>
      <w:pPr>
        <w:pStyle w:val="nHeading3"/>
        <w:rPr>
          <w:ins w:id="168" w:author="Master Repository Process" w:date="2025-06-23T13:23:00Z"/>
        </w:rPr>
      </w:pPr>
      <w:bookmarkStart w:id="169" w:name="_Toc184198208"/>
      <w:ins w:id="170" w:author="Master Repository Process" w:date="2025-06-23T13:23:00Z">
        <w:r>
          <w:t>Uncommenced provisions table</w:t>
        </w:r>
        <w:bookmarkEnd w:id="169"/>
      </w:ins>
    </w:p>
    <w:p>
      <w:pPr>
        <w:pStyle w:val="nStatement"/>
        <w:keepNext/>
        <w:spacing w:after="240"/>
        <w:rPr>
          <w:ins w:id="171" w:author="Master Repository Process" w:date="2025-06-23T13:23:00Z"/>
        </w:rPr>
      </w:pPr>
      <w:ins w:id="172" w:author="Master Repository Process" w:date="2025-06-23T13:2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3" w:author="Master Repository Process" w:date="2025-06-23T13:23:00Z"/>
        </w:trPr>
        <w:tc>
          <w:tcPr>
            <w:tcW w:w="2268" w:type="dxa"/>
          </w:tcPr>
          <w:p>
            <w:pPr>
              <w:pStyle w:val="nTable"/>
              <w:spacing w:after="40"/>
              <w:rPr>
                <w:ins w:id="174" w:author="Master Repository Process" w:date="2025-06-23T13:23:00Z"/>
                <w:b/>
              </w:rPr>
            </w:pPr>
            <w:ins w:id="175" w:author="Master Repository Process" w:date="2025-06-23T13:23:00Z">
              <w:r>
                <w:rPr>
                  <w:b/>
                </w:rPr>
                <w:t>Short title</w:t>
              </w:r>
            </w:ins>
          </w:p>
        </w:tc>
        <w:tc>
          <w:tcPr>
            <w:tcW w:w="1134" w:type="dxa"/>
          </w:tcPr>
          <w:p>
            <w:pPr>
              <w:pStyle w:val="nTable"/>
              <w:spacing w:after="40"/>
              <w:rPr>
                <w:ins w:id="176" w:author="Master Repository Process" w:date="2025-06-23T13:23:00Z"/>
                <w:b/>
              </w:rPr>
            </w:pPr>
            <w:ins w:id="177" w:author="Master Repository Process" w:date="2025-06-23T13:23:00Z">
              <w:r>
                <w:rPr>
                  <w:b/>
                </w:rPr>
                <w:t>Number and year</w:t>
              </w:r>
            </w:ins>
          </w:p>
        </w:tc>
        <w:tc>
          <w:tcPr>
            <w:tcW w:w="1134" w:type="dxa"/>
          </w:tcPr>
          <w:p>
            <w:pPr>
              <w:pStyle w:val="nTable"/>
              <w:spacing w:after="40"/>
              <w:rPr>
                <w:ins w:id="178" w:author="Master Repository Process" w:date="2025-06-23T13:23:00Z"/>
                <w:b/>
              </w:rPr>
            </w:pPr>
            <w:ins w:id="179" w:author="Master Repository Process" w:date="2025-06-23T13:23:00Z">
              <w:r>
                <w:rPr>
                  <w:b/>
                </w:rPr>
                <w:t>Assent</w:t>
              </w:r>
            </w:ins>
          </w:p>
        </w:tc>
        <w:tc>
          <w:tcPr>
            <w:tcW w:w="2552" w:type="dxa"/>
          </w:tcPr>
          <w:p>
            <w:pPr>
              <w:pStyle w:val="nTable"/>
              <w:spacing w:after="40"/>
              <w:rPr>
                <w:ins w:id="180" w:author="Master Repository Process" w:date="2025-06-23T13:23:00Z"/>
                <w:b/>
              </w:rPr>
            </w:pPr>
            <w:ins w:id="181" w:author="Master Repository Process" w:date="2025-06-23T13:23:00Z">
              <w:r>
                <w:rPr>
                  <w:b/>
                </w:rPr>
                <w:t>Commencement</w:t>
              </w:r>
            </w:ins>
          </w:p>
        </w:tc>
      </w:tr>
      <w:tr>
        <w:trPr>
          <w:ins w:id="182" w:author="Master Repository Process" w:date="2025-06-23T13:23:00Z"/>
        </w:trPr>
        <w:tc>
          <w:tcPr>
            <w:tcW w:w="2268" w:type="dxa"/>
          </w:tcPr>
          <w:p>
            <w:pPr>
              <w:pStyle w:val="nTable"/>
              <w:spacing w:after="40"/>
              <w:rPr>
                <w:ins w:id="183" w:author="Master Repository Process" w:date="2025-06-23T13:23:00Z"/>
              </w:rPr>
            </w:pPr>
            <w:ins w:id="184" w:author="Master Repository Process" w:date="2025-06-23T13:23:00Z">
              <w:r>
                <w:rPr>
                  <w:i/>
                </w:rPr>
                <w:t>Privacy and Responsible Information Sharing Act 2024</w:t>
              </w:r>
              <w:r>
                <w:rPr>
                  <w:iCs/>
                </w:rPr>
                <w:t xml:space="preserve"> Pt. 6 Div. 5</w:t>
              </w:r>
            </w:ins>
          </w:p>
        </w:tc>
        <w:tc>
          <w:tcPr>
            <w:tcW w:w="1134" w:type="dxa"/>
          </w:tcPr>
          <w:p>
            <w:pPr>
              <w:pStyle w:val="nTable"/>
              <w:spacing w:after="40"/>
              <w:rPr>
                <w:ins w:id="185" w:author="Master Repository Process" w:date="2025-06-23T13:23:00Z"/>
              </w:rPr>
            </w:pPr>
            <w:ins w:id="186" w:author="Master Repository Process" w:date="2025-06-23T13:23:00Z">
              <w:r>
                <w:t>51 of 2024</w:t>
              </w:r>
            </w:ins>
          </w:p>
        </w:tc>
        <w:tc>
          <w:tcPr>
            <w:tcW w:w="1134" w:type="dxa"/>
          </w:tcPr>
          <w:p>
            <w:pPr>
              <w:pStyle w:val="nTable"/>
              <w:spacing w:after="40"/>
              <w:rPr>
                <w:ins w:id="187" w:author="Master Repository Process" w:date="2025-06-23T13:23:00Z"/>
              </w:rPr>
            </w:pPr>
            <w:ins w:id="188" w:author="Master Repository Process" w:date="2025-06-23T13:23:00Z">
              <w:r>
                <w:t>6 Dec 2024</w:t>
              </w:r>
            </w:ins>
          </w:p>
        </w:tc>
        <w:tc>
          <w:tcPr>
            <w:tcW w:w="2552" w:type="dxa"/>
          </w:tcPr>
          <w:p>
            <w:pPr>
              <w:pStyle w:val="nTable"/>
              <w:spacing w:after="40"/>
              <w:rPr>
                <w:ins w:id="189" w:author="Master Repository Process" w:date="2025-06-23T13:23:00Z"/>
              </w:rPr>
            </w:pPr>
            <w:ins w:id="190" w:author="Master Repository Process" w:date="2025-06-23T13:23:00Z">
              <w:r>
                <w:t>To be proclaimed (see s. 2(c))</w:t>
              </w:r>
            </w:ins>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163"/>
    <w:bookmarkEnd w:id="164"/>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14054"/>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 w:name="WAFER_20240515093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15093907_GUID" w:val="228392c3-3969-4546-8fb8-5c72aef87fe8"/>
    <w:docVar w:name="WAFER_20241203114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4054_GUID" w:val="1369ecf3-a98d-4ae6-8b60-3a0fea1aff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3CC6C1-CCD8-4C2F-9C7A-09F96616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5552</Words>
  <Characters>27874</Characters>
  <Application>Microsoft Office Word</Application>
  <DocSecurity>0</DocSecurity>
  <Lines>753</Lines>
  <Paragraphs>371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00-h0-00 - 00-i0-00</dc:title>
  <dc:subject/>
  <dc:creator/>
  <cp:keywords/>
  <dc:description/>
  <cp:lastModifiedBy>Master Repository Process</cp:lastModifiedBy>
  <cp:revision>2</cp:revision>
  <cp:lastPrinted>2012-12-13T03:21:00Z</cp:lastPrinted>
  <dcterms:created xsi:type="dcterms:W3CDTF">2025-06-23T05:23:00Z</dcterms:created>
  <dcterms:modified xsi:type="dcterms:W3CDTF">2025-06-23T05:23:00Z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20241206</vt:lpwstr>
  </property>
  <property fmtid="{D5CDD505-2E9C-101B-9397-08002B2CF9AE}" pid="7" name="CommencementAsAt">
    <vt:filetime>2024-12-05T16:00:00Z</vt:filetime>
  </property>
  <property fmtid="{D5CDD505-2E9C-101B-9397-08002B2CF9AE}" pid="8" name="CommencementYear">
    <vt:lpwstr>2024</vt:lpwstr>
  </property>
  <property fmtid="{D5CDD505-2E9C-101B-9397-08002B2CF9AE}" pid="9" name="FromSuffix">
    <vt:lpwstr>00-h0-00</vt:lpwstr>
  </property>
  <property fmtid="{D5CDD505-2E9C-101B-9397-08002B2CF9AE}" pid="10" name="FromAsAtDate">
    <vt:lpwstr>15 May 2024</vt:lpwstr>
  </property>
  <property fmtid="{D5CDD505-2E9C-101B-9397-08002B2CF9AE}" pid="11" name="ToSuffix">
    <vt:lpwstr>00-i0-00</vt:lpwstr>
  </property>
  <property fmtid="{D5CDD505-2E9C-101B-9397-08002B2CF9AE}" pid="12" name="ToAsAtDate">
    <vt:lpwstr>06 Dec 2024</vt:lpwstr>
  </property>
</Properties>
</file>