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Major Events Act 2023</w:t>
      </w:r>
    </w:p>
    <w:p>
      <w:pPr>
        <w:pStyle w:val="LongTitle"/>
      </w:pPr>
      <w:bookmarkStart w:id="1" w:name="BillCited"/>
      <w:bookmarkEnd w:id="1"/>
      <w:r>
        <w:t xml:space="preserve">An Act — </w:t>
      </w:r>
    </w:p>
    <w:p>
      <w:pPr>
        <w:pStyle w:val="LongTitle"/>
        <w:numPr>
          <w:ilvl w:val="0"/>
          <w:numId w:val="7"/>
        </w:numPr>
        <w:ind w:left="426" w:hanging="426"/>
      </w:pPr>
      <w:r>
        <w:t>to facilitate and regulate the holding and conduct of major events in Western Australia; and</w:t>
      </w:r>
    </w:p>
    <w:p>
      <w:pPr>
        <w:pStyle w:val="LongTitle"/>
        <w:numPr>
          <w:ilvl w:val="0"/>
          <w:numId w:val="7"/>
        </w:numPr>
        <w:ind w:left="426" w:hanging="426"/>
      </w:pPr>
      <w:r>
        <w:t>to make consequential and related amendments to other Acts; and</w:t>
      </w:r>
    </w:p>
    <w:p>
      <w:pPr>
        <w:pStyle w:val="LongTitle"/>
        <w:numPr>
          <w:ilvl w:val="0"/>
          <w:numId w:val="7"/>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5430278"/>
      <w:bookmarkStart w:id="3" w:name="_Toc185430516"/>
      <w:bookmarkStart w:id="4" w:name="_Toc185503311"/>
      <w:bookmarkStart w:id="5" w:name="_Toc178154578"/>
      <w:bookmarkStart w:id="6" w:name="_Toc178154942"/>
      <w:bookmarkStart w:id="7" w:name="_Toc178155695"/>
      <w:bookmarkStart w:id="8" w:name="_Toc1782575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85503312"/>
      <w:bookmarkStart w:id="10" w:name="_Toc178257525"/>
      <w:r>
        <w:rPr>
          <w:rStyle w:val="CharSectno"/>
        </w:rPr>
        <w:t>1</w:t>
      </w:r>
      <w:r>
        <w:t>.</w:t>
      </w:r>
      <w:r>
        <w:tab/>
        <w:t>Short title</w:t>
      </w:r>
      <w:bookmarkEnd w:id="9"/>
      <w:bookmarkEnd w:id="10"/>
    </w:p>
    <w:p>
      <w:pPr>
        <w:pStyle w:val="Subsection"/>
      </w:pPr>
      <w:r>
        <w:tab/>
      </w:r>
      <w:r>
        <w:tab/>
        <w:t>This is the</w:t>
      </w:r>
      <w:r>
        <w:rPr>
          <w:i/>
        </w:rPr>
        <w:t xml:space="preserve"> Major Events Act 2023</w:t>
      </w:r>
      <w:r>
        <w:t>.</w:t>
      </w:r>
    </w:p>
    <w:p>
      <w:pPr>
        <w:pStyle w:val="Heading5"/>
      </w:pPr>
      <w:bookmarkStart w:id="11" w:name="_Toc185503313"/>
      <w:bookmarkStart w:id="12" w:name="_Toc178257526"/>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13" w:name="_Toc185503314"/>
      <w:bookmarkStart w:id="14" w:name="_Toc178257527"/>
      <w:r>
        <w:rPr>
          <w:rStyle w:val="CharSectno"/>
        </w:rPr>
        <w:t>3</w:t>
      </w:r>
      <w:r>
        <w:rPr>
          <w:snapToGrid w:val="0"/>
        </w:rPr>
        <w:t>.</w:t>
      </w:r>
      <w:r>
        <w:rPr>
          <w:snapToGrid w:val="0"/>
        </w:rPr>
        <w:tab/>
        <w:t>Objects</w:t>
      </w:r>
      <w:bookmarkEnd w:id="13"/>
      <w:bookmarkEnd w:id="14"/>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15" w:name="_Toc185503315"/>
      <w:bookmarkStart w:id="16" w:name="_Toc178257528"/>
      <w:r>
        <w:rPr>
          <w:rStyle w:val="CharSectno"/>
        </w:rPr>
        <w:t>4</w:t>
      </w:r>
      <w:r>
        <w:t>.</w:t>
      </w:r>
      <w:r>
        <w:tab/>
        <w:t>Terms used</w:t>
      </w:r>
      <w:bookmarkEnd w:id="15"/>
      <w:bookmarkEnd w:id="16"/>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rPr>
          <w:ins w:id="17" w:author="Master Repository Process" w:date="2025-07-04T14:42:00Z"/>
        </w:rPr>
      </w:pPr>
      <w:ins w:id="18" w:author="Master Repository Process" w:date="2025-07-04T14:42:00Z">
        <w:r>
          <w:tab/>
        </w:r>
        <w:r>
          <w:rPr>
            <w:rStyle w:val="CharDefText"/>
          </w:rPr>
          <w:t>edged weapon</w:t>
        </w:r>
        <w:r>
          <w:t xml:space="preserve"> has the meaning given in the </w:t>
        </w:r>
        <w:r>
          <w:rPr>
            <w:i/>
          </w:rPr>
          <w:t xml:space="preserve">Weapons Act 1999 </w:t>
        </w:r>
        <w:r>
          <w:rPr>
            <w:iCs/>
          </w:rPr>
          <w:t>section 3A</w:t>
        </w:r>
        <w:r>
          <w:t>;</w:t>
        </w:r>
      </w:ins>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Footnotesection"/>
        <w:rPr>
          <w:ins w:id="19" w:author="Master Repository Process" w:date="2025-07-04T14:42:00Z"/>
        </w:rPr>
      </w:pPr>
      <w:ins w:id="20" w:author="Master Repository Process" w:date="2025-07-04T14:42:00Z">
        <w:r>
          <w:tab/>
          <w:t>[Section 4 amended: No. 33 of 2024 s. 32.]</w:t>
        </w:r>
      </w:ins>
    </w:p>
    <w:p>
      <w:pPr>
        <w:pStyle w:val="Heading5"/>
      </w:pPr>
      <w:bookmarkStart w:id="21" w:name="_Toc185503316"/>
      <w:bookmarkStart w:id="22" w:name="_Toc178257529"/>
      <w:r>
        <w:rPr>
          <w:rStyle w:val="CharSectno"/>
        </w:rPr>
        <w:t>5</w:t>
      </w:r>
      <w:r>
        <w:t>.</w:t>
      </w:r>
      <w:r>
        <w:tab/>
        <w:t>Act binds Crown</w:t>
      </w:r>
      <w:bookmarkEnd w:id="21"/>
      <w:bookmarkEnd w:id="22"/>
    </w:p>
    <w:p>
      <w:pPr>
        <w:pStyle w:val="Subsection"/>
      </w:pPr>
      <w:r>
        <w:tab/>
      </w:r>
      <w:r>
        <w:tab/>
        <w:t>This Act binds the Crown in right of Western Australia and, so far as the legislative power of the Parliament permits, the Crown in all its other capacities.</w:t>
      </w:r>
    </w:p>
    <w:p>
      <w:pPr>
        <w:pStyle w:val="Heading2"/>
      </w:pPr>
      <w:bookmarkStart w:id="23" w:name="_Toc185430284"/>
      <w:bookmarkStart w:id="24" w:name="_Toc185430522"/>
      <w:bookmarkStart w:id="25" w:name="_Toc185503317"/>
      <w:bookmarkStart w:id="26" w:name="_Toc178154584"/>
      <w:bookmarkStart w:id="27" w:name="_Toc178154948"/>
      <w:bookmarkStart w:id="28" w:name="_Toc178155701"/>
      <w:bookmarkStart w:id="29" w:name="_Toc178257530"/>
      <w:r>
        <w:rPr>
          <w:rStyle w:val="CharPartNo"/>
        </w:rPr>
        <w:t>Part 2</w:t>
      </w:r>
      <w:r>
        <w:t> — </w:t>
      </w:r>
      <w:r>
        <w:rPr>
          <w:rStyle w:val="CharPartText"/>
        </w:rPr>
        <w:t>Establishing a major event</w:t>
      </w:r>
      <w:bookmarkEnd w:id="23"/>
      <w:bookmarkEnd w:id="24"/>
      <w:bookmarkEnd w:id="25"/>
      <w:bookmarkEnd w:id="26"/>
      <w:bookmarkEnd w:id="27"/>
      <w:bookmarkEnd w:id="28"/>
      <w:bookmarkEnd w:id="29"/>
    </w:p>
    <w:p>
      <w:pPr>
        <w:pStyle w:val="Heading3"/>
      </w:pPr>
      <w:bookmarkStart w:id="30" w:name="_Toc185430285"/>
      <w:bookmarkStart w:id="31" w:name="_Toc185430523"/>
      <w:bookmarkStart w:id="32" w:name="_Toc185503318"/>
      <w:bookmarkStart w:id="33" w:name="_Toc178154585"/>
      <w:bookmarkStart w:id="34" w:name="_Toc178154949"/>
      <w:bookmarkStart w:id="35" w:name="_Toc178155702"/>
      <w:bookmarkStart w:id="36" w:name="_Toc178257531"/>
      <w:r>
        <w:rPr>
          <w:rStyle w:val="CharDivNo"/>
        </w:rPr>
        <w:t>Division 1</w:t>
      </w:r>
      <w:r>
        <w:t> — </w:t>
      </w:r>
      <w:r>
        <w:rPr>
          <w:rStyle w:val="CharDivText"/>
        </w:rPr>
        <w:t>Power to make regulations establishing major event</w:t>
      </w:r>
      <w:bookmarkEnd w:id="30"/>
      <w:bookmarkEnd w:id="31"/>
      <w:bookmarkEnd w:id="32"/>
      <w:bookmarkEnd w:id="33"/>
      <w:bookmarkEnd w:id="34"/>
      <w:bookmarkEnd w:id="35"/>
      <w:bookmarkEnd w:id="36"/>
    </w:p>
    <w:p>
      <w:pPr>
        <w:pStyle w:val="Heading5"/>
      </w:pPr>
      <w:bookmarkStart w:id="37" w:name="_Toc185503319"/>
      <w:bookmarkStart w:id="38" w:name="_Toc178257532"/>
      <w:r>
        <w:rPr>
          <w:rStyle w:val="CharSectno"/>
        </w:rPr>
        <w:t>6</w:t>
      </w:r>
      <w:r>
        <w:t>.</w:t>
      </w:r>
      <w:r>
        <w:tab/>
        <w:t>Prescription of major event and other key matters</w:t>
      </w:r>
      <w:bookmarkEnd w:id="37"/>
      <w:bookmarkEnd w:id="38"/>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39" w:name="_Toc185503320"/>
      <w:bookmarkStart w:id="40" w:name="_Toc178257533"/>
      <w:r>
        <w:rPr>
          <w:rStyle w:val="CharSectno"/>
        </w:rPr>
        <w:t>7</w:t>
      </w:r>
      <w:r>
        <w:t>.</w:t>
      </w:r>
      <w:r>
        <w:tab/>
        <w:t>Specification of major event organiser</w:t>
      </w:r>
      <w:bookmarkEnd w:id="39"/>
      <w:bookmarkEnd w:id="40"/>
    </w:p>
    <w:p>
      <w:pPr>
        <w:pStyle w:val="Subsection"/>
      </w:pPr>
      <w:r>
        <w:tab/>
      </w:r>
      <w:r>
        <w:tab/>
        <w:t>Section 6 regulations may specify 1 or more persons as the major event organiser.</w:t>
      </w:r>
    </w:p>
    <w:p>
      <w:pPr>
        <w:pStyle w:val="Heading5"/>
      </w:pPr>
      <w:bookmarkStart w:id="41" w:name="_Toc185503321"/>
      <w:bookmarkStart w:id="42" w:name="_Toc178257534"/>
      <w:r>
        <w:rPr>
          <w:rStyle w:val="CharSectno"/>
        </w:rPr>
        <w:t>8</w:t>
      </w:r>
      <w:r>
        <w:t>.</w:t>
      </w:r>
      <w:r>
        <w:tab/>
        <w:t>Specification of major event area</w:t>
      </w:r>
      <w:bookmarkEnd w:id="41"/>
      <w:bookmarkEnd w:id="42"/>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If a major event area is specified by reference to a map held by the chief executive officer of the department, section 6 regulations must include for information purposes a map depicting the major event area.</w:t>
      </w:r>
    </w:p>
    <w:p>
      <w:pPr>
        <w:pStyle w:val="Heading5"/>
      </w:pPr>
      <w:bookmarkStart w:id="43" w:name="_Toc185503322"/>
      <w:bookmarkStart w:id="44" w:name="_Toc178257535"/>
      <w:r>
        <w:rPr>
          <w:rStyle w:val="CharSectno"/>
        </w:rPr>
        <w:t>9</w:t>
      </w:r>
      <w:r>
        <w:t>.</w:t>
      </w:r>
      <w:r>
        <w:tab/>
        <w:t>Specification of major event period</w:t>
      </w:r>
      <w:bookmarkEnd w:id="43"/>
      <w:bookmarkEnd w:id="44"/>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45" w:name="_Toc185503323"/>
      <w:bookmarkStart w:id="46" w:name="_Toc178257536"/>
      <w:r>
        <w:rPr>
          <w:rStyle w:val="CharSectno"/>
        </w:rPr>
        <w:t>10</w:t>
      </w:r>
      <w:r>
        <w:t>.</w:t>
      </w:r>
      <w:r>
        <w:tab/>
        <w:t>Specification of responsible authority</w:t>
      </w:r>
      <w:bookmarkEnd w:id="45"/>
      <w:bookmarkEnd w:id="46"/>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47" w:name="_Toc185503324"/>
      <w:bookmarkStart w:id="48" w:name="_Toc178257537"/>
      <w:r>
        <w:rPr>
          <w:rStyle w:val="CharSectno"/>
        </w:rPr>
        <w:t>11</w:t>
      </w:r>
      <w:r>
        <w:t>.</w:t>
      </w:r>
      <w:r>
        <w:tab/>
        <w:t>Specification of controlled area and control period</w:t>
      </w:r>
      <w:bookmarkEnd w:id="47"/>
      <w:bookmarkEnd w:id="48"/>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49" w:name="_Toc185430292"/>
      <w:bookmarkStart w:id="50" w:name="_Toc185430530"/>
      <w:bookmarkStart w:id="51" w:name="_Toc185503325"/>
      <w:bookmarkStart w:id="52" w:name="_Toc178154592"/>
      <w:bookmarkStart w:id="53" w:name="_Toc178154956"/>
      <w:bookmarkStart w:id="54" w:name="_Toc178155709"/>
      <w:bookmarkStart w:id="55" w:name="_Toc178257538"/>
      <w:r>
        <w:rPr>
          <w:rStyle w:val="CharDivNo"/>
        </w:rPr>
        <w:t>Division 2</w:t>
      </w:r>
      <w:r>
        <w:t> — </w:t>
      </w:r>
      <w:r>
        <w:rPr>
          <w:rStyle w:val="CharDivText"/>
        </w:rPr>
        <w:t>Criteria for establishing major event</w:t>
      </w:r>
      <w:bookmarkEnd w:id="49"/>
      <w:bookmarkEnd w:id="50"/>
      <w:bookmarkEnd w:id="51"/>
      <w:bookmarkEnd w:id="52"/>
      <w:bookmarkEnd w:id="53"/>
      <w:bookmarkEnd w:id="54"/>
      <w:bookmarkEnd w:id="55"/>
    </w:p>
    <w:p>
      <w:pPr>
        <w:pStyle w:val="Heading5"/>
      </w:pPr>
      <w:bookmarkStart w:id="56" w:name="_Toc185503326"/>
      <w:bookmarkStart w:id="57" w:name="_Toc178257539"/>
      <w:r>
        <w:rPr>
          <w:rStyle w:val="CharSectno"/>
        </w:rPr>
        <w:t>12</w:t>
      </w:r>
      <w:r>
        <w:t>.</w:t>
      </w:r>
      <w:r>
        <w:tab/>
        <w:t>Criteria for recommending event be prescribed as major event</w:t>
      </w:r>
      <w:bookmarkEnd w:id="56"/>
      <w:bookmarkEnd w:id="57"/>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58" w:name="_Toc185503327"/>
      <w:bookmarkStart w:id="59" w:name="_Toc178257540"/>
      <w:r>
        <w:rPr>
          <w:rStyle w:val="CharSectno"/>
        </w:rPr>
        <w:t>13</w:t>
      </w:r>
      <w:r>
        <w:t>.</w:t>
      </w:r>
      <w:r>
        <w:tab/>
        <w:t>Minister must consult before recommending section 6 regulations</w:t>
      </w:r>
      <w:bookmarkEnd w:id="58"/>
      <w:bookmarkEnd w:id="59"/>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60" w:name="_Toc185430295"/>
      <w:bookmarkStart w:id="61" w:name="_Toc185430533"/>
      <w:bookmarkStart w:id="62" w:name="_Toc185503328"/>
      <w:bookmarkStart w:id="63" w:name="_Toc178154595"/>
      <w:bookmarkStart w:id="64" w:name="_Toc178154959"/>
      <w:bookmarkStart w:id="65" w:name="_Toc178155712"/>
      <w:bookmarkStart w:id="66" w:name="_Toc178257541"/>
      <w:r>
        <w:rPr>
          <w:rStyle w:val="CharDivNo"/>
        </w:rPr>
        <w:t>Division 3</w:t>
      </w:r>
      <w:r>
        <w:t> — </w:t>
      </w:r>
      <w:r>
        <w:rPr>
          <w:rStyle w:val="CharDivText"/>
        </w:rPr>
        <w:t>Suspension or modification of other legislation</w:t>
      </w:r>
      <w:bookmarkEnd w:id="60"/>
      <w:bookmarkEnd w:id="61"/>
      <w:bookmarkEnd w:id="62"/>
      <w:bookmarkEnd w:id="63"/>
      <w:bookmarkEnd w:id="64"/>
      <w:bookmarkEnd w:id="65"/>
      <w:bookmarkEnd w:id="66"/>
    </w:p>
    <w:p>
      <w:pPr>
        <w:pStyle w:val="Heading5"/>
      </w:pPr>
      <w:bookmarkStart w:id="67" w:name="_Toc185503329"/>
      <w:bookmarkStart w:id="68" w:name="_Toc178257542"/>
      <w:r>
        <w:rPr>
          <w:rStyle w:val="CharSectno"/>
        </w:rPr>
        <w:t>14</w:t>
      </w:r>
      <w:r>
        <w:t>.</w:t>
      </w:r>
      <w:r>
        <w:tab/>
        <w:t>Power to suspend or modify legislation in Schedule 1</w:t>
      </w:r>
      <w:bookmarkEnd w:id="67"/>
      <w:bookmarkEnd w:id="68"/>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69" w:name="_Toc185503330"/>
      <w:bookmarkStart w:id="70" w:name="_Toc178257543"/>
      <w:r>
        <w:rPr>
          <w:rStyle w:val="CharSectno"/>
        </w:rPr>
        <w:t>15</w:t>
      </w:r>
      <w:r>
        <w:t>.</w:t>
      </w:r>
      <w:r>
        <w:tab/>
        <w:t>Criteria for suspending or modifying legislation</w:t>
      </w:r>
      <w:bookmarkEnd w:id="69"/>
      <w:bookmarkEnd w:id="70"/>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71" w:name="_Toc185430298"/>
      <w:bookmarkStart w:id="72" w:name="_Toc185430536"/>
      <w:bookmarkStart w:id="73" w:name="_Toc185503331"/>
      <w:bookmarkStart w:id="74" w:name="_Toc178154598"/>
      <w:bookmarkStart w:id="75" w:name="_Toc178154962"/>
      <w:bookmarkStart w:id="76" w:name="_Toc178155715"/>
      <w:bookmarkStart w:id="77" w:name="_Toc178257544"/>
      <w:r>
        <w:rPr>
          <w:rStyle w:val="CharPartNo"/>
        </w:rPr>
        <w:t>Part 3</w:t>
      </w:r>
      <w:r>
        <w:rPr>
          <w:rStyle w:val="CharDivNo"/>
        </w:rPr>
        <w:t> </w:t>
      </w:r>
      <w:r>
        <w:t>—</w:t>
      </w:r>
      <w:r>
        <w:rPr>
          <w:rStyle w:val="CharDivText"/>
        </w:rPr>
        <w:t> </w:t>
      </w:r>
      <w:r>
        <w:rPr>
          <w:rStyle w:val="CharPartText"/>
        </w:rPr>
        <w:t>Temporary works for major events</w:t>
      </w:r>
      <w:bookmarkEnd w:id="71"/>
      <w:bookmarkEnd w:id="72"/>
      <w:bookmarkEnd w:id="73"/>
      <w:bookmarkEnd w:id="74"/>
      <w:bookmarkEnd w:id="75"/>
      <w:bookmarkEnd w:id="76"/>
      <w:bookmarkEnd w:id="77"/>
    </w:p>
    <w:p>
      <w:pPr>
        <w:pStyle w:val="Heading5"/>
      </w:pPr>
      <w:bookmarkStart w:id="78" w:name="_Toc185503332"/>
      <w:bookmarkStart w:id="79" w:name="_Toc178257545"/>
      <w:r>
        <w:rPr>
          <w:rStyle w:val="CharSectno"/>
        </w:rPr>
        <w:t>16</w:t>
      </w:r>
      <w:r>
        <w:t>.</w:t>
      </w:r>
      <w:r>
        <w:tab/>
        <w:t>Provisions apply only if section 6 regulations specify that they apply</w:t>
      </w:r>
      <w:bookmarkEnd w:id="78"/>
      <w:bookmarkEnd w:id="79"/>
    </w:p>
    <w:p>
      <w:pPr>
        <w:pStyle w:val="Subsection"/>
      </w:pPr>
      <w:r>
        <w:tab/>
      </w:r>
      <w:r>
        <w:tab/>
        <w:t>A provision of this Part applies in relation to a major event only if section 6 regulations provide that it applies to the major event.</w:t>
      </w:r>
    </w:p>
    <w:p>
      <w:pPr>
        <w:pStyle w:val="Heading5"/>
      </w:pPr>
      <w:bookmarkStart w:id="80" w:name="_Toc185503333"/>
      <w:bookmarkStart w:id="81" w:name="_Toc178257546"/>
      <w:r>
        <w:rPr>
          <w:rStyle w:val="CharSectno"/>
        </w:rPr>
        <w:t>17</w:t>
      </w:r>
      <w:r>
        <w:t>.</w:t>
      </w:r>
      <w:r>
        <w:tab/>
        <w:t>Minister may authorise temporary works for purposes of major event</w:t>
      </w:r>
      <w:bookmarkEnd w:id="80"/>
      <w:bookmarkEnd w:id="81"/>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82" w:name="_Toc185503334"/>
      <w:bookmarkStart w:id="83" w:name="_Toc178257547"/>
      <w:r>
        <w:rPr>
          <w:rStyle w:val="CharSectno"/>
        </w:rPr>
        <w:t>18</w:t>
      </w:r>
      <w:r>
        <w:t>.</w:t>
      </w:r>
      <w:r>
        <w:tab/>
        <w:t>Conditions and duration of temporary works approval</w:t>
      </w:r>
      <w:bookmarkEnd w:id="82"/>
      <w:bookmarkEnd w:id="83"/>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84" w:name="_Toc185503335"/>
      <w:bookmarkStart w:id="85" w:name="_Toc178257548"/>
      <w:r>
        <w:rPr>
          <w:rStyle w:val="CharSectno"/>
        </w:rPr>
        <w:t>19</w:t>
      </w:r>
      <w:r>
        <w:t>.</w:t>
      </w:r>
      <w:r>
        <w:tab/>
        <w:t>Authority conferred by temporary works approval</w:t>
      </w:r>
      <w:bookmarkEnd w:id="84"/>
      <w:bookmarkEnd w:id="85"/>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86" w:name="_Toc185503336"/>
      <w:bookmarkStart w:id="87" w:name="_Toc178257549"/>
      <w:r>
        <w:rPr>
          <w:rStyle w:val="CharSectno"/>
        </w:rPr>
        <w:t>20</w:t>
      </w:r>
      <w:r>
        <w:t>.</w:t>
      </w:r>
      <w:r>
        <w:tab/>
        <w:t>Development approval not required</w:t>
      </w:r>
      <w:bookmarkEnd w:id="86"/>
      <w:bookmarkEnd w:id="87"/>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88" w:name="_Toc185503337"/>
      <w:bookmarkStart w:id="89" w:name="_Toc178257550"/>
      <w:r>
        <w:rPr>
          <w:rStyle w:val="CharSectno"/>
        </w:rPr>
        <w:t>21</w:t>
      </w:r>
      <w:r>
        <w:t>.</w:t>
      </w:r>
      <w:r>
        <w:tab/>
        <w:t>Power to move unattended vehicles or vessels</w:t>
      </w:r>
      <w:bookmarkEnd w:id="88"/>
      <w:bookmarkEnd w:id="89"/>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90" w:name="_Toc185503338"/>
      <w:bookmarkStart w:id="91" w:name="_Toc178257551"/>
      <w:r>
        <w:rPr>
          <w:rStyle w:val="CharSectno"/>
        </w:rPr>
        <w:t>22</w:t>
      </w:r>
      <w:r>
        <w:t>.</w:t>
      </w:r>
      <w:r>
        <w:tab/>
        <w:t>Land must be restored to pre</w:t>
      </w:r>
      <w:r>
        <w:noBreakHyphen/>
        <w:t>works condition</w:t>
      </w:r>
      <w:bookmarkEnd w:id="90"/>
      <w:bookmarkEnd w:id="91"/>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92" w:name="_Toc185430306"/>
      <w:bookmarkStart w:id="93" w:name="_Toc185430544"/>
      <w:bookmarkStart w:id="94" w:name="_Toc185503339"/>
      <w:bookmarkStart w:id="95" w:name="_Toc178154606"/>
      <w:bookmarkStart w:id="96" w:name="_Toc178154970"/>
      <w:bookmarkStart w:id="97" w:name="_Toc178155723"/>
      <w:bookmarkStart w:id="98" w:name="_Toc178257552"/>
      <w:r>
        <w:rPr>
          <w:rStyle w:val="CharPartNo"/>
        </w:rPr>
        <w:t>Part 4</w:t>
      </w:r>
      <w:r>
        <w:rPr>
          <w:rStyle w:val="CharDivNo"/>
        </w:rPr>
        <w:t> </w:t>
      </w:r>
      <w:r>
        <w:t>—</w:t>
      </w:r>
      <w:r>
        <w:rPr>
          <w:rStyle w:val="CharDivText"/>
        </w:rPr>
        <w:t> </w:t>
      </w:r>
      <w:r>
        <w:rPr>
          <w:rStyle w:val="CharPartText"/>
        </w:rPr>
        <w:t>Management of roads, waters and traffic</w:t>
      </w:r>
      <w:bookmarkEnd w:id="92"/>
      <w:bookmarkEnd w:id="93"/>
      <w:bookmarkEnd w:id="94"/>
      <w:bookmarkEnd w:id="95"/>
      <w:bookmarkEnd w:id="96"/>
      <w:bookmarkEnd w:id="97"/>
      <w:bookmarkEnd w:id="98"/>
    </w:p>
    <w:p>
      <w:pPr>
        <w:pStyle w:val="Heading5"/>
      </w:pPr>
      <w:bookmarkStart w:id="99" w:name="_Toc185503340"/>
      <w:bookmarkStart w:id="100" w:name="_Toc178257553"/>
      <w:r>
        <w:rPr>
          <w:rStyle w:val="CharSectno"/>
        </w:rPr>
        <w:t>23</w:t>
      </w:r>
      <w:r>
        <w:t>.</w:t>
      </w:r>
      <w:r>
        <w:tab/>
        <w:t>Provisions apply only if section 6 regulations specify that they apply</w:t>
      </w:r>
      <w:bookmarkEnd w:id="99"/>
      <w:bookmarkEnd w:id="100"/>
    </w:p>
    <w:p>
      <w:pPr>
        <w:pStyle w:val="Subsection"/>
      </w:pPr>
      <w:r>
        <w:tab/>
      </w:r>
      <w:r>
        <w:tab/>
        <w:t>A provision of this Part applies in relation to a major event only if section 6 regulations provide that it applies to the major event.</w:t>
      </w:r>
    </w:p>
    <w:p>
      <w:pPr>
        <w:pStyle w:val="Heading5"/>
      </w:pPr>
      <w:bookmarkStart w:id="101" w:name="_Toc185503341"/>
      <w:bookmarkStart w:id="102" w:name="_Toc178257554"/>
      <w:r>
        <w:rPr>
          <w:rStyle w:val="CharSectno"/>
        </w:rPr>
        <w:t>24</w:t>
      </w:r>
      <w:r>
        <w:t>.</w:t>
      </w:r>
      <w:r>
        <w:tab/>
        <w:t>Traffic and transport management plan must be prepared</w:t>
      </w:r>
      <w:bookmarkEnd w:id="101"/>
      <w:bookmarkEnd w:id="102"/>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103" w:name="_Toc185503342"/>
      <w:bookmarkStart w:id="104" w:name="_Toc178257555"/>
      <w:r>
        <w:rPr>
          <w:rStyle w:val="CharSectno"/>
        </w:rPr>
        <w:t>25</w:t>
      </w:r>
      <w:r>
        <w:t>.</w:t>
      </w:r>
      <w:r>
        <w:tab/>
        <w:t>Consultation regarding proposed traffic and transport management plan</w:t>
      </w:r>
      <w:bookmarkEnd w:id="103"/>
      <w:bookmarkEnd w:id="104"/>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105" w:name="_Toc185503343"/>
      <w:bookmarkStart w:id="106" w:name="_Toc178257556"/>
      <w:r>
        <w:rPr>
          <w:rStyle w:val="CharSectno"/>
        </w:rPr>
        <w:t>26</w:t>
      </w:r>
      <w:r>
        <w:t>.</w:t>
      </w:r>
      <w:r>
        <w:tab/>
        <w:t>Road closures for major event</w:t>
      </w:r>
      <w:bookmarkEnd w:id="105"/>
      <w:bookmarkEnd w:id="106"/>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keepNext/>
      </w:pPr>
      <w:r>
        <w:tab/>
        <w:t>(6)</w:t>
      </w:r>
      <w:r>
        <w:tab/>
        <w:t>A person must not enter, drive a vehicle on or use a road in contravention of a road closure under subsection (1).</w:t>
      </w:r>
    </w:p>
    <w:p>
      <w:pPr>
        <w:pStyle w:val="Penstart"/>
      </w:pPr>
      <w:r>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107" w:name="_Toc185503344"/>
      <w:bookmarkStart w:id="108" w:name="_Toc178257557"/>
      <w:r>
        <w:rPr>
          <w:rStyle w:val="CharSectno"/>
        </w:rPr>
        <w:t>27</w:t>
      </w:r>
      <w:r>
        <w:t>.</w:t>
      </w:r>
      <w:r>
        <w:tab/>
        <w:t>Effect of road closure on traffic laws</w:t>
      </w:r>
      <w:bookmarkEnd w:id="107"/>
      <w:bookmarkEnd w:id="108"/>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tab/>
        <w:t>(b)</w:t>
      </w:r>
      <w:r>
        <w:tab/>
        <w:t>is not obstructing the free passage of any emergency vehicle.</w:t>
      </w:r>
    </w:p>
    <w:p>
      <w:pPr>
        <w:pStyle w:val="Subsection"/>
      </w:pPr>
      <w:r>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109" w:name="_Toc185503345"/>
      <w:bookmarkStart w:id="110" w:name="_Toc178257558"/>
      <w:r>
        <w:rPr>
          <w:rStyle w:val="CharSectno"/>
        </w:rPr>
        <w:t>28</w:t>
      </w:r>
      <w:r>
        <w:t>.</w:t>
      </w:r>
      <w:r>
        <w:tab/>
        <w:t>Closures of waters for major event</w:t>
      </w:r>
      <w:bookmarkEnd w:id="109"/>
      <w:bookmarkEnd w:id="110"/>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111" w:name="_Toc185503346"/>
      <w:bookmarkStart w:id="112" w:name="_Toc178257559"/>
      <w:r>
        <w:rPr>
          <w:rStyle w:val="CharSectno"/>
        </w:rPr>
        <w:t>29</w:t>
      </w:r>
      <w:r>
        <w:t>.</w:t>
      </w:r>
      <w:r>
        <w:tab/>
        <w:t>Establishment of major event lanes</w:t>
      </w:r>
      <w:bookmarkEnd w:id="111"/>
      <w:bookmarkEnd w:id="112"/>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113" w:name="_Toc185503347"/>
      <w:bookmarkStart w:id="114" w:name="_Toc178257560"/>
      <w:r>
        <w:rPr>
          <w:rStyle w:val="CharSectno"/>
        </w:rPr>
        <w:t>30</w:t>
      </w:r>
      <w:r>
        <w:t>.</w:t>
      </w:r>
      <w:r>
        <w:tab/>
        <w:t>Transport CEO must give notice of major event lanes</w:t>
      </w:r>
      <w:bookmarkEnd w:id="113"/>
      <w:bookmarkEnd w:id="114"/>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115" w:name="_Toc185503348"/>
      <w:bookmarkStart w:id="116" w:name="_Toc178257561"/>
      <w:r>
        <w:rPr>
          <w:rStyle w:val="CharSectno"/>
        </w:rPr>
        <w:t>31</w:t>
      </w:r>
      <w:r>
        <w:t>.</w:t>
      </w:r>
      <w:r>
        <w:tab/>
        <w:t>Major event lane permits</w:t>
      </w:r>
      <w:bookmarkEnd w:id="115"/>
      <w:bookmarkEnd w:id="116"/>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117" w:name="_Toc185503349"/>
      <w:bookmarkStart w:id="118" w:name="_Toc178257562"/>
      <w:r>
        <w:rPr>
          <w:rStyle w:val="CharSectno"/>
        </w:rPr>
        <w:t>32</w:t>
      </w:r>
      <w:r>
        <w:t>.</w:t>
      </w:r>
      <w:r>
        <w:tab/>
        <w:t>Unauthorised use of major event lane</w:t>
      </w:r>
      <w:bookmarkEnd w:id="117"/>
      <w:bookmarkEnd w:id="118"/>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119" w:name="_Toc185503350"/>
      <w:bookmarkStart w:id="120" w:name="_Toc178257563"/>
      <w:r>
        <w:rPr>
          <w:rStyle w:val="CharSectno"/>
        </w:rPr>
        <w:t>33</w:t>
      </w:r>
      <w:r>
        <w:t>.</w:t>
      </w:r>
      <w:r>
        <w:tab/>
        <w:t>Authorised officers may stop vehicles in major event lane</w:t>
      </w:r>
      <w:bookmarkEnd w:id="119"/>
      <w:bookmarkEnd w:id="120"/>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tab/>
        <w:t>(b)</w:t>
      </w:r>
      <w:r>
        <w:tab/>
        <w:t>in any other place, if the person exercising the power is a police officer or an authorised officer acting under the supervision of a police officer.</w:t>
      </w:r>
    </w:p>
    <w:p>
      <w:pPr>
        <w:pStyle w:val="Heading5"/>
      </w:pPr>
      <w:bookmarkStart w:id="121" w:name="_Toc185503351"/>
      <w:bookmarkStart w:id="122" w:name="_Toc178257564"/>
      <w:r>
        <w:rPr>
          <w:rStyle w:val="CharSectno"/>
        </w:rPr>
        <w:t>34</w:t>
      </w:r>
      <w:r>
        <w:t>.</w:t>
      </w:r>
      <w:r>
        <w:tab/>
        <w:t>Authorised officers may inspect and verify permits</w:t>
      </w:r>
      <w:bookmarkEnd w:id="121"/>
      <w:bookmarkEnd w:id="122"/>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keepNext/>
      </w:pPr>
      <w:r>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tab/>
        <w:t>(7)</w:t>
      </w:r>
      <w:r>
        <w:tab/>
        <w:t>A confiscated major event lane permit must be returned to the major event organiser.</w:t>
      </w:r>
    </w:p>
    <w:p>
      <w:pPr>
        <w:pStyle w:val="Heading5"/>
      </w:pPr>
      <w:bookmarkStart w:id="123" w:name="_Toc185503352"/>
      <w:bookmarkStart w:id="124" w:name="_Toc178257565"/>
      <w:r>
        <w:rPr>
          <w:rStyle w:val="CharSectno"/>
        </w:rPr>
        <w:t>35</w:t>
      </w:r>
      <w:r>
        <w:t>.</w:t>
      </w:r>
      <w:r>
        <w:tab/>
        <w:t>Leaving vehicles or vessels in major event area</w:t>
      </w:r>
      <w:bookmarkEnd w:id="123"/>
      <w:bookmarkEnd w:id="124"/>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keepNext/>
      </w:pPr>
      <w:r>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125" w:name="_Toc185503353"/>
      <w:bookmarkStart w:id="126" w:name="_Toc178257566"/>
      <w:r>
        <w:rPr>
          <w:rStyle w:val="CharSectno"/>
        </w:rPr>
        <w:t>36</w:t>
      </w:r>
      <w:r>
        <w:t>.</w:t>
      </w:r>
      <w:r>
        <w:tab/>
        <w:t>Authorised officers may move vehicles or vessels</w:t>
      </w:r>
      <w:bookmarkEnd w:id="125"/>
      <w:bookmarkEnd w:id="126"/>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127" w:name="_Toc185430321"/>
      <w:bookmarkStart w:id="128" w:name="_Toc185430559"/>
      <w:bookmarkStart w:id="129" w:name="_Toc185503354"/>
      <w:bookmarkStart w:id="130" w:name="_Toc178154621"/>
      <w:bookmarkStart w:id="131" w:name="_Toc178154985"/>
      <w:bookmarkStart w:id="132" w:name="_Toc178155738"/>
      <w:bookmarkStart w:id="133" w:name="_Toc178257567"/>
      <w:r>
        <w:rPr>
          <w:rStyle w:val="CharPartNo"/>
        </w:rPr>
        <w:t>Part 5</w:t>
      </w:r>
      <w:r>
        <w:t> — </w:t>
      </w:r>
      <w:r>
        <w:rPr>
          <w:rStyle w:val="CharPartText"/>
        </w:rPr>
        <w:t>Safety and crowd management</w:t>
      </w:r>
      <w:bookmarkEnd w:id="127"/>
      <w:bookmarkEnd w:id="128"/>
      <w:bookmarkEnd w:id="129"/>
      <w:bookmarkEnd w:id="130"/>
      <w:bookmarkEnd w:id="131"/>
      <w:bookmarkEnd w:id="132"/>
      <w:bookmarkEnd w:id="133"/>
    </w:p>
    <w:p>
      <w:pPr>
        <w:pStyle w:val="Heading3"/>
      </w:pPr>
      <w:bookmarkStart w:id="134" w:name="_Toc185430322"/>
      <w:bookmarkStart w:id="135" w:name="_Toc185430560"/>
      <w:bookmarkStart w:id="136" w:name="_Toc185503355"/>
      <w:bookmarkStart w:id="137" w:name="_Toc178154622"/>
      <w:bookmarkStart w:id="138" w:name="_Toc178154986"/>
      <w:bookmarkStart w:id="139" w:name="_Toc178155739"/>
      <w:bookmarkStart w:id="140" w:name="_Toc178257568"/>
      <w:r>
        <w:rPr>
          <w:rStyle w:val="CharDivNo"/>
        </w:rPr>
        <w:t>Division 1</w:t>
      </w:r>
      <w:r>
        <w:t> — </w:t>
      </w:r>
      <w:r>
        <w:rPr>
          <w:rStyle w:val="CharDivText"/>
        </w:rPr>
        <w:t>Application of Part</w:t>
      </w:r>
      <w:bookmarkEnd w:id="134"/>
      <w:bookmarkEnd w:id="135"/>
      <w:bookmarkEnd w:id="136"/>
      <w:bookmarkEnd w:id="137"/>
      <w:bookmarkEnd w:id="138"/>
      <w:bookmarkEnd w:id="139"/>
      <w:bookmarkEnd w:id="140"/>
    </w:p>
    <w:p>
      <w:pPr>
        <w:pStyle w:val="Heading5"/>
      </w:pPr>
      <w:bookmarkStart w:id="141" w:name="_Toc185503356"/>
      <w:bookmarkStart w:id="142" w:name="_Toc178257569"/>
      <w:r>
        <w:rPr>
          <w:rStyle w:val="CharSectno"/>
        </w:rPr>
        <w:t>37</w:t>
      </w:r>
      <w:r>
        <w:t>.</w:t>
      </w:r>
      <w:r>
        <w:tab/>
        <w:t>Provisions apply only if section 6 regulations specify that they apply</w:t>
      </w:r>
      <w:bookmarkEnd w:id="141"/>
      <w:bookmarkEnd w:id="142"/>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143" w:name="_Toc185430324"/>
      <w:bookmarkStart w:id="144" w:name="_Toc185430562"/>
      <w:bookmarkStart w:id="145" w:name="_Toc185503357"/>
      <w:bookmarkStart w:id="146" w:name="_Toc178154624"/>
      <w:bookmarkStart w:id="147" w:name="_Toc178154988"/>
      <w:bookmarkStart w:id="148" w:name="_Toc178155741"/>
      <w:bookmarkStart w:id="149" w:name="_Toc178257570"/>
      <w:r>
        <w:rPr>
          <w:rStyle w:val="CharDivNo"/>
        </w:rPr>
        <w:t>Division 2</w:t>
      </w:r>
      <w:r>
        <w:t> — </w:t>
      </w:r>
      <w:r>
        <w:rPr>
          <w:rStyle w:val="CharDivText"/>
        </w:rPr>
        <w:t>Entry to and movement in major event area</w:t>
      </w:r>
      <w:bookmarkEnd w:id="143"/>
      <w:bookmarkEnd w:id="144"/>
      <w:bookmarkEnd w:id="145"/>
      <w:bookmarkEnd w:id="146"/>
      <w:bookmarkEnd w:id="147"/>
      <w:bookmarkEnd w:id="148"/>
      <w:bookmarkEnd w:id="149"/>
    </w:p>
    <w:p>
      <w:pPr>
        <w:pStyle w:val="Heading5"/>
      </w:pPr>
      <w:bookmarkStart w:id="150" w:name="_Toc185503358"/>
      <w:bookmarkStart w:id="151" w:name="_Toc178257571"/>
      <w:r>
        <w:rPr>
          <w:rStyle w:val="CharSectno"/>
        </w:rPr>
        <w:t>38</w:t>
      </w:r>
      <w:r>
        <w:t>.</w:t>
      </w:r>
      <w:r>
        <w:tab/>
        <w:t>Designated entries and exits must be used</w:t>
      </w:r>
      <w:bookmarkEnd w:id="150"/>
      <w:bookmarkEnd w:id="151"/>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152" w:name="_Toc185503359"/>
      <w:bookmarkStart w:id="153" w:name="_Toc178257572"/>
      <w:r>
        <w:rPr>
          <w:rStyle w:val="CharSectno"/>
        </w:rPr>
        <w:t>39</w:t>
      </w:r>
      <w:r>
        <w:t>.</w:t>
      </w:r>
      <w:r>
        <w:tab/>
        <w:t>Entry fee must be paid</w:t>
      </w:r>
      <w:bookmarkEnd w:id="152"/>
      <w:bookmarkEnd w:id="153"/>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154" w:name="_Toc185503360"/>
      <w:bookmarkStart w:id="155" w:name="_Toc178257573"/>
      <w:r>
        <w:rPr>
          <w:rStyle w:val="CharSectno"/>
        </w:rPr>
        <w:t>40</w:t>
      </w:r>
      <w:r>
        <w:t>.</w:t>
      </w:r>
      <w:r>
        <w:tab/>
        <w:t>Occupant’s pass</w:t>
      </w:r>
      <w:bookmarkEnd w:id="154"/>
      <w:bookmarkEnd w:id="155"/>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156" w:name="_Toc185503361"/>
      <w:bookmarkStart w:id="157" w:name="_Toc178257574"/>
      <w:r>
        <w:rPr>
          <w:rStyle w:val="CharSectno"/>
        </w:rPr>
        <w:t>41</w:t>
      </w:r>
      <w:r>
        <w:t>.</w:t>
      </w:r>
      <w:r>
        <w:tab/>
        <w:t>Entry to playing field or competition or performance area</w:t>
      </w:r>
      <w:bookmarkEnd w:id="156"/>
      <w:bookmarkEnd w:id="157"/>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158" w:name="_Toc185503362"/>
      <w:bookmarkStart w:id="159" w:name="_Toc178257575"/>
      <w:r>
        <w:rPr>
          <w:rStyle w:val="CharSectno"/>
        </w:rPr>
        <w:t>42</w:t>
      </w:r>
      <w:r>
        <w:t>.</w:t>
      </w:r>
      <w:r>
        <w:tab/>
        <w:t>Entry to restricted area</w:t>
      </w:r>
      <w:bookmarkEnd w:id="158"/>
      <w:bookmarkEnd w:id="159"/>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160" w:name="_Toc185503363"/>
      <w:bookmarkStart w:id="161" w:name="_Toc178257576"/>
      <w:r>
        <w:rPr>
          <w:rStyle w:val="CharSectno"/>
        </w:rPr>
        <w:t>43</w:t>
      </w:r>
      <w:r>
        <w:t>.</w:t>
      </w:r>
      <w:r>
        <w:tab/>
        <w:t>Bringing vehicles into major event area</w:t>
      </w:r>
      <w:bookmarkEnd w:id="160"/>
      <w:bookmarkEnd w:id="161"/>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162" w:name="_Toc185430331"/>
      <w:bookmarkStart w:id="163" w:name="_Toc185430569"/>
      <w:bookmarkStart w:id="164" w:name="_Toc185503364"/>
      <w:bookmarkStart w:id="165" w:name="_Toc178154631"/>
      <w:bookmarkStart w:id="166" w:name="_Toc178154995"/>
      <w:bookmarkStart w:id="167" w:name="_Toc178155748"/>
      <w:bookmarkStart w:id="168" w:name="_Toc178257577"/>
      <w:r>
        <w:rPr>
          <w:rStyle w:val="CharDivNo"/>
        </w:rPr>
        <w:t>Division 3</w:t>
      </w:r>
      <w:r>
        <w:t> — </w:t>
      </w:r>
      <w:r>
        <w:rPr>
          <w:rStyle w:val="CharDivText"/>
        </w:rPr>
        <w:t>Conduct in and over major event area</w:t>
      </w:r>
      <w:bookmarkEnd w:id="162"/>
      <w:bookmarkEnd w:id="163"/>
      <w:bookmarkEnd w:id="164"/>
      <w:bookmarkEnd w:id="165"/>
      <w:bookmarkEnd w:id="166"/>
      <w:bookmarkEnd w:id="167"/>
      <w:bookmarkEnd w:id="168"/>
    </w:p>
    <w:p>
      <w:pPr>
        <w:pStyle w:val="Heading5"/>
      </w:pPr>
      <w:bookmarkStart w:id="169" w:name="_Toc185503365"/>
      <w:bookmarkStart w:id="170" w:name="_Toc178257578"/>
      <w:r>
        <w:rPr>
          <w:rStyle w:val="CharSectno"/>
        </w:rPr>
        <w:t>44</w:t>
      </w:r>
      <w:r>
        <w:t>.</w:t>
      </w:r>
      <w:r>
        <w:tab/>
        <w:t>Possession of prohibited items</w:t>
      </w:r>
      <w:bookmarkEnd w:id="169"/>
      <w:bookmarkEnd w:id="170"/>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171" w:name="_Toc185503366"/>
      <w:bookmarkStart w:id="172" w:name="_Toc178257579"/>
      <w:r>
        <w:rPr>
          <w:rStyle w:val="CharSectno"/>
        </w:rPr>
        <w:t>45</w:t>
      </w:r>
      <w:r>
        <w:t>.</w:t>
      </w:r>
      <w:r>
        <w:tab/>
        <w:t>Endangering others or disrupting a major event</w:t>
      </w:r>
      <w:bookmarkEnd w:id="171"/>
      <w:bookmarkEnd w:id="172"/>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173" w:name="_Toc185503367"/>
      <w:bookmarkStart w:id="174" w:name="_Toc178257580"/>
      <w:r>
        <w:rPr>
          <w:rStyle w:val="CharSectno"/>
        </w:rPr>
        <w:t>46</w:t>
      </w:r>
      <w:r>
        <w:t>.</w:t>
      </w:r>
      <w:r>
        <w:tab/>
        <w:t>Obstructing performers or participants</w:t>
      </w:r>
      <w:bookmarkEnd w:id="173"/>
      <w:bookmarkEnd w:id="174"/>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175" w:name="_Toc185503368"/>
      <w:bookmarkStart w:id="176" w:name="_Toc178257581"/>
      <w:r>
        <w:rPr>
          <w:rStyle w:val="CharSectno"/>
        </w:rPr>
        <w:t>47</w:t>
      </w:r>
      <w:r>
        <w:t>.</w:t>
      </w:r>
      <w:r>
        <w:tab/>
        <w:t>Possession and consumption of liquor</w:t>
      </w:r>
      <w:bookmarkEnd w:id="175"/>
      <w:bookmarkEnd w:id="176"/>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177" w:name="_Toc185503369"/>
      <w:bookmarkStart w:id="178" w:name="_Toc178257582"/>
      <w:r>
        <w:rPr>
          <w:rStyle w:val="CharSectno"/>
        </w:rPr>
        <w:t>48</w:t>
      </w:r>
      <w:r>
        <w:t>.</w:t>
      </w:r>
      <w:r>
        <w:tab/>
        <w:t>Control of airspace</w:t>
      </w:r>
      <w:bookmarkEnd w:id="177"/>
      <w:bookmarkEnd w:id="178"/>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179" w:name="_Toc185503370"/>
      <w:bookmarkStart w:id="180" w:name="_Toc178257583"/>
      <w:r>
        <w:rPr>
          <w:rStyle w:val="CharSectno"/>
        </w:rPr>
        <w:t>49</w:t>
      </w:r>
      <w:r>
        <w:t>.</w:t>
      </w:r>
      <w:r>
        <w:tab/>
        <w:t>Other prohibited conduct</w:t>
      </w:r>
      <w:bookmarkEnd w:id="179"/>
      <w:bookmarkEnd w:id="180"/>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181" w:name="_Toc185430338"/>
      <w:bookmarkStart w:id="182" w:name="_Toc185430576"/>
      <w:bookmarkStart w:id="183" w:name="_Toc185503371"/>
      <w:bookmarkStart w:id="184" w:name="_Toc178154638"/>
      <w:bookmarkStart w:id="185" w:name="_Toc178155002"/>
      <w:bookmarkStart w:id="186" w:name="_Toc178155755"/>
      <w:bookmarkStart w:id="187" w:name="_Toc178257584"/>
      <w:r>
        <w:rPr>
          <w:rStyle w:val="CharDivNo"/>
        </w:rPr>
        <w:t>Division 4</w:t>
      </w:r>
      <w:r>
        <w:t> — </w:t>
      </w:r>
      <w:r>
        <w:rPr>
          <w:rStyle w:val="CharDivText"/>
        </w:rPr>
        <w:t>Enforcement powers</w:t>
      </w:r>
      <w:bookmarkEnd w:id="181"/>
      <w:bookmarkEnd w:id="182"/>
      <w:bookmarkEnd w:id="183"/>
      <w:bookmarkEnd w:id="184"/>
      <w:bookmarkEnd w:id="185"/>
      <w:bookmarkEnd w:id="186"/>
      <w:bookmarkEnd w:id="187"/>
    </w:p>
    <w:p>
      <w:pPr>
        <w:pStyle w:val="Heading5"/>
      </w:pPr>
      <w:bookmarkStart w:id="188" w:name="_Toc185503372"/>
      <w:bookmarkStart w:id="189" w:name="_Toc178257585"/>
      <w:r>
        <w:rPr>
          <w:rStyle w:val="CharSectno"/>
        </w:rPr>
        <w:t>50</w:t>
      </w:r>
      <w:r>
        <w:t>.</w:t>
      </w:r>
      <w:r>
        <w:tab/>
        <w:t>Searches and inspection on entry</w:t>
      </w:r>
      <w:bookmarkEnd w:id="188"/>
      <w:bookmarkEnd w:id="189"/>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190" w:name="_Toc185503373"/>
      <w:bookmarkStart w:id="191" w:name="_Toc178257586"/>
      <w:r>
        <w:rPr>
          <w:rStyle w:val="CharSectno"/>
        </w:rPr>
        <w:t>51</w:t>
      </w:r>
      <w:r>
        <w:t>.</w:t>
      </w:r>
      <w:r>
        <w:tab/>
        <w:t>Power to request surrender of prohibited items and liquor</w:t>
      </w:r>
      <w:bookmarkEnd w:id="190"/>
      <w:bookmarkEnd w:id="191"/>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any liquor in the person’s possession that the officer reasonably suspects the person is bringing into or has 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192" w:name="_Toc185503374"/>
      <w:bookmarkStart w:id="193" w:name="_Toc178257587"/>
      <w:r>
        <w:rPr>
          <w:rStyle w:val="CharSectno"/>
        </w:rPr>
        <w:t>52</w:t>
      </w:r>
      <w:r>
        <w:t>.</w:t>
      </w:r>
      <w:r>
        <w:tab/>
        <w:t>Power to request ticket or other evidence be produced</w:t>
      </w:r>
      <w:bookmarkEnd w:id="192"/>
      <w:bookmarkEnd w:id="193"/>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194" w:name="_Toc185503375"/>
      <w:bookmarkStart w:id="195" w:name="_Toc178257588"/>
      <w:r>
        <w:rPr>
          <w:rStyle w:val="CharSectno"/>
        </w:rPr>
        <w:t>53</w:t>
      </w:r>
      <w:r>
        <w:t>.</w:t>
      </w:r>
      <w:r>
        <w:tab/>
        <w:t>Power to refuse unauthorised entry</w:t>
      </w:r>
      <w:bookmarkEnd w:id="194"/>
      <w:bookmarkEnd w:id="195"/>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196" w:name="_Toc185503376"/>
      <w:bookmarkStart w:id="197" w:name="_Toc178257589"/>
      <w:r>
        <w:rPr>
          <w:rStyle w:val="CharSectno"/>
        </w:rPr>
        <w:t>54</w:t>
      </w:r>
      <w:r>
        <w:t>.</w:t>
      </w:r>
      <w:r>
        <w:tab/>
        <w:t>Searches and inspection inside major event area</w:t>
      </w:r>
      <w:bookmarkEnd w:id="196"/>
      <w:bookmarkEnd w:id="197"/>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198" w:name="_Toc185503377"/>
      <w:bookmarkStart w:id="199" w:name="_Toc178257590"/>
      <w:r>
        <w:rPr>
          <w:rStyle w:val="CharSectno"/>
        </w:rPr>
        <w:t>55</w:t>
      </w:r>
      <w:r>
        <w:t>.</w:t>
      </w:r>
      <w:r>
        <w:tab/>
        <w:t>General power relating to conduct of persons</w:t>
      </w:r>
      <w:bookmarkEnd w:id="198"/>
      <w:bookmarkEnd w:id="199"/>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200" w:name="_Toc185503378"/>
      <w:bookmarkStart w:id="201" w:name="_Toc178257591"/>
      <w:r>
        <w:rPr>
          <w:rStyle w:val="CharSectno"/>
        </w:rPr>
        <w:t>56</w:t>
      </w:r>
      <w:r>
        <w:t>.</w:t>
      </w:r>
      <w:r>
        <w:tab/>
        <w:t>Power to request personal details</w:t>
      </w:r>
      <w:bookmarkEnd w:id="200"/>
      <w:bookmarkEnd w:id="201"/>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202" w:name="_Toc185503379"/>
      <w:bookmarkStart w:id="203" w:name="_Toc178257592"/>
      <w:r>
        <w:rPr>
          <w:rStyle w:val="CharSectno"/>
        </w:rPr>
        <w:t>57</w:t>
      </w:r>
      <w:r>
        <w:t>.</w:t>
      </w:r>
      <w:r>
        <w:tab/>
        <w:t>Direction to leave major event area</w:t>
      </w:r>
      <w:bookmarkEnd w:id="202"/>
      <w:bookmarkEnd w:id="203"/>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204" w:name="_Toc185503380"/>
      <w:bookmarkStart w:id="205" w:name="_Toc178257593"/>
      <w:r>
        <w:rPr>
          <w:rStyle w:val="CharSectno"/>
        </w:rPr>
        <w:t>58</w:t>
      </w:r>
      <w:r>
        <w:t>.</w:t>
      </w:r>
      <w:r>
        <w:tab/>
        <w:t>Entry bans</w:t>
      </w:r>
      <w:bookmarkEnd w:id="204"/>
      <w:bookmarkEnd w:id="205"/>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206" w:name="_Toc185503381"/>
      <w:bookmarkStart w:id="207" w:name="_Toc178257594"/>
      <w:r>
        <w:rPr>
          <w:rStyle w:val="CharSectno"/>
        </w:rPr>
        <w:t>59</w:t>
      </w:r>
      <w:r>
        <w:t>.</w:t>
      </w:r>
      <w:r>
        <w:tab/>
        <w:t>Taking of photographs</w:t>
      </w:r>
      <w:bookmarkEnd w:id="206"/>
      <w:bookmarkEnd w:id="207"/>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keepLines/>
      </w:pPr>
      <w:r>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208" w:name="_Toc185430349"/>
      <w:bookmarkStart w:id="209" w:name="_Toc185430587"/>
      <w:bookmarkStart w:id="210" w:name="_Toc185503382"/>
      <w:bookmarkStart w:id="211" w:name="_Toc178154649"/>
      <w:bookmarkStart w:id="212" w:name="_Toc178155013"/>
      <w:bookmarkStart w:id="213" w:name="_Toc178155766"/>
      <w:bookmarkStart w:id="214" w:name="_Toc178257595"/>
      <w:r>
        <w:rPr>
          <w:rStyle w:val="CharPartNo"/>
        </w:rPr>
        <w:t>Part 6</w:t>
      </w:r>
      <w:r>
        <w:rPr>
          <w:rStyle w:val="CharDivNo"/>
        </w:rPr>
        <w:t> </w:t>
      </w:r>
      <w:r>
        <w:t>—</w:t>
      </w:r>
      <w:r>
        <w:rPr>
          <w:rStyle w:val="CharDivText"/>
        </w:rPr>
        <w:t> </w:t>
      </w:r>
      <w:r>
        <w:rPr>
          <w:rStyle w:val="CharPartText"/>
        </w:rPr>
        <w:t>Restrictions on commercial activities</w:t>
      </w:r>
      <w:bookmarkEnd w:id="208"/>
      <w:bookmarkEnd w:id="209"/>
      <w:bookmarkEnd w:id="210"/>
      <w:bookmarkEnd w:id="211"/>
      <w:bookmarkEnd w:id="212"/>
      <w:bookmarkEnd w:id="213"/>
      <w:bookmarkEnd w:id="214"/>
    </w:p>
    <w:p>
      <w:pPr>
        <w:pStyle w:val="Heading5"/>
      </w:pPr>
      <w:bookmarkStart w:id="215" w:name="_Toc185503383"/>
      <w:bookmarkStart w:id="216" w:name="_Toc178257596"/>
      <w:r>
        <w:rPr>
          <w:rStyle w:val="CharSectno"/>
        </w:rPr>
        <w:t>60</w:t>
      </w:r>
      <w:r>
        <w:t>.</w:t>
      </w:r>
      <w:r>
        <w:tab/>
        <w:t>Provisions apply only if section 6 regulations specify that they apply</w:t>
      </w:r>
      <w:bookmarkEnd w:id="215"/>
      <w:bookmarkEnd w:id="216"/>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217" w:name="_Toc185503384"/>
      <w:bookmarkStart w:id="218" w:name="_Toc178257597"/>
      <w:r>
        <w:rPr>
          <w:rStyle w:val="CharSectno"/>
        </w:rPr>
        <w:t>61</w:t>
      </w:r>
      <w:r>
        <w:t>.</w:t>
      </w:r>
      <w:r>
        <w:tab/>
        <w:t>Sale or distribution of things on road and in public places</w:t>
      </w:r>
      <w:bookmarkEnd w:id="217"/>
      <w:bookmarkEnd w:id="218"/>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An authorised officer who reasonably suspects that a person is selling or distributing a thing in contravention of subsection (1) 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219" w:name="_Toc185503385"/>
      <w:bookmarkStart w:id="220" w:name="_Toc178257598"/>
      <w:r>
        <w:rPr>
          <w:rStyle w:val="CharSectno"/>
        </w:rPr>
        <w:t>62</w:t>
      </w:r>
      <w:r>
        <w:t>.</w:t>
      </w:r>
      <w:r>
        <w:tab/>
        <w:t>Ambush marketing</w:t>
      </w:r>
      <w:bookmarkEnd w:id="219"/>
      <w:bookmarkEnd w:id="220"/>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An authorised officer who reasonably suspects that a person is contravening subsection (1) or (2) may direct the person to 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221" w:name="_Toc185503386"/>
      <w:bookmarkStart w:id="222" w:name="_Toc178257599"/>
      <w:r>
        <w:rPr>
          <w:rStyle w:val="CharSectno"/>
        </w:rPr>
        <w:t>63</w:t>
      </w:r>
      <w:r>
        <w:t>.</w:t>
      </w:r>
      <w:r>
        <w:tab/>
        <w:t>Advertising on buildings or structures</w:t>
      </w:r>
      <w:bookmarkEnd w:id="221"/>
      <w:bookmarkEnd w:id="222"/>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223" w:name="_Toc185503387"/>
      <w:bookmarkStart w:id="224" w:name="_Toc178257600"/>
      <w:r>
        <w:rPr>
          <w:rStyle w:val="CharSectno"/>
        </w:rPr>
        <w:t>64</w:t>
      </w:r>
      <w:r>
        <w:t>.</w:t>
      </w:r>
      <w:r>
        <w:tab/>
        <w:t>Advertising on vehicles</w:t>
      </w:r>
      <w:bookmarkEnd w:id="223"/>
      <w:bookmarkEnd w:id="224"/>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225" w:name="_Toc185503388"/>
      <w:bookmarkStart w:id="226" w:name="_Toc178257601"/>
      <w:r>
        <w:rPr>
          <w:rStyle w:val="CharSectno"/>
        </w:rPr>
        <w:t>65</w:t>
      </w:r>
      <w:r>
        <w:t>.</w:t>
      </w:r>
      <w:r>
        <w:tab/>
        <w:t>Advertising on vessels</w:t>
      </w:r>
      <w:bookmarkEnd w:id="225"/>
      <w:bookmarkEnd w:id="226"/>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227" w:name="_Toc185503389"/>
      <w:bookmarkStart w:id="228" w:name="_Toc178257602"/>
      <w:r>
        <w:rPr>
          <w:rStyle w:val="CharSectno"/>
        </w:rPr>
        <w:t>66</w:t>
      </w:r>
      <w:r>
        <w:t>.</w:t>
      </w:r>
      <w:r>
        <w:tab/>
        <w:t>Aerial advertising</w:t>
      </w:r>
      <w:bookmarkEnd w:id="227"/>
      <w:bookmarkEnd w:id="228"/>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229" w:name="_Toc185503390"/>
      <w:bookmarkStart w:id="230" w:name="_Toc178257603"/>
      <w:r>
        <w:rPr>
          <w:rStyle w:val="CharSectno"/>
        </w:rPr>
        <w:t>67</w:t>
      </w:r>
      <w:r>
        <w:t>.</w:t>
      </w:r>
      <w:r>
        <w:tab/>
        <w:t>Broadcasting or recording major event</w:t>
      </w:r>
      <w:bookmarkEnd w:id="229"/>
      <w:bookmarkEnd w:id="230"/>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231" w:name="_Toc185430358"/>
      <w:bookmarkStart w:id="232" w:name="_Toc185430596"/>
      <w:bookmarkStart w:id="233" w:name="_Toc185503391"/>
      <w:bookmarkStart w:id="234" w:name="_Toc178154658"/>
      <w:bookmarkStart w:id="235" w:name="_Toc178155022"/>
      <w:bookmarkStart w:id="236" w:name="_Toc178155775"/>
      <w:bookmarkStart w:id="237" w:name="_Toc178257604"/>
      <w:r>
        <w:rPr>
          <w:rStyle w:val="CharPartNo"/>
        </w:rPr>
        <w:t>Part 7</w:t>
      </w:r>
      <w:r>
        <w:rPr>
          <w:rStyle w:val="CharDivNo"/>
        </w:rPr>
        <w:t> </w:t>
      </w:r>
      <w:r>
        <w:t>—</w:t>
      </w:r>
      <w:r>
        <w:rPr>
          <w:rStyle w:val="CharDivText"/>
        </w:rPr>
        <w:t> </w:t>
      </w:r>
      <w:r>
        <w:rPr>
          <w:rStyle w:val="CharPartText"/>
        </w:rPr>
        <w:t>Use of official logos or titles</w:t>
      </w:r>
      <w:bookmarkEnd w:id="231"/>
      <w:bookmarkEnd w:id="232"/>
      <w:bookmarkEnd w:id="233"/>
      <w:bookmarkEnd w:id="234"/>
      <w:bookmarkEnd w:id="235"/>
      <w:bookmarkEnd w:id="236"/>
      <w:bookmarkEnd w:id="237"/>
    </w:p>
    <w:p>
      <w:pPr>
        <w:pStyle w:val="Heading5"/>
      </w:pPr>
      <w:bookmarkStart w:id="238" w:name="_Toc185503392"/>
      <w:bookmarkStart w:id="239" w:name="_Toc178257605"/>
      <w:r>
        <w:rPr>
          <w:rStyle w:val="CharSectno"/>
        </w:rPr>
        <w:t>68</w:t>
      </w:r>
      <w:r>
        <w:t>.</w:t>
      </w:r>
      <w:r>
        <w:tab/>
        <w:t>Declaration of official logo or official title</w:t>
      </w:r>
      <w:bookmarkEnd w:id="238"/>
      <w:bookmarkEnd w:id="239"/>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240" w:name="_Toc185503393"/>
      <w:bookmarkStart w:id="241" w:name="_Toc178257606"/>
      <w:r>
        <w:rPr>
          <w:rStyle w:val="CharSectno"/>
        </w:rPr>
        <w:t>69</w:t>
      </w:r>
      <w:r>
        <w:t>.</w:t>
      </w:r>
      <w:r>
        <w:tab/>
        <w:t>Major event organiser may authorise use of official logo or title</w:t>
      </w:r>
      <w:bookmarkEnd w:id="240"/>
      <w:bookmarkEnd w:id="241"/>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242" w:name="_Toc185503394"/>
      <w:bookmarkStart w:id="243" w:name="_Toc178257607"/>
      <w:r>
        <w:rPr>
          <w:rStyle w:val="CharSectno"/>
        </w:rPr>
        <w:t>70</w:t>
      </w:r>
      <w:r>
        <w:t>.</w:t>
      </w:r>
      <w:r>
        <w:tab/>
        <w:t>Unauthorised use of official logo or official title</w:t>
      </w:r>
      <w:bookmarkEnd w:id="242"/>
      <w:bookmarkEnd w:id="243"/>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tab/>
        <w:t>(b)</w:t>
      </w:r>
      <w:r>
        <w:tab/>
        <w:t>the use of the official logo or official title has not been authorised by the major event organiser.</w:t>
      </w:r>
    </w:p>
    <w:p>
      <w:pPr>
        <w:pStyle w:val="Heading5"/>
      </w:pPr>
      <w:bookmarkStart w:id="244" w:name="_Toc185503395"/>
      <w:bookmarkStart w:id="245" w:name="_Toc178257608"/>
      <w:r>
        <w:rPr>
          <w:rStyle w:val="CharSectno"/>
        </w:rPr>
        <w:t>71</w:t>
      </w:r>
      <w:r>
        <w:t>.</w:t>
      </w:r>
      <w:r>
        <w:tab/>
        <w:t>Other remedies not affected</w:t>
      </w:r>
      <w:bookmarkEnd w:id="244"/>
      <w:bookmarkEnd w:id="245"/>
    </w:p>
    <w:p>
      <w:pPr>
        <w:pStyle w:val="Subsection"/>
      </w:pPr>
      <w:r>
        <w:tab/>
      </w:r>
      <w:r>
        <w:tab/>
        <w:t>This Part does not affect or limit a civil right or remedy that exists apart from this Part, whether at common law or otherwise.</w:t>
      </w:r>
    </w:p>
    <w:p>
      <w:pPr>
        <w:pStyle w:val="Heading2"/>
      </w:pPr>
      <w:bookmarkStart w:id="246" w:name="_Toc185430363"/>
      <w:bookmarkStart w:id="247" w:name="_Toc185430601"/>
      <w:bookmarkStart w:id="248" w:name="_Toc185503396"/>
      <w:bookmarkStart w:id="249" w:name="_Toc178154663"/>
      <w:bookmarkStart w:id="250" w:name="_Toc178155027"/>
      <w:bookmarkStart w:id="251" w:name="_Toc178155780"/>
      <w:bookmarkStart w:id="252" w:name="_Toc178257609"/>
      <w:r>
        <w:rPr>
          <w:rStyle w:val="CharPartNo"/>
        </w:rPr>
        <w:t>Part 8</w:t>
      </w:r>
      <w:r>
        <w:t> — </w:t>
      </w:r>
      <w:r>
        <w:rPr>
          <w:rStyle w:val="CharPartText"/>
        </w:rPr>
        <w:t>Authorised officers</w:t>
      </w:r>
      <w:bookmarkEnd w:id="246"/>
      <w:bookmarkEnd w:id="247"/>
      <w:bookmarkEnd w:id="248"/>
      <w:bookmarkEnd w:id="249"/>
      <w:bookmarkEnd w:id="250"/>
      <w:bookmarkEnd w:id="251"/>
      <w:bookmarkEnd w:id="252"/>
    </w:p>
    <w:p>
      <w:pPr>
        <w:pStyle w:val="Heading3"/>
      </w:pPr>
      <w:bookmarkStart w:id="253" w:name="_Toc185430364"/>
      <w:bookmarkStart w:id="254" w:name="_Toc185430602"/>
      <w:bookmarkStart w:id="255" w:name="_Toc185503397"/>
      <w:bookmarkStart w:id="256" w:name="_Toc178154664"/>
      <w:bookmarkStart w:id="257" w:name="_Toc178155028"/>
      <w:bookmarkStart w:id="258" w:name="_Toc178155781"/>
      <w:bookmarkStart w:id="259" w:name="_Toc178257610"/>
      <w:r>
        <w:rPr>
          <w:rStyle w:val="CharDivNo"/>
        </w:rPr>
        <w:t>Division 1</w:t>
      </w:r>
      <w:r>
        <w:t> — </w:t>
      </w:r>
      <w:r>
        <w:rPr>
          <w:rStyle w:val="CharDivText"/>
        </w:rPr>
        <w:t>Application of Part</w:t>
      </w:r>
      <w:bookmarkEnd w:id="253"/>
      <w:bookmarkEnd w:id="254"/>
      <w:bookmarkEnd w:id="255"/>
      <w:bookmarkEnd w:id="256"/>
      <w:bookmarkEnd w:id="257"/>
      <w:bookmarkEnd w:id="258"/>
      <w:bookmarkEnd w:id="259"/>
    </w:p>
    <w:p>
      <w:pPr>
        <w:pStyle w:val="Heading5"/>
      </w:pPr>
      <w:bookmarkStart w:id="260" w:name="_Toc185503398"/>
      <w:bookmarkStart w:id="261" w:name="_Toc178257611"/>
      <w:r>
        <w:rPr>
          <w:rStyle w:val="CharSectno"/>
        </w:rPr>
        <w:t>72</w:t>
      </w:r>
      <w:r>
        <w:t>.</w:t>
      </w:r>
      <w:r>
        <w:tab/>
        <w:t>Provisions apply if responsible authority specified for major event</w:t>
      </w:r>
      <w:bookmarkEnd w:id="260"/>
      <w:bookmarkEnd w:id="261"/>
    </w:p>
    <w:p>
      <w:pPr>
        <w:pStyle w:val="Subsection"/>
      </w:pPr>
      <w:r>
        <w:tab/>
      </w:r>
      <w:r>
        <w:tab/>
        <w:t>This Part applies in relation to a major event if section 6 regulations specify a responsible authority for the major event.</w:t>
      </w:r>
    </w:p>
    <w:p>
      <w:pPr>
        <w:pStyle w:val="Heading3"/>
      </w:pPr>
      <w:bookmarkStart w:id="262" w:name="_Toc185430366"/>
      <w:bookmarkStart w:id="263" w:name="_Toc185430604"/>
      <w:bookmarkStart w:id="264" w:name="_Toc185503399"/>
      <w:bookmarkStart w:id="265" w:name="_Toc178154666"/>
      <w:bookmarkStart w:id="266" w:name="_Toc178155030"/>
      <w:bookmarkStart w:id="267" w:name="_Toc178155783"/>
      <w:bookmarkStart w:id="268" w:name="_Toc178257612"/>
      <w:r>
        <w:rPr>
          <w:rStyle w:val="CharDivNo"/>
        </w:rPr>
        <w:t>Division 2</w:t>
      </w:r>
      <w:r>
        <w:t> — </w:t>
      </w:r>
      <w:r>
        <w:rPr>
          <w:rStyle w:val="CharDivText"/>
        </w:rPr>
        <w:t>Appointment of authorised officers</w:t>
      </w:r>
      <w:bookmarkEnd w:id="262"/>
      <w:bookmarkEnd w:id="263"/>
      <w:bookmarkEnd w:id="264"/>
      <w:bookmarkEnd w:id="265"/>
      <w:bookmarkEnd w:id="266"/>
      <w:bookmarkEnd w:id="267"/>
      <w:bookmarkEnd w:id="268"/>
    </w:p>
    <w:p>
      <w:pPr>
        <w:pStyle w:val="Heading5"/>
      </w:pPr>
      <w:bookmarkStart w:id="269" w:name="_Toc185503400"/>
      <w:bookmarkStart w:id="270" w:name="_Toc178257613"/>
      <w:r>
        <w:rPr>
          <w:rStyle w:val="CharSectno"/>
        </w:rPr>
        <w:t>73</w:t>
      </w:r>
      <w:r>
        <w:t>.</w:t>
      </w:r>
      <w:r>
        <w:tab/>
        <w:t>Appointment of authorised officers</w:t>
      </w:r>
      <w:bookmarkEnd w:id="269"/>
      <w:bookmarkEnd w:id="270"/>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271" w:name="_Toc185503401"/>
      <w:bookmarkStart w:id="272" w:name="_Toc178257614"/>
      <w:r>
        <w:rPr>
          <w:rStyle w:val="CharSectno"/>
        </w:rPr>
        <w:t>74</w:t>
      </w:r>
      <w:r>
        <w:t>.</w:t>
      </w:r>
      <w:r>
        <w:tab/>
        <w:t>Eligibility for appointment as authorised officer</w:t>
      </w:r>
      <w:bookmarkEnd w:id="271"/>
      <w:bookmarkEnd w:id="272"/>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273" w:name="_Toc185503402"/>
      <w:bookmarkStart w:id="274" w:name="_Toc178257615"/>
      <w:r>
        <w:rPr>
          <w:rStyle w:val="CharSectno"/>
        </w:rPr>
        <w:t>75</w:t>
      </w:r>
      <w:r>
        <w:t>.</w:t>
      </w:r>
      <w:r>
        <w:tab/>
        <w:t>Restrictions on functions</w:t>
      </w:r>
      <w:bookmarkEnd w:id="273"/>
      <w:bookmarkEnd w:id="274"/>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275" w:name="_Toc185503403"/>
      <w:bookmarkStart w:id="276" w:name="_Toc178257616"/>
      <w:r>
        <w:rPr>
          <w:rStyle w:val="CharSectno"/>
        </w:rPr>
        <w:t>76</w:t>
      </w:r>
      <w:r>
        <w:t>.</w:t>
      </w:r>
      <w:r>
        <w:tab/>
        <w:t>Identity cards</w:t>
      </w:r>
      <w:bookmarkEnd w:id="275"/>
      <w:bookmarkEnd w:id="276"/>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277" w:name="_Toc185430371"/>
      <w:bookmarkStart w:id="278" w:name="_Toc185430609"/>
      <w:bookmarkStart w:id="279" w:name="_Toc185503404"/>
      <w:bookmarkStart w:id="280" w:name="_Toc178154671"/>
      <w:bookmarkStart w:id="281" w:name="_Toc178155035"/>
      <w:bookmarkStart w:id="282" w:name="_Toc178155788"/>
      <w:bookmarkStart w:id="283" w:name="_Toc178257617"/>
      <w:r>
        <w:rPr>
          <w:rStyle w:val="CharDivNo"/>
        </w:rPr>
        <w:t>Division 3</w:t>
      </w:r>
      <w:r>
        <w:t> — </w:t>
      </w:r>
      <w:r>
        <w:rPr>
          <w:rStyle w:val="CharDivText"/>
        </w:rPr>
        <w:t>Offences</w:t>
      </w:r>
      <w:bookmarkEnd w:id="277"/>
      <w:bookmarkEnd w:id="278"/>
      <w:bookmarkEnd w:id="279"/>
      <w:bookmarkEnd w:id="280"/>
      <w:bookmarkEnd w:id="281"/>
      <w:bookmarkEnd w:id="282"/>
      <w:bookmarkEnd w:id="283"/>
    </w:p>
    <w:p>
      <w:pPr>
        <w:pStyle w:val="Heading5"/>
      </w:pPr>
      <w:bookmarkStart w:id="284" w:name="_Toc185503405"/>
      <w:bookmarkStart w:id="285" w:name="_Toc178257618"/>
      <w:r>
        <w:rPr>
          <w:rStyle w:val="CharSectno"/>
        </w:rPr>
        <w:t>77</w:t>
      </w:r>
      <w:r>
        <w:t>.</w:t>
      </w:r>
      <w:r>
        <w:tab/>
        <w:t>Impersonating authorised officer</w:t>
      </w:r>
      <w:bookmarkEnd w:id="284"/>
      <w:bookmarkEnd w:id="285"/>
    </w:p>
    <w:p>
      <w:pPr>
        <w:pStyle w:val="Subsection"/>
      </w:pPr>
      <w:r>
        <w:tab/>
      </w:r>
      <w:r>
        <w:tab/>
        <w:t>A person must not impersonate an authorised officer.</w:t>
      </w:r>
    </w:p>
    <w:p>
      <w:pPr>
        <w:pStyle w:val="Penstart"/>
      </w:pPr>
      <w:r>
        <w:tab/>
        <w:t>Penalty: a fine of $10 000.</w:t>
      </w:r>
    </w:p>
    <w:p>
      <w:pPr>
        <w:pStyle w:val="Heading5"/>
      </w:pPr>
      <w:bookmarkStart w:id="286" w:name="_Toc185503406"/>
      <w:bookmarkStart w:id="287" w:name="_Toc178257619"/>
      <w:r>
        <w:rPr>
          <w:rStyle w:val="CharSectno"/>
        </w:rPr>
        <w:t>78</w:t>
      </w:r>
      <w:r>
        <w:t>.</w:t>
      </w:r>
      <w:r>
        <w:tab/>
        <w:t>Obstruction of authorised officer</w:t>
      </w:r>
      <w:bookmarkEnd w:id="286"/>
      <w:bookmarkEnd w:id="287"/>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288" w:name="_Toc185430374"/>
      <w:bookmarkStart w:id="289" w:name="_Toc185430612"/>
      <w:bookmarkStart w:id="290" w:name="_Toc185503407"/>
      <w:bookmarkStart w:id="291" w:name="_Toc178154674"/>
      <w:bookmarkStart w:id="292" w:name="_Toc178155038"/>
      <w:bookmarkStart w:id="293" w:name="_Toc178155791"/>
      <w:bookmarkStart w:id="294" w:name="_Toc178257620"/>
      <w:r>
        <w:rPr>
          <w:rStyle w:val="CharPartNo"/>
        </w:rPr>
        <w:t>Part 9</w:t>
      </w:r>
      <w:r>
        <w:t> — </w:t>
      </w:r>
      <w:r>
        <w:rPr>
          <w:rStyle w:val="CharPartText"/>
        </w:rPr>
        <w:t>Ancillary provisions relating to powers of authorised officers</w:t>
      </w:r>
      <w:bookmarkEnd w:id="288"/>
      <w:bookmarkEnd w:id="289"/>
      <w:bookmarkEnd w:id="290"/>
      <w:bookmarkEnd w:id="291"/>
      <w:bookmarkEnd w:id="292"/>
      <w:bookmarkEnd w:id="293"/>
      <w:bookmarkEnd w:id="294"/>
    </w:p>
    <w:p>
      <w:pPr>
        <w:pStyle w:val="Heading3"/>
      </w:pPr>
      <w:bookmarkStart w:id="295" w:name="_Toc185430375"/>
      <w:bookmarkStart w:id="296" w:name="_Toc185430613"/>
      <w:bookmarkStart w:id="297" w:name="_Toc185503408"/>
      <w:bookmarkStart w:id="298" w:name="_Toc178154675"/>
      <w:bookmarkStart w:id="299" w:name="_Toc178155039"/>
      <w:bookmarkStart w:id="300" w:name="_Toc178155792"/>
      <w:bookmarkStart w:id="301" w:name="_Toc178257621"/>
      <w:r>
        <w:rPr>
          <w:rStyle w:val="CharDivNo"/>
        </w:rPr>
        <w:t>Division 1</w:t>
      </w:r>
      <w:r>
        <w:t> — </w:t>
      </w:r>
      <w:r>
        <w:rPr>
          <w:rStyle w:val="CharDivText"/>
        </w:rPr>
        <w:t>Moving vehicles or vessels</w:t>
      </w:r>
      <w:bookmarkEnd w:id="295"/>
      <w:bookmarkEnd w:id="296"/>
      <w:bookmarkEnd w:id="297"/>
      <w:bookmarkEnd w:id="298"/>
      <w:bookmarkEnd w:id="299"/>
      <w:bookmarkEnd w:id="300"/>
      <w:bookmarkEnd w:id="301"/>
    </w:p>
    <w:p>
      <w:pPr>
        <w:pStyle w:val="Heading5"/>
      </w:pPr>
      <w:bookmarkStart w:id="302" w:name="_Toc185503409"/>
      <w:bookmarkStart w:id="303" w:name="_Toc178257622"/>
      <w:r>
        <w:rPr>
          <w:rStyle w:val="CharSectno"/>
        </w:rPr>
        <w:t>79</w:t>
      </w:r>
      <w:r>
        <w:t>.</w:t>
      </w:r>
      <w:r>
        <w:tab/>
        <w:t>Application of Division</w:t>
      </w:r>
      <w:bookmarkEnd w:id="302"/>
      <w:bookmarkEnd w:id="303"/>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304" w:name="_Toc185503410"/>
      <w:bookmarkStart w:id="305" w:name="_Toc178257623"/>
      <w:r>
        <w:rPr>
          <w:rStyle w:val="CharSectno"/>
        </w:rPr>
        <w:t>80</w:t>
      </w:r>
      <w:r>
        <w:t>.</w:t>
      </w:r>
      <w:r>
        <w:tab/>
        <w:t>Police must be notified if vehicle or vessel is moved</w:t>
      </w:r>
      <w:bookmarkEnd w:id="304"/>
      <w:bookmarkEnd w:id="305"/>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306" w:name="_Toc185503411"/>
      <w:bookmarkStart w:id="307" w:name="_Toc178257624"/>
      <w:r>
        <w:rPr>
          <w:rStyle w:val="CharSectno"/>
        </w:rPr>
        <w:t>81</w:t>
      </w:r>
      <w:r>
        <w:t>.</w:t>
      </w:r>
      <w:r>
        <w:tab/>
        <w:t>Movement of vehicle or vessel</w:t>
      </w:r>
      <w:bookmarkEnd w:id="306"/>
      <w:bookmarkEnd w:id="307"/>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308" w:name="_Toc185503412"/>
      <w:bookmarkStart w:id="309" w:name="_Toc178257625"/>
      <w:r>
        <w:rPr>
          <w:rStyle w:val="CharSectno"/>
        </w:rPr>
        <w:t>82</w:t>
      </w:r>
      <w:r>
        <w:t>.</w:t>
      </w:r>
      <w:r>
        <w:tab/>
        <w:t>Major event organiser must give notice to collect</w:t>
      </w:r>
      <w:bookmarkEnd w:id="308"/>
      <w:bookmarkEnd w:id="309"/>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310" w:name="_Toc185503413"/>
      <w:bookmarkStart w:id="311" w:name="_Toc178257626"/>
      <w:r>
        <w:rPr>
          <w:rStyle w:val="CharSectno"/>
        </w:rPr>
        <w:t>83</w:t>
      </w:r>
      <w:r>
        <w:t>.</w:t>
      </w:r>
      <w:r>
        <w:tab/>
        <w:t>Disclosure of information</w:t>
      </w:r>
      <w:bookmarkEnd w:id="310"/>
      <w:bookmarkEnd w:id="311"/>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312" w:name="_Toc185503414"/>
      <w:bookmarkStart w:id="313" w:name="_Toc178257627"/>
      <w:r>
        <w:rPr>
          <w:rStyle w:val="CharSectno"/>
        </w:rPr>
        <w:t>84</w:t>
      </w:r>
      <w:r>
        <w:t>.</w:t>
      </w:r>
      <w:r>
        <w:tab/>
        <w:t>Major event organiser may charge moving fee</w:t>
      </w:r>
      <w:bookmarkEnd w:id="312"/>
      <w:bookmarkEnd w:id="313"/>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314" w:name="_Toc185503415"/>
      <w:bookmarkStart w:id="315" w:name="_Toc178257628"/>
      <w:r>
        <w:rPr>
          <w:rStyle w:val="CharSectno"/>
        </w:rPr>
        <w:t>85</w:t>
      </w:r>
      <w:r>
        <w:t>.</w:t>
      </w:r>
      <w:r>
        <w:tab/>
        <w:t>Storage of moved vehicles or vessels</w:t>
      </w:r>
      <w:bookmarkEnd w:id="314"/>
      <w:bookmarkEnd w:id="315"/>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316" w:name="_Toc185503416"/>
      <w:bookmarkStart w:id="317" w:name="_Toc178257629"/>
      <w:r>
        <w:rPr>
          <w:rStyle w:val="CharSectno"/>
        </w:rPr>
        <w:t>86</w:t>
      </w:r>
      <w:r>
        <w:t>.</w:t>
      </w:r>
      <w:r>
        <w:tab/>
        <w:t>Release of vehicle or vessel from storage</w:t>
      </w:r>
      <w:bookmarkEnd w:id="316"/>
      <w:bookmarkEnd w:id="317"/>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318" w:name="_Toc185503417"/>
      <w:bookmarkStart w:id="319" w:name="_Toc178257630"/>
      <w:r>
        <w:rPr>
          <w:rStyle w:val="CharSectno"/>
        </w:rPr>
        <w:t>87</w:t>
      </w:r>
      <w:r>
        <w:t>.</w:t>
      </w:r>
      <w:r>
        <w:tab/>
        <w:t>Disposal of uncollected vehicles or vessels</w:t>
      </w:r>
      <w:bookmarkEnd w:id="318"/>
      <w:bookmarkEnd w:id="319"/>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if the major event organiser is unable to identify or locate the owner of a vehicle or vessel, and the major 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The payment of a moving fee, or any part of a moving fee, from the proceeds of sale of a vehicle or vessel extinguishes any 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320" w:name="_Toc185430385"/>
      <w:bookmarkStart w:id="321" w:name="_Toc185430623"/>
      <w:bookmarkStart w:id="322" w:name="_Toc185503418"/>
      <w:bookmarkStart w:id="323" w:name="_Toc178154685"/>
      <w:bookmarkStart w:id="324" w:name="_Toc178155049"/>
      <w:bookmarkStart w:id="325" w:name="_Toc178155802"/>
      <w:bookmarkStart w:id="326" w:name="_Toc178257631"/>
      <w:r>
        <w:rPr>
          <w:rStyle w:val="CharDivNo"/>
        </w:rPr>
        <w:t>Division 2</w:t>
      </w:r>
      <w:r>
        <w:t> — </w:t>
      </w:r>
      <w:r>
        <w:rPr>
          <w:rStyle w:val="CharDivText"/>
        </w:rPr>
        <w:t>Seized things</w:t>
      </w:r>
      <w:bookmarkEnd w:id="320"/>
      <w:bookmarkEnd w:id="321"/>
      <w:bookmarkEnd w:id="322"/>
      <w:bookmarkEnd w:id="323"/>
      <w:bookmarkEnd w:id="324"/>
      <w:bookmarkEnd w:id="325"/>
      <w:bookmarkEnd w:id="326"/>
    </w:p>
    <w:p>
      <w:pPr>
        <w:pStyle w:val="Heading5"/>
      </w:pPr>
      <w:bookmarkStart w:id="327" w:name="_Toc185503419"/>
      <w:bookmarkStart w:id="328" w:name="_Toc178257632"/>
      <w:r>
        <w:rPr>
          <w:rStyle w:val="CharSectno"/>
        </w:rPr>
        <w:t>88</w:t>
      </w:r>
      <w:r>
        <w:t>.</w:t>
      </w:r>
      <w:r>
        <w:tab/>
        <w:t>Application of Division</w:t>
      </w:r>
      <w:bookmarkEnd w:id="327"/>
      <w:bookmarkEnd w:id="328"/>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329" w:name="_Toc185503420"/>
      <w:bookmarkStart w:id="330" w:name="_Toc178257633"/>
      <w:r>
        <w:rPr>
          <w:rStyle w:val="CharSectno"/>
        </w:rPr>
        <w:t>89</w:t>
      </w:r>
      <w:r>
        <w:t>.</w:t>
      </w:r>
      <w:r>
        <w:tab/>
        <w:t>Terms used</w:t>
      </w:r>
      <w:bookmarkEnd w:id="329"/>
      <w:bookmarkEnd w:id="330"/>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331" w:name="_Toc185503421"/>
      <w:bookmarkStart w:id="332" w:name="_Toc178257634"/>
      <w:r>
        <w:rPr>
          <w:rStyle w:val="CharSectno"/>
        </w:rPr>
        <w:t>90</w:t>
      </w:r>
      <w:r>
        <w:t>.</w:t>
      </w:r>
      <w:r>
        <w:tab/>
        <w:t>Receipt for seized things</w:t>
      </w:r>
      <w:bookmarkEnd w:id="331"/>
      <w:bookmarkEnd w:id="332"/>
    </w:p>
    <w:p>
      <w:pPr>
        <w:pStyle w:val="Subsection"/>
      </w:pPr>
      <w:r>
        <w:tab/>
        <w:t>(1)</w:t>
      </w:r>
      <w:r>
        <w:tab/>
        <w:t>An authorised officer must, as soon as practicable after seizing a thing, give the person who was in possession of the seized thing a receipt for the thing.</w:t>
      </w:r>
    </w:p>
    <w:p>
      <w:pPr>
        <w:pStyle w:val="Subsection"/>
        <w:keepNext/>
      </w:pPr>
      <w:r>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333" w:name="_Toc185503422"/>
      <w:bookmarkStart w:id="334" w:name="_Toc178257635"/>
      <w:r>
        <w:rPr>
          <w:rStyle w:val="CharSectno"/>
        </w:rPr>
        <w:t>91</w:t>
      </w:r>
      <w:r>
        <w:t>.</w:t>
      </w:r>
      <w:r>
        <w:tab/>
        <w:t>Seized things must be given to department or returned</w:t>
      </w:r>
      <w:bookmarkEnd w:id="333"/>
      <w:bookmarkEnd w:id="334"/>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335" w:name="_Toc185503423"/>
      <w:bookmarkStart w:id="336" w:name="_Toc178257636"/>
      <w:r>
        <w:rPr>
          <w:rStyle w:val="CharSectno"/>
        </w:rPr>
        <w:t>92</w:t>
      </w:r>
      <w:r>
        <w:t>.</w:t>
      </w:r>
      <w:r>
        <w:tab/>
        <w:t xml:space="preserve">Application of </w:t>
      </w:r>
      <w:r>
        <w:rPr>
          <w:i/>
        </w:rPr>
        <w:t>Criminal and Found Property Disposal Act 2006</w:t>
      </w:r>
      <w:bookmarkEnd w:id="335"/>
      <w:bookmarkEnd w:id="336"/>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337" w:name="_Toc185503424"/>
      <w:bookmarkStart w:id="338" w:name="_Toc178257637"/>
      <w:r>
        <w:rPr>
          <w:rStyle w:val="CharSectno"/>
        </w:rPr>
        <w:t>93</w:t>
      </w:r>
      <w:r>
        <w:t>.</w:t>
      </w:r>
      <w:r>
        <w:tab/>
        <w:t>Compensation for seizure</w:t>
      </w:r>
      <w:bookmarkEnd w:id="337"/>
      <w:bookmarkEnd w:id="338"/>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339" w:name="_Toc185430392"/>
      <w:bookmarkStart w:id="340" w:name="_Toc185430630"/>
      <w:bookmarkStart w:id="341" w:name="_Toc185503425"/>
      <w:bookmarkStart w:id="342" w:name="_Toc178154692"/>
      <w:bookmarkStart w:id="343" w:name="_Toc178155056"/>
      <w:bookmarkStart w:id="344" w:name="_Toc178155809"/>
      <w:bookmarkStart w:id="345" w:name="_Toc178257638"/>
      <w:r>
        <w:rPr>
          <w:rStyle w:val="CharDivNo"/>
        </w:rPr>
        <w:t>Division 3</w:t>
      </w:r>
      <w:r>
        <w:t> — </w:t>
      </w:r>
      <w:r>
        <w:rPr>
          <w:rStyle w:val="CharDivText"/>
        </w:rPr>
        <w:t>Surrendered things</w:t>
      </w:r>
      <w:bookmarkEnd w:id="339"/>
      <w:bookmarkEnd w:id="340"/>
      <w:bookmarkEnd w:id="341"/>
      <w:bookmarkEnd w:id="342"/>
      <w:bookmarkEnd w:id="343"/>
      <w:bookmarkEnd w:id="344"/>
      <w:bookmarkEnd w:id="345"/>
    </w:p>
    <w:p>
      <w:pPr>
        <w:pStyle w:val="Heading5"/>
      </w:pPr>
      <w:bookmarkStart w:id="346" w:name="_Toc185503426"/>
      <w:bookmarkStart w:id="347" w:name="_Toc178257639"/>
      <w:r>
        <w:rPr>
          <w:rStyle w:val="CharSectno"/>
        </w:rPr>
        <w:t>94</w:t>
      </w:r>
      <w:r>
        <w:t>.</w:t>
      </w:r>
      <w:r>
        <w:tab/>
        <w:t>Application of Division</w:t>
      </w:r>
      <w:bookmarkEnd w:id="346"/>
      <w:bookmarkEnd w:id="347"/>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348" w:name="_Toc185503427"/>
      <w:bookmarkStart w:id="349" w:name="_Toc178257640"/>
      <w:r>
        <w:rPr>
          <w:rStyle w:val="CharSectno"/>
        </w:rPr>
        <w:t>95</w:t>
      </w:r>
      <w:r>
        <w:t>.</w:t>
      </w:r>
      <w:r>
        <w:tab/>
        <w:t>Terms used</w:t>
      </w:r>
      <w:bookmarkEnd w:id="348"/>
      <w:bookmarkEnd w:id="349"/>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350" w:name="_Toc185503428"/>
      <w:bookmarkStart w:id="351" w:name="_Toc178257641"/>
      <w:r>
        <w:rPr>
          <w:rStyle w:val="CharSectno"/>
        </w:rPr>
        <w:t>96</w:t>
      </w:r>
      <w:r>
        <w:t>.</w:t>
      </w:r>
      <w:r>
        <w:tab/>
        <w:t>Storage and collection of surrendered things</w:t>
      </w:r>
      <w:bookmarkEnd w:id="350"/>
      <w:bookmarkEnd w:id="351"/>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 xml:space="preserve">This section does not apply to a surrendered thing that is a firearm, a prohibited weapon, </w:t>
      </w:r>
      <w:ins w:id="352" w:author="Master Repository Process" w:date="2025-07-04T14:42:00Z">
        <w:r>
          <w:t xml:space="preserve">an edged weapon, </w:t>
        </w:r>
      </w:ins>
      <w:r>
        <w:t>a controlled weapon or an explosive.</w:t>
      </w:r>
    </w:p>
    <w:p>
      <w:pPr>
        <w:pStyle w:val="Footnotesection"/>
        <w:rPr>
          <w:ins w:id="353" w:author="Master Repository Process" w:date="2025-07-04T14:42:00Z"/>
        </w:rPr>
      </w:pPr>
      <w:ins w:id="354" w:author="Master Repository Process" w:date="2025-07-04T14:42:00Z">
        <w:r>
          <w:tab/>
          <w:t>[Section 96 amended: No. 33 of 2024 s. 33.]</w:t>
        </w:r>
      </w:ins>
    </w:p>
    <w:p>
      <w:pPr>
        <w:pStyle w:val="Heading5"/>
      </w:pPr>
      <w:bookmarkStart w:id="355" w:name="_Toc178257642"/>
      <w:bookmarkStart w:id="356" w:name="_Toc185503429"/>
      <w:r>
        <w:rPr>
          <w:rStyle w:val="CharSectno"/>
        </w:rPr>
        <w:t>97</w:t>
      </w:r>
      <w:r>
        <w:t>.</w:t>
      </w:r>
      <w:r>
        <w:tab/>
        <w:t xml:space="preserve">Firearms, </w:t>
      </w:r>
      <w:del w:id="357" w:author="Master Repository Process" w:date="2025-07-04T14:42:00Z">
        <w:r>
          <w:delText xml:space="preserve">prohibited weapons, controlled weapons and </w:delText>
        </w:r>
      </w:del>
      <w:r>
        <w:t>explosives</w:t>
      </w:r>
      <w:bookmarkEnd w:id="355"/>
      <w:ins w:id="358" w:author="Master Repository Process" w:date="2025-07-04T14:42:00Z">
        <w:r>
          <w:t xml:space="preserve"> and other weapons</w:t>
        </w:r>
      </w:ins>
      <w:bookmarkEnd w:id="356"/>
    </w:p>
    <w:p>
      <w:pPr>
        <w:pStyle w:val="Subsection"/>
      </w:pPr>
      <w:r>
        <w:tab/>
        <w:t>(1)</w:t>
      </w:r>
      <w:r>
        <w:tab/>
        <w:t xml:space="preserve">The major event organiser must cause any surrendered thing that is a firearm, a prohibited weapon, </w:t>
      </w:r>
      <w:ins w:id="359" w:author="Master Repository Process" w:date="2025-07-04T14:42:00Z">
        <w:r>
          <w:t xml:space="preserve">an edged weapon, </w:t>
        </w:r>
      </w:ins>
      <w:r>
        <w:t>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Footnotesection"/>
        <w:rPr>
          <w:ins w:id="360" w:author="Master Repository Process" w:date="2025-07-04T14:42:00Z"/>
        </w:rPr>
      </w:pPr>
      <w:ins w:id="361" w:author="Master Repository Process" w:date="2025-07-04T14:42:00Z">
        <w:r>
          <w:tab/>
          <w:t>[Section 97 amended: No. 33 of 2024 s. 34.]</w:t>
        </w:r>
      </w:ins>
    </w:p>
    <w:p>
      <w:pPr>
        <w:pStyle w:val="Heading2"/>
      </w:pPr>
      <w:bookmarkStart w:id="362" w:name="_Toc185430397"/>
      <w:bookmarkStart w:id="363" w:name="_Toc185430635"/>
      <w:bookmarkStart w:id="364" w:name="_Toc185503430"/>
      <w:bookmarkStart w:id="365" w:name="_Toc178154697"/>
      <w:bookmarkStart w:id="366" w:name="_Toc178155061"/>
      <w:bookmarkStart w:id="367" w:name="_Toc178155814"/>
      <w:bookmarkStart w:id="368" w:name="_Toc178257643"/>
      <w:r>
        <w:rPr>
          <w:rStyle w:val="CharPartNo"/>
        </w:rPr>
        <w:t>Part 10</w:t>
      </w:r>
      <w:r>
        <w:rPr>
          <w:rStyle w:val="CharDivNo"/>
        </w:rPr>
        <w:t> </w:t>
      </w:r>
      <w:r>
        <w:t>—</w:t>
      </w:r>
      <w:r>
        <w:rPr>
          <w:rStyle w:val="CharDivText"/>
        </w:rPr>
        <w:t> </w:t>
      </w:r>
      <w:r>
        <w:rPr>
          <w:rStyle w:val="CharPartText"/>
        </w:rPr>
        <w:t>Miscellaneous</w:t>
      </w:r>
      <w:bookmarkEnd w:id="362"/>
      <w:bookmarkEnd w:id="363"/>
      <w:bookmarkEnd w:id="364"/>
      <w:bookmarkEnd w:id="365"/>
      <w:bookmarkEnd w:id="366"/>
      <w:bookmarkEnd w:id="367"/>
      <w:bookmarkEnd w:id="368"/>
    </w:p>
    <w:p>
      <w:pPr>
        <w:pStyle w:val="Heading5"/>
      </w:pPr>
      <w:bookmarkStart w:id="369" w:name="_Toc185503431"/>
      <w:bookmarkStart w:id="370" w:name="_Toc178257644"/>
      <w:r>
        <w:rPr>
          <w:rStyle w:val="CharSectno"/>
        </w:rPr>
        <w:t>98</w:t>
      </w:r>
      <w:r>
        <w:t>.</w:t>
      </w:r>
      <w:r>
        <w:tab/>
        <w:t>Police officer may exercise powers of authorised officers</w:t>
      </w:r>
      <w:bookmarkEnd w:id="369"/>
      <w:bookmarkEnd w:id="370"/>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371" w:name="_Toc185503432"/>
      <w:bookmarkStart w:id="372" w:name="_Toc178257645"/>
      <w:r>
        <w:rPr>
          <w:rStyle w:val="CharSectno"/>
        </w:rPr>
        <w:t>99</w:t>
      </w:r>
      <w:r>
        <w:t>.</w:t>
      </w:r>
      <w:r>
        <w:tab/>
        <w:t>Police powers to seize and examine things</w:t>
      </w:r>
      <w:bookmarkEnd w:id="371"/>
      <w:bookmarkEnd w:id="372"/>
    </w:p>
    <w:p>
      <w:pPr>
        <w:pStyle w:val="Subsection"/>
      </w:pPr>
      <w:r>
        <w:tab/>
        <w:t>(1)</w:t>
      </w:r>
      <w:r>
        <w:tab/>
        <w:t xml:space="preserve">Terms used in this section have the same meaning as they have in the </w:t>
      </w:r>
      <w:r>
        <w:rPr>
          <w:i/>
          <w:iCs/>
        </w:rPr>
        <w:t>Criminal Investigation Act 2006</w:t>
      </w:r>
      <w:r>
        <w:t>.</w:t>
      </w:r>
    </w:p>
    <w:p>
      <w:pPr>
        <w:pStyle w:val="Subsection"/>
      </w:pPr>
      <w:r>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373" w:name="_Toc185503433"/>
      <w:bookmarkStart w:id="374" w:name="_Toc178257646"/>
      <w:r>
        <w:rPr>
          <w:rStyle w:val="CharSectno"/>
        </w:rPr>
        <w:t>100</w:t>
      </w:r>
      <w:r>
        <w:t>.</w:t>
      </w:r>
      <w:r>
        <w:tab/>
        <w:t>Court may order forfeiture, destruction and disposal of things</w:t>
      </w:r>
      <w:bookmarkEnd w:id="373"/>
      <w:bookmarkEnd w:id="374"/>
    </w:p>
    <w:p>
      <w:pPr>
        <w:pStyle w:val="Subsection"/>
      </w:pPr>
      <w:r>
        <w:tab/>
        <w:t>(1)</w:t>
      </w:r>
      <w:r>
        <w:tab/>
        <w:t>A court that convicts a person of an offence under section 61(1), 62(1) or (2) or 70(2) may, in addition to any other penalty imposed, make an order for the forfeiture to the State, or the destruction or disposal, of a thing if the court is satisfied that the 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375" w:name="_Toc185503434"/>
      <w:bookmarkStart w:id="376" w:name="_Toc178257647"/>
      <w:r>
        <w:rPr>
          <w:rStyle w:val="CharSectno"/>
        </w:rPr>
        <w:t>101</w:t>
      </w:r>
      <w:r>
        <w:t>.</w:t>
      </w:r>
      <w:r>
        <w:tab/>
        <w:t>Directions to major event organiser</w:t>
      </w:r>
      <w:bookmarkEnd w:id="375"/>
      <w:bookmarkEnd w:id="376"/>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377" w:name="_Toc185503435"/>
      <w:bookmarkStart w:id="378" w:name="_Toc178257648"/>
      <w:r>
        <w:rPr>
          <w:rStyle w:val="CharSectno"/>
        </w:rPr>
        <w:t>102</w:t>
      </w:r>
      <w:r>
        <w:t>.</w:t>
      </w:r>
      <w:r>
        <w:tab/>
        <w:t>Major event organiser may be required to erect signs</w:t>
      </w:r>
      <w:bookmarkEnd w:id="377"/>
      <w:bookmarkEnd w:id="378"/>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379" w:name="_Toc185503436"/>
      <w:bookmarkStart w:id="380" w:name="_Toc178257649"/>
      <w:r>
        <w:rPr>
          <w:rStyle w:val="CharSectno"/>
        </w:rPr>
        <w:t>103</w:t>
      </w:r>
      <w:r>
        <w:t>.</w:t>
      </w:r>
      <w:r>
        <w:tab/>
        <w:t>No liability in nuisance</w:t>
      </w:r>
      <w:bookmarkEnd w:id="379"/>
      <w:bookmarkEnd w:id="380"/>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381" w:name="_Toc185503437"/>
      <w:bookmarkStart w:id="382" w:name="_Toc178257650"/>
      <w:r>
        <w:rPr>
          <w:rStyle w:val="CharSectno"/>
        </w:rPr>
        <w:t>104</w:t>
      </w:r>
      <w:r>
        <w:t>.</w:t>
      </w:r>
      <w:r>
        <w:tab/>
        <w:t>Protection from tortious liability</w:t>
      </w:r>
      <w:bookmarkEnd w:id="381"/>
      <w:bookmarkEnd w:id="382"/>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383" w:name="_Toc185503438"/>
      <w:bookmarkStart w:id="384" w:name="_Toc178257651"/>
      <w:r>
        <w:rPr>
          <w:rStyle w:val="CharSectno"/>
        </w:rPr>
        <w:t>105</w:t>
      </w:r>
      <w:r>
        <w:t>.</w:t>
      </w:r>
      <w:r>
        <w:tab/>
        <w:t>Powers and duties of responsible authority</w:t>
      </w:r>
      <w:bookmarkEnd w:id="383"/>
      <w:bookmarkEnd w:id="384"/>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385" w:name="_Toc185503439"/>
      <w:bookmarkStart w:id="386" w:name="_Toc178257652"/>
      <w:r>
        <w:rPr>
          <w:rStyle w:val="CharSectno"/>
        </w:rPr>
        <w:t>106</w:t>
      </w:r>
      <w:r>
        <w:t>.</w:t>
      </w:r>
      <w:r>
        <w:tab/>
        <w:t>Delegation by chief executive officers and employing authorities</w:t>
      </w:r>
      <w:bookmarkEnd w:id="385"/>
      <w:bookmarkEnd w:id="386"/>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387" w:name="_Toc185503440"/>
      <w:bookmarkStart w:id="388" w:name="_Toc178257653"/>
      <w:r>
        <w:rPr>
          <w:rStyle w:val="CharSectno"/>
        </w:rPr>
        <w:t>107</w:t>
      </w:r>
      <w:r>
        <w:t>.</w:t>
      </w:r>
      <w:r>
        <w:tab/>
        <w:t>Regulations</w:t>
      </w:r>
      <w:bookmarkEnd w:id="387"/>
      <w:bookmarkEnd w:id="38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389" w:name="_Toc185503441"/>
      <w:bookmarkStart w:id="390" w:name="_Toc178257654"/>
      <w:r>
        <w:rPr>
          <w:rStyle w:val="CharSectno"/>
        </w:rPr>
        <w:t>108</w:t>
      </w:r>
      <w:r>
        <w:t>.</w:t>
      </w:r>
      <w:r>
        <w:tab/>
        <w:t>Review of Act</w:t>
      </w:r>
      <w:bookmarkEnd w:id="389"/>
      <w:bookmarkEnd w:id="390"/>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391" w:name="_Toc185430409"/>
      <w:bookmarkStart w:id="392" w:name="_Toc185430647"/>
      <w:bookmarkStart w:id="393" w:name="_Toc185503442"/>
      <w:bookmarkStart w:id="394" w:name="_Toc178154709"/>
      <w:bookmarkStart w:id="395" w:name="_Toc178155073"/>
      <w:bookmarkStart w:id="396" w:name="_Toc178155826"/>
      <w:bookmarkStart w:id="397" w:name="_Toc178257655"/>
      <w:r>
        <w:rPr>
          <w:rStyle w:val="CharPartNo"/>
        </w:rPr>
        <w:t>Part 11</w:t>
      </w:r>
      <w:r>
        <w:rPr>
          <w:rStyle w:val="CharDivNo"/>
        </w:rPr>
        <w:t> </w:t>
      </w:r>
      <w:r>
        <w:t>—</w:t>
      </w:r>
      <w:r>
        <w:rPr>
          <w:rStyle w:val="CharDivText"/>
        </w:rPr>
        <w:t> </w:t>
      </w:r>
      <w:r>
        <w:rPr>
          <w:rStyle w:val="CharPartText"/>
        </w:rPr>
        <w:t>Transitional provision</w:t>
      </w:r>
      <w:bookmarkEnd w:id="391"/>
      <w:bookmarkEnd w:id="392"/>
      <w:bookmarkEnd w:id="393"/>
      <w:bookmarkEnd w:id="394"/>
      <w:bookmarkEnd w:id="395"/>
      <w:bookmarkEnd w:id="396"/>
      <w:bookmarkEnd w:id="397"/>
    </w:p>
    <w:p>
      <w:pPr>
        <w:pStyle w:val="Heading5"/>
      </w:pPr>
      <w:bookmarkStart w:id="398" w:name="_Toc185503443"/>
      <w:bookmarkStart w:id="399" w:name="_Toc178257656"/>
      <w:r>
        <w:rPr>
          <w:rStyle w:val="CharSectno"/>
        </w:rPr>
        <w:t>109</w:t>
      </w:r>
      <w:r>
        <w:t>.</w:t>
      </w:r>
      <w:r>
        <w:tab/>
        <w:t>Consultation undertaken before commencement day</w:t>
      </w:r>
      <w:bookmarkEnd w:id="398"/>
      <w:bookmarkEnd w:id="399"/>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400" w:name="_Toc185430411"/>
      <w:bookmarkStart w:id="401" w:name="_Toc185430649"/>
      <w:bookmarkStart w:id="402" w:name="_Toc185503444"/>
      <w:bookmarkStart w:id="403" w:name="_Toc178154711"/>
      <w:bookmarkStart w:id="404" w:name="_Toc178155075"/>
      <w:bookmarkStart w:id="405" w:name="_Toc178155828"/>
      <w:bookmarkStart w:id="406" w:name="_Toc178257657"/>
      <w:r>
        <w:rPr>
          <w:rStyle w:val="CharPartNo"/>
        </w:rPr>
        <w:t>Part 12</w:t>
      </w:r>
      <w:r>
        <w:rPr>
          <w:rStyle w:val="CharDivNo"/>
        </w:rPr>
        <w:t> </w:t>
      </w:r>
      <w:r>
        <w:t>—</w:t>
      </w:r>
      <w:r>
        <w:rPr>
          <w:rStyle w:val="CharDivText"/>
        </w:rPr>
        <w:t> </w:t>
      </w:r>
      <w:r>
        <w:rPr>
          <w:rStyle w:val="CharPartText"/>
        </w:rPr>
        <w:t>Amendments to other Acts</w:t>
      </w:r>
      <w:bookmarkEnd w:id="400"/>
      <w:bookmarkEnd w:id="401"/>
      <w:bookmarkEnd w:id="402"/>
      <w:bookmarkEnd w:id="403"/>
      <w:bookmarkEnd w:id="404"/>
      <w:bookmarkEnd w:id="405"/>
      <w:bookmarkEnd w:id="406"/>
    </w:p>
    <w:p>
      <w:pPr>
        <w:pStyle w:val="Heading5"/>
      </w:pPr>
      <w:bookmarkStart w:id="407" w:name="_Toc185503445"/>
      <w:bookmarkStart w:id="408" w:name="_Toc178257658"/>
      <w:r>
        <w:rPr>
          <w:rStyle w:val="CharSectno"/>
        </w:rPr>
        <w:t>110</w:t>
      </w:r>
      <w:r>
        <w:t>.</w:t>
      </w:r>
      <w:r>
        <w:tab/>
      </w:r>
      <w:r>
        <w:rPr>
          <w:i/>
        </w:rPr>
        <w:t>Health (Miscellaneous Provisions) Act 1911</w:t>
      </w:r>
      <w:r>
        <w:t xml:space="preserve"> amended</w:t>
      </w:r>
      <w:bookmarkEnd w:id="407"/>
      <w:bookmarkEnd w:id="408"/>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409" w:name="_Toc185503446"/>
      <w:bookmarkStart w:id="410" w:name="_Toc178257659"/>
      <w:r>
        <w:t>175A.</w:t>
      </w:r>
      <w:r>
        <w:tab/>
        <w:t>Chief Health Officer may act in relation to major event</w:t>
      </w:r>
      <w:bookmarkEnd w:id="409"/>
      <w:bookmarkEnd w:id="410"/>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411" w:name="_Toc185503447"/>
      <w:bookmarkStart w:id="412" w:name="_Toc178257660"/>
      <w:r>
        <w:rPr>
          <w:rStyle w:val="CharSectno"/>
        </w:rPr>
        <w:t>111</w:t>
      </w:r>
      <w:r>
        <w:t>.</w:t>
      </w:r>
      <w:r>
        <w:tab/>
      </w:r>
      <w:r>
        <w:rPr>
          <w:i/>
        </w:rPr>
        <w:t>Major Events (Aerial Advertising) Act 2009</w:t>
      </w:r>
      <w:r>
        <w:t xml:space="preserve"> amended</w:t>
      </w:r>
      <w:bookmarkEnd w:id="411"/>
      <w:bookmarkEnd w:id="412"/>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413" w:name="_Toc185503448"/>
      <w:bookmarkStart w:id="414" w:name="_Toc178257661"/>
      <w:r>
        <w:rPr>
          <w:rStyle w:val="CharSectno"/>
        </w:rPr>
        <w:t>112</w:t>
      </w:r>
      <w:r>
        <w:t>.</w:t>
      </w:r>
      <w:r>
        <w:tab/>
      </w:r>
      <w:r>
        <w:rPr>
          <w:i/>
        </w:rPr>
        <w:t>Public Order in Streets Act 1984</w:t>
      </w:r>
      <w:r>
        <w:t xml:space="preserve"> amended</w:t>
      </w:r>
      <w:bookmarkEnd w:id="413"/>
      <w:bookmarkEnd w:id="414"/>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415" w:name="_Toc185503449"/>
      <w:bookmarkStart w:id="416" w:name="_Toc178257662"/>
      <w:r>
        <w:rPr>
          <w:rStyle w:val="CharSectno"/>
        </w:rPr>
        <w:t>113</w:t>
      </w:r>
      <w:r>
        <w:t>.</w:t>
      </w:r>
      <w:r>
        <w:tab/>
      </w:r>
      <w:r>
        <w:rPr>
          <w:i/>
        </w:rPr>
        <w:t>Unclaimed Money Act 1990</w:t>
      </w:r>
      <w:r>
        <w:t xml:space="preserve"> amended</w:t>
      </w:r>
      <w:bookmarkEnd w:id="415"/>
      <w:bookmarkEnd w:id="416"/>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yScheduleHeading"/>
      </w:pPr>
      <w:bookmarkStart w:id="417" w:name="_Toc185430417"/>
      <w:bookmarkStart w:id="418" w:name="_Toc185430655"/>
      <w:bookmarkStart w:id="419" w:name="_Toc185503450"/>
      <w:bookmarkStart w:id="420" w:name="_Toc178154717"/>
      <w:bookmarkStart w:id="421" w:name="_Toc178155081"/>
      <w:bookmarkStart w:id="422" w:name="_Toc178155834"/>
      <w:bookmarkStart w:id="423" w:name="_Toc178257663"/>
      <w:r>
        <w:rPr>
          <w:rStyle w:val="CharSchNo"/>
        </w:rPr>
        <w:t>Schedule 1</w:t>
      </w:r>
      <w:r>
        <w:rPr>
          <w:rStyle w:val="CharSDivNo"/>
        </w:rPr>
        <w:t> </w:t>
      </w:r>
      <w:r>
        <w:t>—</w:t>
      </w:r>
      <w:r>
        <w:rPr>
          <w:rStyle w:val="CharSDivText"/>
        </w:rPr>
        <w:t> </w:t>
      </w:r>
      <w:r>
        <w:rPr>
          <w:rStyle w:val="CharSchText"/>
        </w:rPr>
        <w:t>Legislation that may be suspended or modified in relation to a major event</w:t>
      </w:r>
      <w:bookmarkEnd w:id="417"/>
      <w:bookmarkEnd w:id="418"/>
      <w:bookmarkEnd w:id="419"/>
      <w:bookmarkEnd w:id="420"/>
      <w:bookmarkEnd w:id="421"/>
      <w:bookmarkEnd w:id="422"/>
      <w:bookmarkEnd w:id="423"/>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425" w:name="_Toc185430418"/>
      <w:bookmarkStart w:id="426" w:name="_Toc185430656"/>
      <w:bookmarkStart w:id="427" w:name="_Toc185503451"/>
      <w:bookmarkStart w:id="428" w:name="_Toc178154718"/>
      <w:bookmarkStart w:id="429" w:name="_Toc178155082"/>
      <w:bookmarkStart w:id="430" w:name="_Toc178155835"/>
      <w:bookmarkStart w:id="431" w:name="_Toc178257664"/>
      <w:r>
        <w:t>Notes</w:t>
      </w:r>
      <w:bookmarkEnd w:id="425"/>
      <w:bookmarkEnd w:id="426"/>
      <w:bookmarkEnd w:id="427"/>
      <w:bookmarkEnd w:id="428"/>
      <w:bookmarkEnd w:id="429"/>
      <w:bookmarkEnd w:id="430"/>
      <w:bookmarkEnd w:id="431"/>
    </w:p>
    <w:p>
      <w:pPr>
        <w:pStyle w:val="nStatement"/>
      </w:pPr>
      <w:r>
        <w:t xml:space="preserve">This is a compilation of the </w:t>
      </w:r>
      <w:r>
        <w:rPr>
          <w:i/>
          <w:noProof/>
        </w:rPr>
        <w:t>Major Events Act 2023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32" w:name="_Toc185503452"/>
      <w:bookmarkStart w:id="433" w:name="_Toc178257665"/>
      <w:r>
        <w:t>Compilation table</w:t>
      </w:r>
      <w:bookmarkEnd w:id="432"/>
      <w:bookmarkEnd w:id="43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Major Events Act 2023</w:t>
            </w:r>
          </w:p>
        </w:tc>
        <w:tc>
          <w:tcPr>
            <w:tcW w:w="1134" w:type="dxa"/>
            <w:tcBorders>
              <w:bottom w:val="nil"/>
            </w:tcBorders>
          </w:tcPr>
          <w:p>
            <w:pPr>
              <w:pStyle w:val="nTable"/>
              <w:spacing w:after="40"/>
            </w:pPr>
            <w:r>
              <w:t>12 of 2023</w:t>
            </w:r>
          </w:p>
        </w:tc>
        <w:tc>
          <w:tcPr>
            <w:tcW w:w="1134" w:type="dxa"/>
            <w:tcBorders>
              <w:bottom w:val="nil"/>
            </w:tcBorders>
          </w:tcPr>
          <w:p>
            <w:pPr>
              <w:pStyle w:val="nTable"/>
              <w:spacing w:after="40"/>
            </w:pPr>
            <w:r>
              <w:t>22 May 2023</w:t>
            </w:r>
          </w:p>
        </w:tc>
        <w:tc>
          <w:tcPr>
            <w:tcW w:w="2552" w:type="dxa"/>
            <w:tcBorders>
              <w:bottom w:val="nil"/>
            </w:tcBorders>
          </w:tcPr>
          <w:p>
            <w:pPr>
              <w:pStyle w:val="nTable"/>
              <w:spacing w:after="40"/>
            </w:pPr>
            <w:r>
              <w:t>Pt. 1: 22 May 2023 (see s. 2(a));</w:t>
            </w:r>
            <w:r>
              <w:br/>
              <w:t>Act other than Pt. 1: 23 May 2023 (see s. 2(b))</w:t>
            </w:r>
          </w:p>
        </w:tc>
      </w:tr>
      <w:tr>
        <w:trPr>
          <w:ins w:id="434" w:author="Master Repository Process" w:date="2025-07-04T14:42:00Z"/>
        </w:trPr>
        <w:tc>
          <w:tcPr>
            <w:tcW w:w="2268" w:type="dxa"/>
            <w:tcBorders>
              <w:top w:val="nil"/>
            </w:tcBorders>
          </w:tcPr>
          <w:p>
            <w:pPr>
              <w:pStyle w:val="nTable"/>
              <w:spacing w:after="40"/>
              <w:rPr>
                <w:ins w:id="435" w:author="Master Repository Process" w:date="2025-07-04T14:42:00Z"/>
                <w:i/>
                <w:noProof/>
              </w:rPr>
            </w:pPr>
            <w:ins w:id="436" w:author="Master Repository Process" w:date="2025-07-04T14:42:00Z">
              <w:r>
                <w:rPr>
                  <w:i/>
                  <w:noProof/>
                </w:rPr>
                <w:t xml:space="preserve">Police Legislation Amendment Act 2024 </w:t>
              </w:r>
              <w:r>
                <w:rPr>
                  <w:iCs/>
                  <w:noProof/>
                </w:rPr>
                <w:t>Pt. 5 Div. 4</w:t>
              </w:r>
            </w:ins>
          </w:p>
        </w:tc>
        <w:tc>
          <w:tcPr>
            <w:tcW w:w="1134" w:type="dxa"/>
            <w:tcBorders>
              <w:top w:val="nil"/>
            </w:tcBorders>
          </w:tcPr>
          <w:p>
            <w:pPr>
              <w:pStyle w:val="nTable"/>
              <w:spacing w:after="40"/>
              <w:rPr>
                <w:ins w:id="437" w:author="Master Repository Process" w:date="2025-07-04T14:42:00Z"/>
              </w:rPr>
            </w:pPr>
            <w:ins w:id="438" w:author="Master Repository Process" w:date="2025-07-04T14:42:00Z">
              <w:r>
                <w:t>33 of 2024</w:t>
              </w:r>
            </w:ins>
          </w:p>
        </w:tc>
        <w:tc>
          <w:tcPr>
            <w:tcW w:w="1134" w:type="dxa"/>
            <w:tcBorders>
              <w:top w:val="nil"/>
            </w:tcBorders>
          </w:tcPr>
          <w:p>
            <w:pPr>
              <w:pStyle w:val="nTable"/>
              <w:spacing w:after="40"/>
              <w:rPr>
                <w:ins w:id="439" w:author="Master Repository Process" w:date="2025-07-04T14:42:00Z"/>
              </w:rPr>
            </w:pPr>
            <w:ins w:id="440" w:author="Master Repository Process" w:date="2025-07-04T14:42:00Z">
              <w:r>
                <w:t>26 Sep 2024</w:t>
              </w:r>
            </w:ins>
          </w:p>
        </w:tc>
        <w:tc>
          <w:tcPr>
            <w:tcW w:w="2552" w:type="dxa"/>
            <w:tcBorders>
              <w:top w:val="nil"/>
            </w:tcBorders>
          </w:tcPr>
          <w:p>
            <w:pPr>
              <w:pStyle w:val="nTable"/>
              <w:spacing w:after="40"/>
              <w:rPr>
                <w:ins w:id="441" w:author="Master Repository Process" w:date="2025-07-04T14:42:00Z"/>
              </w:rPr>
            </w:pPr>
            <w:ins w:id="442" w:author="Master Repository Process" w:date="2025-07-04T14:42:00Z">
              <w:r>
                <w:t>20 Dec 2024 (see s. 2(1)(b) and SL 2024/277 cl. 2)</w:t>
              </w:r>
            </w:ins>
          </w:p>
        </w:tc>
      </w:tr>
    </w:tbl>
    <w:p>
      <w:pPr>
        <w:pStyle w:val="nHeading3"/>
      </w:pPr>
      <w:bookmarkStart w:id="443" w:name="_Toc185503453"/>
      <w:bookmarkStart w:id="444" w:name="_Toc178257666"/>
      <w:r>
        <w:t>Uncommenced provisions table</w:t>
      </w:r>
      <w:bookmarkEnd w:id="443"/>
      <w:bookmarkEnd w:id="4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rPr>
              <w:t xml:space="preserve">Firearms Act 2024 </w:t>
            </w:r>
            <w:r>
              <w:rPr>
                <w:iCs/>
                <w:noProof/>
              </w:rPr>
              <w:t>Pt. 17 Div. 3 Subdiv. 12</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del w:id="445" w:author="Master Repository Process" w:date="2025-07-04T14:42:00Z">
              <w:r>
                <w:delText>To be proclaimed</w:delText>
              </w:r>
            </w:del>
            <w:ins w:id="446" w:author="Master Repository Process" w:date="2025-07-04T14:42:00Z">
              <w:r>
                <w:t>31 Mar 2025</w:t>
              </w:r>
            </w:ins>
            <w:r>
              <w:t xml:space="preserve"> (see s. 2(d</w:t>
            </w:r>
            <w:del w:id="447" w:author="Master Repository Process" w:date="2025-07-04T14:42:00Z">
              <w:r>
                <w:delText>))</w:delText>
              </w:r>
            </w:del>
            <w:ins w:id="448" w:author="Master Repository Process" w:date="2025-07-04T14:42:00Z">
              <w:r>
                <w:t>) and SL 2024/289 cl. 2)</w:t>
              </w:r>
            </w:ins>
          </w:p>
        </w:tc>
      </w:tr>
      <w:tr>
        <w:trPr>
          <w:del w:id="449" w:author="Master Repository Process" w:date="2025-07-04T14:42:00Z"/>
        </w:trPr>
        <w:tc>
          <w:tcPr>
            <w:tcW w:w="2268" w:type="dxa"/>
            <w:tcBorders>
              <w:top w:val="nil"/>
            </w:tcBorders>
          </w:tcPr>
          <w:p>
            <w:pPr>
              <w:pStyle w:val="nTable"/>
              <w:spacing w:after="40"/>
              <w:rPr>
                <w:del w:id="450" w:author="Master Repository Process" w:date="2025-07-04T14:42:00Z"/>
                <w:iCs/>
                <w:noProof/>
              </w:rPr>
            </w:pPr>
            <w:del w:id="451" w:author="Master Repository Process" w:date="2025-07-04T14:42:00Z">
              <w:r>
                <w:rPr>
                  <w:i/>
                  <w:noProof/>
                </w:rPr>
                <w:delText xml:space="preserve">Police Legislation Amendment Act 2024 </w:delText>
              </w:r>
              <w:r>
                <w:rPr>
                  <w:iCs/>
                  <w:noProof/>
                </w:rPr>
                <w:delText>Pt. 5 Div. 4</w:delText>
              </w:r>
            </w:del>
          </w:p>
        </w:tc>
        <w:tc>
          <w:tcPr>
            <w:tcW w:w="1134" w:type="dxa"/>
            <w:tcBorders>
              <w:top w:val="nil"/>
            </w:tcBorders>
          </w:tcPr>
          <w:p>
            <w:pPr>
              <w:pStyle w:val="nTable"/>
              <w:spacing w:after="40"/>
              <w:rPr>
                <w:del w:id="452" w:author="Master Repository Process" w:date="2025-07-04T14:42:00Z"/>
              </w:rPr>
            </w:pPr>
            <w:del w:id="453" w:author="Master Repository Process" w:date="2025-07-04T14:42:00Z">
              <w:r>
                <w:delText>33 of 2024</w:delText>
              </w:r>
            </w:del>
          </w:p>
        </w:tc>
        <w:tc>
          <w:tcPr>
            <w:tcW w:w="1134" w:type="dxa"/>
            <w:tcBorders>
              <w:top w:val="nil"/>
            </w:tcBorders>
          </w:tcPr>
          <w:p>
            <w:pPr>
              <w:pStyle w:val="nTable"/>
              <w:spacing w:after="40"/>
              <w:rPr>
                <w:del w:id="454" w:author="Master Repository Process" w:date="2025-07-04T14:42:00Z"/>
              </w:rPr>
            </w:pPr>
            <w:del w:id="455" w:author="Master Repository Process" w:date="2025-07-04T14:42:00Z">
              <w:r>
                <w:delText>26 Sep 2024</w:delText>
              </w:r>
            </w:del>
          </w:p>
        </w:tc>
        <w:tc>
          <w:tcPr>
            <w:tcW w:w="2552" w:type="dxa"/>
            <w:tcBorders>
              <w:top w:val="nil"/>
            </w:tcBorders>
          </w:tcPr>
          <w:p>
            <w:pPr>
              <w:pStyle w:val="nTable"/>
              <w:spacing w:after="40"/>
              <w:rPr>
                <w:del w:id="456" w:author="Master Repository Process" w:date="2025-07-04T14:42:00Z"/>
              </w:rPr>
            </w:pPr>
            <w:del w:id="457" w:author="Master Repository Process" w:date="2025-07-04T14:42:00Z">
              <w:r>
                <w:delText>To be proclaimed (see s. 2(1)(b))</w:delText>
              </w:r>
            </w:del>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424" w:name="Schedule"/>
    <w:bookmarkEnd w:id="4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8" w:name="Compilation"/>
    <w:bookmarkEnd w:id="45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9" w:name="Coversheet"/>
    <w:bookmarkEnd w:id="4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81602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 w:name="WAFER_2024062708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7084831_GUID" w:val="d6076620-bb90-442d-864e-becf20de533b"/>
    <w:docVar w:name="WAFER_20240925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0014_GUID" w:val="6a2ec645-62a9-4af8-ac6a-73d952349e30"/>
    <w:docVar w:name="WAFER_202412131428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42829_GUID" w:val="5128784a-e4d9-434a-abe8-6dba192c42ec"/>
    <w:docVar w:name="WAFER_2024121816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248_GUID" w:val="0044a81f-140e-45d0-a814-d3b0ecd30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E4DD-7538-48CB-805A-ED796471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19797</Words>
  <Characters>93248</Characters>
  <Application>Microsoft Office Word</Application>
  <DocSecurity>0</DocSecurity>
  <Lines>2453</Lines>
  <Paragraphs>1449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111596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00-d0-00 - 00-e0-01</dc:title>
  <dc:subject/>
  <dc:creator/>
  <cp:keywords/>
  <dc:description/>
  <cp:lastModifiedBy>Master Repository Process</cp:lastModifiedBy>
  <cp:revision>2</cp:revision>
  <cp:lastPrinted>2023-05-23T07:04:00Z</cp:lastPrinted>
  <dcterms:created xsi:type="dcterms:W3CDTF">2025-07-04T06:42:00Z</dcterms:created>
  <dcterms:modified xsi:type="dcterms:W3CDTF">2025-07-04T06:43:00Z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20241220</vt:lpwstr>
  </property>
  <property fmtid="{D5CDD505-2E9C-101B-9397-08002B2CF9AE}" pid="6" name="CommencementAsAt">
    <vt:filetime>2024-12-19T16:00:00Z</vt:filetime>
  </property>
  <property fmtid="{D5CDD505-2E9C-101B-9397-08002B2CF9AE}" pid="7" name="CommencementYear">
    <vt:lpwstr>2024</vt:lpwstr>
  </property>
  <property fmtid="{D5CDD505-2E9C-101B-9397-08002B2CF9AE}" pid="8" name="FromSuffix">
    <vt:lpwstr>00-d0-00</vt:lpwstr>
  </property>
  <property fmtid="{D5CDD505-2E9C-101B-9397-08002B2CF9AE}" pid="9" name="FromAsAtDate">
    <vt:lpwstr>26 Sep 2024</vt:lpwstr>
  </property>
  <property fmtid="{D5CDD505-2E9C-101B-9397-08002B2CF9AE}" pid="10" name="ToSuffix">
    <vt:lpwstr>00-e0-01</vt:lpwstr>
  </property>
  <property fmtid="{D5CDD505-2E9C-101B-9397-08002B2CF9AE}" pid="11" name="ToAsAtDate">
    <vt:lpwstr>20 Dec 2024</vt:lpwstr>
  </property>
</Properties>
</file>