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Emergency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2024</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Emergency Management Act 2005</w:t>
      </w:r>
    </w:p>
    <w:p>
      <w:pPr>
        <w:pStyle w:val="NameofActReg"/>
      </w:pPr>
      <w:r>
        <w:t>Emergency Management Regulations 2006</w:t>
      </w:r>
    </w:p>
    <w:p>
      <w:pPr>
        <w:pStyle w:val="Heading2"/>
        <w:pageBreakBefore w:val="0"/>
        <w:spacing w:before="480"/>
        <w:rPr>
          <w:rStyle w:val="CharPartText"/>
        </w:rPr>
      </w:pPr>
      <w:bookmarkStart w:id="1" w:name="_Toc192853928"/>
      <w:bookmarkStart w:id="2" w:name="_Toc192854404"/>
      <w:bookmarkStart w:id="3" w:name="_Toc192857566"/>
      <w:bookmarkStart w:id="4" w:name="_Toc185432165"/>
      <w:bookmarkStart w:id="5" w:name="_Toc185432458"/>
      <w:bookmarkStart w:id="6" w:name="_Toc185433130"/>
      <w:r>
        <w:rPr>
          <w:rStyle w:val="CharPartNo"/>
        </w:rPr>
        <w:t>Part 1</w:t>
      </w:r>
      <w:r>
        <w:t> — </w:t>
      </w:r>
      <w:r>
        <w:rPr>
          <w:rStyle w:val="CharPartText"/>
        </w:rPr>
        <w:t>Preliminary</w:t>
      </w:r>
      <w:bookmarkEnd w:id="1"/>
      <w:bookmarkEnd w:id="2"/>
      <w:bookmarkEnd w:id="3"/>
      <w:bookmarkEnd w:id="4"/>
      <w:bookmarkEnd w:id="5"/>
      <w:bookmarkEnd w:id="6"/>
    </w:p>
    <w:p>
      <w:pPr>
        <w:pStyle w:val="Footnoteheading"/>
      </w:pPr>
      <w:r>
        <w:tab/>
        <w:t>[Heading inserted: Gazette 12 Jan 2007 p. 50.]</w:t>
      </w:r>
    </w:p>
    <w:p>
      <w:pPr>
        <w:pStyle w:val="Heading5"/>
      </w:pPr>
      <w:bookmarkStart w:id="7" w:name="_Toc192857567"/>
      <w:bookmarkStart w:id="8" w:name="_Toc185433131"/>
      <w:r>
        <w:rPr>
          <w:rStyle w:val="CharSectno"/>
        </w:rPr>
        <w:t>1</w:t>
      </w:r>
      <w:r>
        <w:t>.</w:t>
      </w:r>
      <w:r>
        <w:tab/>
        <w:t>Citation</w:t>
      </w:r>
      <w:bookmarkEnd w:id="7"/>
      <w:bookmarkEnd w:id="8"/>
    </w:p>
    <w:p>
      <w:pPr>
        <w:pStyle w:val="Subsection"/>
        <w:ind w:right="282"/>
      </w:pPr>
      <w:r>
        <w:tab/>
      </w:r>
      <w:r>
        <w:tab/>
      </w:r>
      <w:bookmarkStart w:id="9" w:name="Start_Cursor"/>
      <w:bookmarkEnd w:id="9"/>
      <w:r>
        <w:t xml:space="preserve">These regulations are the </w:t>
      </w:r>
      <w:r>
        <w:rPr>
          <w:i/>
        </w:rPr>
        <w:t>Emergency Management Regulations 2006</w:t>
      </w:r>
      <w:r>
        <w:t>.</w:t>
      </w:r>
    </w:p>
    <w:p>
      <w:pPr>
        <w:pStyle w:val="Heading5"/>
      </w:pPr>
      <w:bookmarkStart w:id="10" w:name="_Toc192857568"/>
      <w:bookmarkStart w:id="11" w:name="_Toc185433132"/>
      <w:r>
        <w:rPr>
          <w:rStyle w:val="CharSectno"/>
        </w:rPr>
        <w:t>1A</w:t>
      </w:r>
      <w:r>
        <w:t>.</w:t>
      </w:r>
      <w:r>
        <w:tab/>
        <w:t>Terms used</w:t>
      </w:r>
      <w:bookmarkEnd w:id="10"/>
      <w:bookmarkEnd w:id="11"/>
    </w:p>
    <w:p>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pPr>
        <w:pStyle w:val="Defstart"/>
      </w:pPr>
      <w:r>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pPr>
        <w:pStyle w:val="Footnotesection"/>
      </w:pPr>
      <w:r>
        <w:tab/>
        <w:t>[Regulation 1A inserted: SL 2020/24 r. 4.]</w:t>
      </w:r>
    </w:p>
    <w:p>
      <w:pPr>
        <w:pStyle w:val="Heading2"/>
      </w:pPr>
      <w:bookmarkStart w:id="12" w:name="_Toc192853931"/>
      <w:bookmarkStart w:id="13" w:name="_Toc192854407"/>
      <w:bookmarkStart w:id="14" w:name="_Toc192857569"/>
      <w:bookmarkStart w:id="15" w:name="_Toc185432168"/>
      <w:bookmarkStart w:id="16" w:name="_Toc185432461"/>
      <w:bookmarkStart w:id="17" w:name="_Toc185433133"/>
      <w:r>
        <w:rPr>
          <w:rStyle w:val="CharPartNo"/>
        </w:rPr>
        <w:lastRenderedPageBreak/>
        <w:t>Part 2</w:t>
      </w:r>
      <w:r>
        <w:t> — </w:t>
      </w:r>
      <w:r>
        <w:rPr>
          <w:rStyle w:val="CharPartText"/>
        </w:rPr>
        <w:t>The State Emergency Management Committee</w:t>
      </w:r>
      <w:bookmarkEnd w:id="12"/>
      <w:bookmarkEnd w:id="13"/>
      <w:bookmarkEnd w:id="14"/>
      <w:bookmarkEnd w:id="15"/>
      <w:bookmarkEnd w:id="16"/>
      <w:bookmarkEnd w:id="17"/>
    </w:p>
    <w:p>
      <w:pPr>
        <w:pStyle w:val="Footnoteheading"/>
      </w:pPr>
      <w:r>
        <w:tab/>
        <w:t>[Heading inserted: Gazette 12 Jan 2007 p. 50.]</w:t>
      </w:r>
    </w:p>
    <w:p>
      <w:pPr>
        <w:pStyle w:val="Heading5"/>
      </w:pPr>
      <w:bookmarkStart w:id="18" w:name="_Toc192857570"/>
      <w:bookmarkStart w:id="19" w:name="_Toc185433134"/>
      <w:r>
        <w:rPr>
          <w:rStyle w:val="CharSectno"/>
        </w:rPr>
        <w:t>2</w:t>
      </w:r>
      <w:r>
        <w:t>.</w:t>
      </w:r>
      <w:r>
        <w:tab/>
        <w:t>Appointment by Minister of members of SEMC (Act s. 13(2))</w:t>
      </w:r>
      <w:bookmarkEnd w:id="18"/>
      <w:bookmarkEnd w:id="19"/>
    </w:p>
    <w:p>
      <w:pPr>
        <w:pStyle w:val="Subsection"/>
      </w:pPr>
      <w:r>
        <w:tab/>
      </w:r>
      <w:r>
        <w:tab/>
        <w:t>In addition to the members referred to in section 13(2)(a), (b), (c) and (d) of the Act, the SEMC is to consist of not more than 7 other members appointed by the Minister.</w:t>
      </w:r>
    </w:p>
    <w:p>
      <w:pPr>
        <w:pStyle w:val="Footnotesection"/>
      </w:pPr>
      <w:r>
        <w:tab/>
        <w:t>[Regulation 2 inserted: Gazette 29 Jan 2013 p. 330.]</w:t>
      </w:r>
    </w:p>
    <w:p>
      <w:pPr>
        <w:pStyle w:val="Heading5"/>
      </w:pPr>
      <w:bookmarkStart w:id="20" w:name="_Toc192857571"/>
      <w:bookmarkStart w:id="21" w:name="_Toc185433135"/>
      <w:r>
        <w:rPr>
          <w:rStyle w:val="CharSectno"/>
        </w:rPr>
        <w:t>3</w:t>
      </w:r>
      <w:r>
        <w:t>.</w:t>
      </w:r>
      <w:r>
        <w:tab/>
        <w:t>Term of office</w:t>
      </w:r>
      <w:bookmarkEnd w:id="20"/>
      <w:bookmarkEnd w:id="21"/>
    </w:p>
    <w:p>
      <w:pPr>
        <w:pStyle w:val="Subsection"/>
      </w:pPr>
      <w:r>
        <w:tab/>
        <w:t>(1)</w:t>
      </w:r>
      <w:r>
        <w:tab/>
        <w:t xml:space="preserve">Subject to regulation 4, a member holds office — </w:t>
      </w:r>
    </w:p>
    <w:p>
      <w:pPr>
        <w:pStyle w:val="Indenta"/>
      </w:pPr>
      <w:r>
        <w:tab/>
        <w:t>(a)</w:t>
      </w:r>
      <w:r>
        <w:tab/>
        <w:t>if the member is appointed ex officio and a term of office is not specified in the instrument of his or her appointment, until the Minister terminates the appointment; or</w:t>
      </w:r>
    </w:p>
    <w:p>
      <w:pPr>
        <w:pStyle w:val="Indenta"/>
      </w:pPr>
      <w:r>
        <w:tab/>
        <w:t>(b)</w:t>
      </w:r>
      <w:r>
        <w:tab/>
        <w:t>otherwise, for the term, not exceeding 3 years, specified in the instrument of his or her appointment.</w:t>
      </w:r>
    </w:p>
    <w:p>
      <w:pPr>
        <w:pStyle w:val="Subsection"/>
      </w:pPr>
      <w:r>
        <w:tab/>
        <w:t>(2)</w:t>
      </w:r>
      <w:r>
        <w:tab/>
        <w:t>A member may from time to time be reappointed.</w:t>
      </w:r>
    </w:p>
    <w:p>
      <w:pPr>
        <w:pStyle w:val="Subsection"/>
      </w:pPr>
      <w:r>
        <w:tab/>
        <w:t>(3)</w:t>
      </w:r>
      <w:r>
        <w:tab/>
        <w:t>A member whose term of office expires by the passage of time continues in office until that member is reappointed or the successor of that member comes into office.</w:t>
      </w:r>
    </w:p>
    <w:p>
      <w:pPr>
        <w:pStyle w:val="Heading5"/>
      </w:pPr>
      <w:bookmarkStart w:id="22" w:name="_Toc192857572"/>
      <w:bookmarkStart w:id="23" w:name="_Toc185433136"/>
      <w:r>
        <w:rPr>
          <w:rStyle w:val="CharSectno"/>
        </w:rPr>
        <w:t>4</w:t>
      </w:r>
      <w:r>
        <w:t>.</w:t>
      </w:r>
      <w:r>
        <w:tab/>
        <w:t>Vacancies</w:t>
      </w:r>
      <w:bookmarkEnd w:id="22"/>
      <w:bookmarkEnd w:id="23"/>
    </w:p>
    <w:p>
      <w:pPr>
        <w:pStyle w:val="Subsection"/>
        <w:keepNext/>
        <w:keepLines/>
      </w:pPr>
      <w:r>
        <w:tab/>
        <w:t>(1)</w:t>
      </w:r>
      <w:r>
        <w:tab/>
        <w:t xml:space="preserve">The office of a member becomes vacant if — </w:t>
      </w:r>
    </w:p>
    <w:p>
      <w:pPr>
        <w:pStyle w:val="Indenta"/>
      </w:pPr>
      <w:r>
        <w:tab/>
        <w:t>(a)</w:t>
      </w:r>
      <w:r>
        <w:tab/>
        <w:t>the member resigns the office by written notice addressed to the Minister; or</w:t>
      </w:r>
    </w:p>
    <w:p>
      <w:pPr>
        <w:pStyle w:val="Ednotepara"/>
        <w:spacing w:before="80"/>
      </w:pPr>
      <w:r>
        <w:tab/>
        <w:t>[(b)</w:t>
      </w:r>
      <w:r>
        <w:tab/>
        <w:t>deleted]</w:t>
      </w:r>
    </w:p>
    <w:p>
      <w:pPr>
        <w:pStyle w:val="Indenta"/>
      </w:pPr>
      <w:r>
        <w:tab/>
        <w:t>(c)</w:t>
      </w:r>
      <w:r>
        <w:tab/>
        <w:t>the Minister terminates the appointment under regulation 3(1)(a) or removes the member from office under subregulation (2).</w:t>
      </w:r>
    </w:p>
    <w:p>
      <w:pPr>
        <w:pStyle w:val="Subsection"/>
      </w:pPr>
      <w:r>
        <w:lastRenderedPageBreak/>
        <w:tab/>
        <w:t>(2)</w:t>
      </w:r>
      <w:r>
        <w:tab/>
        <w:t xml:space="preserve">The Minister may remove a member who holds office for a specified term from office if the Minister is satisfied that the member — </w:t>
      </w:r>
    </w:p>
    <w:p>
      <w:pPr>
        <w:pStyle w:val="Indenta"/>
      </w:pPr>
      <w:r>
        <w:tab/>
        <w:t>(a)</w:t>
      </w:r>
      <w:r>
        <w:tab/>
        <w:t>has neglected his or her duty; or</w:t>
      </w:r>
    </w:p>
    <w:p>
      <w:pPr>
        <w:pStyle w:val="Indenta"/>
      </w:pPr>
      <w:r>
        <w:tab/>
        <w:t>(b)</w:t>
      </w:r>
      <w:r>
        <w:tab/>
        <w:t>has misbehaved; or</w:t>
      </w:r>
    </w:p>
    <w:p>
      <w:pPr>
        <w:pStyle w:val="Indenta"/>
      </w:pPr>
      <w:r>
        <w:tab/>
        <w:t>(c)</w:t>
      </w:r>
      <w:r>
        <w:tab/>
        <w:t>is incompetent; or</w:t>
      </w:r>
    </w:p>
    <w:p>
      <w:pPr>
        <w:pStyle w:val="Indenta"/>
      </w:pPr>
      <w:r>
        <w:tab/>
        <w:t>(d)</w:t>
      </w:r>
      <w:r>
        <w:tab/>
        <w:t>is suffering from mental or physical incapacity impairing the performance of his or her functions as a member; or</w:t>
      </w:r>
    </w:p>
    <w:p>
      <w:pPr>
        <w:pStyle w:val="Indenta"/>
      </w:pPr>
      <w:r>
        <w:tab/>
        <w:t>(e)</w:t>
      </w:r>
      <w:r>
        <w:tab/>
        <w:t>has been absent, without leave or reasonable excuse, from 3 consecutive meetings of the SEMC of which the member has had notice.</w:t>
      </w:r>
    </w:p>
    <w:p>
      <w:pPr>
        <w:pStyle w:val="Footnotesection"/>
      </w:pPr>
      <w:r>
        <w:tab/>
        <w:t>[Regulation 4 amended: Gazette 29 Jan 2013 p. 330.]</w:t>
      </w:r>
    </w:p>
    <w:p>
      <w:pPr>
        <w:pStyle w:val="Heading5"/>
      </w:pPr>
      <w:bookmarkStart w:id="24" w:name="_Toc192857573"/>
      <w:bookmarkStart w:id="25" w:name="_Toc185433137"/>
      <w:r>
        <w:rPr>
          <w:rStyle w:val="CharSectno"/>
        </w:rPr>
        <w:t>5</w:t>
      </w:r>
      <w:r>
        <w:t>.</w:t>
      </w:r>
      <w:r>
        <w:tab/>
        <w:t>Leave of absence</w:t>
      </w:r>
      <w:bookmarkEnd w:id="24"/>
      <w:bookmarkEnd w:id="25"/>
    </w:p>
    <w:p>
      <w:pPr>
        <w:pStyle w:val="Subsection"/>
      </w:pPr>
      <w:r>
        <w:tab/>
      </w:r>
      <w:r>
        <w:tab/>
        <w:t>The SEMC may grant leave of absence to a member on any terms and conditions it thinks fit.</w:t>
      </w:r>
    </w:p>
    <w:p>
      <w:pPr>
        <w:pStyle w:val="Heading5"/>
      </w:pPr>
      <w:bookmarkStart w:id="26" w:name="_Toc192857574"/>
      <w:bookmarkStart w:id="27" w:name="_Toc185433138"/>
      <w:r>
        <w:rPr>
          <w:rStyle w:val="CharSectno"/>
        </w:rPr>
        <w:t>6</w:t>
      </w:r>
      <w:r>
        <w:t>.</w:t>
      </w:r>
      <w:r>
        <w:tab/>
        <w:t>Chairman unable to act</w:t>
      </w:r>
      <w:bookmarkEnd w:id="26"/>
      <w:bookmarkEnd w:id="27"/>
    </w:p>
    <w:p>
      <w:pPr>
        <w:pStyle w:val="Subsection"/>
      </w:pPr>
      <w:r>
        <w:tab/>
      </w:r>
      <w:r>
        <w:tab/>
        <w:t>If the chairman is unable to act because of illness, absence or other cause, or during any vacancy in that office, the deputy chairman must perform the functions of the chairman.</w:t>
      </w:r>
    </w:p>
    <w:p>
      <w:pPr>
        <w:pStyle w:val="Heading5"/>
      </w:pPr>
      <w:bookmarkStart w:id="28" w:name="_Toc192857575"/>
      <w:bookmarkStart w:id="29" w:name="_Toc185433139"/>
      <w:r>
        <w:rPr>
          <w:rStyle w:val="CharSectno"/>
        </w:rPr>
        <w:t>7</w:t>
      </w:r>
      <w:r>
        <w:t>.</w:t>
      </w:r>
      <w:r>
        <w:tab/>
        <w:t>Deputy members</w:t>
      </w:r>
      <w:bookmarkEnd w:id="28"/>
      <w:bookmarkEnd w:id="29"/>
    </w:p>
    <w:p>
      <w:pPr>
        <w:pStyle w:val="Subsection"/>
      </w:pPr>
      <w:r>
        <w:tab/>
        <w:t>(1)</w:t>
      </w:r>
      <w:r>
        <w:tab/>
        <w:t>The Minister may appoint one or more persons to be deputies of a member other than the chairman.</w:t>
      </w:r>
    </w:p>
    <w:p>
      <w:pPr>
        <w:pStyle w:val="Subsection"/>
      </w:pPr>
      <w:r>
        <w:tab/>
        <w:t>(2)</w:t>
      </w:r>
      <w:r>
        <w:tab/>
        <w:t>The Minister must ensure that each deputy of a member has expertise or experience that, in the Minister’s opinion, is relevant to the functions of the SEMC.</w:t>
      </w:r>
    </w:p>
    <w:p>
      <w:pPr>
        <w:pStyle w:val="Subsection"/>
      </w:pPr>
      <w:r>
        <w:tab/>
        <w:t>(3)</w:t>
      </w:r>
      <w:r>
        <w:tab/>
        <w:t>A deputy of a member may perform the functions of the member when the member is unable to act because of illness, absence or other cause.</w:t>
      </w:r>
    </w:p>
    <w:p>
      <w:pPr>
        <w:pStyle w:val="Subsection"/>
      </w:pPr>
      <w:r>
        <w:tab/>
        <w:t>(4)</w:t>
      </w:r>
      <w:r>
        <w:tab/>
        <w:t>If the member who is the deputy chairman is performing the functions of the chairman, a deputy of the member may act in his or her place as a member.</w:t>
      </w:r>
    </w:p>
    <w:p>
      <w:pPr>
        <w:pStyle w:val="Subsection"/>
      </w:pPr>
      <w:r>
        <w:tab/>
        <w:t>(5)</w:t>
      </w:r>
      <w:r>
        <w:tab/>
        <w:t>The Minister may terminate the appointment of a person under this regulation at any time.</w:t>
      </w:r>
    </w:p>
    <w:p>
      <w:pPr>
        <w:pStyle w:val="Subsection"/>
      </w:pPr>
      <w:r>
        <w:tab/>
        <w:t>(6)</w:t>
      </w:r>
      <w:r>
        <w:tab/>
        <w:t>A deputy of a member, while acting as a member, has all the functions of, and all the protection given to, a member.</w:t>
      </w:r>
    </w:p>
    <w:p>
      <w:pPr>
        <w:pStyle w:val="Heading5"/>
      </w:pPr>
      <w:bookmarkStart w:id="30" w:name="_Toc192857576"/>
      <w:bookmarkStart w:id="31" w:name="_Toc185433140"/>
      <w:r>
        <w:rPr>
          <w:rStyle w:val="CharSectno"/>
        </w:rPr>
        <w:t>8</w:t>
      </w:r>
      <w:r>
        <w:t>.</w:t>
      </w:r>
      <w:r>
        <w:tab/>
        <w:t>Saving for acts etc. of deputies</w:t>
      </w:r>
      <w:bookmarkEnd w:id="30"/>
      <w:bookmarkEnd w:id="31"/>
    </w:p>
    <w:p>
      <w:pPr>
        <w:pStyle w:val="Subsection"/>
      </w:pPr>
      <w:r>
        <w:tab/>
      </w:r>
      <w:r>
        <w:tab/>
        <w:t>No act or omission of a person acting in place of another under regulation 6 or 7 is to be questioned on the ground that the occasion for his or her appointment or acting had not arisen or had ceased.</w:t>
      </w:r>
    </w:p>
    <w:p>
      <w:pPr>
        <w:pStyle w:val="Heading5"/>
      </w:pPr>
      <w:bookmarkStart w:id="32" w:name="_Toc192857577"/>
      <w:bookmarkStart w:id="33" w:name="_Toc185433141"/>
      <w:r>
        <w:rPr>
          <w:rStyle w:val="CharSectno"/>
        </w:rPr>
        <w:t>9</w:t>
      </w:r>
      <w:r>
        <w:t>.</w:t>
      </w:r>
      <w:r>
        <w:tab/>
        <w:t>Calling meetings</w:t>
      </w:r>
      <w:bookmarkEnd w:id="32"/>
      <w:bookmarkEnd w:id="33"/>
    </w:p>
    <w:p>
      <w:pPr>
        <w:pStyle w:val="Subsection"/>
      </w:pPr>
      <w:r>
        <w:tab/>
        <w:t>(1)</w:t>
      </w:r>
      <w:r>
        <w:tab/>
        <w:t>Subject to subregulation (2), meetings are to be held at the times and places that the SEMC determines.</w:t>
      </w:r>
    </w:p>
    <w:p>
      <w:pPr>
        <w:pStyle w:val="Subsection"/>
      </w:pPr>
      <w:r>
        <w:tab/>
        <w:t>(2)</w:t>
      </w:r>
      <w:r>
        <w:tab/>
        <w:t>The chairman may at any time convene a special meeting of the SEMC.</w:t>
      </w:r>
    </w:p>
    <w:p>
      <w:pPr>
        <w:pStyle w:val="Heading5"/>
      </w:pPr>
      <w:bookmarkStart w:id="34" w:name="_Toc192857578"/>
      <w:bookmarkStart w:id="35" w:name="_Toc185433142"/>
      <w:r>
        <w:rPr>
          <w:rStyle w:val="CharSectno"/>
        </w:rPr>
        <w:t>10</w:t>
      </w:r>
      <w:r>
        <w:t>.</w:t>
      </w:r>
      <w:r>
        <w:tab/>
        <w:t>Quorum</w:t>
      </w:r>
      <w:bookmarkEnd w:id="34"/>
      <w:bookmarkEnd w:id="35"/>
    </w:p>
    <w:p>
      <w:pPr>
        <w:pStyle w:val="Subsection"/>
      </w:pPr>
      <w:r>
        <w:tab/>
      </w:r>
      <w:r>
        <w:tab/>
        <w:t>At a meeting of the SEMC a quorum is constituted by at least half of the number of members in office, of whom one is the chairman or deputy chairman appointed under section 13 of the Act.</w:t>
      </w:r>
    </w:p>
    <w:p>
      <w:pPr>
        <w:pStyle w:val="Heading5"/>
      </w:pPr>
      <w:bookmarkStart w:id="36" w:name="_Toc192857579"/>
      <w:bookmarkStart w:id="37" w:name="_Toc185433143"/>
      <w:r>
        <w:rPr>
          <w:rStyle w:val="CharSectno"/>
        </w:rPr>
        <w:t>11</w:t>
      </w:r>
      <w:r>
        <w:t>.</w:t>
      </w:r>
      <w:r>
        <w:tab/>
        <w:t>Minutes</w:t>
      </w:r>
      <w:bookmarkEnd w:id="36"/>
      <w:bookmarkEnd w:id="37"/>
    </w:p>
    <w:p>
      <w:pPr>
        <w:pStyle w:val="Subsection"/>
      </w:pPr>
      <w:r>
        <w:tab/>
      </w:r>
      <w:r>
        <w:tab/>
        <w:t>The SEMC must cause accurate minutes to be kept of the proceedings at its meetings and of each resolution passed by the SEMC.</w:t>
      </w:r>
    </w:p>
    <w:p>
      <w:pPr>
        <w:pStyle w:val="Heading5"/>
      </w:pPr>
      <w:bookmarkStart w:id="38" w:name="_Toc192857580"/>
      <w:bookmarkStart w:id="39" w:name="_Toc185433144"/>
      <w:r>
        <w:rPr>
          <w:rStyle w:val="CharSectno"/>
        </w:rPr>
        <w:t>12</w:t>
      </w:r>
      <w:r>
        <w:t>.</w:t>
      </w:r>
      <w:r>
        <w:tab/>
        <w:t>Holding meetings by telephone etc.</w:t>
      </w:r>
      <w:bookmarkEnd w:id="38"/>
      <w:bookmarkEnd w:id="39"/>
    </w:p>
    <w:p>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pPr>
        <w:pStyle w:val="Heading5"/>
      </w:pPr>
      <w:bookmarkStart w:id="40" w:name="_Toc192857581"/>
      <w:bookmarkStart w:id="41" w:name="_Toc185433145"/>
      <w:r>
        <w:rPr>
          <w:rStyle w:val="CharSectno"/>
        </w:rPr>
        <w:t>13</w:t>
      </w:r>
      <w:r>
        <w:t>.</w:t>
      </w:r>
      <w:r>
        <w:tab/>
        <w:t>Resolution without meeting</w:t>
      </w:r>
      <w:bookmarkEnd w:id="40"/>
      <w:bookmarkEnd w:id="41"/>
    </w:p>
    <w:p>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pPr>
        <w:pStyle w:val="Heading2"/>
      </w:pPr>
      <w:bookmarkStart w:id="42" w:name="_Toc192853944"/>
      <w:bookmarkStart w:id="43" w:name="_Toc192854420"/>
      <w:bookmarkStart w:id="44" w:name="_Toc192857582"/>
      <w:bookmarkStart w:id="45" w:name="_Toc185432181"/>
      <w:bookmarkStart w:id="46" w:name="_Toc185432474"/>
      <w:bookmarkStart w:id="47" w:name="_Toc185433146"/>
      <w:r>
        <w:rPr>
          <w:rStyle w:val="CharPartNo"/>
        </w:rPr>
        <w:t>Part 3</w:t>
      </w:r>
      <w:r>
        <w:t> — </w:t>
      </w:r>
      <w:r>
        <w:rPr>
          <w:rStyle w:val="CharPartText"/>
        </w:rPr>
        <w:t>Hazard management</w:t>
      </w:r>
      <w:bookmarkEnd w:id="42"/>
      <w:bookmarkEnd w:id="43"/>
      <w:bookmarkEnd w:id="44"/>
      <w:bookmarkEnd w:id="45"/>
      <w:bookmarkEnd w:id="46"/>
      <w:bookmarkEnd w:id="47"/>
    </w:p>
    <w:p>
      <w:pPr>
        <w:pStyle w:val="Footnoteheading"/>
      </w:pPr>
      <w:r>
        <w:tab/>
        <w:t>[Heading inserted: Gazette 12 Jan 2007 p. 50.]</w:t>
      </w:r>
    </w:p>
    <w:p>
      <w:pPr>
        <w:pStyle w:val="Heading5"/>
      </w:pPr>
      <w:bookmarkStart w:id="48" w:name="_Toc192857583"/>
      <w:bookmarkStart w:id="49" w:name="_Toc185433147"/>
      <w:r>
        <w:rPr>
          <w:rStyle w:val="CharSectno"/>
        </w:rPr>
        <w:t>14</w:t>
      </w:r>
      <w:r>
        <w:t>.</w:t>
      </w:r>
      <w:r>
        <w:tab/>
        <w:t>Terms used</w:t>
      </w:r>
      <w:bookmarkEnd w:id="48"/>
      <w:bookmarkEnd w:id="49"/>
    </w:p>
    <w:p>
      <w:pPr>
        <w:pStyle w:val="Subsection"/>
      </w:pPr>
      <w:r>
        <w:tab/>
      </w:r>
      <w:r>
        <w:tab/>
        <w:t xml:space="preserve">In this Part — </w:t>
      </w:r>
    </w:p>
    <w:p>
      <w:pPr>
        <w:pStyle w:val="Defstart"/>
      </w:pPr>
      <w:r>
        <w:tab/>
      </w:r>
      <w:r>
        <w:rPr>
          <w:rStyle w:val="CharDefText"/>
        </w:rPr>
        <w:t>corridor land</w:t>
      </w:r>
      <w:r>
        <w:t xml:space="preserve"> has the meaning given in the </w:t>
      </w:r>
      <w:r>
        <w:rPr>
          <w:i/>
        </w:rPr>
        <w:t>Rail Freight System Act 2000</w:t>
      </w:r>
      <w:r>
        <w:t xml:space="preserve"> section 3;</w:t>
      </w:r>
    </w:p>
    <w:p>
      <w:pPr>
        <w:pStyle w:val="Defstart"/>
      </w:pPr>
      <w:r>
        <w:tab/>
      </w:r>
      <w:r>
        <w:rPr>
          <w:rStyle w:val="CharDefText"/>
        </w:rPr>
        <w:t>explosive substance</w:t>
      </w:r>
      <w:r>
        <w:t xml:space="preserve"> has the meaning given in </w:t>
      </w:r>
      <w:r>
        <w:rPr>
          <w:i/>
        </w:rPr>
        <w:t>The Criminal Code</w:t>
      </w:r>
      <w:r>
        <w:t xml:space="preserve"> section 455;</w:t>
      </w:r>
    </w:p>
    <w:p>
      <w:pPr>
        <w:pStyle w:val="Defstart"/>
      </w:pPr>
      <w:r>
        <w:tab/>
      </w:r>
      <w:r>
        <w:rPr>
          <w:rStyle w:val="CharDefText"/>
        </w:rPr>
        <w:t>firearm</w:t>
      </w:r>
      <w:r>
        <w:t xml:space="preserve"> has the meaning given in the </w:t>
      </w:r>
      <w:r>
        <w:rPr>
          <w:i/>
          <w:iCs/>
        </w:rPr>
        <w:t>Firearms Act </w:t>
      </w:r>
      <w:del w:id="50" w:author="Master Repository Process" w:date="2025-07-03T12:00:00Z">
        <w:r>
          <w:rPr>
            <w:i/>
          </w:rPr>
          <w:delText>1973</w:delText>
        </w:r>
      </w:del>
      <w:ins w:id="51" w:author="Master Repository Process" w:date="2025-07-03T12:00:00Z">
        <w:r>
          <w:rPr>
            <w:i/>
            <w:iCs/>
          </w:rPr>
          <w:t>2024</w:t>
        </w:r>
      </w:ins>
      <w:r>
        <w:t xml:space="preserve"> section </w:t>
      </w:r>
      <w:del w:id="52" w:author="Master Repository Process" w:date="2025-07-03T12:00:00Z">
        <w:r>
          <w:delText>4</w:delText>
        </w:r>
      </w:del>
      <w:ins w:id="53" w:author="Master Repository Process" w:date="2025-07-03T12:00:00Z">
        <w:r>
          <w:t>6</w:t>
        </w:r>
      </w:ins>
      <w:r>
        <w:t>;</w:t>
      </w:r>
    </w:p>
    <w:p>
      <w:pPr>
        <w:pStyle w:val="Defstart"/>
      </w:pPr>
      <w:r>
        <w:tab/>
      </w:r>
      <w:r>
        <w:rPr>
          <w:rStyle w:val="CharDefText"/>
        </w:rPr>
        <w:t>hostile act</w:t>
      </w:r>
      <w:r>
        <w:t xml:space="preserve"> has the meaning given in regulation 14A;</w:t>
      </w:r>
    </w:p>
    <w:p>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pPr>
        <w:pStyle w:val="Defstart"/>
      </w:pPr>
      <w:r>
        <w:tab/>
      </w:r>
      <w:r>
        <w:rPr>
          <w:rStyle w:val="CharDefText"/>
        </w:rPr>
        <w:t>State waters</w:t>
      </w:r>
      <w:r>
        <w:t xml:space="preserve"> means — </w:t>
      </w:r>
    </w:p>
    <w:p>
      <w:pPr>
        <w:pStyle w:val="Defpara"/>
      </w:pPr>
      <w:r>
        <w:tab/>
        <w:t>(a)</w:t>
      </w:r>
      <w:r>
        <w:tab/>
        <w:t>all waters within the limits of the State; and</w:t>
      </w:r>
    </w:p>
    <w:p>
      <w:pPr>
        <w:pStyle w:val="Defpara"/>
      </w:pPr>
      <w:r>
        <w:tab/>
        <w:t>(b)</w:t>
      </w:r>
      <w:r>
        <w:tab/>
        <w:t xml:space="preserve">all coastal waters of the State within the meaning given in the </w:t>
      </w:r>
      <w:r>
        <w:rPr>
          <w:i/>
        </w:rPr>
        <w:t>Coastal Waters (State Powers) Act 1980</w:t>
      </w:r>
      <w:r>
        <w:t xml:space="preserve"> (Commonwealth) section 3(1);</w:t>
      </w:r>
    </w:p>
    <w:p>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pPr>
        <w:pStyle w:val="Defstart"/>
      </w:pPr>
      <w:r>
        <w:tab/>
      </w:r>
      <w:r>
        <w:rPr>
          <w:rStyle w:val="CharDefText"/>
        </w:rPr>
        <w:t>weapon</w:t>
      </w:r>
      <w:r>
        <w:t xml:space="preserve"> has the meaning given in the </w:t>
      </w:r>
      <w:r>
        <w:rPr>
          <w:i/>
        </w:rPr>
        <w:t>Weapons Act 1999</w:t>
      </w:r>
      <w:r>
        <w:t xml:space="preserve"> section 3.</w:t>
      </w:r>
    </w:p>
    <w:p>
      <w:pPr>
        <w:pStyle w:val="Footnotesection"/>
      </w:pPr>
      <w:r>
        <w:tab/>
        <w:t>[Regulation 14 inserted: Gazette 12 Jan 2007 p. 50</w:t>
      </w:r>
      <w:r>
        <w:noBreakHyphen/>
        <w:t>1; amended: Gazette 18 Mar 2008 p. 867; 13 Jan 2009 p. 55</w:t>
      </w:r>
      <w:r>
        <w:noBreakHyphen/>
        <w:t>6; 10 Sep 2010 p. 4345; 29 Jan 2013 p. 330; SL 2020/24 r. </w:t>
      </w:r>
      <w:del w:id="54" w:author="Master Repository Process" w:date="2025-07-03T12:00:00Z">
        <w:r>
          <w:delText>5</w:delText>
        </w:r>
      </w:del>
      <w:ins w:id="55" w:author="Master Repository Process" w:date="2025-07-03T12:00:00Z">
        <w:r>
          <w:t>5; SL 2024/294 r. 4</w:t>
        </w:r>
      </w:ins>
      <w:r>
        <w:t>.]</w:t>
      </w:r>
    </w:p>
    <w:p>
      <w:pPr>
        <w:pStyle w:val="Heading5"/>
      </w:pPr>
      <w:bookmarkStart w:id="56" w:name="_Toc192857584"/>
      <w:bookmarkStart w:id="57" w:name="_Toc185433148"/>
      <w:r>
        <w:rPr>
          <w:rStyle w:val="CharSectno"/>
        </w:rPr>
        <w:t>14A</w:t>
      </w:r>
      <w:r>
        <w:t>.</w:t>
      </w:r>
      <w:r>
        <w:tab/>
        <w:t>Hostile acts</w:t>
      </w:r>
      <w:bookmarkEnd w:id="56"/>
      <w:bookmarkEnd w:id="57"/>
    </w:p>
    <w:p>
      <w:pPr>
        <w:pStyle w:val="Subsection"/>
      </w:pPr>
      <w:r>
        <w:tab/>
        <w:t>(1)</w:t>
      </w:r>
      <w:r>
        <w:tab/>
        <w:t xml:space="preserve">For the purposes of this Part, a </w:t>
      </w:r>
      <w:r>
        <w:rPr>
          <w:rStyle w:val="CharDefText"/>
        </w:rPr>
        <w:t>hostile act</w:t>
      </w:r>
      <w:r>
        <w:t xml:space="preserve"> is — </w:t>
      </w:r>
    </w:p>
    <w:p>
      <w:pPr>
        <w:pStyle w:val="Indenta"/>
      </w:pPr>
      <w:r>
        <w:tab/>
        <w:t>(a)</w:t>
      </w:r>
      <w:r>
        <w:tab/>
        <w:t>an event or situation to which subregulation (2), (3) or (4) applies; or</w:t>
      </w:r>
    </w:p>
    <w:p>
      <w:pPr>
        <w:pStyle w:val="Indenta"/>
      </w:pPr>
      <w:r>
        <w:tab/>
        <w:t>(b)</w:t>
      </w:r>
      <w:r>
        <w:tab/>
        <w:t xml:space="preserve">an event or situation that is, or is reasonably suspected to be, any of the following — </w:t>
      </w:r>
    </w:p>
    <w:p>
      <w:pPr>
        <w:pStyle w:val="Indenti"/>
      </w:pPr>
      <w:r>
        <w:tab/>
        <w:t>(i)</w:t>
      </w:r>
      <w:r>
        <w:tab/>
        <w:t>1 or more persons being held hostage;</w:t>
      </w:r>
    </w:p>
    <w:p>
      <w:pPr>
        <w:pStyle w:val="Indenti"/>
      </w:pPr>
      <w:r>
        <w:tab/>
        <w:t>(ii)</w:t>
      </w:r>
      <w:r>
        <w:tab/>
        <w:t>a kidnapping;</w:t>
      </w:r>
    </w:p>
    <w:p>
      <w:pPr>
        <w:pStyle w:val="Indenti"/>
      </w:pPr>
      <w:r>
        <w:tab/>
        <w:t>(iii)</w:t>
      </w:r>
      <w:r>
        <w:tab/>
        <w:t>a siege;</w:t>
      </w:r>
    </w:p>
    <w:p>
      <w:pPr>
        <w:pStyle w:val="Indenti"/>
      </w:pPr>
      <w:r>
        <w:tab/>
        <w:t>(iv)</w:t>
      </w:r>
      <w:r>
        <w:tab/>
        <w:t>the hijacking of a vehicle or aircraft;</w:t>
      </w:r>
    </w:p>
    <w:p>
      <w:pPr>
        <w:pStyle w:val="Indenta"/>
      </w:pPr>
      <w:r>
        <w:tab/>
      </w:r>
      <w:r>
        <w:tab/>
        <w:t>or</w:t>
      </w:r>
    </w:p>
    <w:p>
      <w:pPr>
        <w:pStyle w:val="Indenta"/>
      </w:pPr>
      <w:r>
        <w:tab/>
        <w:t>(c)</w:t>
      </w:r>
      <w:r>
        <w:tab/>
        <w:t>an event or situation involving the escape of a person from lawful custody that is capable of causing or resulting in loss of life, prejudice to the safety, or harm to the health, of persons.</w:t>
      </w:r>
    </w:p>
    <w:p>
      <w:pPr>
        <w:pStyle w:val="Subsection"/>
      </w:pPr>
      <w:r>
        <w:tab/>
        <w:t>(2)</w:t>
      </w:r>
      <w:r>
        <w:tab/>
        <w:t xml:space="preserve">This subregulation applies to an event or situation in which — </w:t>
      </w:r>
    </w:p>
    <w:p>
      <w:pPr>
        <w:pStyle w:val="Indenta"/>
      </w:pPr>
      <w:r>
        <w:tab/>
        <w:t>(a)</w:t>
      </w:r>
      <w:r>
        <w:tab/>
        <w:t xml:space="preserve">an explosive substance or hazardous substance is used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an explosive substance or hazardous substance is being or will be used as referred to in paragraph (a); or</w:t>
      </w:r>
    </w:p>
    <w:p>
      <w:pPr>
        <w:pStyle w:val="Indenta"/>
      </w:pPr>
      <w:r>
        <w:tab/>
        <w:t>(c)</w:t>
      </w:r>
      <w:r>
        <w:tab/>
        <w:t>it is reasonably suspected that an explosive substance or hazardous substance is being or will be used as referred to in paragraph (a).</w:t>
      </w:r>
    </w:p>
    <w:p>
      <w:pPr>
        <w:pStyle w:val="Subsection"/>
        <w:keepNext/>
      </w:pPr>
      <w:r>
        <w:tab/>
        <w:t>(3)</w:t>
      </w:r>
      <w:r>
        <w:tab/>
        <w:t xml:space="preserve">This subregulation applies to an event or situation in which — </w:t>
      </w:r>
    </w:p>
    <w:p>
      <w:pPr>
        <w:pStyle w:val="Indenta"/>
      </w:pPr>
      <w:r>
        <w:tab/>
        <w:t>(a)</w:t>
      </w:r>
      <w:r>
        <w:tab/>
        <w:t>a person is, or is reasonably suspected to be, in possession of any firearm or weapon; and</w:t>
      </w:r>
    </w:p>
    <w:p>
      <w:pPr>
        <w:pStyle w:val="Indenta"/>
      </w:pPr>
      <w:r>
        <w:tab/>
        <w:t>(b)</w:t>
      </w:r>
      <w:r>
        <w:tab/>
        <w:t xml:space="preserve">any of the following applies — </w:t>
      </w:r>
    </w:p>
    <w:p>
      <w:pPr>
        <w:pStyle w:val="Indenti"/>
      </w:pPr>
      <w:r>
        <w:tab/>
        <w:t>(i)</w:t>
      </w:r>
      <w:r>
        <w:tab/>
        <w:t>the firearm or weapon is used to cause loss of life, prejudice to the safety, or harm to the health, of persons;</w:t>
      </w:r>
    </w:p>
    <w:p>
      <w:pPr>
        <w:pStyle w:val="Indenti"/>
      </w:pPr>
      <w:r>
        <w:tab/>
        <w:t>(ii)</w:t>
      </w:r>
      <w:r>
        <w:tab/>
        <w:t>a threat is made that causes a person to have a reasonable suspicion that the firearm or weapon is being or will be used as referred to in subparagraph (i);</w:t>
      </w:r>
    </w:p>
    <w:p>
      <w:pPr>
        <w:pStyle w:val="Indenti"/>
      </w:pPr>
      <w:r>
        <w:tab/>
        <w:t>(iii)</w:t>
      </w:r>
      <w:r>
        <w:tab/>
        <w:t>it is reasonably suspected that the firearm or weapon is being or will be used as referred to in subparagraph (i).</w:t>
      </w:r>
    </w:p>
    <w:p>
      <w:pPr>
        <w:pStyle w:val="Subsection"/>
      </w:pPr>
      <w:r>
        <w:tab/>
        <w:t>(4)</w:t>
      </w:r>
      <w:r>
        <w:tab/>
        <w:t xml:space="preserve">This subregulation applies to an event or situation in which — </w:t>
      </w:r>
    </w:p>
    <w:p>
      <w:pPr>
        <w:pStyle w:val="Indenta"/>
      </w:pPr>
      <w:r>
        <w:tab/>
        <w:t>(a)</w:t>
      </w:r>
      <w:r>
        <w:tab/>
        <w:t xml:space="preserve">a person uses a vehicle or aircraft intentionally to cause — </w:t>
      </w:r>
    </w:p>
    <w:p>
      <w:pPr>
        <w:pStyle w:val="Indenti"/>
      </w:pPr>
      <w:r>
        <w:tab/>
        <w:t>(i)</w:t>
      </w:r>
      <w:r>
        <w:tab/>
        <w:t>loss of life, prejudice to the safety, or harm to the health, of persons or animals; or</w:t>
      </w:r>
    </w:p>
    <w:p>
      <w:pPr>
        <w:pStyle w:val="Indenti"/>
      </w:pPr>
      <w:r>
        <w:tab/>
        <w:t>(ii)</w:t>
      </w:r>
      <w:r>
        <w:tab/>
        <w:t>unlawful destruction of, or damage to, property or any part of the environment;</w:t>
      </w:r>
    </w:p>
    <w:p>
      <w:pPr>
        <w:pStyle w:val="Indenta"/>
      </w:pPr>
      <w:r>
        <w:tab/>
      </w:r>
      <w:r>
        <w:tab/>
        <w:t>or</w:t>
      </w:r>
    </w:p>
    <w:p>
      <w:pPr>
        <w:pStyle w:val="Indenta"/>
      </w:pPr>
      <w:r>
        <w:tab/>
        <w:t>(b)</w:t>
      </w:r>
      <w:r>
        <w:tab/>
        <w:t>a threat is made that causes a person to have a reasonable suspicion that a vehicle or aircraft is being or will be used as referred to in paragraph (a); or</w:t>
      </w:r>
    </w:p>
    <w:p>
      <w:pPr>
        <w:pStyle w:val="Indenta"/>
      </w:pPr>
      <w:r>
        <w:tab/>
        <w:t>(c)</w:t>
      </w:r>
      <w:r>
        <w:tab/>
        <w:t>it is reasonably suspected that a vehicle or aircraft is being or will be used as referred to in paragraph (a).</w:t>
      </w:r>
    </w:p>
    <w:p>
      <w:pPr>
        <w:pStyle w:val="Footnotesection"/>
      </w:pPr>
      <w:r>
        <w:tab/>
        <w:t>[Regulation 14A inserted: SL 2020/24 r. 6.]</w:t>
      </w:r>
    </w:p>
    <w:p>
      <w:pPr>
        <w:pStyle w:val="Heading5"/>
      </w:pPr>
      <w:bookmarkStart w:id="58" w:name="_Toc192857585"/>
      <w:bookmarkStart w:id="59" w:name="_Toc185433149"/>
      <w:r>
        <w:rPr>
          <w:rStyle w:val="CharSectno"/>
        </w:rPr>
        <w:t>15</w:t>
      </w:r>
      <w:r>
        <w:t>.</w:t>
      </w:r>
      <w:r>
        <w:tab/>
        <w:t>Events, situations and conditions prescribed as hazards</w:t>
      </w:r>
      <w:bookmarkEnd w:id="58"/>
      <w:bookmarkEnd w:id="59"/>
    </w:p>
    <w:p>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pPr>
        <w:pStyle w:val="Indenta"/>
      </w:pPr>
      <w:r>
        <w:tab/>
        <w:t>(a)</w:t>
      </w:r>
      <w:r>
        <w:tab/>
        <w:t>persons lost or in distress on land, requiring significant coordination of search operations;</w:t>
      </w:r>
    </w:p>
    <w:p>
      <w:pPr>
        <w:pStyle w:val="Indenta"/>
      </w:pPr>
      <w:r>
        <w:tab/>
        <w:t>(b)</w:t>
      </w:r>
      <w:r>
        <w:tab/>
        <w:t>persons lost or in distress in waters or on a vessel in waters;</w:t>
      </w:r>
    </w:p>
    <w:p>
      <w:pPr>
        <w:pStyle w:val="Indenta"/>
        <w:keepNext/>
      </w:pPr>
      <w:r>
        <w:tab/>
        <w:t>(c)</w:t>
      </w:r>
      <w:r>
        <w:tab/>
        <w:t>radiation escape from nuclear powered warship;</w:t>
      </w:r>
    </w:p>
    <w:p>
      <w:pPr>
        <w:pStyle w:val="Indenta"/>
      </w:pPr>
      <w:r>
        <w:tab/>
        <w:t>(d)</w:t>
      </w:r>
      <w:r>
        <w:tab/>
        <w:t>space re</w:t>
      </w:r>
      <w:r>
        <w:noBreakHyphen/>
        <w:t>entry debris;</w:t>
      </w:r>
    </w:p>
    <w:p>
      <w:pPr>
        <w:pStyle w:val="Indenta"/>
      </w:pPr>
      <w:r>
        <w:tab/>
        <w:t>(e)</w:t>
      </w:r>
      <w:r>
        <w:tab/>
        <w:t>injury or threat to life of persons trapped by the collapse of a structure or landform;</w:t>
      </w:r>
    </w:p>
    <w:p>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pPr>
        <w:pStyle w:val="Indenta"/>
      </w:pPr>
      <w:r>
        <w:tab/>
        <w:t>(g)</w:t>
      </w:r>
      <w:r>
        <w:tab/>
        <w:t>human epidemic;</w:t>
      </w:r>
    </w:p>
    <w:p>
      <w:pPr>
        <w:pStyle w:val="Indenta"/>
      </w:pPr>
      <w:r>
        <w:tab/>
        <w:t>(h)</w:t>
      </w:r>
      <w:r>
        <w:tab/>
        <w:t xml:space="preserve">the presence of — </w:t>
      </w:r>
    </w:p>
    <w:p>
      <w:pPr>
        <w:pStyle w:val="Indenti"/>
      </w:pPr>
      <w:r>
        <w:tab/>
        <w:t>(i)</w:t>
      </w:r>
      <w:r>
        <w:tab/>
        <w:t>an animal or plant pest; or</w:t>
      </w:r>
    </w:p>
    <w:p>
      <w:pPr>
        <w:pStyle w:val="Indenti"/>
      </w:pPr>
      <w:r>
        <w:tab/>
        <w:t>(ii)</w:t>
      </w:r>
      <w:r>
        <w:tab/>
        <w:t>an animal or plant disease;</w:t>
      </w:r>
    </w:p>
    <w:p>
      <w:pPr>
        <w:pStyle w:val="Indenta"/>
      </w:pPr>
      <w:r>
        <w:tab/>
        <w:t>(i)</w:t>
      </w:r>
      <w:r>
        <w:tab/>
        <w:t xml:space="preserve">actual or impending event that involves a vessel (including a collision, a stranding or an incident of navigation) if the event is capable of causing or resulting in — </w:t>
      </w:r>
    </w:p>
    <w:p>
      <w:pPr>
        <w:pStyle w:val="Indenti"/>
      </w:pPr>
      <w:r>
        <w:tab/>
        <w:t>(i)</w:t>
      </w:r>
      <w:r>
        <w:tab/>
        <w:t>material damage to the vessel or another vessel; or</w:t>
      </w:r>
    </w:p>
    <w:p>
      <w:pPr>
        <w:pStyle w:val="Indenti"/>
      </w:pPr>
      <w:r>
        <w:tab/>
        <w:t>(ii)</w:t>
      </w:r>
      <w:r>
        <w:tab/>
        <w:t>loss of life, injury to a person or damage to the health of a person, property or the environment; or</w:t>
      </w:r>
    </w:p>
    <w:p>
      <w:pPr>
        <w:pStyle w:val="Indenti"/>
      </w:pPr>
      <w:r>
        <w:tab/>
        <w:t>(iii)</w:t>
      </w:r>
      <w:r>
        <w:tab/>
        <w:t>a hazard to the navigation of other vessels;</w:t>
      </w:r>
    </w:p>
    <w:p>
      <w:pPr>
        <w:pStyle w:val="Indenta"/>
      </w:pPr>
      <w:r>
        <w:tab/>
        <w:t>(j)</w:t>
      </w:r>
      <w:r>
        <w:tab/>
        <w:t>actual or impending spillage, release or escape of oil or an oily mixture that is capable of causing loss of life, injury to a person or damage to the health of a person, property or the environment;</w:t>
      </w:r>
    </w:p>
    <w:p>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pPr>
        <w:pStyle w:val="Indenta"/>
      </w:pPr>
      <w:r>
        <w:tab/>
        <w:t>(l)</w:t>
      </w:r>
      <w:r>
        <w:tab/>
        <w:t>loss of or interruption to the supply of electricity that is capable of causing or resulting in loss of life, prejudice to the safety, or harm to the health, of a person;</w:t>
      </w:r>
    </w:p>
    <w:p>
      <w:pPr>
        <w:pStyle w:val="Indenta"/>
      </w:pPr>
      <w:r>
        <w:tab/>
        <w:t>(m)</w:t>
      </w:r>
      <w:r>
        <w:tab/>
        <w:t>heatwave;</w:t>
      </w:r>
    </w:p>
    <w:p>
      <w:pPr>
        <w:pStyle w:val="Indenta"/>
      </w:pPr>
      <w:r>
        <w:tab/>
        <w:t>(n)</w:t>
      </w:r>
      <w:r>
        <w:tab/>
        <w:t>hostile act.</w:t>
      </w:r>
    </w:p>
    <w:p>
      <w:pPr>
        <w:pStyle w:val="Footnotesection"/>
      </w:pPr>
      <w:r>
        <w:tab/>
        <w:t>[Regulation 15 inserted: Gazette 12 Jan 2007 p. 51; amended: Gazette 18 Mar 2008 p. 867; 29 Apr 2008 p. 1577</w:t>
      </w:r>
      <w:r>
        <w:noBreakHyphen/>
        <w:t>8; 10 Sep 2010 p. 4345; 3 Dec 2010 p. 6056; 15 Oct 2013 p. 4673; SL 2020/24 r. 7.]</w:t>
      </w:r>
    </w:p>
    <w:p>
      <w:pPr>
        <w:pStyle w:val="Heading5"/>
        <w:keepLines w:val="0"/>
      </w:pPr>
      <w:bookmarkStart w:id="60" w:name="_Toc192857586"/>
      <w:bookmarkStart w:id="61" w:name="_Toc185433150"/>
      <w:r>
        <w:rPr>
          <w:rStyle w:val="CharSectno"/>
        </w:rPr>
        <w:t>16</w:t>
      </w:r>
      <w:r>
        <w:t>.</w:t>
      </w:r>
      <w:r>
        <w:tab/>
        <w:t>Hazard management agency — Commissioner of Police</w:t>
      </w:r>
      <w:bookmarkEnd w:id="60"/>
      <w:bookmarkEnd w:id="61"/>
    </w:p>
    <w:p>
      <w:pPr>
        <w:pStyle w:val="Subsection"/>
      </w:pPr>
      <w:r>
        <w:tab/>
        <w:t>(1)</w:t>
      </w:r>
      <w:r>
        <w:tab/>
        <w:t>The Commissioner of Police is the hazard management agency for emergency management of the following hazards for the whole of the State —</w:t>
      </w:r>
    </w:p>
    <w:p>
      <w:pPr>
        <w:pStyle w:val="Indenta"/>
      </w:pPr>
      <w:r>
        <w:tab/>
        <w:t>(a)</w:t>
      </w:r>
      <w:r>
        <w:tab/>
        <w:t>air crash;</w:t>
      </w:r>
    </w:p>
    <w:p>
      <w:pPr>
        <w:pStyle w:val="Indenta"/>
      </w:pPr>
      <w:r>
        <w:tab/>
        <w:t>(b)</w:t>
      </w:r>
      <w:r>
        <w:tab/>
        <w:t>road crash;</w:t>
      </w:r>
    </w:p>
    <w:p>
      <w:pPr>
        <w:pStyle w:val="Indenta"/>
      </w:pPr>
      <w:r>
        <w:tab/>
        <w:t>(c)</w:t>
      </w:r>
      <w:r>
        <w:tab/>
        <w:t>persons lost or in distress on land, requiring significant coordination of search operations;</w:t>
      </w:r>
    </w:p>
    <w:p>
      <w:pPr>
        <w:pStyle w:val="Ednotepara"/>
      </w:pPr>
      <w:r>
        <w:tab/>
        <w:t>[(d)</w:t>
      </w:r>
      <w:r>
        <w:tab/>
        <w:t>deleted.]</w:t>
      </w:r>
    </w:p>
    <w:p>
      <w:pPr>
        <w:pStyle w:val="Indenta"/>
      </w:pPr>
      <w:r>
        <w:tab/>
        <w:t>(e)</w:t>
      </w:r>
      <w:r>
        <w:tab/>
        <w:t>radiation escape from nuclear powered warship;</w:t>
      </w:r>
    </w:p>
    <w:p>
      <w:pPr>
        <w:pStyle w:val="Indenta"/>
      </w:pPr>
      <w:r>
        <w:tab/>
        <w:t>(f)</w:t>
      </w:r>
      <w:r>
        <w:tab/>
        <w:t>space re</w:t>
      </w:r>
      <w:r>
        <w:noBreakHyphen/>
        <w:t>entry debris;</w:t>
      </w:r>
    </w:p>
    <w:p>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pPr>
        <w:pStyle w:val="Indenta"/>
      </w:pPr>
      <w:r>
        <w:tab/>
        <w:t>(h)</w:t>
      </w:r>
      <w:r>
        <w:tab/>
        <w:t>hostile act.</w:t>
      </w:r>
    </w:p>
    <w:p>
      <w:pPr>
        <w:pStyle w:val="Subsection"/>
      </w:pPr>
      <w:r>
        <w:tab/>
        <w:t>(2)</w:t>
      </w:r>
      <w:r>
        <w:tab/>
        <w:t xml:space="preserve">The Commissioner of Police is the hazard management agency for emergency management of the hazard set out in regulation 15(b) — </w:t>
      </w:r>
    </w:p>
    <w:p>
      <w:pPr>
        <w:pStyle w:val="Indenta"/>
      </w:pPr>
      <w:r>
        <w:tab/>
        <w:t>(a)</w:t>
      </w:r>
      <w:r>
        <w:tab/>
        <w:t>for emergency management; and</w:t>
      </w:r>
    </w:p>
    <w:p>
      <w:pPr>
        <w:pStyle w:val="Indenta"/>
      </w:pPr>
      <w:r>
        <w:tab/>
        <w:t>(b)</w:t>
      </w:r>
      <w:r>
        <w:tab/>
        <w:t xml:space="preserve">for the following area or areas — </w:t>
      </w:r>
    </w:p>
    <w:p>
      <w:pPr>
        <w:pStyle w:val="Indenti"/>
      </w:pPr>
      <w:r>
        <w:tab/>
        <w:t>(i)</w:t>
      </w:r>
      <w:r>
        <w:tab/>
        <w:t>State waters;</w:t>
      </w:r>
    </w:p>
    <w:p>
      <w:pPr>
        <w:pStyle w:val="Indenti"/>
      </w:pPr>
      <w:r>
        <w:tab/>
        <w:t>(ii)</w:t>
      </w:r>
      <w:r>
        <w:tab/>
        <w:t xml:space="preserve">the area of a port as defined in the </w:t>
      </w:r>
      <w:r>
        <w:rPr>
          <w:i/>
        </w:rPr>
        <w:t>Shipping and Pilotage Act 1967</w:t>
      </w:r>
      <w:r>
        <w:t xml:space="preserve"> section 3;</w:t>
      </w:r>
    </w:p>
    <w:p>
      <w:pPr>
        <w:pStyle w:val="Indenti"/>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16 inserted: Gazette 12 Jan 2007 p. 51</w:t>
      </w:r>
      <w:r>
        <w:noBreakHyphen/>
        <w:t>2; amended: Gazette 13 Jan 2009 p. 56; 29 Jan 2013 p. 330; SL 2020/24 r. 8.]</w:t>
      </w:r>
    </w:p>
    <w:p>
      <w:pPr>
        <w:pStyle w:val="Heading5"/>
      </w:pPr>
      <w:bookmarkStart w:id="62" w:name="_Toc192857587"/>
      <w:bookmarkStart w:id="63" w:name="_Toc185433151"/>
      <w:r>
        <w:rPr>
          <w:rStyle w:val="CharSectno"/>
        </w:rPr>
        <w:t>17</w:t>
      </w:r>
      <w:r>
        <w:t>.</w:t>
      </w:r>
      <w:r>
        <w:tab/>
        <w:t>Hazard management agency — FES Commissioner</w:t>
      </w:r>
      <w:bookmarkEnd w:id="62"/>
      <w:bookmarkEnd w:id="63"/>
    </w:p>
    <w:p>
      <w:pPr>
        <w:pStyle w:val="Subsection"/>
      </w:pPr>
      <w:r>
        <w:tab/>
        <w:t>(1)</w:t>
      </w:r>
      <w:r>
        <w:tab/>
        <w:t xml:space="preserve">In this regulation — </w:t>
      </w:r>
    </w:p>
    <w:p>
      <w:pPr>
        <w:pStyle w:val="Defstart"/>
      </w:pPr>
      <w:r>
        <w:tab/>
      </w:r>
      <w:r>
        <w:rPr>
          <w:rStyle w:val="CharDefText"/>
        </w:rPr>
        <w:t>FES Commissioner</w:t>
      </w:r>
      <w:r>
        <w:t xml:space="preserve"> means the chief executive officer of the FES Department.</w:t>
      </w:r>
    </w:p>
    <w:p>
      <w:pPr>
        <w:pStyle w:val="Subsection"/>
      </w:pPr>
      <w:r>
        <w:tab/>
        <w:t>(2)</w:t>
      </w:r>
      <w:r>
        <w:tab/>
        <w:t>The FES Commissioner is the hazard management agency for emergency management of the following hazards for the whole of the State —</w:t>
      </w:r>
    </w:p>
    <w:p>
      <w:pPr>
        <w:pStyle w:val="Indenta"/>
      </w:pPr>
      <w:r>
        <w:tab/>
        <w:t>(a)</w:t>
      </w:r>
      <w:r>
        <w:tab/>
        <w:t>injury or threat to life of persons trapped by the collapse of a structure or landform;</w:t>
      </w:r>
    </w:p>
    <w:p>
      <w:pPr>
        <w:pStyle w:val="Indenta"/>
      </w:pPr>
      <w:r>
        <w:tab/>
        <w:t>(b)</w:t>
      </w:r>
      <w:r>
        <w:tab/>
        <w:t>cyclone;</w:t>
      </w:r>
    </w:p>
    <w:p>
      <w:pPr>
        <w:pStyle w:val="Indenta"/>
      </w:pPr>
      <w:r>
        <w:tab/>
        <w:t>(c)</w:t>
      </w:r>
      <w:r>
        <w:tab/>
        <w:t>earthquake;</w:t>
      </w:r>
    </w:p>
    <w:p>
      <w:pPr>
        <w:pStyle w:val="Indenta"/>
      </w:pPr>
      <w:r>
        <w:tab/>
        <w:t>(d)</w:t>
      </w:r>
      <w:r>
        <w:tab/>
        <w:t>flood;</w:t>
      </w:r>
    </w:p>
    <w:p>
      <w:pPr>
        <w:pStyle w:val="Indenta"/>
      </w:pPr>
      <w:r>
        <w:tab/>
        <w:t>(e)</w:t>
      </w:r>
      <w:r>
        <w:tab/>
        <w:t>storm;</w:t>
      </w:r>
    </w:p>
    <w:p>
      <w:pPr>
        <w:pStyle w:val="Indenta"/>
      </w:pPr>
      <w:r>
        <w:tab/>
        <w:t>(f)</w:t>
      </w:r>
      <w:r>
        <w:tab/>
        <w:t xml:space="preserve">tsunami; </w:t>
      </w:r>
    </w:p>
    <w:p>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pPr>
        <w:pStyle w:val="Indenta"/>
      </w:pPr>
      <w:r>
        <w:tab/>
        <w:t>(h)</w:t>
      </w:r>
      <w:r>
        <w:tab/>
        <w:t>fire.</w:t>
      </w:r>
    </w:p>
    <w:p>
      <w:pPr>
        <w:pStyle w:val="Footnotesection"/>
      </w:pPr>
      <w:r>
        <w:tab/>
        <w:t>[Regulation 17 inserted: Gazette 12 Jan 2007 p. 52; amended: Gazette 3 Dec 2010 p. 6057; 31 </w:t>
      </w:r>
      <w:r>
        <w:rPr>
          <w:szCs w:val="24"/>
        </w:rPr>
        <w:t>Oct 2012 p. 5254; 29 Jan 2013 p. 331; SL 2020/24 r. 9</w:t>
      </w:r>
      <w:r>
        <w:t>.]</w:t>
      </w:r>
    </w:p>
    <w:p>
      <w:pPr>
        <w:pStyle w:val="Ednotesection"/>
      </w:pPr>
      <w:r>
        <w:t>[</w:t>
      </w:r>
      <w:r>
        <w:rPr>
          <w:b/>
        </w:rPr>
        <w:t>18.</w:t>
      </w:r>
      <w:r>
        <w:tab/>
        <w:t>Deleted: SL 2020/24 r. 10.]</w:t>
      </w:r>
    </w:p>
    <w:p>
      <w:pPr>
        <w:pStyle w:val="Heading5"/>
      </w:pPr>
      <w:bookmarkStart w:id="64" w:name="_Toc192857588"/>
      <w:bookmarkStart w:id="65" w:name="_Toc185433152"/>
      <w:r>
        <w:rPr>
          <w:rStyle w:val="CharSectno"/>
        </w:rPr>
        <w:t>19</w:t>
      </w:r>
      <w:r>
        <w:t>.</w:t>
      </w:r>
      <w:r>
        <w:tab/>
        <w:t>Hazard management agency — Agriculture Director General</w:t>
      </w:r>
      <w:bookmarkEnd w:id="64"/>
      <w:bookmarkEnd w:id="65"/>
    </w:p>
    <w:p>
      <w:pPr>
        <w:pStyle w:val="Subsection"/>
      </w:pPr>
      <w:r>
        <w:tab/>
        <w:t>(1)</w:t>
      </w:r>
      <w:r>
        <w:tab/>
        <w:t xml:space="preserve">In this regulation — </w:t>
      </w:r>
    </w:p>
    <w:p>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pPr>
        <w:pStyle w:val="Subsection"/>
      </w:pPr>
      <w:r>
        <w:tab/>
        <w:t>(2)</w:t>
      </w:r>
      <w:r>
        <w:tab/>
        <w:t>The Agriculture Director General is the hazard management agency for emergency management of the hazard set out in regulation 15(h) for the whole of the State.</w:t>
      </w:r>
    </w:p>
    <w:p>
      <w:pPr>
        <w:pStyle w:val="Footnotesection"/>
      </w:pPr>
      <w:r>
        <w:tab/>
        <w:t>[Regulation 19 inserted: Gazette 29 Apr 2008 p. 1578; amended: Gazette 29 Jan 2013 p. 331.]</w:t>
      </w:r>
    </w:p>
    <w:p>
      <w:pPr>
        <w:pStyle w:val="Heading5"/>
      </w:pPr>
      <w:bookmarkStart w:id="66" w:name="_Toc192857589"/>
      <w:bookmarkStart w:id="67" w:name="_Toc185433153"/>
      <w:r>
        <w:rPr>
          <w:rStyle w:val="CharSectno"/>
        </w:rPr>
        <w:t>20</w:t>
      </w:r>
      <w:r>
        <w:t>.</w:t>
      </w:r>
      <w:r>
        <w:tab/>
        <w:t>Hazard management agency — Public Transport Authority</w:t>
      </w:r>
      <w:bookmarkEnd w:id="66"/>
      <w:bookmarkEnd w:id="67"/>
    </w:p>
    <w:p>
      <w:pPr>
        <w:pStyle w:val="Subsection"/>
      </w:pPr>
      <w:r>
        <w:tab/>
        <w:t>(1)</w:t>
      </w:r>
      <w:r>
        <w:tab/>
        <w:t xml:space="preserve">In this regulation — </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pPr>
        <w:pStyle w:val="Subsection"/>
        <w:keepNext/>
      </w:pPr>
      <w:r>
        <w:tab/>
        <w:t>(2)</w:t>
      </w:r>
      <w:r>
        <w:tab/>
        <w:t xml:space="preserve">The Public Transport Authority is the hazard management agency of the hazard rail crashes — </w:t>
      </w:r>
    </w:p>
    <w:p>
      <w:pPr>
        <w:pStyle w:val="Indenta"/>
      </w:pPr>
      <w:r>
        <w:tab/>
        <w:t>(a)</w:t>
      </w:r>
      <w:r>
        <w:tab/>
        <w:t>for emergency management; and</w:t>
      </w:r>
    </w:p>
    <w:p>
      <w:pPr>
        <w:pStyle w:val="Indenta"/>
      </w:pPr>
      <w:r>
        <w:tab/>
        <w:t>(b)</w:t>
      </w:r>
      <w:r>
        <w:tab/>
        <w:t>for that area of the State comprising any parcel of land other than corridor land on which railway infrastructure controlled, operated, maintained or managed by the Authority is situated.</w:t>
      </w:r>
    </w:p>
    <w:p>
      <w:pPr>
        <w:pStyle w:val="Footnotesection"/>
      </w:pPr>
      <w:r>
        <w:tab/>
        <w:t>[Regulation 20 inserted: Gazette 13 Jan 2009 p. 56</w:t>
      </w:r>
      <w:r>
        <w:noBreakHyphen/>
        <w:t>7.]</w:t>
      </w:r>
    </w:p>
    <w:p>
      <w:pPr>
        <w:pStyle w:val="Heading5"/>
      </w:pPr>
      <w:bookmarkStart w:id="68" w:name="_Toc192857590"/>
      <w:bookmarkStart w:id="69" w:name="_Toc185433154"/>
      <w:r>
        <w:rPr>
          <w:rStyle w:val="CharSectno"/>
        </w:rPr>
        <w:t>21</w:t>
      </w:r>
      <w:r>
        <w:t>.</w:t>
      </w:r>
      <w:r>
        <w:tab/>
        <w:t>Hazard management agency — ARC Infrastructure Pty Ltd</w:t>
      </w:r>
      <w:bookmarkEnd w:id="68"/>
      <w:bookmarkEnd w:id="69"/>
    </w:p>
    <w:p>
      <w:pPr>
        <w:pStyle w:val="Subsection"/>
      </w:pPr>
      <w:r>
        <w:tab/>
      </w:r>
      <w:r>
        <w:tab/>
        <w:t>ARC Infrastructure Pty Ltd (ACN 094 721 301) is the hazard management agency of the hazard rail crashes —</w:t>
      </w:r>
    </w:p>
    <w:p>
      <w:pPr>
        <w:pStyle w:val="Indenta"/>
      </w:pPr>
      <w:r>
        <w:tab/>
        <w:t>(a)</w:t>
      </w:r>
      <w:r>
        <w:tab/>
        <w:t>for emergency management; and</w:t>
      </w:r>
    </w:p>
    <w:p>
      <w:pPr>
        <w:pStyle w:val="Indenta"/>
      </w:pPr>
      <w:r>
        <w:tab/>
        <w:t>(b)</w:t>
      </w:r>
      <w:r>
        <w:tab/>
        <w:t>for that area of the State comprising any parcel of land or corridor land on which railway infrastructure operated, maintained or managed by ARC Infrastructure Pty Ltd is situated.</w:t>
      </w:r>
    </w:p>
    <w:p>
      <w:pPr>
        <w:pStyle w:val="Footnotesection"/>
      </w:pPr>
      <w:r>
        <w:tab/>
        <w:t>[Regulation 21 inserted: Gazette 13 Jan 2009 p. 57; amended: Gazette 13 Mar 2012 p. 1034; SL 2020/24 r. 11.]</w:t>
      </w:r>
    </w:p>
    <w:p>
      <w:pPr>
        <w:pStyle w:val="Heading5"/>
      </w:pPr>
      <w:bookmarkStart w:id="70" w:name="_Toc192857591"/>
      <w:bookmarkStart w:id="71" w:name="_Toc185433155"/>
      <w:r>
        <w:rPr>
          <w:rStyle w:val="CharSectno"/>
        </w:rPr>
        <w:t>22</w:t>
      </w:r>
      <w:r>
        <w:t>.</w:t>
      </w:r>
      <w:r>
        <w:tab/>
        <w:t>Hazard management agency — chief executive officer of Health Department</w:t>
      </w:r>
      <w:bookmarkEnd w:id="70"/>
      <w:bookmarkEnd w:id="71"/>
    </w:p>
    <w:p>
      <w:pPr>
        <w:pStyle w:val="Subsection"/>
      </w:pPr>
      <w:r>
        <w:tab/>
      </w:r>
      <w:r>
        <w:tab/>
        <w:t xml:space="preserve">The chief executive officer of the Health Department is the hazard management agency for emergency management of the following hazards for the whole of the State — </w:t>
      </w:r>
    </w:p>
    <w:p>
      <w:pPr>
        <w:pStyle w:val="Indenta"/>
      </w:pPr>
      <w:r>
        <w:tab/>
        <w:t>(aa)</w:t>
      </w:r>
      <w:r>
        <w:tab/>
        <w:t>human epidemic;</w:t>
      </w:r>
    </w:p>
    <w:p>
      <w:pPr>
        <w:pStyle w:val="Indenta"/>
      </w:pPr>
      <w:r>
        <w:tab/>
        <w:t>(a)</w:t>
      </w:r>
      <w:r>
        <w:tab/>
        <w:t>actual or impending spillage, release or escape of a biological substance that is capable of causing loss of life, injury to a person or damage to the health of a person, property or the environment;</w:t>
      </w:r>
    </w:p>
    <w:p>
      <w:pPr>
        <w:pStyle w:val="Indenta"/>
      </w:pPr>
      <w:r>
        <w:tab/>
        <w:t>(b)</w:t>
      </w:r>
      <w:r>
        <w:tab/>
        <w:t>heatwave.</w:t>
      </w:r>
    </w:p>
    <w:p>
      <w:pPr>
        <w:pStyle w:val="Footnotesection"/>
      </w:pPr>
      <w:r>
        <w:tab/>
        <w:t>[Regulation 22 inserted: Gazette 29 Jan 2013 p. 331-2; amended: SL 2020/24 r. 12.]</w:t>
      </w:r>
    </w:p>
    <w:p>
      <w:pPr>
        <w:pStyle w:val="Heading5"/>
      </w:pPr>
      <w:bookmarkStart w:id="72" w:name="_Toc192857592"/>
      <w:bookmarkStart w:id="73" w:name="_Toc185433156"/>
      <w:r>
        <w:rPr>
          <w:rStyle w:val="CharSectno"/>
        </w:rPr>
        <w:t>23A</w:t>
      </w:r>
      <w:r>
        <w:t>.</w:t>
      </w:r>
      <w:r>
        <w:tab/>
        <w:t>Hazard management agency — chief executive officer of Transport Department</w:t>
      </w:r>
      <w:bookmarkEnd w:id="72"/>
      <w:bookmarkEnd w:id="73"/>
    </w:p>
    <w:p>
      <w:pPr>
        <w:pStyle w:val="Ednotesubsection"/>
        <w:keepNext/>
      </w:pPr>
      <w:r>
        <w:tab/>
        <w:t>[(1)</w:t>
      </w:r>
      <w:r>
        <w:tab/>
        <w:t>deleted.]</w:t>
      </w:r>
    </w:p>
    <w:p>
      <w:pPr>
        <w:pStyle w:val="Subsection"/>
      </w:pPr>
      <w:r>
        <w:tab/>
        <w:t>(2)</w:t>
      </w:r>
      <w:r>
        <w:tab/>
        <w:t xml:space="preserve">The chief executive officer of the Transport Department is the hazard management agency of the hazard set out in regulation 15(i)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Subsection"/>
      </w:pPr>
      <w:r>
        <w:tab/>
        <w:t>(3)</w:t>
      </w:r>
      <w:r>
        <w:tab/>
        <w:t xml:space="preserve">Despite regulation 17(2), the chief executive officer of the Transport Department is the hazard management agency of the hazard set out in regulation 15(j) — </w:t>
      </w:r>
    </w:p>
    <w:p>
      <w:pPr>
        <w:pStyle w:val="Indenta"/>
        <w:spacing w:before="70"/>
      </w:pPr>
      <w:r>
        <w:tab/>
        <w:t>(a)</w:t>
      </w:r>
      <w:r>
        <w:tab/>
        <w:t>for emergency management; and</w:t>
      </w:r>
    </w:p>
    <w:p>
      <w:pPr>
        <w:pStyle w:val="Indenta"/>
        <w:spacing w:before="70"/>
      </w:pPr>
      <w:r>
        <w:tab/>
        <w:t>(b)</w:t>
      </w:r>
      <w:r>
        <w:tab/>
        <w:t xml:space="preserve">for the following area or areas — </w:t>
      </w:r>
    </w:p>
    <w:p>
      <w:pPr>
        <w:pStyle w:val="Indenti"/>
      </w:pPr>
      <w:r>
        <w:tab/>
        <w:t>(i)</w:t>
      </w:r>
      <w:r>
        <w:tab/>
        <w:t>State waters;</w:t>
      </w:r>
    </w:p>
    <w:p>
      <w:pPr>
        <w:pStyle w:val="Indenti"/>
        <w:spacing w:before="70"/>
      </w:pPr>
      <w:r>
        <w:tab/>
        <w:t>(ii)</w:t>
      </w:r>
      <w:r>
        <w:tab/>
        <w:t xml:space="preserve">the area of a port as defined in the </w:t>
      </w:r>
      <w:r>
        <w:rPr>
          <w:i/>
        </w:rPr>
        <w:t>Shipping and Pilotage Act 1967</w:t>
      </w:r>
      <w:r>
        <w:t xml:space="preserve"> section 3;</w:t>
      </w:r>
    </w:p>
    <w:p>
      <w:pPr>
        <w:pStyle w:val="Indenti"/>
        <w:spacing w:before="70"/>
      </w:pPr>
      <w:r>
        <w:tab/>
        <w:t>(iii)</w:t>
      </w:r>
      <w:r>
        <w:tab/>
        <w:t xml:space="preserve">the area described in relation to a port by order made by the Governor under the </w:t>
      </w:r>
      <w:r>
        <w:rPr>
          <w:i/>
        </w:rPr>
        <w:t>Port Authorities Act 1999</w:t>
      </w:r>
      <w:r>
        <w:t xml:space="preserve"> section 24.</w:t>
      </w:r>
    </w:p>
    <w:p>
      <w:pPr>
        <w:pStyle w:val="Footnotesection"/>
      </w:pPr>
      <w:r>
        <w:tab/>
        <w:t>[Regulation 23A inserted: Gazette 10 Sep 2010 p. 4345</w:t>
      </w:r>
      <w:r>
        <w:noBreakHyphen/>
        <w:t>6; amended: Gazette 29 Jan 2013 p. 332; SL 2020/24 r. 13.]</w:t>
      </w:r>
    </w:p>
    <w:p>
      <w:pPr>
        <w:pStyle w:val="Heading5"/>
      </w:pPr>
      <w:bookmarkStart w:id="74" w:name="_Toc192857593"/>
      <w:bookmarkStart w:id="75" w:name="_Toc185433157"/>
      <w:r>
        <w:rPr>
          <w:rStyle w:val="CharSectno"/>
        </w:rPr>
        <w:t>23B</w:t>
      </w:r>
      <w:r>
        <w:t>.</w:t>
      </w:r>
      <w:r>
        <w:tab/>
        <w:t>Hazard management agency — Coordinator of Energy</w:t>
      </w:r>
      <w:bookmarkEnd w:id="74"/>
      <w:bookmarkEnd w:id="75"/>
    </w:p>
    <w:p>
      <w:pPr>
        <w:pStyle w:val="Subsection"/>
        <w:keepLines/>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pPr>
        <w:pStyle w:val="Footnotesection"/>
      </w:pPr>
      <w:r>
        <w:tab/>
        <w:t>[Regulation 23B inserted: Gazette 29 Jan 2013 p. 332; amended: Gazette 15 Oct 2013 p. 4674.]</w:t>
      </w:r>
    </w:p>
    <w:p>
      <w:pPr>
        <w:pStyle w:val="Heading2"/>
      </w:pPr>
      <w:bookmarkStart w:id="76" w:name="_Toc192853956"/>
      <w:bookmarkStart w:id="77" w:name="_Toc192854432"/>
      <w:bookmarkStart w:id="78" w:name="_Toc192857594"/>
      <w:bookmarkStart w:id="79" w:name="_Toc185432193"/>
      <w:bookmarkStart w:id="80" w:name="_Toc185432486"/>
      <w:bookmarkStart w:id="81" w:name="_Toc185433158"/>
      <w:r>
        <w:rPr>
          <w:rStyle w:val="CharPartNo"/>
        </w:rPr>
        <w:t>Part 4</w:t>
      </w:r>
      <w:r>
        <w:t> — </w:t>
      </w:r>
      <w:r>
        <w:rPr>
          <w:rStyle w:val="CharPartText"/>
        </w:rPr>
        <w:t>Exchange of information</w:t>
      </w:r>
      <w:bookmarkEnd w:id="76"/>
      <w:bookmarkEnd w:id="77"/>
      <w:bookmarkEnd w:id="78"/>
      <w:bookmarkEnd w:id="79"/>
      <w:bookmarkEnd w:id="80"/>
      <w:bookmarkEnd w:id="81"/>
    </w:p>
    <w:p>
      <w:pPr>
        <w:pStyle w:val="Footnoteheading"/>
      </w:pPr>
      <w:r>
        <w:tab/>
        <w:t>[Heading inserted: Gazette 19 Feb 2010 p. 661.]</w:t>
      </w:r>
    </w:p>
    <w:p>
      <w:pPr>
        <w:pStyle w:val="Heading5"/>
      </w:pPr>
      <w:bookmarkStart w:id="82" w:name="_Toc192857595"/>
      <w:bookmarkStart w:id="83" w:name="_Toc185433159"/>
      <w:r>
        <w:rPr>
          <w:rStyle w:val="CharSectno"/>
        </w:rPr>
        <w:t>23</w:t>
      </w:r>
      <w:r>
        <w:t>.</w:t>
      </w:r>
      <w:r>
        <w:tab/>
        <w:t>Prescribed relevant information (Act s. 72)</w:t>
      </w:r>
      <w:bookmarkEnd w:id="82"/>
      <w:bookmarkEnd w:id="83"/>
    </w:p>
    <w:p>
      <w:pPr>
        <w:pStyle w:val="Subsection"/>
        <w:keepNext/>
      </w:pPr>
      <w:r>
        <w:tab/>
      </w:r>
      <w:r>
        <w:tab/>
        <w:t xml:space="preserve">For the purpose of the definition of </w:t>
      </w:r>
      <w:r>
        <w:rPr>
          <w:b/>
          <w:bCs/>
          <w:i/>
          <w:iCs/>
        </w:rPr>
        <w:t>relevant information</w:t>
      </w:r>
      <w:r>
        <w:t xml:space="preserve"> in section 72(1) of the Act, each of the following kinds of information is prescribed — </w:t>
      </w:r>
    </w:p>
    <w:p>
      <w:pPr>
        <w:pStyle w:val="Indenta"/>
      </w:pPr>
      <w:r>
        <w:tab/>
        <w:t>(a)</w:t>
      </w:r>
      <w:r>
        <w:tab/>
        <w:t>information about the loss suffered by a person, the assistance requested by a person and the assistance provided to or approved for a person;</w:t>
      </w:r>
    </w:p>
    <w:p>
      <w:pPr>
        <w:pStyle w:val="Indenta"/>
      </w:pPr>
      <w:r>
        <w:tab/>
        <w:t>(b)</w:t>
      </w:r>
      <w:r>
        <w:tab/>
        <w:t>information about the owner or occupier of real property;</w:t>
      </w:r>
    </w:p>
    <w:p>
      <w:pPr>
        <w:pStyle w:val="Indenta"/>
        <w:keepNext/>
      </w:pPr>
      <w:r>
        <w:tab/>
        <w:t>(c)</w:t>
      </w:r>
      <w:r>
        <w:tab/>
        <w:t>information relating to a person’s finances or insurance.</w:t>
      </w:r>
    </w:p>
    <w:p>
      <w:pPr>
        <w:pStyle w:val="Footnotesection"/>
      </w:pPr>
      <w:r>
        <w:tab/>
        <w:t>[Regulation 23 inserted: Gazette 19 Feb 2010 p. 661</w:t>
      </w:r>
      <w:r>
        <w:noBreakHyphen/>
        <w:t>2; amended: SL 2022/176 r. 4 and 7.]</w:t>
      </w:r>
    </w:p>
    <w:p>
      <w:pPr>
        <w:pStyle w:val="Heading5"/>
      </w:pPr>
      <w:bookmarkStart w:id="84" w:name="_Toc192857596"/>
      <w:bookmarkStart w:id="85" w:name="_Toc185433160"/>
      <w:r>
        <w:rPr>
          <w:rStyle w:val="CharSectno"/>
        </w:rPr>
        <w:t>24</w:t>
      </w:r>
      <w:r>
        <w:t>.</w:t>
      </w:r>
      <w:r>
        <w:tab/>
        <w:t>Disclosure of relevant information (Act s. 72)</w:t>
      </w:r>
      <w:bookmarkEnd w:id="84"/>
      <w:bookmarkEnd w:id="85"/>
    </w:p>
    <w:p>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pPr>
        <w:pStyle w:val="Ednotesubsection"/>
      </w:pPr>
      <w:r>
        <w:tab/>
        <w:t>[(1A)</w:t>
      </w:r>
      <w:r>
        <w:tab/>
        <w:t>deleted]</w:t>
      </w:r>
    </w:p>
    <w:p>
      <w:pPr>
        <w:pStyle w:val="Subsection"/>
        <w:keepNext/>
      </w:pPr>
      <w:r>
        <w:tab/>
        <w:t>(2)</w:t>
      </w:r>
      <w:r>
        <w:tab/>
        <w:t>An agency to which relevant information is disclosed under section 72(2)(a)(i) of the Act must not further disclose that information unless it is reasonably necessary to do so for a purpose related to emergency management.</w:t>
      </w:r>
    </w:p>
    <w:p>
      <w:pPr>
        <w:pStyle w:val="Penstart"/>
      </w:pPr>
      <w:r>
        <w:tab/>
        <w:t>Penalty for this subregulation: a fine of $1 000.</w:t>
      </w:r>
    </w:p>
    <w:p>
      <w:pPr>
        <w:pStyle w:val="Subsection"/>
        <w:keepNext/>
      </w:pPr>
      <w:r>
        <w:tab/>
        <w:t>(3)</w:t>
      </w:r>
      <w:r>
        <w:tab/>
        <w:t>A person or entity to which relevant information is disclosed under section 72(2)(a)(ii) of the Act must not further disclose that information unless it is reasonably necessary to do so for a purpose related to emergency management.</w:t>
      </w:r>
    </w:p>
    <w:p>
      <w:pPr>
        <w:pStyle w:val="Penstart"/>
      </w:pPr>
      <w:r>
        <w:tab/>
        <w:t>Penalty for this subregulation: a fine of $1 000.</w:t>
      </w:r>
    </w:p>
    <w:p>
      <w:pPr>
        <w:pStyle w:val="Footnotesection"/>
      </w:pPr>
      <w:r>
        <w:tab/>
        <w:t>[Regulation 24 inserted: Gazette 19 Feb 2010 p. 662; amended: SL 2022/176 r. 5 and 8.]</w:t>
      </w:r>
    </w:p>
    <w:p>
      <w:pPr>
        <w:pStyle w:val="Heading5"/>
      </w:pPr>
      <w:bookmarkStart w:id="86" w:name="_Toc192857597"/>
      <w:bookmarkStart w:id="87" w:name="_Toc185433161"/>
      <w:r>
        <w:rPr>
          <w:rStyle w:val="CharSectno"/>
        </w:rPr>
        <w:t>25</w:t>
      </w:r>
      <w:r>
        <w:t>.</w:t>
      </w:r>
      <w:r>
        <w:tab/>
        <w:t>Storing disclosed relevant information (Act s. 72)</w:t>
      </w:r>
      <w:bookmarkEnd w:id="86"/>
      <w:bookmarkEnd w:id="87"/>
    </w:p>
    <w:p>
      <w:pPr>
        <w:pStyle w:val="Subsection"/>
        <w:keepNext/>
      </w:pPr>
      <w:r>
        <w:tab/>
      </w:r>
      <w:r>
        <w:tab/>
        <w:t>An agency, person or entity to which relevant information is disclosed under section 72(2)(a) of the Act must ensure that that information is kept in a secure manner so far as it is reasonably practicable to do so.</w:t>
      </w:r>
    </w:p>
    <w:p>
      <w:pPr>
        <w:pStyle w:val="Penstart"/>
        <w:keepNext/>
      </w:pPr>
      <w:r>
        <w:tab/>
        <w:t>Penalty: a fine of $1 000.</w:t>
      </w:r>
    </w:p>
    <w:p>
      <w:pPr>
        <w:pStyle w:val="Footnotesection"/>
      </w:pPr>
      <w:r>
        <w:tab/>
        <w:t>[Regulation 25 inserted: Gazette 19 Feb 2010 p. 662; amended: SL 2022/176 r. 6 and 9.]</w:t>
      </w:r>
    </w:p>
    <w:p>
      <w:pPr>
        <w:pStyle w:val="Heading2"/>
      </w:pPr>
      <w:bookmarkStart w:id="88" w:name="_Toc192853960"/>
      <w:bookmarkStart w:id="89" w:name="_Toc192854436"/>
      <w:bookmarkStart w:id="90" w:name="_Toc192857598"/>
      <w:bookmarkStart w:id="91" w:name="_Toc185432197"/>
      <w:bookmarkStart w:id="92" w:name="_Toc185432490"/>
      <w:bookmarkStart w:id="93" w:name="_Toc185433162"/>
      <w:r>
        <w:rPr>
          <w:rStyle w:val="CharPartNo"/>
        </w:rPr>
        <w:t>Part 5</w:t>
      </w:r>
      <w:r>
        <w:t> — </w:t>
      </w:r>
      <w:r>
        <w:rPr>
          <w:rStyle w:val="CharPartText"/>
        </w:rPr>
        <w:t>Combat agencies and support organisations</w:t>
      </w:r>
      <w:bookmarkEnd w:id="88"/>
      <w:bookmarkEnd w:id="89"/>
      <w:bookmarkEnd w:id="90"/>
      <w:bookmarkEnd w:id="91"/>
      <w:bookmarkEnd w:id="92"/>
      <w:bookmarkEnd w:id="93"/>
    </w:p>
    <w:p>
      <w:pPr>
        <w:pStyle w:val="Footnoteheading"/>
        <w:spacing w:before="100"/>
      </w:pPr>
      <w:r>
        <w:tab/>
        <w:t>[Heading inserted: Gazette 19 Jul 2011 p. 2985.]</w:t>
      </w:r>
    </w:p>
    <w:p>
      <w:pPr>
        <w:pStyle w:val="Heading5"/>
        <w:spacing w:before="200"/>
      </w:pPr>
      <w:bookmarkStart w:id="94" w:name="_Toc192857599"/>
      <w:bookmarkStart w:id="95" w:name="_Toc185433163"/>
      <w:r>
        <w:rPr>
          <w:rStyle w:val="CharSectno"/>
        </w:rPr>
        <w:t>26</w:t>
      </w:r>
      <w:r>
        <w:t>.</w:t>
      </w:r>
      <w:r>
        <w:tab/>
        <w:t>Combat agency — Health Department</w:t>
      </w:r>
      <w:bookmarkEnd w:id="94"/>
      <w:bookmarkEnd w:id="95"/>
    </w:p>
    <w:p>
      <w:pPr>
        <w:pStyle w:val="Subsection"/>
        <w:spacing w:before="140"/>
      </w:pPr>
      <w:r>
        <w:tab/>
      </w:r>
      <w:r>
        <w:tab/>
        <w:t>The Health Department is a combat agency responsible for the emergency management activity of providing health services.</w:t>
      </w:r>
    </w:p>
    <w:p>
      <w:pPr>
        <w:pStyle w:val="Footnotesection"/>
        <w:spacing w:before="100"/>
      </w:pPr>
      <w:r>
        <w:tab/>
        <w:t>[Regulation 26 inserted: Gazette 19 Jul 2011 p. 2985; amended: SL 2020/24 r. 14.]</w:t>
      </w:r>
    </w:p>
    <w:p>
      <w:pPr>
        <w:pStyle w:val="Heading5"/>
        <w:spacing w:before="200"/>
      </w:pPr>
      <w:bookmarkStart w:id="96" w:name="_Toc192857600"/>
      <w:bookmarkStart w:id="97" w:name="_Toc185433164"/>
      <w:r>
        <w:rPr>
          <w:rStyle w:val="CharSectno"/>
        </w:rPr>
        <w:t>27</w:t>
      </w:r>
      <w:r>
        <w:t>.</w:t>
      </w:r>
      <w:r>
        <w:tab/>
        <w:t>Combat agency — St John Ambulance Australia (Western Australia) Incorporated</w:t>
      </w:r>
      <w:bookmarkEnd w:id="96"/>
      <w:bookmarkEnd w:id="97"/>
    </w:p>
    <w:p>
      <w:pPr>
        <w:pStyle w:val="Subsection"/>
        <w:spacing w:before="140"/>
      </w:pPr>
      <w:r>
        <w:tab/>
      </w:r>
      <w:r>
        <w:tab/>
        <w:t>St John Ambulance Australia (Western Australia) Incorporated is a combat agency responsible for the emergency management activity of providing health services.</w:t>
      </w:r>
    </w:p>
    <w:p>
      <w:pPr>
        <w:pStyle w:val="Footnotesection"/>
        <w:spacing w:before="100"/>
      </w:pPr>
      <w:r>
        <w:tab/>
        <w:t>[Regulation 27 inserted: Gazette 19 Jul 2011 p. 2986.]</w:t>
      </w:r>
    </w:p>
    <w:p>
      <w:pPr>
        <w:pStyle w:val="Heading5"/>
        <w:spacing w:before="200"/>
      </w:pPr>
      <w:bookmarkStart w:id="98" w:name="_Toc192857601"/>
      <w:bookmarkStart w:id="99" w:name="_Toc185433165"/>
      <w:r>
        <w:rPr>
          <w:rStyle w:val="CharSectno"/>
        </w:rPr>
        <w:t>28</w:t>
      </w:r>
      <w:r>
        <w:t>.</w:t>
      </w:r>
      <w:r>
        <w:tab/>
        <w:t>Combat agency — Police Force of Western Australia</w:t>
      </w:r>
      <w:bookmarkEnd w:id="98"/>
      <w:bookmarkEnd w:id="99"/>
    </w:p>
    <w:p>
      <w:pPr>
        <w:pStyle w:val="Subsection"/>
        <w:spacing w:before="140"/>
      </w:pPr>
      <w:r>
        <w:tab/>
      </w:r>
      <w:r>
        <w:tab/>
        <w:t>The Police Force of Western Australia is a combat agency responsible for the emergency management activity of disaster victim identity management.</w:t>
      </w:r>
    </w:p>
    <w:p>
      <w:pPr>
        <w:pStyle w:val="Footnotesection"/>
        <w:spacing w:before="100"/>
      </w:pPr>
      <w:r>
        <w:tab/>
        <w:t>[Regulation 28 inserted: Gazette 19 Jul 2011 p. 2986.]</w:t>
      </w:r>
    </w:p>
    <w:p>
      <w:pPr>
        <w:pStyle w:val="Heading5"/>
        <w:spacing w:before="200"/>
      </w:pPr>
      <w:bookmarkStart w:id="100" w:name="_Toc192857602"/>
      <w:bookmarkStart w:id="101" w:name="_Toc185433166"/>
      <w:r>
        <w:rPr>
          <w:rStyle w:val="CharSectno"/>
        </w:rPr>
        <w:t>29</w:t>
      </w:r>
      <w:r>
        <w:t>.</w:t>
      </w:r>
      <w:r>
        <w:tab/>
        <w:t>Combat agency — Police Service</w:t>
      </w:r>
      <w:bookmarkEnd w:id="100"/>
      <w:bookmarkEnd w:id="101"/>
    </w:p>
    <w:p>
      <w:pPr>
        <w:pStyle w:val="Subsection"/>
        <w:spacing w:before="140"/>
      </w:pPr>
      <w:r>
        <w:tab/>
      </w:r>
      <w:r>
        <w:tab/>
        <w:t>The Police Service is a combat agency responsible for the emergency management activity of disaster victim identity management.</w:t>
      </w:r>
    </w:p>
    <w:p>
      <w:pPr>
        <w:pStyle w:val="Footnotesection"/>
        <w:spacing w:before="100"/>
      </w:pPr>
      <w:r>
        <w:tab/>
        <w:t>[Regulation 29 inserted: Gazette 19 Jul 2011 p. 2986.]</w:t>
      </w:r>
    </w:p>
    <w:p>
      <w:pPr>
        <w:pStyle w:val="Heading5"/>
        <w:spacing w:before="200"/>
      </w:pPr>
      <w:bookmarkStart w:id="102" w:name="_Toc192857603"/>
      <w:bookmarkStart w:id="103" w:name="_Toc185433167"/>
      <w:r>
        <w:rPr>
          <w:rStyle w:val="CharSectno"/>
        </w:rPr>
        <w:t>30</w:t>
      </w:r>
      <w:r>
        <w:t>.</w:t>
      </w:r>
      <w:r>
        <w:tab/>
        <w:t>Combat agency — Environment Department</w:t>
      </w:r>
      <w:bookmarkEnd w:id="102"/>
      <w:bookmarkEnd w:id="103"/>
    </w:p>
    <w:p>
      <w:pPr>
        <w:pStyle w:val="Subsection"/>
        <w:spacing w:before="140"/>
      </w:pPr>
      <w:r>
        <w:tab/>
      </w:r>
      <w:r>
        <w:tab/>
        <w:t>The Environment Department is a combat agency responsible for the emergency management activity of fire suppression.</w:t>
      </w:r>
    </w:p>
    <w:p>
      <w:pPr>
        <w:pStyle w:val="Footnotesection"/>
        <w:spacing w:before="100"/>
      </w:pPr>
      <w:r>
        <w:tab/>
        <w:t>[Regulation 30 inserted: Gazette 19 Jul 2011 p. 2986; amended: SL 2020/24 r. 15.]</w:t>
      </w:r>
    </w:p>
    <w:p>
      <w:pPr>
        <w:pStyle w:val="Heading5"/>
      </w:pPr>
      <w:bookmarkStart w:id="104" w:name="_Toc192857604"/>
      <w:bookmarkStart w:id="105" w:name="_Toc185433168"/>
      <w:r>
        <w:rPr>
          <w:rStyle w:val="CharSectno"/>
        </w:rPr>
        <w:t>30A</w:t>
      </w:r>
      <w:r>
        <w:t>.</w:t>
      </w:r>
      <w:r>
        <w:tab/>
        <w:t>Combat agency — FES Department</w:t>
      </w:r>
      <w:bookmarkEnd w:id="104"/>
      <w:bookmarkEnd w:id="105"/>
    </w:p>
    <w:p>
      <w:pPr>
        <w:pStyle w:val="Subsection"/>
      </w:pPr>
      <w:r>
        <w:tab/>
      </w:r>
      <w:r>
        <w:tab/>
        <w:t>The FES Department is a combat agency responsible for the emergency management activity of fire suppression.</w:t>
      </w:r>
    </w:p>
    <w:p>
      <w:pPr>
        <w:pStyle w:val="Footnotesection"/>
      </w:pPr>
      <w:r>
        <w:tab/>
        <w:t>[Regulation 30A inserted: SL 2020/24 r. 16.]</w:t>
      </w:r>
    </w:p>
    <w:p>
      <w:pPr>
        <w:pStyle w:val="Heading5"/>
      </w:pPr>
      <w:bookmarkStart w:id="106" w:name="_Toc192857605"/>
      <w:bookmarkStart w:id="107" w:name="_Toc185433169"/>
      <w:r>
        <w:rPr>
          <w:rStyle w:val="CharSectno"/>
        </w:rPr>
        <w:t>31</w:t>
      </w:r>
      <w:r>
        <w:t>.</w:t>
      </w:r>
      <w:r>
        <w:tab/>
        <w:t>Combat agency — local government</w:t>
      </w:r>
      <w:bookmarkEnd w:id="106"/>
      <w:bookmarkEnd w:id="107"/>
    </w:p>
    <w:p>
      <w:pPr>
        <w:pStyle w:val="Subsection"/>
      </w:pPr>
      <w:r>
        <w:tab/>
      </w:r>
      <w:r>
        <w:tab/>
        <w:t>A local government is a combat agency responsible for the emergency management activity of fire suppression.</w:t>
      </w:r>
    </w:p>
    <w:p>
      <w:pPr>
        <w:pStyle w:val="Footnotesection"/>
      </w:pPr>
      <w:r>
        <w:tab/>
        <w:t>[Regulation 31 inserted: Gazette 19 Jul 2011 p. 2986.]</w:t>
      </w:r>
    </w:p>
    <w:p>
      <w:pPr>
        <w:pStyle w:val="Heading5"/>
      </w:pPr>
      <w:bookmarkStart w:id="108" w:name="_Toc192857606"/>
      <w:bookmarkStart w:id="109" w:name="_Toc185433170"/>
      <w:r>
        <w:rPr>
          <w:rStyle w:val="CharSectno"/>
        </w:rPr>
        <w:t>32</w:t>
      </w:r>
      <w:r>
        <w:t>.</w:t>
      </w:r>
      <w:r>
        <w:tab/>
        <w:t>Support organisation — Communities Department</w:t>
      </w:r>
      <w:bookmarkEnd w:id="108"/>
      <w:bookmarkEnd w:id="109"/>
    </w:p>
    <w:p>
      <w:pPr>
        <w:pStyle w:val="Subsection"/>
      </w:pPr>
      <w:r>
        <w:tab/>
      </w:r>
      <w:r>
        <w:tab/>
        <w:t>The Communities Department is a support organisation responsible for the support function of providing welfare services.</w:t>
      </w:r>
    </w:p>
    <w:p>
      <w:pPr>
        <w:pStyle w:val="Footnotesection"/>
      </w:pPr>
      <w:r>
        <w:tab/>
        <w:t>[Regulation 32 inserted: Gazette 19 Jul 2011 p. 2986; amended: SL 2020/24 r. 17.]</w:t>
      </w:r>
    </w:p>
    <w:p>
      <w:pPr>
        <w:pStyle w:val="Heading2"/>
      </w:pPr>
      <w:bookmarkStart w:id="110" w:name="_Toc192853969"/>
      <w:bookmarkStart w:id="111" w:name="_Toc192854445"/>
      <w:bookmarkStart w:id="112" w:name="_Toc192857607"/>
      <w:bookmarkStart w:id="113" w:name="_Toc185432206"/>
      <w:bookmarkStart w:id="114" w:name="_Toc185432499"/>
      <w:bookmarkStart w:id="115" w:name="_Toc185433171"/>
      <w:r>
        <w:rPr>
          <w:rStyle w:val="CharPartNo"/>
        </w:rPr>
        <w:t>Part 6</w:t>
      </w:r>
      <w:r>
        <w:rPr>
          <w:rStyle w:val="CharDivNo"/>
        </w:rPr>
        <w:t> </w:t>
      </w:r>
      <w:r>
        <w:t>—</w:t>
      </w:r>
      <w:r>
        <w:rPr>
          <w:rStyle w:val="CharDivText"/>
        </w:rPr>
        <w:t> </w:t>
      </w:r>
      <w:r>
        <w:rPr>
          <w:rStyle w:val="CharPartText"/>
        </w:rPr>
        <w:t>Infringement notices</w:t>
      </w:r>
      <w:bookmarkEnd w:id="110"/>
      <w:bookmarkEnd w:id="111"/>
      <w:bookmarkEnd w:id="112"/>
      <w:bookmarkEnd w:id="113"/>
      <w:bookmarkEnd w:id="114"/>
      <w:bookmarkEnd w:id="115"/>
    </w:p>
    <w:p>
      <w:pPr>
        <w:pStyle w:val="Footnoteheading"/>
      </w:pPr>
      <w:r>
        <w:tab/>
        <w:t>[Heading inserted: SL 2020/31 r. 4.]</w:t>
      </w:r>
    </w:p>
    <w:p>
      <w:pPr>
        <w:pStyle w:val="Heading5"/>
      </w:pPr>
      <w:bookmarkStart w:id="116" w:name="_Toc192857608"/>
      <w:bookmarkStart w:id="117" w:name="_Toc185433172"/>
      <w:r>
        <w:rPr>
          <w:rStyle w:val="CharSectno"/>
        </w:rPr>
        <w:t>33</w:t>
      </w:r>
      <w:r>
        <w:t>.</w:t>
      </w:r>
      <w:r>
        <w:tab/>
        <w:t>Prescribed offence and modified penalty</w:t>
      </w:r>
      <w:bookmarkEnd w:id="116"/>
      <w:bookmarkEnd w:id="117"/>
    </w:p>
    <w:p>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the modified penalty for the offence is — </w:t>
      </w:r>
    </w:p>
    <w:p>
      <w:pPr>
        <w:pStyle w:val="Indenta"/>
      </w:pPr>
      <w:r>
        <w:tab/>
        <w:t>(a)</w:t>
      </w:r>
      <w:r>
        <w:tab/>
        <w:t>if the alleged offender is an individual — $1 000; or</w:t>
      </w:r>
    </w:p>
    <w:p>
      <w:pPr>
        <w:pStyle w:val="Indenta"/>
      </w:pPr>
      <w:r>
        <w:tab/>
        <w:t>(b)</w:t>
      </w:r>
      <w:r>
        <w:tab/>
        <w:t>if the alleged offender is a body corporate — $5 000.</w:t>
      </w:r>
    </w:p>
    <w:p>
      <w:pPr>
        <w:pStyle w:val="Footnotesection"/>
      </w:pPr>
      <w:r>
        <w:tab/>
        <w:t>[Regulation 33 inserted: SL 2020/31 r. 4.]</w:t>
      </w:r>
    </w:p>
    <w:p>
      <w:pPr>
        <w:pStyle w:val="Heading5"/>
      </w:pPr>
      <w:bookmarkStart w:id="118" w:name="_Toc192857609"/>
      <w:bookmarkStart w:id="119" w:name="_Toc185433173"/>
      <w:r>
        <w:rPr>
          <w:rStyle w:val="CharSectno"/>
        </w:rPr>
        <w:t>34</w:t>
      </w:r>
      <w:r>
        <w:t>.</w:t>
      </w:r>
      <w:r>
        <w:tab/>
        <w:t>Approved officers and authorised officers</w:t>
      </w:r>
      <w:bookmarkEnd w:id="118"/>
      <w:bookmarkEnd w:id="119"/>
    </w:p>
    <w:p>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pPr>
        <w:pStyle w:val="Footnotesection"/>
      </w:pPr>
      <w:r>
        <w:tab/>
        <w:t>[Regulation 34 inserted: SL 2020/31 r. 4.]</w:t>
      </w:r>
    </w:p>
    <w:p>
      <w:pPr>
        <w:pStyle w:val="Heading5"/>
      </w:pPr>
      <w:bookmarkStart w:id="120" w:name="_Toc192857610"/>
      <w:bookmarkStart w:id="121" w:name="_Toc185433174"/>
      <w:r>
        <w:rPr>
          <w:rStyle w:val="CharSectno"/>
        </w:rPr>
        <w:t>35</w:t>
      </w:r>
      <w:r>
        <w:t>.</w:t>
      </w:r>
      <w:r>
        <w:tab/>
        <w:t>Forms</w:t>
      </w:r>
      <w:bookmarkEnd w:id="120"/>
      <w:bookmarkEnd w:id="121"/>
    </w:p>
    <w:p>
      <w:pPr>
        <w:pStyle w:val="Subsection"/>
      </w:pPr>
      <w:r>
        <w:tab/>
      </w:r>
      <w:r>
        <w:tab/>
        <w:t xml:space="preserve">For the purposes of the </w:t>
      </w:r>
      <w:r>
        <w:rPr>
          <w:i/>
        </w:rPr>
        <w:t>Criminal Procedure Act 2004</w:t>
      </w:r>
      <w:r>
        <w:t xml:space="preserve"> Part 2, the forms set out in Schedule 1 are prescribed.</w:t>
      </w:r>
    </w:p>
    <w:p>
      <w:pPr>
        <w:pStyle w:val="Footnotesection"/>
      </w:pPr>
      <w:r>
        <w:tab/>
        <w:t>[Regulation 35 inserted: SL 2020/31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22" w:name="_Toc192853973"/>
      <w:bookmarkStart w:id="123" w:name="_Toc192854449"/>
      <w:bookmarkStart w:id="124" w:name="_Toc192857611"/>
      <w:bookmarkStart w:id="125" w:name="_Toc185432210"/>
      <w:bookmarkStart w:id="126" w:name="_Toc185432503"/>
      <w:bookmarkStart w:id="127" w:name="_Toc185433175"/>
      <w:r>
        <w:rPr>
          <w:rStyle w:val="CharSchNo"/>
        </w:rPr>
        <w:t>Schedule 1</w:t>
      </w:r>
      <w:r>
        <w:rPr>
          <w:rStyle w:val="CharSDivNo"/>
        </w:rPr>
        <w:t> </w:t>
      </w:r>
      <w:r>
        <w:t>—</w:t>
      </w:r>
      <w:r>
        <w:rPr>
          <w:rStyle w:val="CharSDivText"/>
        </w:rPr>
        <w:t> </w:t>
      </w:r>
      <w:r>
        <w:rPr>
          <w:rStyle w:val="CharSchText"/>
        </w:rPr>
        <w:t>Forms</w:t>
      </w:r>
      <w:bookmarkEnd w:id="122"/>
      <w:bookmarkEnd w:id="123"/>
      <w:bookmarkEnd w:id="124"/>
      <w:bookmarkEnd w:id="125"/>
      <w:bookmarkEnd w:id="126"/>
      <w:bookmarkEnd w:id="127"/>
    </w:p>
    <w:p>
      <w:pPr>
        <w:pStyle w:val="yFootnoteheading"/>
      </w:pPr>
      <w:r>
        <w:tab/>
        <w:t>[Heading inserted: SL 2020/31 r. 5.]</w:t>
      </w:r>
    </w:p>
    <w:p>
      <w:pPr>
        <w:pStyle w:val="yShoulderClause"/>
      </w:pPr>
      <w:r>
        <w:t>[r. 35]</w:t>
      </w:r>
    </w:p>
    <w:p>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trPr>
          <w:cantSplit/>
          <w:trHeight w:val="746"/>
        </w:trPr>
        <w:tc>
          <w:tcPr>
            <w:tcW w:w="7089" w:type="dxa"/>
            <w:gridSpan w:val="11"/>
            <w:tcBorders>
              <w:top w:val="single" w:sz="4" w:space="0" w:color="auto"/>
              <w:left w:val="single" w:sz="4" w:space="0" w:color="auto"/>
              <w:right w:val="single" w:sz="4" w:space="0" w:color="auto"/>
            </w:tcBorders>
          </w:tcPr>
          <w:p>
            <w:pPr>
              <w:pStyle w:val="yTableNAm"/>
              <w:jc w:val="center"/>
              <w:rPr>
                <w:b/>
                <w:szCs w:val="22"/>
              </w:rPr>
            </w:pPr>
            <w:r>
              <w:rPr>
                <w:b/>
                <w:szCs w:val="22"/>
              </w:rPr>
              <w:t>Infringement notice</w:t>
            </w:r>
          </w:p>
          <w:p>
            <w:pPr>
              <w:pStyle w:val="yTableNAm"/>
              <w:jc w:val="center"/>
              <w:rPr>
                <w:b/>
                <w:szCs w:val="22"/>
              </w:rPr>
            </w:pPr>
            <w:r>
              <w:rPr>
                <w:i/>
                <w:szCs w:val="22"/>
              </w:rPr>
              <w:t>Emergency Management Act 2005</w:t>
            </w:r>
          </w:p>
        </w:tc>
      </w:tr>
      <w:tr>
        <w:trPr>
          <w:cantSplit/>
          <w:trHeight w:val="57"/>
        </w:trPr>
        <w:tc>
          <w:tcPr>
            <w:tcW w:w="7089" w:type="dxa"/>
            <w:gridSpan w:val="11"/>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4"/>
            <w:vMerge w:val="restart"/>
            <w:tcBorders>
              <w:top w:val="nil"/>
              <w:left w:val="nil"/>
              <w:bottom w:val="nil"/>
              <w:right w:val="nil"/>
            </w:tcBorders>
          </w:tcPr>
          <w:p>
            <w:pPr>
              <w:pStyle w:val="yTableNAm"/>
              <w:spacing w:before="60"/>
              <w:rPr>
                <w:szCs w:val="22"/>
              </w:rPr>
            </w:pPr>
            <w:r>
              <w:rPr>
                <w:szCs w:val="22"/>
              </w:rPr>
              <w:t>To:</w:t>
            </w:r>
          </w:p>
          <w:p>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282"/>
        </w:trPr>
        <w:tc>
          <w:tcPr>
            <w:tcW w:w="2964" w:type="dxa"/>
            <w:gridSpan w:val="4"/>
            <w:vMerge/>
            <w:tcBorders>
              <w:top w:val="nil"/>
              <w:left w:val="nil"/>
              <w:bottom w:val="nil"/>
              <w:right w:val="nil"/>
            </w:tcBorders>
          </w:tcPr>
          <w:p>
            <w:pPr>
              <w:pStyle w:val="yTableNAm"/>
              <w:spacing w:before="60"/>
              <w:rPr>
                <w:sz w:val="14"/>
                <w:szCs w:val="14"/>
              </w:rPr>
            </w:pPr>
          </w:p>
        </w:tc>
        <w:tc>
          <w:tcPr>
            <w:tcW w:w="849" w:type="dxa"/>
            <w:gridSpan w:val="3"/>
            <w:tcBorders>
              <w:top w:val="nil"/>
              <w:left w:val="nil"/>
              <w:bottom w:val="nil"/>
              <w:right w:val="nil"/>
            </w:tcBorders>
          </w:tcPr>
          <w:p>
            <w:pPr>
              <w:pStyle w:val="yTableNAm"/>
              <w:spacing w:before="60"/>
              <w:jc w:val="right"/>
              <w:rPr>
                <w:sz w:val="14"/>
                <w:szCs w:val="14"/>
              </w:rPr>
            </w:pPr>
          </w:p>
        </w:tc>
        <w:tc>
          <w:tcPr>
            <w:tcW w:w="1989" w:type="dxa"/>
            <w:gridSpan w:val="2"/>
            <w:tcBorders>
              <w:top w:val="nil"/>
              <w:left w:val="nil"/>
              <w:bottom w:val="nil"/>
            </w:tcBorders>
          </w:tcPr>
          <w:p>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4"/>
            <w:vMerge/>
            <w:tcBorders>
              <w:top w:val="nil"/>
              <w:left w:val="nil"/>
              <w:bottom w:val="nil"/>
              <w:right w:val="nil"/>
            </w:tcBorders>
          </w:tcPr>
          <w:p>
            <w:pPr>
              <w:pStyle w:val="yTableNAm"/>
              <w:spacing w:before="60"/>
              <w:rPr>
                <w:spacing w:val="-2"/>
                <w:sz w:val="14"/>
                <w:szCs w:val="14"/>
              </w:rPr>
            </w:pPr>
          </w:p>
        </w:tc>
        <w:tc>
          <w:tcPr>
            <w:tcW w:w="4125" w:type="dxa"/>
            <w:gridSpan w:val="7"/>
            <w:tcBorders>
              <w:top w:val="nil"/>
              <w:left w:val="nil"/>
              <w:bottom w:val="nil"/>
              <w:right w:val="nil"/>
            </w:tcBorders>
          </w:tcPr>
          <w:p>
            <w:pPr>
              <w:pStyle w:val="yTableNAm"/>
              <w:spacing w:before="0"/>
              <w:rPr>
                <w:spacing w:val="-2"/>
                <w:sz w:val="6"/>
                <w:szCs w:val="6"/>
              </w:rPr>
            </w:pPr>
          </w:p>
        </w:tc>
      </w:tr>
      <w:tr>
        <w:trPr>
          <w:cantSplit/>
          <w:trHeight w:val="70"/>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A: Offence details</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offender:</w:t>
            </w:r>
          </w:p>
        </w:tc>
        <w:tc>
          <w:tcPr>
            <w:tcW w:w="5137" w:type="dxa"/>
            <w:gridSpan w:val="8"/>
            <w:tcBorders>
              <w:top w:val="nil"/>
              <w:left w:val="nil"/>
              <w:bottom w:val="nil"/>
              <w:right w:val="nil"/>
            </w:tcBorders>
          </w:tcPr>
          <w:p>
            <w:pPr>
              <w:pStyle w:val="yTableNAm"/>
              <w:spacing w:before="60"/>
              <w:rPr>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Alleged offence:</w:t>
            </w:r>
          </w:p>
        </w:tc>
        <w:tc>
          <w:tcPr>
            <w:tcW w:w="5137" w:type="dxa"/>
            <w:gridSpan w:val="8"/>
            <w:tcBorders>
              <w:top w:val="nil"/>
              <w:left w:val="nil"/>
              <w:bottom w:val="nil"/>
              <w:right w:val="nil"/>
            </w:tcBorders>
          </w:tcPr>
          <w:p>
            <w:pPr>
              <w:pStyle w:val="yTableNAm"/>
              <w:spacing w:before="60"/>
              <w:rPr>
                <w:szCs w:val="22"/>
              </w:rPr>
            </w:pPr>
            <w:r>
              <w:rPr>
                <w:szCs w:val="22"/>
              </w:rPr>
              <w:t>Failure to comply with a direction</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szCs w:val="22"/>
              </w:rPr>
            </w:pPr>
            <w:r>
              <w:rPr>
                <w:i/>
                <w:szCs w:val="22"/>
              </w:rPr>
              <w:t>Emergency Management Act 2005</w:t>
            </w:r>
            <w:r>
              <w:rPr>
                <w:szCs w:val="22"/>
              </w:rPr>
              <w:t xml:space="preserve"> s. 86(1)</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Location:</w:t>
            </w:r>
          </w:p>
        </w:tc>
        <w:tc>
          <w:tcPr>
            <w:tcW w:w="5137" w:type="dxa"/>
            <w:gridSpan w:val="8"/>
            <w:tcBorders>
              <w:top w:val="nil"/>
              <w:left w:val="nil"/>
              <w:bottom w:val="nil"/>
              <w:right w:val="nil"/>
            </w:tcBorders>
          </w:tcPr>
          <w:p>
            <w:pPr>
              <w:pStyle w:val="yTableNAm"/>
              <w:spacing w:before="60"/>
              <w:rPr>
                <w:i/>
                <w:szCs w:val="22"/>
              </w:rPr>
            </w:pP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Offence date:</w:t>
            </w:r>
          </w:p>
        </w:tc>
        <w:tc>
          <w:tcPr>
            <w:tcW w:w="851" w:type="dxa"/>
            <w:tcBorders>
              <w:top w:val="nil"/>
              <w:left w:val="nil"/>
              <w:bottom w:val="nil"/>
              <w:right w:val="nil"/>
            </w:tcBorders>
          </w:tcPr>
          <w:p>
            <w:pPr>
              <w:pStyle w:val="yTableNAm"/>
              <w:spacing w:before="60"/>
              <w:rPr>
                <w:i/>
                <w:szCs w:val="22"/>
              </w:rPr>
            </w:pPr>
          </w:p>
        </w:tc>
        <w:tc>
          <w:tcPr>
            <w:tcW w:w="2126" w:type="dxa"/>
            <w:gridSpan w:val="5"/>
            <w:tcBorders>
              <w:top w:val="nil"/>
              <w:left w:val="nil"/>
              <w:bottom w:val="nil"/>
              <w:right w:val="nil"/>
            </w:tcBorders>
          </w:tcPr>
          <w:p>
            <w:pPr>
              <w:pStyle w:val="yTableNAm"/>
              <w:spacing w:before="60"/>
              <w:rPr>
                <w:szCs w:val="22"/>
              </w:rPr>
            </w:pPr>
            <w:r>
              <w:rPr>
                <w:szCs w:val="22"/>
              </w:rPr>
              <w:t>Offence time:</w:t>
            </w:r>
          </w:p>
        </w:tc>
        <w:tc>
          <w:tcPr>
            <w:tcW w:w="2160" w:type="dxa"/>
            <w:gridSpan w:val="2"/>
            <w:tcBorders>
              <w:top w:val="nil"/>
              <w:left w:val="nil"/>
              <w:bottom w:val="nil"/>
              <w:right w:val="nil"/>
            </w:tcBorders>
          </w:tcPr>
          <w:p>
            <w:pPr>
              <w:pStyle w:val="yTableNAm"/>
              <w:spacing w:before="60"/>
              <w:rPr>
                <w:szCs w:val="22"/>
              </w:rPr>
            </w:pPr>
            <w:r>
              <w:rPr>
                <w:szCs w:val="22"/>
              </w:rPr>
              <w:t>Modified penalty:</w:t>
            </w:r>
          </w:p>
        </w:tc>
      </w:tr>
      <w:tr>
        <w:trPr>
          <w:gridAfter w:val="1"/>
          <w:wAfter w:w="109" w:type="dxa"/>
          <w:cantSplit/>
          <w:trHeight w:val="282"/>
        </w:trPr>
        <w:tc>
          <w:tcPr>
            <w:tcW w:w="1843" w:type="dxa"/>
            <w:gridSpan w:val="2"/>
            <w:tcBorders>
              <w:top w:val="nil"/>
              <w:left w:val="nil"/>
              <w:bottom w:val="nil"/>
              <w:right w:val="nil"/>
            </w:tcBorders>
          </w:tcPr>
          <w:p>
            <w:pPr>
              <w:pStyle w:val="yTableNAm"/>
              <w:spacing w:before="60"/>
              <w:rPr>
                <w:szCs w:val="22"/>
              </w:rPr>
            </w:pPr>
            <w:r>
              <w:rPr>
                <w:szCs w:val="22"/>
              </w:rPr>
              <w:t>Issuing officer:</w:t>
            </w:r>
          </w:p>
        </w:tc>
        <w:tc>
          <w:tcPr>
            <w:tcW w:w="5137" w:type="dxa"/>
            <w:gridSpan w:val="8"/>
            <w:tcBorders>
              <w:top w:val="nil"/>
              <w:left w:val="nil"/>
              <w:bottom w:val="nil"/>
              <w:right w:val="nil"/>
            </w:tcBorders>
          </w:tcPr>
          <w:p>
            <w:pPr>
              <w:pStyle w:val="yTableNAm"/>
              <w:spacing w:before="60"/>
              <w:rPr>
                <w:szCs w:val="22"/>
              </w:rPr>
            </w:pPr>
          </w:p>
        </w:tc>
      </w:tr>
      <w:tr>
        <w:trPr>
          <w:cantSplit/>
          <w:trHeight w:val="57"/>
        </w:trPr>
        <w:tc>
          <w:tcPr>
            <w:tcW w:w="7089" w:type="dxa"/>
            <w:gridSpan w:val="11"/>
            <w:tcBorders>
              <w:top w:val="nil"/>
              <w:left w:val="nil"/>
              <w:bottom w:val="single" w:sz="4" w:space="0" w:color="auto"/>
              <w:right w:val="nil"/>
            </w:tcBorders>
          </w:tcPr>
          <w:p>
            <w:pPr>
              <w:pStyle w:val="yTable"/>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keepLines/>
              <w:tabs>
                <w:tab w:val="clear" w:pos="567"/>
                <w:tab w:val="left" w:pos="885"/>
              </w:tabs>
              <w:spacing w:before="60"/>
              <w:rPr>
                <w:b/>
                <w:szCs w:val="22"/>
              </w:rPr>
            </w:pPr>
            <w:r>
              <w:rPr>
                <w:b/>
                <w:szCs w:val="22"/>
              </w:rPr>
              <w:t>Part B: Take notice</w:t>
            </w:r>
          </w:p>
        </w:tc>
      </w:tr>
      <w:tr>
        <w:trPr>
          <w:cantSplit/>
          <w:trHeight w:val="282"/>
        </w:trPr>
        <w:tc>
          <w:tcPr>
            <w:tcW w:w="7089" w:type="dxa"/>
            <w:gridSpan w:val="11"/>
            <w:tcBorders>
              <w:top w:val="single" w:sz="4" w:space="0" w:color="auto"/>
              <w:left w:val="nil"/>
              <w:bottom w:val="nil"/>
              <w:right w:val="nil"/>
            </w:tcBorders>
            <w:shd w:val="clear" w:color="auto" w:fill="auto"/>
          </w:tcPr>
          <w:p>
            <w:pPr>
              <w:pStyle w:val="yTableNAm"/>
              <w:keepLines/>
              <w:spacing w:before="60"/>
              <w:rPr>
                <w:szCs w:val="22"/>
              </w:rPr>
            </w:pPr>
            <w:r>
              <w:rPr>
                <w:szCs w:val="22"/>
              </w:rPr>
              <w:t>It is alleged you have committed the above offence.</w:t>
            </w:r>
          </w:p>
          <w:p>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pPr>
              <w:pStyle w:val="yTableNAm"/>
              <w:keepLines/>
              <w:tabs>
                <w:tab w:val="clear" w:pos="567"/>
                <w:tab w:val="left" w:pos="885"/>
              </w:tabs>
              <w:spacing w:before="60"/>
              <w:rPr>
                <w:b/>
                <w:szCs w:val="22"/>
              </w:rPr>
            </w:pPr>
          </w:p>
        </w:tc>
      </w:tr>
      <w:tr>
        <w:trPr>
          <w:trHeight w:val="282"/>
        </w:trPr>
        <w:tc>
          <w:tcPr>
            <w:tcW w:w="7089" w:type="dxa"/>
            <w:gridSpan w:val="11"/>
            <w:tcBorders>
              <w:top w:val="nil"/>
              <w:left w:val="nil"/>
              <w:bottom w:val="nil"/>
              <w:right w:val="nil"/>
            </w:tcBorders>
          </w:tcPr>
          <w:p>
            <w:pPr>
              <w:pStyle w:val="yTableNAm"/>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Under that Act, some or all of the following actions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Height w:val="57"/>
        </w:trPr>
        <w:tc>
          <w:tcPr>
            <w:tcW w:w="7089" w:type="dxa"/>
            <w:gridSpan w:val="11"/>
            <w:tcBorders>
              <w:top w:val="nil"/>
              <w:left w:val="nil"/>
              <w:bottom w:val="single" w:sz="4" w:space="0" w:color="auto"/>
              <w:right w:val="nil"/>
            </w:tcBorders>
          </w:tcPr>
          <w:p>
            <w:pPr>
              <w:pStyle w:val="yTableNAm"/>
              <w:spacing w:before="0"/>
              <w:rPr>
                <w:spacing w:val="-2"/>
                <w:sz w:val="6"/>
                <w:szCs w:val="6"/>
              </w:rPr>
            </w:pPr>
          </w:p>
        </w:tc>
      </w:tr>
      <w:tr>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C: Payment slip</w:t>
            </w:r>
          </w:p>
        </w:tc>
      </w:tr>
      <w:tr>
        <w:trPr>
          <w:cantSplit/>
          <w:trHeight w:val="282"/>
        </w:trPr>
        <w:tc>
          <w:tcPr>
            <w:tcW w:w="7089" w:type="dxa"/>
            <w:gridSpan w:val="11"/>
            <w:tcBorders>
              <w:top w:val="single" w:sz="4" w:space="0" w:color="auto"/>
              <w:left w:val="nil"/>
              <w:bottom w:val="nil"/>
              <w:right w:val="nil"/>
            </w:tcBorders>
          </w:tcPr>
          <w:p>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pPr>
              <w:pStyle w:val="yTableNAm"/>
              <w:spacing w:before="60"/>
              <w:rPr>
                <w:spacing w:val="-2"/>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pPr>
              <w:pStyle w:val="yTableNAm"/>
              <w:spacing w:before="60"/>
              <w:rPr>
                <w:b/>
                <w:szCs w:val="22"/>
              </w:rPr>
            </w:pPr>
            <w:r>
              <w:rPr>
                <w:b/>
                <w:szCs w:val="22"/>
              </w:rPr>
              <w:t>Online and phone payment options</w:t>
            </w:r>
          </w:p>
          <w:p>
            <w:pPr>
              <w:pStyle w:val="yTableNAm"/>
              <w:spacing w:before="60"/>
              <w:rPr>
                <w:sz w:val="14"/>
                <w:szCs w:val="14"/>
              </w:rPr>
            </w:pPr>
            <w:r>
              <w:rPr>
                <w:i/>
                <w:szCs w:val="22"/>
              </w:rPr>
              <w:t>[insert details for paying online or by telephone]</w:t>
            </w: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Cs w:val="22"/>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282"/>
        </w:trPr>
        <w:tc>
          <w:tcPr>
            <w:tcW w:w="1701" w:type="dxa"/>
            <w:tcBorders>
              <w:top w:val="nil"/>
              <w:left w:val="nil"/>
              <w:bottom w:val="nil"/>
            </w:tcBorders>
          </w:tcPr>
          <w:p>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pPr>
              <w:pStyle w:val="yTableNAm"/>
              <w:spacing w:before="60"/>
              <w:rPr>
                <w:sz w:val="14"/>
                <w:szCs w:val="14"/>
              </w:rPr>
            </w:pPr>
          </w:p>
        </w:tc>
        <w:tc>
          <w:tcPr>
            <w:tcW w:w="284" w:type="dxa"/>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hRule="exact" w:val="57"/>
        </w:trPr>
        <w:tc>
          <w:tcPr>
            <w:tcW w:w="3261" w:type="dxa"/>
            <w:gridSpan w:val="6"/>
            <w:tcBorders>
              <w:top w:val="nil"/>
              <w:left w:val="nil"/>
              <w:bottom w:val="nil"/>
            </w:tcBorders>
          </w:tcPr>
          <w:p>
            <w:pPr>
              <w:pStyle w:val="yTableNAm"/>
              <w:spacing w:before="60"/>
              <w:rPr>
                <w:sz w:val="14"/>
                <w:szCs w:val="14"/>
              </w:rPr>
            </w:pPr>
          </w:p>
        </w:tc>
        <w:tc>
          <w:tcPr>
            <w:tcW w:w="3828" w:type="dxa"/>
            <w:gridSpan w:val="5"/>
            <w:vMerge/>
            <w:tcBorders>
              <w:left w:val="nil"/>
              <w:bottom w:val="single" w:sz="4" w:space="0" w:color="auto"/>
            </w:tcBorders>
            <w:shd w:val="clear" w:color="auto" w:fill="auto"/>
          </w:tcPr>
          <w:p>
            <w:pPr>
              <w:pStyle w:val="yTableNAm"/>
              <w:spacing w:before="60"/>
              <w:rPr>
                <w:sz w:val="14"/>
                <w:szCs w:val="14"/>
              </w:rPr>
            </w:pPr>
          </w:p>
        </w:tc>
      </w:tr>
      <w:tr>
        <w:trPr>
          <w:cantSplit/>
          <w:trHeight w:val="631"/>
        </w:trPr>
        <w:tc>
          <w:tcPr>
            <w:tcW w:w="3261" w:type="dxa"/>
            <w:gridSpan w:val="6"/>
            <w:tcBorders>
              <w:top w:val="nil"/>
              <w:left w:val="nil"/>
              <w:bottom w:val="nil"/>
            </w:tcBorders>
          </w:tcPr>
          <w:p>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pPr>
              <w:pStyle w:val="yTableNAm"/>
              <w:keepNext/>
              <w:keepLines/>
              <w:spacing w:before="60"/>
              <w:rPr>
                <w:sz w:val="14"/>
                <w:szCs w:val="14"/>
              </w:rPr>
            </w:pPr>
          </w:p>
        </w:tc>
      </w:tr>
    </w:tbl>
    <w:p>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trPr>
          <w:cantSplit/>
          <w:trHeight w:hRule="exact" w:val="57"/>
        </w:trPr>
        <w:tc>
          <w:tcPr>
            <w:tcW w:w="7248" w:type="dxa"/>
            <w:gridSpan w:val="4"/>
            <w:tcBorders>
              <w:top w:val="nil"/>
              <w:left w:val="nil"/>
              <w:bottom w:val="single" w:sz="4" w:space="0" w:color="auto"/>
              <w:right w:val="nil"/>
            </w:tcBorders>
          </w:tcPr>
          <w:p>
            <w:pPr>
              <w:pStyle w:val="yTable"/>
              <w:tabs>
                <w:tab w:val="left" w:pos="2268"/>
              </w:tabs>
              <w:rPr>
                <w:sz w:val="14"/>
                <w:szCs w:val="14"/>
              </w:rPr>
            </w:pPr>
          </w:p>
        </w:tc>
      </w:tr>
      <w:tr>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tabs>
                <w:tab w:val="clear" w:pos="567"/>
                <w:tab w:val="left" w:pos="885"/>
              </w:tabs>
              <w:spacing w:before="60"/>
              <w:rPr>
                <w:b/>
                <w:szCs w:val="22"/>
              </w:rPr>
            </w:pPr>
            <w:r>
              <w:rPr>
                <w:b/>
                <w:szCs w:val="22"/>
              </w:rPr>
              <w:t>Part D: Court election</w:t>
            </w:r>
          </w:p>
        </w:tc>
      </w:tr>
      <w:tr>
        <w:trPr>
          <w:cantSplit/>
          <w:trHeight w:val="40"/>
        </w:trPr>
        <w:tc>
          <w:tcPr>
            <w:tcW w:w="7248" w:type="dxa"/>
            <w:gridSpan w:val="4"/>
            <w:tcBorders>
              <w:top w:val="single" w:sz="4" w:space="0" w:color="auto"/>
              <w:left w:val="nil"/>
              <w:bottom w:val="nil"/>
              <w:right w:val="nil"/>
            </w:tcBorders>
          </w:tcPr>
          <w:p>
            <w:pPr>
              <w:pStyle w:val="yTableNAm"/>
              <w:rPr>
                <w:b/>
              </w:rPr>
            </w:pPr>
            <w:r>
              <w:t>I, _____________________ of _____________________ elect to have this matter dealt with by a court. I understand I may receive a summons in due course.</w:t>
            </w:r>
          </w:p>
        </w:tc>
      </w:tr>
      <w:tr>
        <w:trPr>
          <w:cantSplit/>
          <w:trHeight w:val="282"/>
        </w:trPr>
        <w:tc>
          <w:tcPr>
            <w:tcW w:w="1134" w:type="dxa"/>
            <w:tcBorders>
              <w:top w:val="nil"/>
              <w:left w:val="nil"/>
              <w:bottom w:val="nil"/>
              <w:right w:val="nil"/>
            </w:tcBorders>
            <w:vAlign w:val="bottom"/>
          </w:tcPr>
          <w:p>
            <w:pPr>
              <w:pStyle w:val="yTableNAm"/>
            </w:pPr>
            <w:r>
              <w:t>Signature:</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Date:</w:t>
            </w:r>
          </w:p>
        </w:tc>
        <w:tc>
          <w:tcPr>
            <w:tcW w:w="2570" w:type="dxa"/>
            <w:tcBorders>
              <w:top w:val="nil"/>
              <w:left w:val="nil"/>
              <w:bottom w:val="single" w:sz="4" w:space="0" w:color="auto"/>
              <w:right w:val="nil"/>
            </w:tcBorders>
            <w:vAlign w:val="bottom"/>
          </w:tcPr>
          <w:p>
            <w:pPr>
              <w:pStyle w:val="yTableNAm"/>
            </w:pPr>
          </w:p>
        </w:tc>
      </w:tr>
      <w:tr>
        <w:trPr>
          <w:cantSplit/>
          <w:trHeight w:val="282"/>
        </w:trPr>
        <w:tc>
          <w:tcPr>
            <w:tcW w:w="1134" w:type="dxa"/>
            <w:tcBorders>
              <w:top w:val="nil"/>
              <w:left w:val="nil"/>
              <w:bottom w:val="nil"/>
              <w:right w:val="nil"/>
            </w:tcBorders>
            <w:vAlign w:val="bottom"/>
          </w:tcPr>
          <w:p>
            <w:pPr>
              <w:pStyle w:val="yTableNAm"/>
            </w:pPr>
            <w:r>
              <w:t>Email:</w:t>
            </w:r>
          </w:p>
        </w:tc>
        <w:tc>
          <w:tcPr>
            <w:tcW w:w="2393" w:type="dxa"/>
            <w:tcBorders>
              <w:top w:val="nil"/>
              <w:left w:val="nil"/>
              <w:bottom w:val="single" w:sz="4" w:space="0" w:color="auto"/>
              <w:right w:val="nil"/>
            </w:tcBorders>
            <w:vAlign w:val="bottom"/>
          </w:tcPr>
          <w:p>
            <w:pPr>
              <w:pStyle w:val="yTableNAm"/>
            </w:pPr>
          </w:p>
        </w:tc>
        <w:tc>
          <w:tcPr>
            <w:tcW w:w="1151" w:type="dxa"/>
            <w:tcBorders>
              <w:top w:val="nil"/>
              <w:left w:val="nil"/>
              <w:bottom w:val="nil"/>
              <w:right w:val="nil"/>
            </w:tcBorders>
            <w:vAlign w:val="bottom"/>
          </w:tcPr>
          <w:p>
            <w:pPr>
              <w:pStyle w:val="yTableNAm"/>
            </w:pPr>
            <w:r>
              <w:t>Phone no:</w:t>
            </w:r>
          </w:p>
        </w:tc>
        <w:tc>
          <w:tcPr>
            <w:tcW w:w="2570" w:type="dxa"/>
            <w:tcBorders>
              <w:top w:val="nil"/>
              <w:left w:val="nil"/>
              <w:bottom w:val="single" w:sz="4" w:space="0" w:color="auto"/>
              <w:right w:val="nil"/>
            </w:tcBorders>
            <w:vAlign w:val="bottom"/>
          </w:tcPr>
          <w:p>
            <w:pPr>
              <w:pStyle w:val="yTableNAm"/>
            </w:pPr>
          </w:p>
        </w:tc>
      </w:tr>
      <w:tr>
        <w:trPr>
          <w:cantSplit/>
          <w:trHeight w:val="57"/>
        </w:trPr>
        <w:tc>
          <w:tcPr>
            <w:tcW w:w="7248" w:type="dxa"/>
            <w:gridSpan w:val="4"/>
            <w:tcBorders>
              <w:top w:val="nil"/>
              <w:left w:val="nil"/>
              <w:bottom w:val="nil"/>
              <w:right w:val="nil"/>
            </w:tcBorders>
          </w:tcPr>
          <w:p>
            <w:pPr>
              <w:pStyle w:val="yTableNAm"/>
              <w:rPr>
                <w:spacing w:val="-2"/>
              </w:rPr>
            </w:pPr>
          </w:p>
        </w:tc>
      </w:tr>
      <w:tr>
        <w:trPr>
          <w:cantSplit/>
          <w:trHeight w:val="340"/>
        </w:trPr>
        <w:tc>
          <w:tcPr>
            <w:tcW w:w="7248" w:type="dxa"/>
            <w:gridSpan w:val="4"/>
            <w:tcBorders>
              <w:top w:val="nil"/>
              <w:left w:val="nil"/>
              <w:bottom w:val="nil"/>
              <w:right w:val="nil"/>
            </w:tcBorders>
            <w:shd w:val="clear" w:color="auto" w:fill="auto"/>
          </w:tcPr>
          <w:p>
            <w:pPr>
              <w:pStyle w:val="yTableNAm"/>
            </w:pPr>
            <w:r>
              <w:t>Once you have completed the details above, return this form within 28 days after the date of this notice, using one of the following options:</w:t>
            </w:r>
          </w:p>
          <w:p>
            <w:pPr>
              <w:pStyle w:val="yTableNAm"/>
              <w:rPr>
                <w:b/>
              </w:rPr>
            </w:pPr>
            <w:r>
              <w:t>[</w:t>
            </w:r>
            <w:r>
              <w:rPr>
                <w:i/>
              </w:rPr>
              <w:t>insert options</w:t>
            </w:r>
            <w:r>
              <w:t>]</w:t>
            </w:r>
          </w:p>
        </w:tc>
      </w:tr>
    </w:tbl>
    <w:p>
      <w:pPr>
        <w:pStyle w:val="yFootnotesection"/>
      </w:pPr>
      <w:r>
        <w:tab/>
        <w:t>[Form 1 inserted: SL 2020/31 r. 5; amended: SL 2020/165 r. 4.]</w:t>
      </w:r>
    </w:p>
    <w:p>
      <w:pPr>
        <w:pStyle w:val="yMiscellaneousBody"/>
        <w:keepNext/>
        <w:spacing w:before="240" w:after="120"/>
        <w:ind w:left="142"/>
        <w:rPr>
          <w:b/>
        </w:rPr>
      </w:pPr>
      <w:r>
        <w:rPr>
          <w:b/>
        </w:rPr>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trPr>
          <w:cantSplit/>
          <w:trHeight w:val="282"/>
        </w:trPr>
        <w:tc>
          <w:tcPr>
            <w:tcW w:w="4962" w:type="dxa"/>
            <w:gridSpan w:val="4"/>
          </w:tcPr>
          <w:p>
            <w:pPr>
              <w:pStyle w:val="yTableNAm"/>
              <w:jc w:val="center"/>
            </w:pPr>
            <w:r>
              <w:rPr>
                <w:b/>
              </w:rPr>
              <w:br w:type="page"/>
            </w:r>
            <w:r>
              <w:rPr>
                <w:b/>
              </w:rPr>
              <w:br w:type="page"/>
            </w:r>
            <w:r>
              <w:rPr>
                <w:i/>
              </w:rPr>
              <w:t>Emergency Management Act 2005</w:t>
            </w:r>
          </w:p>
          <w:p>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843" w:type="dxa"/>
            <w:vMerge w:val="restart"/>
          </w:tcPr>
          <w:p>
            <w:pPr>
              <w:pStyle w:val="yTableNAm"/>
              <w:keepNext/>
            </w:pPr>
            <w:r>
              <w:rPr>
                <w:b/>
              </w:rPr>
              <w:t>Alleged offender</w:t>
            </w:r>
          </w:p>
        </w:tc>
        <w:tc>
          <w:tcPr>
            <w:tcW w:w="1418" w:type="dxa"/>
            <w:vMerge w:val="restart"/>
          </w:tcPr>
          <w:p>
            <w:pPr>
              <w:pStyle w:val="yTableNAm"/>
              <w:keepNext/>
            </w:pPr>
            <w:r>
              <w:t>Name</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val="restart"/>
          </w:tcPr>
          <w:p>
            <w:pPr>
              <w:pStyle w:val="yTableNAm"/>
              <w:keepNext/>
            </w:pPr>
            <w:r>
              <w:t>Address</w:t>
            </w:r>
          </w:p>
        </w:tc>
        <w:tc>
          <w:tcPr>
            <w:tcW w:w="3827" w:type="dxa"/>
            <w:gridSpan w:val="4"/>
          </w:tcPr>
          <w:p>
            <w:pPr>
              <w:pStyle w:val="yTableNAm"/>
              <w:keepNext/>
            </w:pPr>
          </w:p>
        </w:tc>
      </w:tr>
      <w:tr>
        <w:trPr>
          <w:cantSplit/>
          <w:trHeight w:val="150"/>
        </w:trPr>
        <w:tc>
          <w:tcPr>
            <w:tcW w:w="1843" w:type="dxa"/>
            <w:vMerge/>
          </w:tcPr>
          <w:p>
            <w:pPr>
              <w:pStyle w:val="yTableNAm"/>
              <w:keepNext/>
              <w:keepLines/>
              <w:widowControl w:val="0"/>
            </w:pPr>
          </w:p>
        </w:tc>
        <w:tc>
          <w:tcPr>
            <w:tcW w:w="1418" w:type="dxa"/>
            <w:vMerge/>
          </w:tcPr>
          <w:p>
            <w:pPr>
              <w:pStyle w:val="yTableNAm"/>
              <w:keepNext/>
              <w:keepLines/>
              <w:widowControl w:val="0"/>
            </w:pPr>
          </w:p>
        </w:tc>
        <w:tc>
          <w:tcPr>
            <w:tcW w:w="3827" w:type="dxa"/>
            <w:gridSpan w:val="4"/>
          </w:tcPr>
          <w:p>
            <w:pPr>
              <w:pStyle w:val="yTableNAm"/>
            </w:pPr>
          </w:p>
        </w:tc>
      </w:tr>
      <w:tr>
        <w:trPr>
          <w:cantSplit/>
          <w:trHeight w:val="150"/>
        </w:trPr>
        <w:tc>
          <w:tcPr>
            <w:tcW w:w="1843" w:type="dxa"/>
            <w:vMerge w:val="restart"/>
          </w:tcPr>
          <w:p>
            <w:pPr>
              <w:pStyle w:val="yTableNAm"/>
            </w:pPr>
            <w:r>
              <w:rPr>
                <w:b/>
              </w:rPr>
              <w:t>Details of infringement notice</w:t>
            </w:r>
          </w:p>
        </w:tc>
        <w:tc>
          <w:tcPr>
            <w:tcW w:w="1418" w:type="dxa"/>
          </w:tcPr>
          <w:p>
            <w:pPr>
              <w:pStyle w:val="yTableNAm"/>
            </w:pPr>
            <w:r>
              <w:t>Infringement no.</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Date of issue</w:t>
            </w:r>
          </w:p>
        </w:tc>
        <w:tc>
          <w:tcPr>
            <w:tcW w:w="3827" w:type="dxa"/>
            <w:gridSpan w:val="4"/>
          </w:tcPr>
          <w:p>
            <w:pPr>
              <w:pStyle w:val="yTableNAm"/>
            </w:pPr>
          </w:p>
        </w:tc>
      </w:tr>
      <w:tr>
        <w:trPr>
          <w:cantSplit/>
          <w:trHeight w:val="150"/>
        </w:trPr>
        <w:tc>
          <w:tcPr>
            <w:tcW w:w="1843" w:type="dxa"/>
            <w:vMerge w:val="restart"/>
          </w:tcPr>
          <w:p>
            <w:pPr>
              <w:pStyle w:val="yTableNAm"/>
              <w:rPr>
                <w:b/>
              </w:rPr>
            </w:pPr>
            <w:r>
              <w:rPr>
                <w:b/>
              </w:rPr>
              <w:t>Alleged offence</w:t>
            </w:r>
          </w:p>
        </w:tc>
        <w:tc>
          <w:tcPr>
            <w:tcW w:w="5245" w:type="dxa"/>
            <w:gridSpan w:val="5"/>
          </w:tcPr>
          <w:p>
            <w:pPr>
              <w:pStyle w:val="yTableNAm"/>
            </w:pPr>
            <w:r>
              <w:rPr>
                <w:i/>
              </w:rPr>
              <w:t>Emergency Management Act 2005</w:t>
            </w:r>
            <w:r>
              <w:t xml:space="preserve"> s. 86(1)</w:t>
            </w:r>
          </w:p>
        </w:tc>
      </w:tr>
      <w:tr>
        <w:trPr>
          <w:cantSplit/>
          <w:trHeight w:val="150"/>
        </w:trPr>
        <w:tc>
          <w:tcPr>
            <w:tcW w:w="1843" w:type="dxa"/>
            <w:vMerge/>
          </w:tcPr>
          <w:p>
            <w:pPr>
              <w:pStyle w:val="yTableNAm"/>
            </w:pPr>
          </w:p>
        </w:tc>
        <w:tc>
          <w:tcPr>
            <w:tcW w:w="1418" w:type="dxa"/>
          </w:tcPr>
          <w:p>
            <w:pPr>
              <w:pStyle w:val="yTableNAm"/>
            </w:pPr>
            <w:r>
              <w:t>Date</w:t>
            </w:r>
          </w:p>
        </w:tc>
        <w:tc>
          <w:tcPr>
            <w:tcW w:w="3827" w:type="dxa"/>
            <w:gridSpan w:val="4"/>
          </w:tcPr>
          <w:p>
            <w:pPr>
              <w:pStyle w:val="yTableNAm"/>
            </w:pPr>
          </w:p>
        </w:tc>
      </w:tr>
      <w:tr>
        <w:trPr>
          <w:cantSplit/>
          <w:trHeight w:val="150"/>
        </w:trPr>
        <w:tc>
          <w:tcPr>
            <w:tcW w:w="1843" w:type="dxa"/>
            <w:vMerge/>
          </w:tcPr>
          <w:p>
            <w:pPr>
              <w:pStyle w:val="yTableNAm"/>
            </w:pPr>
          </w:p>
        </w:tc>
        <w:tc>
          <w:tcPr>
            <w:tcW w:w="1418" w:type="dxa"/>
          </w:tcPr>
          <w:p>
            <w:pPr>
              <w:pStyle w:val="yTableNAm"/>
            </w:pPr>
            <w:r>
              <w:t>Location</w:t>
            </w:r>
          </w:p>
        </w:tc>
        <w:tc>
          <w:tcPr>
            <w:tcW w:w="3827" w:type="dxa"/>
            <w:gridSpan w:val="4"/>
          </w:tcPr>
          <w:p>
            <w:pPr>
              <w:pStyle w:val="yTableNAm"/>
            </w:pPr>
          </w:p>
        </w:tc>
      </w:tr>
      <w:tr>
        <w:trPr>
          <w:cantSplit/>
          <w:trHeight w:val="756"/>
        </w:trPr>
        <w:tc>
          <w:tcPr>
            <w:tcW w:w="1843" w:type="dxa"/>
            <w:vMerge/>
          </w:tcPr>
          <w:p>
            <w:pPr>
              <w:pStyle w:val="yTableNAm"/>
            </w:pPr>
          </w:p>
        </w:tc>
        <w:tc>
          <w:tcPr>
            <w:tcW w:w="1418" w:type="dxa"/>
          </w:tcPr>
          <w:p>
            <w:pPr>
              <w:pStyle w:val="yTableNAm"/>
            </w:pPr>
            <w:r>
              <w:t>Details of offence</w:t>
            </w:r>
          </w:p>
        </w:tc>
        <w:tc>
          <w:tcPr>
            <w:tcW w:w="3827" w:type="dxa"/>
            <w:gridSpan w:val="4"/>
          </w:tcPr>
          <w:p>
            <w:pPr>
              <w:pStyle w:val="yTableNAm"/>
            </w:pPr>
          </w:p>
        </w:tc>
      </w:tr>
      <w:tr>
        <w:trPr>
          <w:cantSplit/>
        </w:trPr>
        <w:tc>
          <w:tcPr>
            <w:tcW w:w="1843" w:type="dxa"/>
            <w:vMerge w:val="restart"/>
          </w:tcPr>
          <w:p>
            <w:pPr>
              <w:pStyle w:val="yTableNAm"/>
            </w:pPr>
            <w:r>
              <w:rPr>
                <w:b/>
              </w:rPr>
              <w:t>Approved Officer withdrawing notice</w:t>
            </w:r>
          </w:p>
        </w:tc>
        <w:tc>
          <w:tcPr>
            <w:tcW w:w="1418" w:type="dxa"/>
          </w:tcPr>
          <w:p>
            <w:pPr>
              <w:pStyle w:val="yTableNAm"/>
            </w:pPr>
            <w:r>
              <w:t>Name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Office</w:t>
            </w:r>
          </w:p>
        </w:tc>
        <w:tc>
          <w:tcPr>
            <w:tcW w:w="3827" w:type="dxa"/>
            <w:gridSpan w:val="4"/>
          </w:tcPr>
          <w:p>
            <w:pPr>
              <w:pStyle w:val="yTableNAm"/>
            </w:pPr>
          </w:p>
        </w:tc>
      </w:tr>
      <w:tr>
        <w:trPr>
          <w:cantSplit/>
          <w:trHeight w:val="370"/>
        </w:trPr>
        <w:tc>
          <w:tcPr>
            <w:tcW w:w="1843" w:type="dxa"/>
            <w:vMerge/>
          </w:tcPr>
          <w:p>
            <w:pPr>
              <w:pStyle w:val="yTableNAm"/>
            </w:pPr>
          </w:p>
        </w:tc>
        <w:tc>
          <w:tcPr>
            <w:tcW w:w="1418" w:type="dxa"/>
          </w:tcPr>
          <w:p>
            <w:pPr>
              <w:pStyle w:val="yTableNAm"/>
            </w:pPr>
            <w:r>
              <w:t>Signature</w:t>
            </w:r>
          </w:p>
        </w:tc>
        <w:tc>
          <w:tcPr>
            <w:tcW w:w="3827" w:type="dxa"/>
            <w:gridSpan w:val="4"/>
          </w:tcPr>
          <w:p>
            <w:pPr>
              <w:pStyle w:val="yTableNAm"/>
            </w:pPr>
          </w:p>
        </w:tc>
      </w:tr>
      <w:tr>
        <w:trPr>
          <w:cantSplit/>
        </w:trPr>
        <w:tc>
          <w:tcPr>
            <w:tcW w:w="1843" w:type="dxa"/>
          </w:tcPr>
          <w:p>
            <w:pPr>
              <w:pStyle w:val="yTableNAm"/>
            </w:pPr>
            <w:r>
              <w:rPr>
                <w:b/>
              </w:rPr>
              <w:t>Date</w:t>
            </w:r>
          </w:p>
        </w:tc>
        <w:tc>
          <w:tcPr>
            <w:tcW w:w="1418" w:type="dxa"/>
          </w:tcPr>
          <w:p>
            <w:pPr>
              <w:pStyle w:val="yTableNAm"/>
            </w:pPr>
            <w:r>
              <w:t>Date of withdrawal</w:t>
            </w:r>
          </w:p>
        </w:tc>
        <w:tc>
          <w:tcPr>
            <w:tcW w:w="3827" w:type="dxa"/>
            <w:gridSpan w:val="4"/>
          </w:tcPr>
          <w:p>
            <w:pPr>
              <w:pStyle w:val="yTableNAm"/>
            </w:pPr>
          </w:p>
        </w:tc>
      </w:tr>
      <w:tr>
        <w:trPr>
          <w:cantSplit/>
          <w:trHeight w:val="1097"/>
        </w:trPr>
        <w:tc>
          <w:tcPr>
            <w:tcW w:w="1843" w:type="dxa"/>
            <w:tcBorders>
              <w:bottom w:val="nil"/>
            </w:tcBorders>
          </w:tcPr>
          <w:p>
            <w:pPr>
              <w:pStyle w:val="yTableNAm"/>
            </w:pPr>
            <w:r>
              <w:rPr>
                <w:b/>
              </w:rPr>
              <w:t>Withdrawal of infringement notice</w:t>
            </w:r>
          </w:p>
          <w:p>
            <w:pPr>
              <w:pStyle w:val="yTableNAm"/>
              <w:rPr>
                <w:i/>
              </w:rPr>
            </w:pPr>
            <w:r>
              <w:rPr>
                <w:i/>
              </w:rPr>
              <w:t>[</w:t>
            </w:r>
            <w:r>
              <w:rPr>
                <w:i/>
                <w:sz w:val="20"/>
              </w:rPr>
              <w:t>*Delete whichever is not applicable</w:t>
            </w:r>
            <w:r>
              <w:rPr>
                <w:i/>
              </w:rPr>
              <w:t>]</w:t>
            </w:r>
          </w:p>
        </w:tc>
        <w:tc>
          <w:tcPr>
            <w:tcW w:w="5245" w:type="dxa"/>
            <w:gridSpan w:val="5"/>
            <w:tcBorders>
              <w:bottom w:val="nil"/>
            </w:tcBorders>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pPr>
            <w:r>
              <w:rPr>
                <w:i/>
              </w:rPr>
              <w:t>or</w:t>
            </w:r>
          </w:p>
        </w:tc>
      </w:tr>
      <w:tr>
        <w:trPr>
          <w:cantSplit/>
          <w:trHeight w:val="1097"/>
        </w:trPr>
        <w:tc>
          <w:tcPr>
            <w:tcW w:w="1843" w:type="dxa"/>
            <w:tcBorders>
              <w:top w:val="nil"/>
            </w:tcBorders>
          </w:tcPr>
          <w:p>
            <w:pPr>
              <w:pStyle w:val="yTableNAm"/>
              <w:keepNext/>
            </w:pPr>
          </w:p>
        </w:tc>
        <w:tc>
          <w:tcPr>
            <w:tcW w:w="5245" w:type="dxa"/>
            <w:gridSpan w:val="5"/>
            <w:tcBorders>
              <w:top w:val="nil"/>
            </w:tcBorders>
          </w:tcPr>
          <w:p>
            <w:pPr>
              <w:pStyle w:val="yTableNAm"/>
              <w:keepNext/>
              <w:ind w:left="567" w:hanging="567"/>
            </w:pPr>
            <w:r>
              <w:t>*</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b/>
              </w:rPr>
              <w:br w:type="page"/>
            </w:r>
            <w:r>
              <w:rPr>
                <w:i/>
              </w:rPr>
              <w:t>Emergency Management Act 2005</w:t>
            </w:r>
          </w:p>
          <w:p>
            <w:pPr>
              <w:pStyle w:val="yTableNAm"/>
              <w:keepNext/>
              <w:rPr>
                <w:i/>
              </w:rPr>
            </w:pPr>
            <w:r>
              <w:rPr>
                <w:i/>
              </w:rPr>
              <w:tab/>
              <w:t>[Insert address]</w:t>
            </w:r>
          </w:p>
        </w:tc>
      </w:tr>
      <w:tr>
        <w:trPr>
          <w:cantSplit/>
          <w:trHeight w:val="604"/>
        </w:trPr>
        <w:tc>
          <w:tcPr>
            <w:tcW w:w="1843" w:type="dxa"/>
          </w:tcPr>
          <w:p>
            <w:pPr>
              <w:pStyle w:val="yTableNAm"/>
            </w:pPr>
            <w:r>
              <w:rPr>
                <w:b/>
              </w:rPr>
              <w:t>Your signature</w:t>
            </w:r>
          </w:p>
        </w:tc>
        <w:tc>
          <w:tcPr>
            <w:tcW w:w="2268" w:type="dxa"/>
            <w:gridSpan w:val="2"/>
          </w:tcPr>
          <w:p>
            <w:pPr>
              <w:pStyle w:val="yTableNAm"/>
            </w:pPr>
          </w:p>
        </w:tc>
        <w:tc>
          <w:tcPr>
            <w:tcW w:w="1134" w:type="dxa"/>
            <w:gridSpan w:val="2"/>
          </w:tcPr>
          <w:p>
            <w:pPr>
              <w:pStyle w:val="yTableNAm"/>
            </w:pPr>
            <w:r>
              <w:rPr>
                <w:b/>
                <w:bCs/>
              </w:rPr>
              <w:t>Date</w:t>
            </w:r>
          </w:p>
        </w:tc>
        <w:tc>
          <w:tcPr>
            <w:tcW w:w="1843" w:type="dxa"/>
          </w:tcPr>
          <w:p>
            <w:pPr>
              <w:pStyle w:val="yTableNAm"/>
            </w:pPr>
          </w:p>
        </w:tc>
      </w:tr>
    </w:tbl>
    <w:p>
      <w:pPr>
        <w:pStyle w:val="yFootnotesection"/>
      </w:pPr>
      <w:r>
        <w:tab/>
        <w:t>[Form 2 inserted: SL 2020/31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29" w:name="_Toc192853974"/>
      <w:bookmarkStart w:id="130" w:name="_Toc192854450"/>
      <w:bookmarkStart w:id="131" w:name="_Toc192857612"/>
      <w:bookmarkStart w:id="132" w:name="_Toc185432504"/>
      <w:bookmarkStart w:id="133" w:name="_Toc185433176"/>
      <w:bookmarkStart w:id="134" w:name="_Toc185432213"/>
      <w:r>
        <w:t>Notes</w:t>
      </w:r>
      <w:bookmarkEnd w:id="129"/>
      <w:bookmarkEnd w:id="130"/>
      <w:bookmarkEnd w:id="131"/>
      <w:bookmarkEnd w:id="132"/>
      <w:bookmarkEnd w:id="133"/>
    </w:p>
    <w:p>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 </w:t>
      </w:r>
      <w:del w:id="135" w:author="Master Repository Process" w:date="2025-07-03T12:00:00Z">
        <w:r>
          <w:delText>For provisions that have not yet come into operation, see the uncommenced provisions table.</w:delText>
        </w:r>
      </w:del>
    </w:p>
    <w:p>
      <w:pPr>
        <w:pStyle w:val="nHeading3"/>
      </w:pPr>
      <w:bookmarkStart w:id="136" w:name="_Toc192857613"/>
      <w:bookmarkStart w:id="137" w:name="_Toc181104974"/>
      <w:bookmarkStart w:id="138" w:name="_Toc185433177"/>
      <w:r>
        <w:t>Compilation table</w:t>
      </w:r>
      <w:bookmarkEnd w:id="136"/>
      <w:bookmarkEnd w:id="137"/>
      <w:bookmarkEnd w:id="138"/>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Emergency Management Regulations 2006</w:t>
            </w:r>
          </w:p>
        </w:tc>
        <w:tc>
          <w:tcPr>
            <w:tcW w:w="1276" w:type="dxa"/>
            <w:tcBorders>
              <w:top w:val="single" w:sz="8" w:space="0" w:color="auto"/>
            </w:tcBorders>
          </w:tcPr>
          <w:p>
            <w:pPr>
              <w:pStyle w:val="nTable"/>
              <w:spacing w:after="40"/>
            </w:pPr>
            <w:r>
              <w:t>21 Apr 2006 p. 1582</w:t>
            </w:r>
            <w:r>
              <w:noBreakHyphen/>
              <w:t>4</w:t>
            </w:r>
          </w:p>
        </w:tc>
        <w:tc>
          <w:tcPr>
            <w:tcW w:w="2693" w:type="dxa"/>
            <w:tcBorders>
              <w:top w:val="single" w:sz="8" w:space="0" w:color="auto"/>
            </w:tcBorders>
          </w:tcPr>
          <w:p>
            <w:pPr>
              <w:pStyle w:val="nTable"/>
              <w:spacing w:after="40"/>
            </w:pPr>
            <w:r>
              <w:t>21 Apr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2006</w:t>
            </w:r>
          </w:p>
        </w:tc>
        <w:tc>
          <w:tcPr>
            <w:tcW w:w="1276" w:type="dxa"/>
          </w:tcPr>
          <w:p>
            <w:pPr>
              <w:pStyle w:val="nTable"/>
              <w:spacing w:after="40"/>
            </w:pPr>
            <w:r>
              <w:t>12 Jan 2007 p. 50</w:t>
            </w:r>
            <w:r>
              <w:noBreakHyphen/>
              <w:t>2</w:t>
            </w:r>
          </w:p>
        </w:tc>
        <w:tc>
          <w:tcPr>
            <w:tcW w:w="2693" w:type="dxa"/>
          </w:tcPr>
          <w:p>
            <w:pPr>
              <w:pStyle w:val="nTable"/>
              <w:spacing w:after="40"/>
            </w:pPr>
            <w:r>
              <w:t>12 Jan 2007</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2008</w:t>
            </w:r>
          </w:p>
        </w:tc>
        <w:tc>
          <w:tcPr>
            <w:tcW w:w="1276" w:type="dxa"/>
          </w:tcPr>
          <w:p>
            <w:pPr>
              <w:pStyle w:val="nTable"/>
              <w:spacing w:after="40"/>
            </w:pPr>
            <w:r>
              <w:t>18 Mar 2008 p. 866</w:t>
            </w:r>
            <w:r>
              <w:noBreakHyphen/>
              <w:t>7</w:t>
            </w:r>
          </w:p>
        </w:tc>
        <w:tc>
          <w:tcPr>
            <w:tcW w:w="2693" w:type="dxa"/>
          </w:tcPr>
          <w:p>
            <w:pPr>
              <w:pStyle w:val="nTable"/>
              <w:spacing w:after="40"/>
            </w:pPr>
            <w:r>
              <w:t>r. 1 and 2: 18 Mar 2008 (see r. 2(a));</w:t>
            </w:r>
            <w:r>
              <w:br/>
              <w:t>Regulations other than r. 1 and 2: 19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2008</w:t>
            </w:r>
          </w:p>
        </w:tc>
        <w:tc>
          <w:tcPr>
            <w:tcW w:w="1276" w:type="dxa"/>
          </w:tcPr>
          <w:p>
            <w:pPr>
              <w:pStyle w:val="nTable"/>
              <w:spacing w:after="40"/>
            </w:pPr>
            <w:r>
              <w:t>29 Apr 2008 p. 1577</w:t>
            </w:r>
            <w:r>
              <w:noBreakHyphen/>
              <w:t>8</w:t>
            </w:r>
          </w:p>
        </w:tc>
        <w:tc>
          <w:tcPr>
            <w:tcW w:w="2693" w:type="dxa"/>
          </w:tcPr>
          <w:p>
            <w:pPr>
              <w:pStyle w:val="nTable"/>
              <w:spacing w:after="40"/>
            </w:pPr>
            <w:r>
              <w:t>r. 1 and 2: 29 Apr 2008 (see r. 2(a));</w:t>
            </w:r>
            <w:r>
              <w:br/>
              <w:t>Regulations other than r. 1 and 2: 30 Apr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3) 2008</w:t>
            </w:r>
          </w:p>
        </w:tc>
        <w:tc>
          <w:tcPr>
            <w:tcW w:w="1276" w:type="dxa"/>
          </w:tcPr>
          <w:p>
            <w:pPr>
              <w:pStyle w:val="nTable"/>
              <w:spacing w:after="40"/>
            </w:pPr>
            <w:r>
              <w:t>13 Jan 2009 p. 55</w:t>
            </w:r>
            <w:r>
              <w:noBreakHyphen/>
              <w:t>7</w:t>
            </w:r>
          </w:p>
        </w:tc>
        <w:tc>
          <w:tcPr>
            <w:tcW w:w="2693" w:type="dxa"/>
          </w:tcPr>
          <w:p>
            <w:pPr>
              <w:pStyle w:val="nTable"/>
              <w:spacing w:after="40"/>
            </w:pPr>
            <w:r>
              <w:rPr>
                <w:snapToGrid w:val="0"/>
              </w:rPr>
              <w:t>r. 1 and 2: 13 Jan 2009 (see r. 2(a));</w:t>
            </w:r>
            <w:r>
              <w:rPr>
                <w:snapToGrid w:val="0"/>
              </w:rPr>
              <w:br/>
              <w:t>Regulations other than r. 1 and 2: 14 Jan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2009</w:t>
            </w:r>
          </w:p>
        </w:tc>
        <w:tc>
          <w:tcPr>
            <w:tcW w:w="1276" w:type="dxa"/>
          </w:tcPr>
          <w:p>
            <w:pPr>
              <w:pStyle w:val="nTable"/>
              <w:spacing w:after="40"/>
            </w:pPr>
            <w:r>
              <w:t>19 Feb 2010 p. 661</w:t>
            </w:r>
            <w:r>
              <w:noBreakHyphen/>
              <w:t>2</w:t>
            </w:r>
          </w:p>
        </w:tc>
        <w:tc>
          <w:tcPr>
            <w:tcW w:w="2693" w:type="dxa"/>
          </w:tcPr>
          <w:p>
            <w:pPr>
              <w:pStyle w:val="nTable"/>
              <w:spacing w:after="40"/>
              <w:rPr>
                <w:snapToGrid w:val="0"/>
              </w:rPr>
            </w:pPr>
            <w:r>
              <w:rPr>
                <w:snapToGrid w:val="0"/>
              </w:rPr>
              <w:t>r. 1 and 2: 19 Feb 2010 (see r. 2(a));</w:t>
            </w:r>
            <w:r>
              <w:rPr>
                <w:snapToGrid w:val="0"/>
              </w:rPr>
              <w:br/>
              <w:t>Regulations other than r. 1 and 2: 20 Feb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2010</w:t>
            </w:r>
          </w:p>
        </w:tc>
        <w:tc>
          <w:tcPr>
            <w:tcW w:w="1276" w:type="dxa"/>
          </w:tcPr>
          <w:p>
            <w:pPr>
              <w:pStyle w:val="nTable"/>
              <w:spacing w:after="40"/>
            </w:pPr>
            <w:r>
              <w:t>10 Sep 2010 p. 4344</w:t>
            </w:r>
            <w:r>
              <w:noBreakHyphen/>
              <w:t>6</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Emergency Management Amendment Regulations (No. 2) 2010</w:t>
            </w:r>
          </w:p>
        </w:tc>
        <w:tc>
          <w:tcPr>
            <w:tcW w:w="1276" w:type="dxa"/>
          </w:tcPr>
          <w:p>
            <w:pPr>
              <w:pStyle w:val="nTable"/>
              <w:spacing w:after="40"/>
            </w:pPr>
            <w:r>
              <w:t>3 Dec 2010 p. 6055</w:t>
            </w:r>
            <w:r>
              <w:noBreakHyphen/>
              <w:t>6</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(No. 3) 2010</w:t>
            </w:r>
          </w:p>
        </w:tc>
        <w:tc>
          <w:tcPr>
            <w:tcW w:w="1276" w:type="dxa"/>
            <w:shd w:val="clear" w:color="auto" w:fill="auto"/>
          </w:tcPr>
          <w:p>
            <w:pPr>
              <w:pStyle w:val="nTable"/>
              <w:spacing w:after="40"/>
            </w:pPr>
            <w:r>
              <w:t>3 Dec 2010 p. 6056</w:t>
            </w:r>
            <w:r>
              <w:noBreakHyphen/>
              <w:t>7</w:t>
            </w:r>
          </w:p>
        </w:tc>
        <w:tc>
          <w:tcPr>
            <w:tcW w:w="2693" w:type="dxa"/>
            <w:shd w:val="clear" w:color="auto" w:fill="auto"/>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2011</w:t>
            </w:r>
          </w:p>
        </w:tc>
        <w:tc>
          <w:tcPr>
            <w:tcW w:w="1276" w:type="dxa"/>
            <w:shd w:val="clear" w:color="auto" w:fill="auto"/>
          </w:tcPr>
          <w:p>
            <w:pPr>
              <w:pStyle w:val="nTable"/>
              <w:spacing w:after="40"/>
            </w:pPr>
            <w:r>
              <w:t>19 Jul 2011 p. 2985</w:t>
            </w:r>
            <w:r>
              <w:noBreakHyphen/>
              <w:t>6</w:t>
            </w:r>
          </w:p>
        </w:tc>
        <w:tc>
          <w:tcPr>
            <w:tcW w:w="2693" w:type="dxa"/>
            <w:shd w:val="clear" w:color="auto" w:fill="auto"/>
          </w:tcPr>
          <w:p>
            <w:pPr>
              <w:pStyle w:val="nTable"/>
              <w:spacing w:after="40"/>
              <w:rPr>
                <w:snapToGrid w:val="0"/>
              </w:rPr>
            </w:pPr>
            <w:r>
              <w:rPr>
                <w:snapToGrid w:val="0"/>
              </w:rPr>
              <w:t>r. 1 and 2: 19 Jul 2011 (see r. 2(a));</w:t>
            </w:r>
            <w:r>
              <w:rPr>
                <w:snapToGrid w:val="0"/>
              </w:rPr>
              <w:br/>
              <w:t>Regulations other than r. 1 and 2: 20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noProof/>
                <w:snapToGrid w:val="0"/>
              </w:rPr>
              <w:t>Emergency Management Amendment Regulations 2012</w:t>
            </w:r>
          </w:p>
        </w:tc>
        <w:tc>
          <w:tcPr>
            <w:tcW w:w="1276" w:type="dxa"/>
            <w:shd w:val="clear" w:color="auto" w:fill="auto"/>
          </w:tcPr>
          <w:p>
            <w:pPr>
              <w:pStyle w:val="nTable"/>
              <w:spacing w:after="40"/>
            </w:pPr>
            <w:r>
              <w:t>13 Mar 2012 p. 1034-5</w:t>
            </w:r>
          </w:p>
        </w:tc>
        <w:tc>
          <w:tcPr>
            <w:tcW w:w="2693" w:type="dxa"/>
            <w:shd w:val="clear" w:color="auto" w:fill="auto"/>
          </w:tcPr>
          <w:p>
            <w:pPr>
              <w:pStyle w:val="nTable"/>
              <w:spacing w:after="40"/>
              <w:rPr>
                <w:snapToGrid w:val="0"/>
              </w:rPr>
            </w:pPr>
            <w:r>
              <w:rPr>
                <w:snapToGrid w:val="0"/>
              </w:rPr>
              <w:t>r. 1 and 2: 13 Mar 2012 (see r. 2(a));</w:t>
            </w:r>
            <w:r>
              <w:rPr>
                <w:snapToGrid w:val="0"/>
              </w:rPr>
              <w:br/>
              <w:t>Regulations other than r. 1 and 2: 14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noProof/>
                <w:snapToGrid w:val="0"/>
              </w:rPr>
            </w:pPr>
            <w:r>
              <w:rPr>
                <w:i/>
              </w:rPr>
              <w:t>Emergency Management Amendment Regulations (No. 2) 2012</w:t>
            </w:r>
          </w:p>
        </w:tc>
        <w:tc>
          <w:tcPr>
            <w:tcW w:w="1276" w:type="dxa"/>
            <w:shd w:val="clear" w:color="auto" w:fill="auto"/>
          </w:tcPr>
          <w:p>
            <w:pPr>
              <w:pStyle w:val="nTable"/>
              <w:spacing w:after="40"/>
            </w:pPr>
            <w:r>
              <w:t>31 Oct 2012 p. 5253</w:t>
            </w:r>
            <w:r>
              <w:noBreakHyphen/>
              <w:t>4</w:t>
            </w:r>
          </w:p>
        </w:tc>
        <w:tc>
          <w:tcPr>
            <w:tcW w:w="2693" w:type="dxa"/>
            <w:shd w:val="clear" w:color="auto" w:fill="auto"/>
          </w:tcPr>
          <w:p>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(No. 3) 2012</w:t>
            </w:r>
          </w:p>
        </w:tc>
        <w:tc>
          <w:tcPr>
            <w:tcW w:w="1276" w:type="dxa"/>
            <w:shd w:val="clear" w:color="auto" w:fill="auto"/>
          </w:tcPr>
          <w:p>
            <w:pPr>
              <w:pStyle w:val="nTable"/>
              <w:spacing w:after="40"/>
            </w:pPr>
            <w:r>
              <w:t>29 Jan 2013 p. 329-32</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30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Emergency Management Amendment Regulations 2013</w:t>
            </w:r>
          </w:p>
        </w:tc>
        <w:tc>
          <w:tcPr>
            <w:tcW w:w="1276" w:type="dxa"/>
            <w:shd w:val="clear" w:color="auto" w:fill="auto"/>
          </w:tcPr>
          <w:p>
            <w:pPr>
              <w:pStyle w:val="nTable"/>
              <w:spacing w:after="40"/>
            </w:pPr>
            <w:r>
              <w:t>15 Oct 2013 p. 4673-4</w:t>
            </w:r>
          </w:p>
        </w:tc>
        <w:tc>
          <w:tcPr>
            <w:tcW w:w="2693" w:type="dxa"/>
            <w:shd w:val="clear" w:color="auto" w:fill="auto"/>
          </w:tcPr>
          <w:p>
            <w:pPr>
              <w:pStyle w:val="nTable"/>
              <w:spacing w:after="40"/>
              <w:rPr>
                <w:snapToGrid w:val="0"/>
              </w:rPr>
            </w:pPr>
            <w:r>
              <w:rPr>
                <w:snapToGrid w:val="0"/>
              </w:rPr>
              <w:t>r. 1 and 2: 15 Oct 2013 (see r. 2(a));</w:t>
            </w:r>
            <w:r>
              <w:rPr>
                <w:snapToGrid w:val="0"/>
              </w:rPr>
              <w:br/>
              <w:t>Regulations other than r. 1 and 2: 16 Oct 2013 (see r. 2(b))</w:t>
            </w:r>
          </w:p>
        </w:tc>
      </w:tr>
      <w:tr>
        <w:trPr>
          <w:cantSplit/>
        </w:trPr>
        <w:tc>
          <w:tcPr>
            <w:tcW w:w="7088" w:type="dxa"/>
            <w:gridSpan w:val="3"/>
            <w:tcBorders>
              <w:top w:val="nil"/>
              <w:bottom w:val="nil"/>
            </w:tcBorders>
            <w:shd w:val="clear" w:color="auto" w:fill="auto"/>
          </w:tcPr>
          <w:p>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2020</w:t>
            </w:r>
          </w:p>
        </w:tc>
        <w:tc>
          <w:tcPr>
            <w:tcW w:w="1276" w:type="dxa"/>
            <w:tcBorders>
              <w:top w:val="nil"/>
              <w:bottom w:val="nil"/>
            </w:tcBorders>
            <w:shd w:val="clear" w:color="auto" w:fill="auto"/>
          </w:tcPr>
          <w:p>
            <w:pPr>
              <w:pStyle w:val="nTable"/>
              <w:spacing w:after="40"/>
            </w:pPr>
            <w:r>
              <w:t>SL 2020/24 27 Mar 2020</w:t>
            </w:r>
          </w:p>
        </w:tc>
        <w:tc>
          <w:tcPr>
            <w:tcW w:w="2693" w:type="dxa"/>
            <w:tcBorders>
              <w:top w:val="nil"/>
              <w:bottom w:val="nil"/>
            </w:tcBorders>
            <w:shd w:val="clear" w:color="auto" w:fill="auto"/>
          </w:tcPr>
          <w:p>
            <w:pPr>
              <w:pStyle w:val="nTable"/>
              <w:spacing w:after="40"/>
              <w:rPr>
                <w:snapToGrid w:val="0"/>
              </w:rPr>
            </w:pPr>
            <w:r>
              <w:rPr>
                <w:snapToGrid w:val="0"/>
              </w:rPr>
              <w:t>r. 1 and 2: 27 Mar 2020 (see r. 2(a));</w:t>
            </w:r>
            <w:r>
              <w:rPr>
                <w:snapToGrid w:val="0"/>
              </w:rPr>
              <w:br/>
              <w:t>Regulations other than r. 1 and 2: 28 Mar 2020 (see r. 2(b))</w:t>
            </w:r>
          </w:p>
        </w:tc>
      </w:tr>
      <w:tr>
        <w:trPr>
          <w:cantSplit/>
        </w:trPr>
        <w:tc>
          <w:tcPr>
            <w:tcW w:w="3119" w:type="dxa"/>
            <w:tcBorders>
              <w:top w:val="nil"/>
              <w:bottom w:val="nil"/>
            </w:tcBorders>
            <w:shd w:val="clear" w:color="auto" w:fill="auto"/>
          </w:tcPr>
          <w:p>
            <w:pPr>
              <w:pStyle w:val="nTable"/>
              <w:spacing w:after="40"/>
              <w:rPr>
                <w:i/>
              </w:rPr>
            </w:pPr>
            <w:r>
              <w:rPr>
                <w:i/>
              </w:rPr>
              <w:t>Emergency Management Amendment Regulations (No. 2) 2020</w:t>
            </w:r>
          </w:p>
        </w:tc>
        <w:tc>
          <w:tcPr>
            <w:tcW w:w="1276" w:type="dxa"/>
            <w:tcBorders>
              <w:top w:val="nil"/>
              <w:bottom w:val="nil"/>
            </w:tcBorders>
            <w:shd w:val="clear" w:color="auto" w:fill="auto"/>
          </w:tcPr>
          <w:p>
            <w:pPr>
              <w:pStyle w:val="nTable"/>
              <w:spacing w:after="40"/>
            </w:pPr>
            <w:r>
              <w:t>SL 2020/31 3 Apr 2020</w:t>
            </w:r>
          </w:p>
        </w:tc>
        <w:tc>
          <w:tcPr>
            <w:tcW w:w="2693" w:type="dxa"/>
            <w:tcBorders>
              <w:top w:val="nil"/>
              <w:bottom w:val="nil"/>
            </w:tcBorders>
            <w:shd w:val="clear" w:color="auto" w:fill="auto"/>
          </w:tcPr>
          <w:p>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trPr>
          <w:cantSplit/>
        </w:trPr>
        <w:tc>
          <w:tcPr>
            <w:tcW w:w="3119" w:type="dxa"/>
            <w:tcBorders>
              <w:top w:val="nil"/>
              <w:bottom w:val="nil"/>
              <w:right w:val="nil"/>
            </w:tcBorders>
            <w:shd w:val="clear" w:color="auto" w:fill="auto"/>
          </w:tcPr>
          <w:p>
            <w:pPr>
              <w:pStyle w:val="nTable"/>
              <w:spacing w:after="40"/>
              <w:rPr>
                <w:i/>
              </w:rPr>
            </w:pPr>
            <w:r>
              <w:rPr>
                <w:i/>
              </w:rPr>
              <w:t>Emergency Management Amendment Regulations (No. 3) 2020</w:t>
            </w:r>
          </w:p>
        </w:tc>
        <w:tc>
          <w:tcPr>
            <w:tcW w:w="1276" w:type="dxa"/>
            <w:tcBorders>
              <w:top w:val="nil"/>
              <w:left w:val="nil"/>
              <w:bottom w:val="nil"/>
              <w:right w:val="nil"/>
            </w:tcBorders>
            <w:shd w:val="clear" w:color="auto" w:fill="auto"/>
          </w:tcPr>
          <w:p>
            <w:pPr>
              <w:pStyle w:val="nTable"/>
              <w:spacing w:after="40"/>
            </w:pPr>
            <w:r>
              <w:t>SL 2020/165 25 Sep 2020</w:t>
            </w:r>
          </w:p>
        </w:tc>
        <w:tc>
          <w:tcPr>
            <w:tcW w:w="2693" w:type="dxa"/>
            <w:tcBorders>
              <w:top w:val="nil"/>
              <w:left w:val="nil"/>
              <w:bottom w:val="nil"/>
            </w:tcBorders>
            <w:shd w:val="clear" w:color="auto" w:fill="auto"/>
          </w:tcPr>
          <w:p>
            <w:pPr>
              <w:pStyle w:val="nTable"/>
              <w:spacing w:after="40"/>
              <w:rPr>
                <w:snapToGrid w:val="0"/>
              </w:rPr>
            </w:pPr>
            <w:r>
              <w:rPr>
                <w:snapToGrid w:val="0"/>
              </w:rPr>
              <w:t>r. 1 and 2: 25 Sep 2020 (see r. 2(a));</w:t>
            </w:r>
            <w:r>
              <w:rPr>
                <w:snapToGrid w:val="0"/>
              </w:rPr>
              <w:br/>
              <w:t>Regulations other than r. 1 and 2: 29 Sep 2020 (see r. 2(b) and SL 2020/159 cl. 2(a))</w:t>
            </w:r>
          </w:p>
        </w:tc>
      </w:tr>
      <w:tr>
        <w:trPr>
          <w:cantSplit/>
        </w:trPr>
        <w:tc>
          <w:tcPr>
            <w:tcW w:w="3119" w:type="dxa"/>
            <w:tcBorders>
              <w:top w:val="nil"/>
              <w:bottom w:val="nil"/>
              <w:right w:val="nil"/>
            </w:tcBorders>
            <w:shd w:val="clear" w:color="auto" w:fill="auto"/>
          </w:tcPr>
          <w:p>
            <w:pPr>
              <w:pStyle w:val="nTable"/>
              <w:spacing w:after="40"/>
            </w:pPr>
            <w:r>
              <w:rPr>
                <w:i/>
              </w:rPr>
              <w:t>Emergency Management Amendment Regulations (No. 2) 2022</w:t>
            </w:r>
          </w:p>
        </w:tc>
        <w:tc>
          <w:tcPr>
            <w:tcW w:w="1276" w:type="dxa"/>
            <w:tcBorders>
              <w:top w:val="nil"/>
              <w:left w:val="nil"/>
              <w:bottom w:val="nil"/>
              <w:right w:val="nil"/>
            </w:tcBorders>
            <w:shd w:val="clear" w:color="auto" w:fill="auto"/>
          </w:tcPr>
          <w:p>
            <w:pPr>
              <w:pStyle w:val="nTable"/>
              <w:spacing w:after="40"/>
            </w:pPr>
            <w:r>
              <w:t>SL 2022/176 2 Nov 2022</w:t>
            </w:r>
          </w:p>
        </w:tc>
        <w:tc>
          <w:tcPr>
            <w:tcW w:w="2693" w:type="dxa"/>
            <w:tcBorders>
              <w:top w:val="nil"/>
              <w:left w:val="nil"/>
              <w:bottom w:val="nil"/>
            </w:tcBorders>
            <w:shd w:val="clear" w:color="auto" w:fill="auto"/>
          </w:tcPr>
          <w:p>
            <w:pPr>
              <w:pStyle w:val="nTable"/>
              <w:spacing w:after="40"/>
              <w:rPr>
                <w:snapToGrid w:val="0"/>
              </w:rPr>
            </w:pPr>
            <w:r>
              <w:rPr>
                <w:snapToGrid w:val="0"/>
              </w:rPr>
              <w:t>Pt. 1: 2 Nov 2022 (see r. 2(a));</w:t>
            </w:r>
            <w:r>
              <w:rPr>
                <w:snapToGrid w:val="0"/>
              </w:rPr>
              <w:br/>
              <w:t>Pt. 2: 3 Nov 2022 (see r. 2(b) and SL 2022/175 cl. 2)</w:t>
            </w:r>
            <w:r>
              <w:rPr>
                <w:snapToGrid w:val="0"/>
              </w:rPr>
              <w:br/>
              <w:t>Pt. 3: 3 Nov 2024</w:t>
            </w:r>
            <w:r>
              <w:t xml:space="preserve"> (see r. 2(c)</w:t>
            </w:r>
            <w:r>
              <w:rPr>
                <w:snapToGrid w:val="0"/>
              </w:rPr>
              <w:t xml:space="preserve"> and SL 2022/175 cl. 2)</w:t>
            </w:r>
          </w:p>
        </w:tc>
      </w:tr>
    </w:tbl>
    <w:p>
      <w:pPr>
        <w:pStyle w:val="nHeading3"/>
        <w:rPr>
          <w:del w:id="139" w:author="Master Repository Process" w:date="2025-07-03T12:00:00Z"/>
        </w:rPr>
      </w:pPr>
      <w:bookmarkStart w:id="140" w:name="_Toc185433178"/>
      <w:del w:id="141" w:author="Master Repository Process" w:date="2025-07-03T12:00:00Z">
        <w:r>
          <w:delText>Uncommenced provisions table</w:delText>
        </w:r>
        <w:bookmarkEnd w:id="140"/>
      </w:del>
    </w:p>
    <w:p>
      <w:pPr>
        <w:pStyle w:val="nStatement"/>
        <w:keepNext/>
        <w:spacing w:after="240"/>
        <w:rPr>
          <w:del w:id="142" w:author="Master Repository Process" w:date="2025-07-03T12:00:00Z"/>
        </w:rPr>
      </w:pPr>
      <w:del w:id="143" w:author="Master Repository Process" w:date="2025-07-03T12:00: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4" w:author="Master Repository Process" w:date="2025-07-03T12:00:00Z"/>
        </w:trPr>
        <w:tc>
          <w:tcPr>
            <w:tcW w:w="3118" w:type="dxa"/>
          </w:tcPr>
          <w:p>
            <w:pPr>
              <w:pStyle w:val="nTable"/>
              <w:spacing w:after="40"/>
              <w:rPr>
                <w:del w:id="145" w:author="Master Repository Process" w:date="2025-07-03T12:00:00Z"/>
                <w:b/>
              </w:rPr>
            </w:pPr>
            <w:del w:id="146" w:author="Master Repository Process" w:date="2025-07-03T12:00:00Z">
              <w:r>
                <w:rPr>
                  <w:b/>
                </w:rPr>
                <w:delText>Citation</w:delText>
              </w:r>
            </w:del>
          </w:p>
        </w:tc>
        <w:tc>
          <w:tcPr>
            <w:tcW w:w="1276" w:type="dxa"/>
          </w:tcPr>
          <w:p>
            <w:pPr>
              <w:pStyle w:val="nTable"/>
              <w:spacing w:after="40"/>
              <w:rPr>
                <w:del w:id="147" w:author="Master Repository Process" w:date="2025-07-03T12:00:00Z"/>
                <w:b/>
              </w:rPr>
            </w:pPr>
            <w:del w:id="148" w:author="Master Repository Process" w:date="2025-07-03T12:00:00Z">
              <w:r>
                <w:rPr>
                  <w:b/>
                </w:rPr>
                <w:delText>Published</w:delText>
              </w:r>
            </w:del>
          </w:p>
        </w:tc>
        <w:tc>
          <w:tcPr>
            <w:tcW w:w="2693" w:type="dxa"/>
          </w:tcPr>
          <w:p>
            <w:pPr>
              <w:pStyle w:val="nTable"/>
              <w:spacing w:after="40"/>
              <w:rPr>
                <w:del w:id="149" w:author="Master Repository Process" w:date="2025-07-03T12:00:00Z"/>
                <w:b/>
              </w:rPr>
            </w:pPr>
            <w:del w:id="150" w:author="Master Repository Process" w:date="2025-07-03T12:00:00Z">
              <w:r>
                <w:rPr>
                  <w:b/>
                </w:rPr>
                <w:delText>Commencement</w:delText>
              </w:r>
            </w:del>
          </w:p>
        </w:tc>
      </w:tr>
      <w:tr>
        <w:trPr>
          <w:cantSplit/>
        </w:trPr>
        <w:tc>
          <w:tcPr>
            <w:tcW w:w="3119" w:type="dxa"/>
            <w:tcBorders>
              <w:top w:val="nil"/>
              <w:bottom w:val="single" w:sz="8" w:space="0" w:color="auto"/>
              <w:right w:val="nil"/>
            </w:tcBorders>
            <w:shd w:val="clear" w:color="auto" w:fill="auto"/>
          </w:tcPr>
          <w:p>
            <w:pPr>
              <w:pStyle w:val="nTable"/>
              <w:spacing w:after="40"/>
              <w:rPr>
                <w:i/>
              </w:rPr>
            </w:pPr>
            <w:r>
              <w:rPr>
                <w:i/>
              </w:rPr>
              <w:t>Emergency Management Amendment Regulations 2024</w:t>
            </w:r>
            <w:del w:id="151" w:author="Master Repository Process" w:date="2025-07-03T12:00:00Z">
              <w:r>
                <w:rPr>
                  <w:iCs/>
                </w:rPr>
                <w:delText xml:space="preserve"> r. 3 and 4</w:delText>
              </w:r>
            </w:del>
          </w:p>
        </w:tc>
        <w:tc>
          <w:tcPr>
            <w:tcW w:w="1276" w:type="dxa"/>
            <w:tcBorders>
              <w:top w:val="nil"/>
              <w:left w:val="nil"/>
              <w:bottom w:val="single" w:sz="8" w:space="0" w:color="auto"/>
              <w:right w:val="nil"/>
            </w:tcBorders>
            <w:shd w:val="clear" w:color="auto" w:fill="auto"/>
          </w:tcPr>
          <w:p>
            <w:pPr>
              <w:pStyle w:val="nTable"/>
              <w:spacing w:after="40"/>
            </w:pPr>
            <w:r>
              <w:t>SL 2024/294 21 Dec 2024</w:t>
            </w:r>
          </w:p>
        </w:tc>
        <w:tc>
          <w:tcPr>
            <w:tcW w:w="2693" w:type="dxa"/>
            <w:tcBorders>
              <w:top w:val="nil"/>
              <w:left w:val="nil"/>
              <w:bottom w:val="single" w:sz="8" w:space="0" w:color="auto"/>
            </w:tcBorders>
            <w:shd w:val="clear" w:color="auto" w:fill="auto"/>
          </w:tcPr>
          <w:p>
            <w:pPr>
              <w:pStyle w:val="nTable"/>
              <w:spacing w:after="40"/>
              <w:rPr>
                <w:snapToGrid w:val="0"/>
              </w:rPr>
            </w:pPr>
            <w:ins w:id="152" w:author="Master Repository Process" w:date="2025-07-03T12:00:00Z">
              <w:r>
                <w:rPr>
                  <w:snapToGrid w:val="0"/>
                </w:rPr>
                <w:t>r. 1 and 2: 21 Dec 2024 (see r. 2(a));</w:t>
              </w:r>
              <w:r>
                <w:rPr>
                  <w:snapToGrid w:val="0"/>
                </w:rPr>
                <w:br/>
                <w:t xml:space="preserve">Regulations other than r. 1 and 2: </w:t>
              </w:r>
            </w:ins>
            <w:r>
              <w:rPr>
                <w:snapToGrid w:val="0"/>
              </w:rPr>
              <w:t>31 Mar 2025 (see r. 2(b) and SL 2024/289 cl. 2)</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bookmarkEnd w:id="134"/>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4" w:author="Master Repository Process" w:date="2025-07-03T12:00:00Z">
                              <w:r>
                                <w:rPr>
                                  <w:sz w:val="16"/>
                                </w:rPr>
                                <w:delText>2024</w:delText>
                              </w:r>
                            </w:del>
                            <w:ins w:id="155" w:author="Master Repository Process" w:date="2025-07-03T12:0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56" w:author="Master Repository Process" w:date="2025-07-03T12:00:00Z">
                              <w:r>
                                <w:rPr>
                                  <w:sz w:val="16"/>
                                </w:rPr>
                                <w:delText>2024</w:delText>
                              </w:r>
                            </w:del>
                            <w:ins w:id="157" w:author="Master Repository Process" w:date="2025-07-03T12:0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58" w:author="Master Repository Process" w:date="2025-07-03T12:00:00Z">
                        <w:r>
                          <w:rPr>
                            <w:sz w:val="16"/>
                          </w:rPr>
                          <w:delText>2024</w:delText>
                        </w:r>
                      </w:del>
                      <w:ins w:id="159" w:author="Master Repository Process" w:date="2025-07-03T12:00: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60" w:author="Master Repository Process" w:date="2025-07-03T12:00:00Z">
                        <w:r>
                          <w:rPr>
                            <w:sz w:val="16"/>
                          </w:rPr>
                          <w:delText>2024</w:delText>
                        </w:r>
                      </w:del>
                      <w:ins w:id="161" w:author="Master Repository Process" w:date="2025-07-03T12:00: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The State Emergency Management Committee</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Emergency Management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3" w:name="Compilation"/>
    <w:bookmarkEnd w:id="1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2" w:name="Coversheet"/>
    <w:bookmarkEnd w:id="1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41109"/>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 w:name="WAFER_2024121816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3357_GUID" w:val="6ff642e3-29e9-498e-863b-5e1923d6c17a"/>
    <w:docVar w:name="WAFER_2024121816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3417_GUID" w:val="f7366e0f-c228-4dc0-9206-08c4c6a32527"/>
    <w:docVar w:name="WAFER_20250314141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1109_GUID" w:val="d3272726-ca8b-4c2d-8b56-b7723c1d5b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5262</Words>
  <Characters>25470</Characters>
  <Application>Microsoft Office Word</Application>
  <DocSecurity>0</DocSecurity>
  <Lines>909</Lines>
  <Paragraphs>503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03-g0-00 - 03-h0-00</dc:title>
  <dc:subject/>
  <dc:creator/>
  <cp:keywords/>
  <dc:description/>
  <cp:lastModifiedBy>Master Repository Process</cp:lastModifiedBy>
  <cp:revision>2</cp:revision>
  <cp:lastPrinted>2014-03-14T05:00:00Z</cp:lastPrinted>
  <dcterms:created xsi:type="dcterms:W3CDTF">2025-07-03T04:00:00Z</dcterms:created>
  <dcterms:modified xsi:type="dcterms:W3CDTF">2025-07-03T04:01:00Z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03-g0-00</vt:lpwstr>
  </property>
  <property fmtid="{D5CDD505-2E9C-101B-9397-08002B2CF9AE}" pid="12" name="FromAsAtDate">
    <vt:lpwstr>21 Dec 2024</vt:lpwstr>
  </property>
  <property fmtid="{D5CDD505-2E9C-101B-9397-08002B2CF9AE}" pid="13" name="ToSuffix">
    <vt:lpwstr>03-h0-00</vt:lpwstr>
  </property>
  <property fmtid="{D5CDD505-2E9C-101B-9397-08002B2CF9AE}" pid="14" name="ToAsAtDate">
    <vt:lpwstr>31 Mar 2025</vt:lpwstr>
  </property>
</Properties>
</file>