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Crime and Misconduct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2024</w:t>
      </w:r>
      <w:r>
        <w:fldChar w:fldCharType="end"/>
      </w:r>
      <w:r>
        <w:t xml:space="preserve">, </w:t>
      </w:r>
      <w:r>
        <w:fldChar w:fldCharType="begin"/>
      </w:r>
      <w:r>
        <w:instrText xml:space="preserve"> DocProperty FromSuffix </w:instrText>
      </w:r>
      <w:r>
        <w:fldChar w:fldCharType="separate"/>
      </w:r>
      <w:r>
        <w:t>07-i0-01</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07-j0-00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840"/>
      </w:pPr>
      <w:r>
        <w:t>Corruption, Crime and Misconduct Act 2003</w:t>
      </w:r>
    </w:p>
    <w:p>
      <w:pPr>
        <w:pStyle w:val="LongTitle"/>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No. 78 of 2003 s. 4; No. 35 of 2014 s. 4; No. 10 of 2018 s. 4.]</w:t>
      </w:r>
    </w:p>
    <w:p>
      <w:pPr>
        <w:pStyle w:val="Heading2"/>
      </w:pPr>
      <w:bookmarkStart w:id="1" w:name="_Toc192238667"/>
      <w:bookmarkStart w:id="2" w:name="_Toc192239452"/>
      <w:bookmarkStart w:id="3" w:name="_Toc192239823"/>
      <w:bookmarkStart w:id="4" w:name="_Toc192492835"/>
      <w:bookmarkStart w:id="5" w:name="_Toc185428106"/>
      <w:bookmarkStart w:id="6" w:name="_Toc185428476"/>
      <w:bookmarkStart w:id="7" w:name="_Toc185428848"/>
      <w:r>
        <w:rPr>
          <w:rStyle w:val="CharPartNo"/>
        </w:rPr>
        <w:lastRenderedPageBreak/>
        <w:t>Part 1</w:t>
      </w:r>
      <w:r>
        <w:t> — </w:t>
      </w:r>
      <w:r>
        <w:rPr>
          <w:rStyle w:val="CharPartText"/>
        </w:rPr>
        <w:t>Preliminary</w:t>
      </w:r>
      <w:bookmarkEnd w:id="1"/>
      <w:bookmarkEnd w:id="2"/>
      <w:bookmarkEnd w:id="3"/>
      <w:bookmarkEnd w:id="4"/>
      <w:bookmarkEnd w:id="5"/>
      <w:bookmarkEnd w:id="6"/>
      <w:bookmarkEnd w:id="7"/>
    </w:p>
    <w:p>
      <w:pPr>
        <w:pStyle w:val="Heading3"/>
      </w:pPr>
      <w:bookmarkStart w:id="8" w:name="_Toc192238668"/>
      <w:bookmarkStart w:id="9" w:name="_Toc192239453"/>
      <w:bookmarkStart w:id="10" w:name="_Toc192239824"/>
      <w:bookmarkStart w:id="11" w:name="_Toc192492836"/>
      <w:bookmarkStart w:id="12" w:name="_Toc185428107"/>
      <w:bookmarkStart w:id="13" w:name="_Toc185428477"/>
      <w:bookmarkStart w:id="14" w:name="_Toc185428849"/>
      <w:r>
        <w:rPr>
          <w:rStyle w:val="CharDivNo"/>
        </w:rPr>
        <w:t>Division 1</w:t>
      </w:r>
      <w:r>
        <w:t> — </w:t>
      </w:r>
      <w:r>
        <w:rPr>
          <w:rStyle w:val="CharDivText"/>
        </w:rPr>
        <w:t>Introduction</w:t>
      </w:r>
      <w:bookmarkEnd w:id="8"/>
      <w:bookmarkEnd w:id="9"/>
      <w:bookmarkEnd w:id="10"/>
      <w:bookmarkEnd w:id="11"/>
      <w:bookmarkEnd w:id="12"/>
      <w:bookmarkEnd w:id="13"/>
      <w:bookmarkEnd w:id="14"/>
    </w:p>
    <w:p>
      <w:pPr>
        <w:pStyle w:val="Footnoteheading"/>
        <w:tabs>
          <w:tab w:val="left" w:pos="924"/>
        </w:tabs>
        <w:spacing w:after="80"/>
      </w:pPr>
      <w:r>
        <w:tab/>
        <w:t>[Heading inserted: No. 78 of 2003 s. 7(1).]</w:t>
      </w:r>
    </w:p>
    <w:p>
      <w:pPr>
        <w:pStyle w:val="Heading5"/>
        <w:keepNext w:val="0"/>
        <w:keepLines w:val="0"/>
        <w:spacing w:before="240"/>
        <w:rPr>
          <w:snapToGrid w:val="0"/>
        </w:rPr>
      </w:pPr>
      <w:bookmarkStart w:id="15" w:name="_Toc192492837"/>
      <w:bookmarkStart w:id="16" w:name="_Toc185428850"/>
      <w:r>
        <w:rPr>
          <w:rStyle w:val="CharSectno"/>
        </w:rPr>
        <w:t>1</w:t>
      </w:r>
      <w:r>
        <w:rPr>
          <w:snapToGrid w:val="0"/>
        </w:rPr>
        <w:t>.</w:t>
      </w:r>
      <w:r>
        <w:rPr>
          <w:snapToGrid w:val="0"/>
        </w:rPr>
        <w:tab/>
        <w:t>Short title</w:t>
      </w:r>
      <w:bookmarkEnd w:id="15"/>
      <w:bookmarkEnd w:id="16"/>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rPr>
        <w:t xml:space="preserve">. </w:t>
      </w:r>
    </w:p>
    <w:p>
      <w:pPr>
        <w:pStyle w:val="Footnotelongtitle"/>
      </w:pPr>
      <w:r>
        <w:tab/>
        <w:t>[Section 1 amended: No. 35 of 2014 s. 5.]</w:t>
      </w:r>
    </w:p>
    <w:p>
      <w:pPr>
        <w:pStyle w:val="Heading5"/>
        <w:spacing w:before="240"/>
        <w:rPr>
          <w:snapToGrid w:val="0"/>
        </w:rPr>
      </w:pPr>
      <w:bookmarkStart w:id="17" w:name="_Toc192492838"/>
      <w:bookmarkStart w:id="18" w:name="_Toc185428851"/>
      <w:r>
        <w:rPr>
          <w:rStyle w:val="CharSectno"/>
        </w:rPr>
        <w:t>2</w:t>
      </w:r>
      <w:r>
        <w:rPr>
          <w:snapToGrid w:val="0"/>
        </w:rPr>
        <w:t>.</w:t>
      </w:r>
      <w:r>
        <w:rPr>
          <w:snapToGrid w:val="0"/>
        </w:rPr>
        <w:tab/>
        <w:t>Commencement</w:t>
      </w:r>
      <w:bookmarkEnd w:id="17"/>
      <w:bookmarkEnd w:id="18"/>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spacing w:before="240"/>
      </w:pPr>
      <w:bookmarkStart w:id="19" w:name="_Toc192492839"/>
      <w:bookmarkStart w:id="20" w:name="_Toc185428852"/>
      <w:r>
        <w:rPr>
          <w:rStyle w:val="CharSectno"/>
        </w:rPr>
        <w:t>3</w:t>
      </w:r>
      <w:r>
        <w:t>.</w:t>
      </w:r>
      <w:r>
        <w:tab/>
        <w:t>Terms used; relationship with other Acts</w:t>
      </w:r>
      <w:bookmarkEnd w:id="19"/>
      <w:bookmarkEnd w:id="20"/>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1</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lastRenderedPageBreak/>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13A(1)(a) or 14(1)(a);</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 Impairment) Act 2015</w:t>
      </w:r>
      <w:r>
        <w:t xml:space="preserve"> or the </w:t>
      </w:r>
      <w:r>
        <w:rPr>
          <w:i/>
        </w:rPr>
        <w:t>Prisons Act 1981</w:t>
      </w:r>
      <w:r>
        <w:t>, as is relevant to the case;</w:t>
      </w:r>
    </w:p>
    <w:p>
      <w:pPr>
        <w:pStyle w:val="Defstart"/>
      </w:pPr>
      <w:r>
        <w:tab/>
      </w:r>
      <w:r>
        <w:rPr>
          <w:rStyle w:val="CharDefText"/>
        </w:rPr>
        <w:t>criminal benefit</w:t>
      </w:r>
      <w:r>
        <w:t xml:space="preserve"> has the meaning given in the </w:t>
      </w:r>
      <w:r>
        <w:rPr>
          <w:i/>
        </w:rPr>
        <w:t>Criminal Property Confiscation Act 2000</w:t>
      </w:r>
      <w:r>
        <w:t xml:space="preserve"> section 145;</w:t>
      </w:r>
    </w:p>
    <w:p>
      <w:pPr>
        <w:pStyle w:val="Defstart"/>
      </w:pPr>
      <w:r>
        <w:tab/>
      </w:r>
      <w:r>
        <w:rPr>
          <w:rStyle w:val="CharDefText"/>
        </w:rPr>
        <w:t>Deputy Commissioner</w:t>
      </w:r>
      <w:r>
        <w:t xml:space="preserve"> means the person holding the office of Deputy Commissioner established under this Act;</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keepNex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keepNex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pPr>
      <w:r>
        <w:tab/>
        <w:t>(aa)</w:t>
      </w:r>
      <w:r>
        <w:tab/>
        <w:t>the Deputy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keepNex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keepNex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 Impairment) Act 2015</w:t>
      </w:r>
      <w:r>
        <w:t xml:space="preserve"> or the </w:t>
      </w:r>
      <w:r>
        <w:rPr>
          <w:i/>
        </w:rPr>
        <w:t>Prisons Act 1981</w:t>
      </w:r>
      <w:r>
        <w:t>, as is relevant to the case;</w:t>
      </w:r>
    </w:p>
    <w:p>
      <w:pPr>
        <w:pStyle w:val="Defstart"/>
      </w:pPr>
      <w:r>
        <w:tab/>
      </w:r>
      <w:r>
        <w:rPr>
          <w:rStyle w:val="CharDefText"/>
        </w:rPr>
        <w:t>unexplained 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keepNext/>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 No. 9 of 2022 s. 424; No. 5 of 2024 s. 4; No. 10 of 2023 s. 410.]</w:t>
      </w:r>
    </w:p>
    <w:p>
      <w:pPr>
        <w:pStyle w:val="Heading5"/>
      </w:pPr>
      <w:bookmarkStart w:id="21" w:name="_Toc192492840"/>
      <w:bookmarkStart w:id="22" w:name="_Toc185428853"/>
      <w:r>
        <w:rPr>
          <w:rStyle w:val="CharSectno"/>
        </w:rPr>
        <w:t>4</w:t>
      </w:r>
      <w:r>
        <w:t>.</w:t>
      </w:r>
      <w:r>
        <w:tab/>
        <w:t>Term used: misconduct</w:t>
      </w:r>
      <w:bookmarkEnd w:id="21"/>
      <w:bookmarkEnd w:id="22"/>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keepNext/>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No. 78 of 2003 s. 6; amended: No. 35 of 2014 s. 7.]</w:t>
      </w:r>
    </w:p>
    <w:p>
      <w:pPr>
        <w:pStyle w:val="Heading5"/>
        <w:rPr>
          <w:b w:val="0"/>
          <w:bCs/>
        </w:rPr>
      </w:pPr>
      <w:bookmarkStart w:id="23" w:name="_Toc192492841"/>
      <w:bookmarkStart w:id="24" w:name="_Toc185428854"/>
      <w:r>
        <w:rPr>
          <w:rStyle w:val="CharSectno"/>
        </w:rPr>
        <w:t>5</w:t>
      </w:r>
      <w:r>
        <w:t>.</w:t>
      </w:r>
      <w:r>
        <w:rPr>
          <w:b w:val="0"/>
          <w:bCs/>
        </w:rPr>
        <w:tab/>
      </w:r>
      <w:r>
        <w:t>Term used: section 5 offence</w:t>
      </w:r>
      <w:bookmarkEnd w:id="23"/>
      <w:bookmarkEnd w:id="24"/>
    </w:p>
    <w:p>
      <w:pPr>
        <w:pStyle w:val="Subsection"/>
      </w:pPr>
      <w:r>
        <w:tab/>
      </w:r>
      <w:r>
        <w:tab/>
        <w:t>A section 5 offence is a Schedule 1 offence committed in the course of organised crime.</w:t>
      </w:r>
    </w:p>
    <w:p>
      <w:pPr>
        <w:pStyle w:val="Footnotesection"/>
        <w:ind w:left="890" w:hanging="890"/>
      </w:pPr>
      <w:r>
        <w:tab/>
        <w:t>[Section 5 inserted: No. 78 of 2003 s. 6.]</w:t>
      </w:r>
    </w:p>
    <w:p>
      <w:pPr>
        <w:pStyle w:val="Heading5"/>
      </w:pPr>
      <w:bookmarkStart w:id="25" w:name="_Toc192492842"/>
      <w:bookmarkStart w:id="26" w:name="_Toc185428855"/>
      <w:r>
        <w:rPr>
          <w:rStyle w:val="CharSectno"/>
        </w:rPr>
        <w:t>6</w:t>
      </w:r>
      <w:r>
        <w:t>.</w:t>
      </w:r>
      <w:r>
        <w:tab/>
        <w:t>Application</w:t>
      </w:r>
      <w:bookmarkEnd w:id="25"/>
      <w:bookmarkEnd w:id="26"/>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No. 78 of 2003 s. 35(1).]</w:t>
      </w:r>
    </w:p>
    <w:p>
      <w:pPr>
        <w:pStyle w:val="Heading5"/>
      </w:pPr>
      <w:bookmarkStart w:id="27" w:name="_Toc192492843"/>
      <w:bookmarkStart w:id="28" w:name="_Toc185428856"/>
      <w:r>
        <w:rPr>
          <w:rStyle w:val="CharSectno"/>
        </w:rPr>
        <w:t>7</w:t>
      </w:r>
      <w:r>
        <w:t>.</w:t>
      </w:r>
      <w:r>
        <w:tab/>
        <w:t>Act to bind Crown</w:t>
      </w:r>
      <w:bookmarkEnd w:id="27"/>
      <w:bookmarkEnd w:id="28"/>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No. 78 of 2003 s. 35(1).]</w:t>
      </w:r>
    </w:p>
    <w:p>
      <w:pPr>
        <w:pStyle w:val="Heading3"/>
        <w:spacing w:before="260"/>
      </w:pPr>
      <w:bookmarkStart w:id="29" w:name="_Toc192238676"/>
      <w:bookmarkStart w:id="30" w:name="_Toc192239461"/>
      <w:bookmarkStart w:id="31" w:name="_Toc192239832"/>
      <w:bookmarkStart w:id="32" w:name="_Toc192492844"/>
      <w:bookmarkStart w:id="33" w:name="_Toc185428115"/>
      <w:bookmarkStart w:id="34" w:name="_Toc185428485"/>
      <w:bookmarkStart w:id="35" w:name="_Toc185428857"/>
      <w:r>
        <w:rPr>
          <w:rStyle w:val="CharDivNo"/>
        </w:rPr>
        <w:t>Division 2</w:t>
      </w:r>
      <w:r>
        <w:t> — </w:t>
      </w:r>
      <w:r>
        <w:rPr>
          <w:rStyle w:val="CharDivText"/>
        </w:rPr>
        <w:t>Purpose</w:t>
      </w:r>
      <w:bookmarkEnd w:id="29"/>
      <w:bookmarkEnd w:id="30"/>
      <w:bookmarkEnd w:id="31"/>
      <w:bookmarkEnd w:id="32"/>
      <w:bookmarkEnd w:id="33"/>
      <w:bookmarkEnd w:id="34"/>
      <w:bookmarkEnd w:id="35"/>
    </w:p>
    <w:p>
      <w:pPr>
        <w:pStyle w:val="Footnoteheading"/>
        <w:keepNext/>
        <w:tabs>
          <w:tab w:val="clear" w:pos="879"/>
          <w:tab w:val="left" w:pos="896"/>
        </w:tabs>
      </w:pPr>
      <w:r>
        <w:tab/>
        <w:t>[Heading inserted: No. 78 of 2003 s. 7(2).]</w:t>
      </w:r>
    </w:p>
    <w:p>
      <w:pPr>
        <w:pStyle w:val="Heading5"/>
      </w:pPr>
      <w:bookmarkStart w:id="36" w:name="_Toc192492845"/>
      <w:bookmarkStart w:id="37" w:name="_Toc185428858"/>
      <w:r>
        <w:rPr>
          <w:rStyle w:val="CharSectno"/>
        </w:rPr>
        <w:t>7A</w:t>
      </w:r>
      <w:r>
        <w:t>.</w:t>
      </w:r>
      <w:r>
        <w:tab/>
        <w:t>Act’s purposes</w:t>
      </w:r>
      <w:bookmarkEnd w:id="36"/>
      <w:bookmarkEnd w:id="37"/>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No. 78 of 2003 s. 7(2); amended: No. 10 of 2018 s. 6.]</w:t>
      </w:r>
    </w:p>
    <w:p>
      <w:pPr>
        <w:pStyle w:val="Heading5"/>
      </w:pPr>
      <w:bookmarkStart w:id="38" w:name="_Toc192492846"/>
      <w:bookmarkStart w:id="39" w:name="_Toc185428859"/>
      <w:r>
        <w:rPr>
          <w:rStyle w:val="CharSectno"/>
        </w:rPr>
        <w:t>7B</w:t>
      </w:r>
      <w:r>
        <w:t>.</w:t>
      </w:r>
      <w:r>
        <w:tab/>
        <w:t>How Act’s purposes to be achieved</w:t>
      </w:r>
      <w:bookmarkEnd w:id="38"/>
      <w:bookmarkEnd w:id="39"/>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 No. 78 of 2003 s. 7(2); amended: No. 35 of 2014 s. 8; No. 10 of 2018 s. 7.]</w:t>
      </w:r>
    </w:p>
    <w:p>
      <w:pPr>
        <w:pStyle w:val="Heading2"/>
      </w:pPr>
      <w:bookmarkStart w:id="40" w:name="_Toc192238679"/>
      <w:bookmarkStart w:id="41" w:name="_Toc192239464"/>
      <w:bookmarkStart w:id="42" w:name="_Toc192239835"/>
      <w:bookmarkStart w:id="43" w:name="_Toc192492847"/>
      <w:bookmarkStart w:id="44" w:name="_Toc185428118"/>
      <w:bookmarkStart w:id="45" w:name="_Toc185428488"/>
      <w:bookmarkStart w:id="46" w:name="_Toc185428860"/>
      <w:r>
        <w:rPr>
          <w:rStyle w:val="CharPartNo"/>
        </w:rPr>
        <w:t>Part 2</w:t>
      </w:r>
      <w:r>
        <w:t> — </w:t>
      </w:r>
      <w:r>
        <w:rPr>
          <w:rStyle w:val="CharPartText"/>
        </w:rPr>
        <w:t>The Corruption and Crime Commission</w:t>
      </w:r>
      <w:bookmarkEnd w:id="40"/>
      <w:bookmarkEnd w:id="41"/>
      <w:bookmarkEnd w:id="42"/>
      <w:bookmarkEnd w:id="43"/>
      <w:bookmarkEnd w:id="44"/>
      <w:bookmarkEnd w:id="45"/>
      <w:bookmarkEnd w:id="46"/>
    </w:p>
    <w:p>
      <w:pPr>
        <w:pStyle w:val="Heading3"/>
      </w:pPr>
      <w:bookmarkStart w:id="47" w:name="_Toc192238680"/>
      <w:bookmarkStart w:id="48" w:name="_Toc192239465"/>
      <w:bookmarkStart w:id="49" w:name="_Toc192239836"/>
      <w:bookmarkStart w:id="50" w:name="_Toc192492848"/>
      <w:bookmarkStart w:id="51" w:name="_Toc185428119"/>
      <w:bookmarkStart w:id="52" w:name="_Toc185428489"/>
      <w:bookmarkStart w:id="53" w:name="_Toc185428861"/>
      <w:r>
        <w:rPr>
          <w:rStyle w:val="CharDivNo"/>
        </w:rPr>
        <w:t>Division 1</w:t>
      </w:r>
      <w:r>
        <w:t> — </w:t>
      </w:r>
      <w:r>
        <w:rPr>
          <w:rStyle w:val="CharDivText"/>
        </w:rPr>
        <w:t>Office of Corruption and Crime Commission</w:t>
      </w:r>
      <w:bookmarkEnd w:id="47"/>
      <w:bookmarkEnd w:id="48"/>
      <w:bookmarkEnd w:id="49"/>
      <w:bookmarkEnd w:id="50"/>
      <w:bookmarkEnd w:id="51"/>
      <w:bookmarkEnd w:id="52"/>
      <w:bookmarkEnd w:id="53"/>
    </w:p>
    <w:p>
      <w:pPr>
        <w:pStyle w:val="Heading5"/>
        <w:spacing w:before="180"/>
      </w:pPr>
      <w:bookmarkStart w:id="54" w:name="_Toc192492849"/>
      <w:bookmarkStart w:id="55" w:name="_Toc185428862"/>
      <w:r>
        <w:rPr>
          <w:rStyle w:val="CharSectno"/>
        </w:rPr>
        <w:t>8</w:t>
      </w:r>
      <w:r>
        <w:t>.</w:t>
      </w:r>
      <w:r>
        <w:tab/>
        <w:t>Corruption and Crime Commission established</w:t>
      </w:r>
      <w:bookmarkEnd w:id="54"/>
      <w:bookmarkEnd w:id="55"/>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No. 78 of 2003 s. 35(1).]</w:t>
      </w:r>
    </w:p>
    <w:p>
      <w:pPr>
        <w:pStyle w:val="Heading5"/>
        <w:spacing w:before="180"/>
      </w:pPr>
      <w:bookmarkStart w:id="56" w:name="_Toc192492850"/>
      <w:bookmarkStart w:id="57" w:name="_Toc185428863"/>
      <w:r>
        <w:rPr>
          <w:rStyle w:val="CharSectno"/>
        </w:rPr>
        <w:t>9</w:t>
      </w:r>
      <w:r>
        <w:t>.</w:t>
      </w:r>
      <w:r>
        <w:tab/>
        <w:t>Commissioner and Deputy Commissioner of Corruption and Crime Commission</w:t>
      </w:r>
      <w:bookmarkEnd w:id="56"/>
      <w:bookmarkEnd w:id="57"/>
    </w:p>
    <w:p>
      <w:pPr>
        <w:pStyle w:val="Subsection"/>
      </w:pPr>
      <w:r>
        <w:tab/>
        <w:t>(1)</w:t>
      </w:r>
      <w:r>
        <w:tab/>
        <w:t>There is to be a Commissioner who, in the name of the Commission, is to perform the functions of the Commission under this Act and any other written law.</w:t>
      </w:r>
    </w:p>
    <w:p>
      <w:pPr>
        <w:pStyle w:val="Subsection"/>
      </w:pPr>
      <w:r>
        <w:tab/>
        <w:t>(1A)</w:t>
      </w:r>
      <w:r>
        <w:tab/>
        <w:t>There is to be a Deputy Commissioner who, in the name of the Commission, is to perform such functions of the Commission under this Act and any other written law as the Commissioner directs.</w:t>
      </w:r>
    </w:p>
    <w:p>
      <w:pPr>
        <w:pStyle w:val="Subsection"/>
      </w:pPr>
      <w:r>
        <w:tab/>
        <w:t>(2)</w:t>
      </w:r>
      <w:r>
        <w:tab/>
        <w:t>Without limiting subsection (1) or (1A), if under this Act or any other written law an act or thing may or must be done by, to, by reference to or in relation to the Commission, the act or thing is to be regarded as effectually done if done by, to, by reference to or in relation to the Commissioner or Deputy Commissioner.</w:t>
      </w:r>
    </w:p>
    <w:p>
      <w:pPr>
        <w:pStyle w:val="Ednotesubsection"/>
      </w:pPr>
      <w:r>
        <w:tab/>
        <w:t>[(3)-(4B)</w:t>
      </w:r>
      <w:r>
        <w:tab/>
        <w:t>deleted]</w:t>
      </w:r>
    </w:p>
    <w:p>
      <w:pPr>
        <w:pStyle w:val="Subsection"/>
      </w:pPr>
      <w:r>
        <w:tab/>
        <w:t>(5)</w:t>
      </w:r>
      <w:r>
        <w:tab/>
        <w:t>The Commissioner and Deputy Commissioner hold office in accordance with this Act.</w:t>
      </w:r>
    </w:p>
    <w:p>
      <w:pPr>
        <w:pStyle w:val="Subsection"/>
      </w:pPr>
      <w:r>
        <w:tab/>
        <w:t>(6)</w:t>
      </w:r>
      <w:r>
        <w:tab/>
        <w:t>The offices of Commissioner and Deputy Commissioner are not offices in the Public Service.</w:t>
      </w:r>
    </w:p>
    <w:p>
      <w:pPr>
        <w:pStyle w:val="Footnotesection"/>
        <w:ind w:left="890" w:hanging="890"/>
      </w:pPr>
      <w:r>
        <w:tab/>
        <w:t>[Section 9, formerly section 7, amended: No. 78 of 2003 s. 8; renumbered as section 9: No. 78 of 2003 s. 35(1); amended: No. 7 of 2021 s. 4; No. 5 of 2024 s. 5.]</w:t>
      </w:r>
    </w:p>
    <w:p>
      <w:pPr>
        <w:pStyle w:val="Heading5"/>
      </w:pPr>
      <w:bookmarkStart w:id="58" w:name="_Toc192492851"/>
      <w:bookmarkStart w:id="59" w:name="_Toc185428864"/>
      <w:r>
        <w:rPr>
          <w:rStyle w:val="CharSectno"/>
        </w:rPr>
        <w:t>9A</w:t>
      </w:r>
      <w:r>
        <w:t>.</w:t>
      </w:r>
      <w:r>
        <w:tab/>
        <w:t>Appointment of Commissioner and Deputy Commissioner</w:t>
      </w:r>
      <w:bookmarkEnd w:id="58"/>
      <w:bookmarkEnd w:id="59"/>
    </w:p>
    <w:p>
      <w:pPr>
        <w:pStyle w:val="Subsection"/>
      </w:pPr>
      <w:r>
        <w:tab/>
        <w:t>(1)</w:t>
      </w:r>
      <w:r>
        <w:tab/>
        <w:t>The Commissioner and Deputy Commissioner must be appointed on the recommendation of the Premier by the Governor by commission under the Public Seal of the State.</w:t>
      </w:r>
    </w:p>
    <w:p>
      <w:pPr>
        <w:pStyle w:val="Subsection"/>
      </w:pPr>
      <w:r>
        <w:tab/>
        <w:t>(2)</w:t>
      </w:r>
      <w:r>
        <w:tab/>
        <w:t>The Premier can recommend the appointment of a person under subsection (1) only if the following requirements are satisfied —</w:t>
      </w:r>
    </w:p>
    <w:p>
      <w:pPr>
        <w:pStyle w:val="Indenta"/>
      </w:pPr>
      <w:r>
        <w:tab/>
        <w:t>(a)</w:t>
      </w:r>
      <w:r>
        <w:tab/>
        <w:t>the person’s name is on a list of 3 persons that is submitted to the Premier by the nominating committee under section 9B(1);</w:t>
      </w:r>
    </w:p>
    <w:p>
      <w:pPr>
        <w:pStyle w:val="Indenta"/>
      </w:pPr>
      <w:r>
        <w:tab/>
        <w:t>(b)</w:t>
      </w:r>
      <w:r>
        <w:tab/>
        <w:t>if there is a Standing Committee —</w:t>
      </w:r>
    </w:p>
    <w:p>
      <w:pPr>
        <w:pStyle w:val="Indenti"/>
      </w:pPr>
      <w:r>
        <w:tab/>
        <w:t>(i)</w:t>
      </w:r>
      <w:r>
        <w:tab/>
        <w:t>the Premier has given the Standing Committee notice of the proposed recommendation under section 9C(1); and</w:t>
      </w:r>
    </w:p>
    <w:p>
      <w:pPr>
        <w:pStyle w:val="Indenti"/>
      </w:pPr>
      <w:r>
        <w:tab/>
        <w:t>(ii)</w:t>
      </w:r>
      <w:r>
        <w:tab/>
        <w:t>the Standing Committee has not vetoed the proposed recommendation under section 9C(2); and</w:t>
      </w:r>
    </w:p>
    <w:p>
      <w:pPr>
        <w:pStyle w:val="Indenti"/>
      </w:pPr>
      <w:r>
        <w:tab/>
        <w:t>(iii)</w:t>
      </w:r>
      <w:r>
        <w:tab/>
        <w:t>the period determined under section 9C(3) has ended;</w:t>
      </w:r>
    </w:p>
    <w:p>
      <w:pPr>
        <w:pStyle w:val="Indenta"/>
      </w:pPr>
      <w:r>
        <w:tab/>
        <w:t>(c)</w:t>
      </w:r>
      <w:r>
        <w:tab/>
        <w:t>if there is no Standing Committee — the Premier has consulted with the Leader of the Opposition and the leader of any other political party with at least 5 members in either House of Parliament.</w:t>
      </w:r>
    </w:p>
    <w:p>
      <w:pPr>
        <w:pStyle w:val="Footnotesection"/>
      </w:pPr>
      <w:r>
        <w:tab/>
        <w:t>[Section 9A inserted: No. 5 of 2024 s. 6.]</w:t>
      </w:r>
    </w:p>
    <w:p>
      <w:pPr>
        <w:pStyle w:val="Heading5"/>
      </w:pPr>
      <w:bookmarkStart w:id="60" w:name="_Toc192492852"/>
      <w:bookmarkStart w:id="61" w:name="_Toc185428865"/>
      <w:r>
        <w:rPr>
          <w:rStyle w:val="CharSectno"/>
        </w:rPr>
        <w:t>9B</w:t>
      </w:r>
      <w:r>
        <w:t>.</w:t>
      </w:r>
      <w:r>
        <w:tab/>
        <w:t>Nominating committee to provide list of persons</w:t>
      </w:r>
      <w:bookmarkEnd w:id="60"/>
      <w:bookmarkEnd w:id="61"/>
    </w:p>
    <w:p>
      <w:pPr>
        <w:pStyle w:val="Subsection"/>
      </w:pPr>
      <w:r>
        <w:tab/>
        <w:t>(1)</w:t>
      </w:r>
      <w:r>
        <w:tab/>
        <w:t>The nominating committee must, on the Premier’s written request, submit to the Premier a list of 3 persons qualified and eligible under section 10 for appointment.</w:t>
      </w:r>
    </w:p>
    <w:p>
      <w:pPr>
        <w:pStyle w:val="Subsection"/>
      </w:pPr>
      <w:r>
        <w:tab/>
        <w:t>(2)</w:t>
      </w:r>
      <w:r>
        <w:tab/>
        <w:t>The Premier’s request must specify for which of the following purposes the list is required —</w:t>
      </w:r>
    </w:p>
    <w:p>
      <w:pPr>
        <w:pStyle w:val="Indenta"/>
      </w:pPr>
      <w:r>
        <w:tab/>
        <w:t>(a)</w:t>
      </w:r>
      <w:r>
        <w:tab/>
        <w:t>recommending the appointment of a person as Commissioner under section 9A(1);</w:t>
      </w:r>
    </w:p>
    <w:p>
      <w:pPr>
        <w:pStyle w:val="Indenta"/>
      </w:pPr>
      <w:r>
        <w:tab/>
        <w:t>(b)</w:t>
      </w:r>
      <w:r>
        <w:tab/>
        <w:t>recommending the appointment of a person as Deputy Commissioner under section 9A(1);</w:t>
      </w:r>
    </w:p>
    <w:p>
      <w:pPr>
        <w:pStyle w:val="Indenta"/>
      </w:pPr>
      <w:r>
        <w:tab/>
        <w:t>(c)</w:t>
      </w:r>
      <w:r>
        <w:tab/>
        <w:t>recommending the appointment of a person to act in the office of Commissioner under section 14.</w:t>
      </w:r>
    </w:p>
    <w:p>
      <w:pPr>
        <w:pStyle w:val="Subsection"/>
      </w:pPr>
      <w:r>
        <w:tab/>
        <w:t>(3)</w:t>
      </w:r>
      <w:r>
        <w:tab/>
        <w:t xml:space="preserve">Before submitting a list under subsection (1), the nominating committee must — </w:t>
      </w:r>
    </w:p>
    <w:p>
      <w:pPr>
        <w:pStyle w:val="Indenta"/>
      </w:pPr>
      <w:r>
        <w:tab/>
        <w:t>(a)</w:t>
      </w:r>
      <w:r>
        <w:tab/>
        <w:t>advertise throughout Australia for expressions of interest; and</w:t>
      </w:r>
    </w:p>
    <w:p>
      <w:pPr>
        <w:pStyle w:val="Indenta"/>
      </w:pPr>
      <w:r>
        <w:tab/>
        <w:t>(b)</w:t>
      </w:r>
      <w:r>
        <w:tab/>
        <w:t>if the Premier’s request specifies that the list is for the purpose of recommending the appointment of a person as Deputy Commissioner under section 9A(1) and there is a Commissioner appointed under section 9A(1) — consult with the Commissioner.</w:t>
      </w:r>
    </w:p>
    <w:p>
      <w:pPr>
        <w:pStyle w:val="Footnotesection"/>
      </w:pPr>
      <w:r>
        <w:tab/>
        <w:t>[Section 9B inserted: No. 5 of 2024 s. 6.]</w:t>
      </w:r>
    </w:p>
    <w:p>
      <w:pPr>
        <w:pStyle w:val="Heading5"/>
      </w:pPr>
      <w:bookmarkStart w:id="62" w:name="_Toc192492853"/>
      <w:bookmarkStart w:id="63" w:name="_Toc185428866"/>
      <w:r>
        <w:rPr>
          <w:rStyle w:val="CharSectno"/>
        </w:rPr>
        <w:t>9C</w:t>
      </w:r>
      <w:r>
        <w:t>.</w:t>
      </w:r>
      <w:r>
        <w:tab/>
        <w:t>Standing Committee may veto proposed recommendation</w:t>
      </w:r>
      <w:bookmarkEnd w:id="62"/>
      <w:bookmarkEnd w:id="63"/>
    </w:p>
    <w:p>
      <w:pPr>
        <w:pStyle w:val="Subsection"/>
      </w:pPr>
      <w:r>
        <w:tab/>
        <w:t>(1)</w:t>
      </w:r>
      <w:r>
        <w:tab/>
        <w:t>If the Premier proposes to recommend the appointment of a person under section 9A(1) or 14(1), the Premier must give the Standing Committee written notice of the proposed recommendation.</w:t>
      </w:r>
    </w:p>
    <w:p>
      <w:pPr>
        <w:pStyle w:val="Subsection"/>
      </w:pPr>
      <w:r>
        <w:tab/>
        <w:t>(2)</w:t>
      </w:r>
      <w:r>
        <w:tab/>
        <w:t>The Standing Committee vetoes the proposed recommendation if the Standing Committee gives the Premier, within the period determined under subsection (3), written notice that the majority of the Standing Committee does not support the proposed recommendation.</w:t>
      </w:r>
    </w:p>
    <w:p>
      <w:pPr>
        <w:pStyle w:val="Subsection"/>
      </w:pPr>
      <w:r>
        <w:tab/>
        <w:t>(3)</w:t>
      </w:r>
      <w:r>
        <w:tab/>
        <w:t>For the purposes of subsection (2) and section 9A(2)(b)(iii), the period is —</w:t>
      </w:r>
    </w:p>
    <w:p>
      <w:pPr>
        <w:pStyle w:val="Indenta"/>
      </w:pPr>
      <w:r>
        <w:tab/>
        <w:t>(a)</w:t>
      </w:r>
      <w:r>
        <w:tab/>
        <w:t>if, within 14 days beginning on the day (</w:t>
      </w:r>
      <w:r>
        <w:rPr>
          <w:rStyle w:val="CharDefText"/>
        </w:rPr>
        <w:t>notification day</w:t>
      </w:r>
      <w:r>
        <w:t>) on which the Premier gives notice under subsection (1), the Standing Committee gives the Premier written notice that it requires further time to consider the proposed recommendation — 44 days beginning on notification day; or</w:t>
      </w:r>
    </w:p>
    <w:p>
      <w:pPr>
        <w:pStyle w:val="Indenta"/>
      </w:pPr>
      <w:r>
        <w:tab/>
        <w:t>(b)</w:t>
      </w:r>
      <w:r>
        <w:tab/>
        <w:t>otherwise — 14 days beginning on notification day.</w:t>
      </w:r>
    </w:p>
    <w:p>
      <w:pPr>
        <w:pStyle w:val="Subsection"/>
      </w:pPr>
      <w:r>
        <w:tab/>
        <w:t>(4)</w:t>
      </w:r>
      <w:r>
        <w:tab/>
        <w:t>This section does not apply if —</w:t>
      </w:r>
    </w:p>
    <w:p>
      <w:pPr>
        <w:pStyle w:val="Indenta"/>
      </w:pPr>
      <w:r>
        <w:tab/>
        <w:t>(a)</w:t>
      </w:r>
      <w:r>
        <w:tab/>
        <w:t>there is no Standing Committee; or</w:t>
      </w:r>
    </w:p>
    <w:p>
      <w:pPr>
        <w:pStyle w:val="Indenta"/>
      </w:pPr>
      <w:r>
        <w:tab/>
        <w:t>(b)</w:t>
      </w:r>
      <w:r>
        <w:tab/>
        <w:t>the Premier proposes to recommend the appointment of a person under section 14(1)(a) and section 14(2C) applies in relation to the proposed recommendation.</w:t>
      </w:r>
    </w:p>
    <w:p>
      <w:pPr>
        <w:pStyle w:val="Footnotesection"/>
      </w:pPr>
      <w:r>
        <w:tab/>
        <w:t>[Section 9C inserted: No. 5 of 2024 s. 6.]</w:t>
      </w:r>
    </w:p>
    <w:p>
      <w:pPr>
        <w:pStyle w:val="Heading5"/>
        <w:spacing w:before="180"/>
      </w:pPr>
      <w:bookmarkStart w:id="64" w:name="_Toc192492854"/>
      <w:bookmarkStart w:id="65" w:name="_Toc185428867"/>
      <w:r>
        <w:rPr>
          <w:rStyle w:val="CharSectno"/>
        </w:rPr>
        <w:t>10</w:t>
      </w:r>
      <w:r>
        <w:t>.</w:t>
      </w:r>
      <w:r>
        <w:tab/>
        <w:t>Qualifications and eligibility for appointment as Commissioner or Deputy Commissioner</w:t>
      </w:r>
      <w:bookmarkEnd w:id="64"/>
      <w:bookmarkEnd w:id="65"/>
    </w:p>
    <w:p>
      <w:pPr>
        <w:pStyle w:val="Subsection"/>
        <w:spacing w:before="140"/>
      </w:pPr>
      <w:r>
        <w:tab/>
        <w:t>(1)</w:t>
      </w:r>
      <w:r>
        <w:tab/>
        <w:t>A person is qualified for appointment as the Commissioner or Deputy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 xml:space="preserve">A person who is or has been a police officer is not eligible to be appointed as Commissioner or Deputy Commissioner. </w:t>
      </w:r>
    </w:p>
    <w:p>
      <w:pPr>
        <w:pStyle w:val="Subsection"/>
        <w:keepNext/>
        <w:spacing w:before="140"/>
      </w:pPr>
      <w:r>
        <w:tab/>
        <w:t>(4)</w:t>
      </w:r>
      <w:r>
        <w:tab/>
        <w:t xml:space="preserve">A person holding a judicial office shall retire upon appointment as Commissioner or Deputy Commissioner. </w:t>
      </w:r>
    </w:p>
    <w:p>
      <w:pPr>
        <w:pStyle w:val="Footnotesection"/>
        <w:ind w:left="890" w:hanging="890"/>
      </w:pPr>
      <w:r>
        <w:tab/>
        <w:t>[Section 10, formerly section 8, amended: No. 78 of 2003 s. 9 and renumbered as section 10: No. 78 of 2003 s. 35(1); amended: No. 5 of 2024 s. 7.]</w:t>
      </w:r>
    </w:p>
    <w:p>
      <w:pPr>
        <w:pStyle w:val="Heading5"/>
      </w:pPr>
      <w:bookmarkStart w:id="66" w:name="_Toc192492855"/>
      <w:bookmarkStart w:id="67" w:name="_Toc185428868"/>
      <w:r>
        <w:rPr>
          <w:rStyle w:val="CharSectno"/>
        </w:rPr>
        <w:t>11</w:t>
      </w:r>
      <w:r>
        <w:t>.</w:t>
      </w:r>
      <w:r>
        <w:tab/>
        <w:t>Terms and conditions of service of Commissioner</w:t>
      </w:r>
      <w:bookmarkEnd w:id="66"/>
      <w:bookmarkEnd w:id="67"/>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No. 78 of 2003 s. 35(13) and renumbered as section 11: No. 78 of 2003 s. 35(1).]</w:t>
      </w:r>
    </w:p>
    <w:p>
      <w:pPr>
        <w:pStyle w:val="Heading5"/>
      </w:pPr>
      <w:bookmarkStart w:id="68" w:name="_Toc192492856"/>
      <w:bookmarkStart w:id="69" w:name="_Toc185428869"/>
      <w:r>
        <w:rPr>
          <w:rStyle w:val="CharSectno"/>
        </w:rPr>
        <w:t>11A</w:t>
      </w:r>
      <w:r>
        <w:t>.</w:t>
      </w:r>
      <w:r>
        <w:tab/>
        <w:t>Terms and conditions of service of Deputy Commissioner</w:t>
      </w:r>
      <w:bookmarkEnd w:id="68"/>
      <w:bookmarkEnd w:id="69"/>
    </w:p>
    <w:p>
      <w:pPr>
        <w:pStyle w:val="Subsection"/>
      </w:pPr>
      <w:r>
        <w:tab/>
      </w:r>
      <w:r>
        <w:tab/>
        <w:t>Schedule 2A has effect with respect to the tenure, remuneration and conditions of service of the Deputy Commissioner and the other matters provided for in that Schedule.</w:t>
      </w:r>
    </w:p>
    <w:p>
      <w:pPr>
        <w:pStyle w:val="Footnotesection"/>
      </w:pPr>
      <w:r>
        <w:tab/>
        <w:t>[Section 11A inserted: No. 5 of 2024 s. 8.]</w:t>
      </w:r>
    </w:p>
    <w:p>
      <w:pPr>
        <w:pStyle w:val="Heading5"/>
      </w:pPr>
      <w:bookmarkStart w:id="70" w:name="_Toc192492857"/>
      <w:bookmarkStart w:id="71" w:name="_Toc185428870"/>
      <w:r>
        <w:rPr>
          <w:rStyle w:val="CharSectno"/>
        </w:rPr>
        <w:t>12</w:t>
      </w:r>
      <w:r>
        <w:t>.</w:t>
      </w:r>
      <w:r>
        <w:tab/>
        <w:t>Removal or suspension of Commissioner or Deputy Commissioner</w:t>
      </w:r>
      <w:bookmarkEnd w:id="70"/>
      <w:bookmarkEnd w:id="71"/>
    </w:p>
    <w:p>
      <w:pPr>
        <w:pStyle w:val="Subsection"/>
      </w:pPr>
      <w:r>
        <w:tab/>
        <w:t>(1)</w:t>
      </w:r>
      <w:r>
        <w:tab/>
        <w:t>The Commissioner or Deputy Commissioner may, at any time, be suspended or removed from office by the Governor on addresses from both Houses of Parliament.</w:t>
      </w:r>
    </w:p>
    <w:p>
      <w:pPr>
        <w:pStyle w:val="Subsection"/>
        <w:keepNext/>
      </w:pPr>
      <w:r>
        <w:tab/>
        <w:t>(2)</w:t>
      </w:r>
      <w:r>
        <w:tab/>
        <w:t xml:space="preserve">The Governor may suspend the Commissioner or Deputy Commissioner from office if the Governor is satisfied that the Commissioner or Deputy Commissioner, as the case requires — </w:t>
      </w:r>
    </w:p>
    <w:p>
      <w:pPr>
        <w:pStyle w:val="Indenta"/>
      </w:pPr>
      <w:r>
        <w:tab/>
        <w:t>(a)</w:t>
      </w:r>
      <w:r>
        <w:tab/>
        <w:t>is incapable of properly performing the duties of office; or</w:t>
      </w:r>
    </w:p>
    <w:p>
      <w:pPr>
        <w:pStyle w:val="Indenta"/>
      </w:pPr>
      <w:r>
        <w:tab/>
        <w:t>(b)</w:t>
      </w:r>
      <w:r>
        <w:tab/>
        <w:t>has shown themselves incompetent properly to perform, or has neglected, those duties; or</w:t>
      </w:r>
    </w:p>
    <w:p>
      <w:pPr>
        <w:pStyle w:val="Indenta"/>
      </w:pPr>
      <w:r>
        <w:tab/>
        <w:t>(c)</w:t>
      </w:r>
      <w:r>
        <w:tab/>
        <w:t>has been guilty of misconduct.</w:t>
      </w:r>
    </w:p>
    <w:p>
      <w:pPr>
        <w:pStyle w:val="Subsection"/>
        <w:keepNext/>
      </w:pPr>
      <w:r>
        <w:tab/>
        <w:t>(3)</w:t>
      </w:r>
      <w:r>
        <w:tab/>
        <w:t xml:space="preserve">If the Commissioner or Deputy Commissioner has been suspended from office under subsection (2) the Commissioner or Deputy Commissioner, as the case requires,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or Deputy Commissioner, as the case may be, from office.</w:t>
      </w:r>
    </w:p>
    <w:p>
      <w:pPr>
        <w:pStyle w:val="Footnotesection"/>
        <w:ind w:left="890" w:hanging="890"/>
      </w:pPr>
      <w:r>
        <w:tab/>
        <w:t>[Section 12, formerly section 10, renumbered as section 12: No. 78 of 2003 s. 35(1); amended: No. 5 of 2024 s. 9.]</w:t>
      </w:r>
    </w:p>
    <w:p>
      <w:pPr>
        <w:pStyle w:val="Heading5"/>
        <w:keepNext w:val="0"/>
        <w:keepLines w:val="0"/>
      </w:pPr>
      <w:bookmarkStart w:id="72" w:name="_Toc192492858"/>
      <w:bookmarkStart w:id="73" w:name="_Toc185428871"/>
      <w:r>
        <w:rPr>
          <w:rStyle w:val="CharSectno"/>
        </w:rPr>
        <w:t>13</w:t>
      </w:r>
      <w:r>
        <w:t>.</w:t>
      </w:r>
      <w:r>
        <w:tab/>
        <w:t>Declaration of inability to act</w:t>
      </w:r>
      <w:bookmarkEnd w:id="72"/>
      <w:bookmarkEnd w:id="73"/>
    </w:p>
    <w:p>
      <w:pPr>
        <w:pStyle w:val="Subsection"/>
        <w:spacing w:before="120"/>
      </w:pPr>
      <w:r>
        <w:tab/>
      </w:r>
      <w:r>
        <w:tab/>
        <w:t xml:space="preserve">The Commissioner or Deputy Commissioner may declare themselves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keepLines w:val="0"/>
        <w:ind w:left="890" w:hanging="890"/>
      </w:pPr>
      <w:r>
        <w:tab/>
        <w:t>[Section 13, formerly section 11, renumbered as section 13: No. 78 of 2003 s. 35(1); amended: No. 5 of 2024 s. 10.]</w:t>
      </w:r>
    </w:p>
    <w:p>
      <w:pPr>
        <w:pStyle w:val="Heading5"/>
      </w:pPr>
      <w:bookmarkStart w:id="74" w:name="_Toc192492859"/>
      <w:bookmarkStart w:id="75" w:name="_Toc185428872"/>
      <w:r>
        <w:rPr>
          <w:rStyle w:val="CharSectno"/>
        </w:rPr>
        <w:t>13A</w:t>
      </w:r>
      <w:r>
        <w:t>.</w:t>
      </w:r>
      <w:r>
        <w:tab/>
        <w:t>Deputy Commissioner to act as Commissioner</w:t>
      </w:r>
      <w:bookmarkEnd w:id="74"/>
      <w:bookmarkEnd w:id="75"/>
    </w:p>
    <w:p>
      <w:pPr>
        <w:pStyle w:val="Subsection"/>
      </w:pPr>
      <w:r>
        <w:tab/>
        <w:t>(1)</w:t>
      </w:r>
      <w:r>
        <w:tab/>
        <w:t>The Deputy Commissioner must act in the office of Commissioner —</w:t>
      </w:r>
    </w:p>
    <w:p>
      <w:pPr>
        <w:pStyle w:val="Indenta"/>
      </w:pPr>
      <w:r>
        <w:tab/>
        <w:t>(a)</w:t>
      </w:r>
      <w:r>
        <w:tab/>
        <w:t>during any period when the office of Commissioner is vacant or the person holding the office of Commissioner is unable to perform the functions of that office; and</w:t>
      </w:r>
    </w:p>
    <w:p>
      <w:pPr>
        <w:pStyle w:val="Indenta"/>
      </w:pPr>
      <w:r>
        <w:tab/>
        <w:t>(b)</w:t>
      </w:r>
      <w:r>
        <w:tab/>
        <w:t>in relation to any matter in respect of which the person holding the office of Commissioner has under section 13 declared themselves unable to act.</w:t>
      </w:r>
    </w:p>
    <w:p>
      <w:pPr>
        <w:pStyle w:val="Subsection"/>
        <w:keepNext/>
      </w:pPr>
      <w:r>
        <w:tab/>
        <w:t>(2)</w:t>
      </w:r>
      <w:r>
        <w:tab/>
        <w:t>Subsection (1) does not apply —</w:t>
      </w:r>
    </w:p>
    <w:p>
      <w:pPr>
        <w:pStyle w:val="Indenta"/>
      </w:pPr>
      <w:r>
        <w:tab/>
        <w:t>(a)</w:t>
      </w:r>
      <w:r>
        <w:tab/>
        <w:t>during any period when the Deputy Commissioner is unable to perform the functions of the office of Commissioner; or</w:t>
      </w:r>
    </w:p>
    <w:p>
      <w:pPr>
        <w:pStyle w:val="Indenta"/>
      </w:pPr>
      <w:r>
        <w:tab/>
        <w:t>(b)</w:t>
      </w:r>
      <w:r>
        <w:tab/>
        <w:t xml:space="preserve">in relation to any matter — </w:t>
      </w:r>
    </w:p>
    <w:p>
      <w:pPr>
        <w:pStyle w:val="Indenti"/>
      </w:pPr>
      <w:r>
        <w:tab/>
        <w:t>(i)</w:t>
      </w:r>
      <w:r>
        <w:tab/>
        <w:t>in respect of which the Deputy Commissioner has under section 13 declared themselves unable to act; or</w:t>
      </w:r>
    </w:p>
    <w:p>
      <w:pPr>
        <w:pStyle w:val="Indenti"/>
      </w:pPr>
      <w:r>
        <w:tab/>
        <w:t>(ii)</w:t>
      </w:r>
      <w:r>
        <w:tab/>
        <w:t>in relation to which a person is acting in the office of Commissioner under section 14 for the reason mentioned in section 14(1)(b).</w:t>
      </w:r>
    </w:p>
    <w:p>
      <w:pPr>
        <w:pStyle w:val="Subsection"/>
      </w:pPr>
      <w:r>
        <w:tab/>
        <w:t>(3)</w:t>
      </w:r>
      <w:r>
        <w:tab/>
        <w:t>The Deputy Commissioner, when acting in the office of Commissioner under this section for the reason mentioned in subsection (1)(b) in relation to a matter, may perform functions of that office in relation to the matter even though the Commissioner or a person acting under section 14 for the reason mentioned in section 14(1)(b) is at the same time performing other functions of that office.</w:t>
      </w:r>
    </w:p>
    <w:p>
      <w:pPr>
        <w:pStyle w:val="Subsection"/>
      </w:pPr>
      <w:r>
        <w:tab/>
        <w:t>(4)</w:t>
      </w:r>
      <w:r>
        <w:tab/>
        <w:t>If the Deputy Commissioner is acting in the office of Commissioner under this section for the reason mentioned in subsection (1)(b) in relation to a matter, a reference to the Commissioner in a provision of this Act that is relevant to the performance by the Deputy Commissioner of a function of that office in relation to the matter includes a reference to the Deputy Commissioner.</w:t>
      </w:r>
    </w:p>
    <w:p>
      <w:pPr>
        <w:pStyle w:val="Subsection"/>
      </w:pPr>
      <w:r>
        <w:tab/>
        <w:t>(5)</w:t>
      </w:r>
      <w:r>
        <w:tab/>
        <w:t>The validity of anything done by or in relation to the Deputy Commissioner while purporting to act under this section is not to be called into question on the ground that the occasion for the Deputy Commissioner to act had not arisen or had ceased.</w:t>
      </w:r>
    </w:p>
    <w:p>
      <w:pPr>
        <w:pStyle w:val="Footnotesection"/>
      </w:pPr>
      <w:r>
        <w:tab/>
        <w:t>[Section 13A inserted: No. 5 of 2024 s. 11.]</w:t>
      </w:r>
    </w:p>
    <w:p>
      <w:pPr>
        <w:pStyle w:val="Heading5"/>
        <w:keepLines w:val="0"/>
        <w:spacing w:before="180"/>
      </w:pPr>
      <w:bookmarkStart w:id="76" w:name="_Toc192492860"/>
      <w:bookmarkStart w:id="77" w:name="_Toc185428873"/>
      <w:r>
        <w:rPr>
          <w:rStyle w:val="CharSectno"/>
        </w:rPr>
        <w:t>14</w:t>
      </w:r>
      <w:r>
        <w:t>.</w:t>
      </w:r>
      <w:r>
        <w:tab/>
        <w:t>Acting Commissioner</w:t>
      </w:r>
      <w:bookmarkEnd w:id="76"/>
      <w:bookmarkEnd w:id="77"/>
    </w:p>
    <w:p>
      <w:pPr>
        <w:pStyle w:val="Subsection"/>
        <w:spacing w:before="120"/>
      </w:pPr>
      <w:r>
        <w:tab/>
        <w:t>(1)</w:t>
      </w:r>
      <w:r>
        <w:tab/>
        <w:t xml:space="preserve">The Governor may, on the recommendation of the Premier, appoint a person who is qualified and eligible for appointment as Commissioner to act in the office of Commissioner — </w:t>
      </w:r>
    </w:p>
    <w:p>
      <w:pPr>
        <w:pStyle w:val="Indenta"/>
      </w:pPr>
      <w:r>
        <w:tab/>
        <w:t>(a)</w:t>
      </w:r>
      <w:r>
        <w:tab/>
        <w:t xml:space="preserve">during any period or during all periods when — </w:t>
      </w:r>
    </w:p>
    <w:p>
      <w:pPr>
        <w:pStyle w:val="Indenti"/>
      </w:pPr>
      <w:r>
        <w:tab/>
        <w:t>(i)</w:t>
      </w:r>
      <w:r>
        <w:tab/>
        <w:t>the office of Commissioner is vacant or the person holding the office of Commissioner is unable to perform the functions of the office of Commissioner; and</w:t>
      </w:r>
    </w:p>
    <w:p>
      <w:pPr>
        <w:pStyle w:val="Indenti"/>
      </w:pPr>
      <w:r>
        <w:tab/>
        <w:t>(ii)</w:t>
      </w:r>
      <w:r>
        <w:tab/>
        <w:t>the office of Deputy Commissioner is vacant or the person holding the office of Deputy Commissioner is unable to perform the functions of the office of Commissioner; and</w:t>
      </w:r>
    </w:p>
    <w:p>
      <w:pPr>
        <w:pStyle w:val="Indenti"/>
      </w:pPr>
      <w:r>
        <w:tab/>
        <w:t>(iii)</w:t>
      </w:r>
      <w:r>
        <w:tab/>
        <w:t>if a person is appointed under this paragraph — the person is unable to perform the functions of the office of Commissioner;</w:t>
      </w:r>
    </w:p>
    <w:p>
      <w:pPr>
        <w:pStyle w:val="Indenta"/>
      </w:pPr>
      <w:r>
        <w:tab/>
      </w:r>
      <w:r>
        <w:tab/>
        <w:t>or</w:t>
      </w:r>
    </w:p>
    <w:p>
      <w:pPr>
        <w:pStyle w:val="Indenta"/>
      </w:pPr>
      <w:r>
        <w:tab/>
        <w:t>(b)</w:t>
      </w:r>
      <w:r>
        <w:tab/>
        <w:t>in relation to any matter in respect of which the person holding the office of Commissioner, the person holding the office of Deputy Commissioner or a person appointed under this subsection has under section 13 declared themselves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pPr>
      <w:r>
        <w:tab/>
        <w:t>(2A)</w:t>
      </w:r>
      <w:r>
        <w:tab/>
        <w:t>The Premier can recommend the appointment of a person under subsection (1) only if the requirements set out in section 9A(2)(a) to (c) are satisfied in relation to the person.</w:t>
      </w:r>
    </w:p>
    <w:p>
      <w:pPr>
        <w:pStyle w:val="Subsection"/>
      </w:pPr>
      <w:r>
        <w:tab/>
        <w:t>(2B)</w:t>
      </w:r>
      <w:r>
        <w:tab/>
        <w:t>For the purposes of subsection (2A), the requirements set out in section 9A(2)(a) to (c) may be satisfied —</w:t>
      </w:r>
    </w:p>
    <w:p>
      <w:pPr>
        <w:pStyle w:val="Indenta"/>
      </w:pPr>
      <w:r>
        <w:tab/>
        <w:t>(a)</w:t>
      </w:r>
      <w:r>
        <w:tab/>
        <w:t>prospectively even though the necessity for an appointment has not arisen; and</w:t>
      </w:r>
    </w:p>
    <w:p>
      <w:pPr>
        <w:pStyle w:val="Indenta"/>
      </w:pPr>
      <w:r>
        <w:tab/>
        <w:t>(b)</w:t>
      </w:r>
      <w:r>
        <w:tab/>
        <w:t>with respect to a number of persons each of whom is eligible to be appointed should the necessity arise.</w:t>
      </w:r>
    </w:p>
    <w:p>
      <w:pPr>
        <w:pStyle w:val="Subsection"/>
      </w:pPr>
      <w:r>
        <w:tab/>
        <w:t>(2C)</w:t>
      </w:r>
      <w:r>
        <w:tab/>
        <w:t xml:space="preserve">Despite subsection (2A), the Premier can recommend the appointment of a person under subsection (1)(a) without the requirements set out in section 9A(2)(a) to (c) being satisfied in relation to the person if — </w:t>
      </w:r>
    </w:p>
    <w:p>
      <w:pPr>
        <w:pStyle w:val="Indenta"/>
      </w:pPr>
      <w:r>
        <w:tab/>
        <w:t>(a)</w:t>
      </w:r>
      <w:r>
        <w:tab/>
        <w:t>the appointment is for a period of no longer than 12 months; and</w:t>
      </w:r>
    </w:p>
    <w:p>
      <w:pPr>
        <w:pStyle w:val="Indenta"/>
      </w:pPr>
      <w:r>
        <w:tab/>
        <w:t>(b)</w:t>
      </w:r>
      <w:r>
        <w:tab/>
        <w:t>the appointment will not result in the person being appointed more than twice consecutively to act in the office of Commissioner.</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(1)(b) may perform functions of the office of Commissioner in relation to the matter for which the person is appointed even though the Commissioner, the Deputy Commissioner acting under section 13A for the reason mentioned in section 13A(1)(b) or another person acting under this section for the reason mentioned in subsection (1)(b) is at the same time performing other functions of the office.</w:t>
      </w:r>
    </w:p>
    <w:p>
      <w:pPr>
        <w:pStyle w:val="Subsection"/>
      </w:pPr>
      <w:r>
        <w:tab/>
        <w:t>(5)</w:t>
      </w:r>
      <w:r>
        <w:tab/>
        <w:t>If a person is acting under this section for the reason mentioned in subsection (1)(b), a reference to the Commissioner in a provision of this Act that is relevant to the performance by that person of a function of the office of Commissioner in relation to the matter for which that person is appointed includes a reference to that person.</w:t>
      </w:r>
    </w:p>
    <w:p>
      <w:pPr>
        <w:pStyle w:val="Subsection"/>
        <w:keepNext/>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No. 78 of 2003 s. 10 and 35(13); renumbered as section 14: No. 78 of 2003 s. 35(1); amended: No. 5 of 2024 s. 12.]</w:t>
      </w:r>
    </w:p>
    <w:p>
      <w:pPr>
        <w:pStyle w:val="Heading5"/>
        <w:keepLines w:val="0"/>
      </w:pPr>
      <w:bookmarkStart w:id="78" w:name="_Toc192492861"/>
      <w:bookmarkStart w:id="79" w:name="_Toc185428874"/>
      <w:r>
        <w:rPr>
          <w:rStyle w:val="CharSectno"/>
        </w:rPr>
        <w:t>15</w:t>
      </w:r>
      <w:r>
        <w:t>.</w:t>
      </w:r>
      <w:r>
        <w:tab/>
        <w:t>Oath or affirmation of office</w:t>
      </w:r>
      <w:bookmarkEnd w:id="78"/>
      <w:bookmarkEnd w:id="79"/>
    </w:p>
    <w:p>
      <w:pPr>
        <w:pStyle w:val="Subsection"/>
      </w:pPr>
      <w:r>
        <w:tab/>
        <w:t>(1)</w:t>
      </w:r>
      <w:r>
        <w:tab/>
        <w:t xml:space="preserve">Before beginning to perform the functions of the office of Commissioner or Deputy Commissioner a person is to take an oath or make an affirmation that the person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No. 78 of 2003 s. 35(1); amended: No. 5 of 2024 s. 13.]</w:t>
      </w:r>
    </w:p>
    <w:p>
      <w:pPr>
        <w:pStyle w:val="Heading3"/>
        <w:spacing w:before="200"/>
      </w:pPr>
      <w:bookmarkStart w:id="80" w:name="_Toc192238694"/>
      <w:bookmarkStart w:id="81" w:name="_Toc192239479"/>
      <w:bookmarkStart w:id="82" w:name="_Toc192239850"/>
      <w:bookmarkStart w:id="83" w:name="_Toc192492862"/>
      <w:bookmarkStart w:id="84" w:name="_Toc185428133"/>
      <w:bookmarkStart w:id="85" w:name="_Toc185428503"/>
      <w:bookmarkStart w:id="86" w:name="_Toc185428875"/>
      <w:r>
        <w:rPr>
          <w:rStyle w:val="CharDivNo"/>
        </w:rPr>
        <w:t>Division 2</w:t>
      </w:r>
      <w:r>
        <w:t> — </w:t>
      </w:r>
      <w:r>
        <w:rPr>
          <w:rStyle w:val="CharDivText"/>
        </w:rPr>
        <w:t>Functions of Corruption and Crime Commission</w:t>
      </w:r>
      <w:bookmarkEnd w:id="80"/>
      <w:bookmarkEnd w:id="81"/>
      <w:bookmarkEnd w:id="82"/>
      <w:bookmarkEnd w:id="83"/>
      <w:bookmarkEnd w:id="84"/>
      <w:bookmarkEnd w:id="85"/>
      <w:bookmarkEnd w:id="86"/>
    </w:p>
    <w:p>
      <w:pPr>
        <w:pStyle w:val="Heading5"/>
        <w:spacing w:before="180"/>
      </w:pPr>
      <w:bookmarkStart w:id="87" w:name="_Toc192492863"/>
      <w:bookmarkStart w:id="88" w:name="_Toc185428876"/>
      <w:r>
        <w:rPr>
          <w:rStyle w:val="CharSectno"/>
        </w:rPr>
        <w:t>16</w:t>
      </w:r>
      <w:r>
        <w:t>.</w:t>
      </w:r>
      <w:r>
        <w:tab/>
        <w:t>General functions</w:t>
      </w:r>
      <w:bookmarkEnd w:id="87"/>
      <w:bookmarkEnd w:id="88"/>
    </w:p>
    <w:p>
      <w:pPr>
        <w:pStyle w:val="Subsection"/>
      </w:pPr>
      <w:r>
        <w:tab/>
      </w:r>
      <w:r>
        <w:tab/>
        <w:t>The Commission has the functions conferred or imposed by or under this Act or any other written law.</w:t>
      </w:r>
    </w:p>
    <w:p>
      <w:pPr>
        <w:pStyle w:val="Footnotesection"/>
      </w:pPr>
      <w:r>
        <w:tab/>
        <w:t>[Section 16, formerly section 14, renumbered as section 16: No. 78 of 2003 s. 35(1).]</w:t>
      </w:r>
    </w:p>
    <w:p>
      <w:pPr>
        <w:pStyle w:val="Ednotesection"/>
        <w:spacing w:before="180"/>
      </w:pPr>
      <w:r>
        <w:t>[</w:t>
      </w:r>
      <w:r>
        <w:rPr>
          <w:b/>
        </w:rPr>
        <w:t>17.</w:t>
      </w:r>
      <w:r>
        <w:tab/>
        <w:t>Deleted: No. 35 of 2014 s. 9.]</w:t>
      </w:r>
    </w:p>
    <w:p>
      <w:pPr>
        <w:pStyle w:val="Heading5"/>
        <w:spacing w:before="180"/>
      </w:pPr>
      <w:bookmarkStart w:id="89" w:name="_Toc192492864"/>
      <w:bookmarkStart w:id="90" w:name="_Toc185428877"/>
      <w:r>
        <w:rPr>
          <w:rStyle w:val="CharSectno"/>
        </w:rPr>
        <w:t>18</w:t>
      </w:r>
      <w:r>
        <w:t>.</w:t>
      </w:r>
      <w:r>
        <w:tab/>
        <w:t>Serious misconduct function</w:t>
      </w:r>
      <w:bookmarkEnd w:id="89"/>
      <w:bookmarkEnd w:id="90"/>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No. 78 of 2003 s. 11; amended: No. 35 of 2014 s. 10.]</w:t>
      </w:r>
    </w:p>
    <w:p>
      <w:pPr>
        <w:pStyle w:val="Heading5"/>
      </w:pPr>
      <w:bookmarkStart w:id="91" w:name="_Toc192492865"/>
      <w:bookmarkStart w:id="92" w:name="_Toc185428878"/>
      <w:r>
        <w:rPr>
          <w:rStyle w:val="CharSectno"/>
        </w:rPr>
        <w:t>19</w:t>
      </w:r>
      <w:r>
        <w:t>.</w:t>
      </w:r>
      <w:r>
        <w:tab/>
        <w:t>Functions in relation to Police Royal Commission</w:t>
      </w:r>
      <w:bookmarkEnd w:id="91"/>
      <w:bookmarkEnd w:id="92"/>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No. 78 of 2003 s. 13; renumbered as section 19: No. 78 of 2003 s. 35(1).]</w:t>
      </w:r>
    </w:p>
    <w:p>
      <w:pPr>
        <w:pStyle w:val="Heading5"/>
      </w:pPr>
      <w:bookmarkStart w:id="93" w:name="_Toc192492866"/>
      <w:bookmarkStart w:id="94" w:name="_Toc185428879"/>
      <w:r>
        <w:rPr>
          <w:rStyle w:val="CharSectno"/>
        </w:rPr>
        <w:t>20</w:t>
      </w:r>
      <w:r>
        <w:t>.</w:t>
      </w:r>
      <w:r>
        <w:tab/>
        <w:t>Functions in relation to A</w:t>
      </w:r>
      <w:r>
        <w:noBreakHyphen/>
        <w:t>CC</w:t>
      </w:r>
      <w:bookmarkEnd w:id="93"/>
      <w:bookmarkEnd w:id="94"/>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No. 78 of 2003 s. 35(1).]</w:t>
      </w:r>
    </w:p>
    <w:p>
      <w:pPr>
        <w:pStyle w:val="Heading5"/>
      </w:pPr>
      <w:bookmarkStart w:id="95" w:name="_Toc192492867"/>
      <w:bookmarkStart w:id="96" w:name="_Toc185428880"/>
      <w:r>
        <w:rPr>
          <w:rStyle w:val="CharSectno"/>
        </w:rPr>
        <w:t>21</w:t>
      </w:r>
      <w:r>
        <w:t>.</w:t>
      </w:r>
      <w:r>
        <w:tab/>
        <w:t>Organised crime functions</w:t>
      </w:r>
      <w:bookmarkEnd w:id="95"/>
      <w:bookmarkEnd w:id="96"/>
    </w:p>
    <w:p>
      <w:pPr>
        <w:pStyle w:val="Subsection"/>
      </w:pPr>
      <w:r>
        <w:tab/>
      </w:r>
      <w:r>
        <w:tab/>
        <w:t>The Commission has the functions set out in Part 4.</w:t>
      </w:r>
    </w:p>
    <w:p>
      <w:pPr>
        <w:pStyle w:val="Footnotesection"/>
      </w:pPr>
      <w:r>
        <w:tab/>
        <w:t>[Section 21 inserted: No. 78 of 2003 s. 15.]</w:t>
      </w:r>
    </w:p>
    <w:p>
      <w:pPr>
        <w:pStyle w:val="Heading5"/>
      </w:pPr>
      <w:bookmarkStart w:id="97" w:name="_Toc192492868"/>
      <w:bookmarkStart w:id="98" w:name="_Toc185428881"/>
      <w:r>
        <w:rPr>
          <w:rStyle w:val="CharSectno"/>
        </w:rPr>
        <w:t>21A</w:t>
      </w:r>
      <w:r>
        <w:t>.</w:t>
      </w:r>
      <w:r>
        <w:tab/>
        <w:t>Reviewable police action</w:t>
      </w:r>
      <w:bookmarkEnd w:id="97"/>
      <w:bookmarkEnd w:id="98"/>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No. 78 of 2003 s. 16; amended: No. 35 of 2014 s. 11.]</w:t>
      </w:r>
    </w:p>
    <w:p>
      <w:pPr>
        <w:pStyle w:val="Heading5"/>
      </w:pPr>
      <w:bookmarkStart w:id="99" w:name="_Toc192492869"/>
      <w:bookmarkStart w:id="100" w:name="_Toc185428882"/>
      <w:r>
        <w:rPr>
          <w:rStyle w:val="CharSectno"/>
        </w:rPr>
        <w:t>21AA</w:t>
      </w:r>
      <w:r>
        <w:t>.</w:t>
      </w:r>
      <w:r>
        <w:tab/>
        <w:t>Prevention and education function: police misconduct</w:t>
      </w:r>
      <w:bookmarkEnd w:id="99"/>
      <w:bookmarkEnd w:id="100"/>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No. 35 of 2014 s. 12.]</w:t>
      </w:r>
    </w:p>
    <w:p>
      <w:pPr>
        <w:pStyle w:val="Heading5"/>
      </w:pPr>
      <w:bookmarkStart w:id="101" w:name="_Toc192492870"/>
      <w:bookmarkStart w:id="102" w:name="_Toc185428883"/>
      <w:r>
        <w:rPr>
          <w:rStyle w:val="CharSectno"/>
        </w:rPr>
        <w:t>21AB</w:t>
      </w:r>
      <w:r>
        <w:t>.</w:t>
      </w:r>
      <w:r>
        <w:tab/>
        <w:t>Capacity development function: public authorities</w:t>
      </w:r>
      <w:bookmarkEnd w:id="101"/>
      <w:bookmarkEnd w:id="102"/>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keepNext/>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No. 35 of 2014 s. 12.]</w:t>
      </w:r>
    </w:p>
    <w:p>
      <w:pPr>
        <w:pStyle w:val="Heading5"/>
      </w:pPr>
      <w:bookmarkStart w:id="103" w:name="_Toc192492871"/>
      <w:bookmarkStart w:id="104" w:name="_Toc185428884"/>
      <w:r>
        <w:rPr>
          <w:rStyle w:val="CharSectno"/>
        </w:rPr>
        <w:t>21AC</w:t>
      </w:r>
      <w:r>
        <w:t>.</w:t>
      </w:r>
      <w:r>
        <w:tab/>
        <w:t>Information about allegations received or initiated by Public Sector Commissioner</w:t>
      </w:r>
      <w:bookmarkEnd w:id="103"/>
      <w:bookmarkEnd w:id="104"/>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No. 35 of 2014 s. 12.]</w:t>
      </w:r>
    </w:p>
    <w:p>
      <w:pPr>
        <w:pStyle w:val="Heading5"/>
      </w:pPr>
      <w:bookmarkStart w:id="105" w:name="_Toc192492872"/>
      <w:bookmarkStart w:id="106" w:name="_Toc185428885"/>
      <w:r>
        <w:rPr>
          <w:rStyle w:val="CharSectno"/>
        </w:rPr>
        <w:t>21AD</w:t>
      </w:r>
      <w:r>
        <w:t>.</w:t>
      </w:r>
      <w:r>
        <w:tab/>
        <w:t>Unexplained wealth functions</w:t>
      </w:r>
      <w:bookmarkEnd w:id="105"/>
      <w:bookmarkEnd w:id="106"/>
    </w:p>
    <w:p>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keepNext/>
        <w:spacing w:before="100"/>
      </w:pPr>
      <w:r>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spacing w:before="100"/>
      </w:pPr>
      <w:r>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No. 10 of 2018 s. 8.]</w:t>
      </w:r>
    </w:p>
    <w:p>
      <w:pPr>
        <w:pStyle w:val="Heading2"/>
      </w:pPr>
      <w:bookmarkStart w:id="107" w:name="_Toc192238705"/>
      <w:bookmarkStart w:id="108" w:name="_Toc192239490"/>
      <w:bookmarkStart w:id="109" w:name="_Toc192239861"/>
      <w:bookmarkStart w:id="110" w:name="_Toc192492873"/>
      <w:bookmarkStart w:id="111" w:name="_Toc185428144"/>
      <w:bookmarkStart w:id="112" w:name="_Toc185428514"/>
      <w:bookmarkStart w:id="113" w:name="_Toc185428886"/>
      <w:r>
        <w:rPr>
          <w:rStyle w:val="CharPartNo"/>
        </w:rPr>
        <w:t>Part 3</w:t>
      </w:r>
      <w:r>
        <w:rPr>
          <w:b w:val="0"/>
        </w:rPr>
        <w:t> </w:t>
      </w:r>
      <w:r>
        <w:t>—</w:t>
      </w:r>
      <w:r>
        <w:rPr>
          <w:b w:val="0"/>
        </w:rPr>
        <w:t> </w:t>
      </w:r>
      <w:r>
        <w:rPr>
          <w:rStyle w:val="CharPartText"/>
        </w:rPr>
        <w:t>Serious misconduct: role of Commission</w:t>
      </w:r>
      <w:bookmarkEnd w:id="107"/>
      <w:bookmarkEnd w:id="108"/>
      <w:bookmarkEnd w:id="109"/>
      <w:bookmarkEnd w:id="110"/>
      <w:bookmarkEnd w:id="111"/>
      <w:bookmarkEnd w:id="112"/>
      <w:bookmarkEnd w:id="113"/>
    </w:p>
    <w:p>
      <w:pPr>
        <w:pStyle w:val="Footnoteheading"/>
        <w:tabs>
          <w:tab w:val="clear" w:pos="879"/>
          <w:tab w:val="left" w:pos="896"/>
        </w:tabs>
        <w:spacing w:before="80"/>
      </w:pPr>
      <w:r>
        <w:tab/>
        <w:t>[Heading inserted: No. 35 of 2014 s. 13.]</w:t>
      </w:r>
    </w:p>
    <w:p>
      <w:pPr>
        <w:pStyle w:val="Heading3"/>
        <w:spacing w:before="200"/>
      </w:pPr>
      <w:bookmarkStart w:id="114" w:name="_Toc192238706"/>
      <w:bookmarkStart w:id="115" w:name="_Toc192239491"/>
      <w:bookmarkStart w:id="116" w:name="_Toc192239862"/>
      <w:bookmarkStart w:id="117" w:name="_Toc192492874"/>
      <w:bookmarkStart w:id="118" w:name="_Toc185428145"/>
      <w:bookmarkStart w:id="119" w:name="_Toc185428515"/>
      <w:bookmarkStart w:id="120" w:name="_Toc185428887"/>
      <w:r>
        <w:rPr>
          <w:rStyle w:val="CharDivNo"/>
        </w:rPr>
        <w:t>Division 1</w:t>
      </w:r>
      <w:r>
        <w:t> — </w:t>
      </w:r>
      <w:r>
        <w:rPr>
          <w:rStyle w:val="CharDivText"/>
        </w:rPr>
        <w:t>Assessments and opinions</w:t>
      </w:r>
      <w:bookmarkEnd w:id="114"/>
      <w:bookmarkEnd w:id="115"/>
      <w:bookmarkEnd w:id="116"/>
      <w:bookmarkEnd w:id="117"/>
      <w:bookmarkEnd w:id="118"/>
      <w:bookmarkEnd w:id="119"/>
      <w:bookmarkEnd w:id="120"/>
    </w:p>
    <w:p>
      <w:pPr>
        <w:pStyle w:val="Footnoteheading"/>
        <w:tabs>
          <w:tab w:val="clear" w:pos="879"/>
          <w:tab w:val="left" w:pos="896"/>
        </w:tabs>
        <w:spacing w:before="80"/>
      </w:pPr>
      <w:r>
        <w:tab/>
        <w:t>[Heading inserted: No. 78 of 2003 s. 17.]</w:t>
      </w:r>
    </w:p>
    <w:p>
      <w:pPr>
        <w:pStyle w:val="Heading5"/>
        <w:spacing w:before="180"/>
      </w:pPr>
      <w:bookmarkStart w:id="121" w:name="_Toc192492875"/>
      <w:bookmarkStart w:id="122" w:name="_Toc185428888"/>
      <w:r>
        <w:rPr>
          <w:rStyle w:val="CharSectno"/>
        </w:rPr>
        <w:t>22</w:t>
      </w:r>
      <w:r>
        <w:t>.</w:t>
      </w:r>
      <w:r>
        <w:tab/>
        <w:t>Assessments and opinions as to occurrence of serious misconduct</w:t>
      </w:r>
      <w:bookmarkEnd w:id="121"/>
      <w:bookmarkEnd w:id="122"/>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No. 78 of 2003 s. 17; amended: No. 35 of 2014 s. 31.]</w:t>
      </w:r>
    </w:p>
    <w:p>
      <w:pPr>
        <w:pStyle w:val="Ednotesection"/>
        <w:spacing w:before="180"/>
        <w:ind w:left="890" w:hanging="890"/>
      </w:pPr>
      <w:r>
        <w:t>[</w:t>
      </w:r>
      <w:r>
        <w:rPr>
          <w:b/>
        </w:rPr>
        <w:t>23.</w:t>
      </w:r>
      <w:r>
        <w:tab/>
        <w:t>Deleted: No. 35 of 2014 s. 14.]</w:t>
      </w:r>
    </w:p>
    <w:p>
      <w:pPr>
        <w:pStyle w:val="Heading3"/>
      </w:pPr>
      <w:bookmarkStart w:id="123" w:name="_Toc192238708"/>
      <w:bookmarkStart w:id="124" w:name="_Toc192239493"/>
      <w:bookmarkStart w:id="125" w:name="_Toc192239864"/>
      <w:bookmarkStart w:id="126" w:name="_Toc192492876"/>
      <w:bookmarkStart w:id="127" w:name="_Toc185428147"/>
      <w:bookmarkStart w:id="128" w:name="_Toc185428517"/>
      <w:bookmarkStart w:id="129" w:name="_Toc185428889"/>
      <w:r>
        <w:rPr>
          <w:rStyle w:val="CharDivNo"/>
        </w:rPr>
        <w:t>Division 2</w:t>
      </w:r>
      <w:r>
        <w:t> — </w:t>
      </w:r>
      <w:r>
        <w:rPr>
          <w:rStyle w:val="CharDivText"/>
        </w:rPr>
        <w:t>Allegations</w:t>
      </w:r>
      <w:bookmarkEnd w:id="123"/>
      <w:bookmarkEnd w:id="124"/>
      <w:bookmarkEnd w:id="125"/>
      <w:bookmarkEnd w:id="126"/>
      <w:bookmarkEnd w:id="127"/>
      <w:bookmarkEnd w:id="128"/>
      <w:bookmarkEnd w:id="129"/>
    </w:p>
    <w:p>
      <w:pPr>
        <w:pStyle w:val="Footnoteheading"/>
        <w:tabs>
          <w:tab w:val="clear" w:pos="879"/>
          <w:tab w:val="left" w:pos="896"/>
        </w:tabs>
      </w:pPr>
      <w:r>
        <w:tab/>
        <w:t>[Heading inserted: No. 78 of 2003 s. 17.]</w:t>
      </w:r>
    </w:p>
    <w:p>
      <w:pPr>
        <w:pStyle w:val="Heading5"/>
      </w:pPr>
      <w:bookmarkStart w:id="130" w:name="_Toc192492877"/>
      <w:bookmarkStart w:id="131" w:name="_Toc185428890"/>
      <w:r>
        <w:rPr>
          <w:rStyle w:val="CharSectno"/>
        </w:rPr>
        <w:t>24</w:t>
      </w:r>
      <w:r>
        <w:t>.</w:t>
      </w:r>
      <w:r>
        <w:tab/>
        <w:t>Allegations of serious misconduct</w:t>
      </w:r>
      <w:bookmarkEnd w:id="130"/>
      <w:bookmarkEnd w:id="131"/>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No. 78 of 2003 s. 17; amended: No. 35 of 2014 s. 31.]</w:t>
      </w:r>
    </w:p>
    <w:p>
      <w:pPr>
        <w:pStyle w:val="Heading5"/>
      </w:pPr>
      <w:bookmarkStart w:id="132" w:name="_Toc192492878"/>
      <w:bookmarkStart w:id="133" w:name="_Toc185428891"/>
      <w:r>
        <w:rPr>
          <w:rStyle w:val="CharSectno"/>
        </w:rPr>
        <w:t>25</w:t>
      </w:r>
      <w:r>
        <w:t>.</w:t>
      </w:r>
      <w:r>
        <w:tab/>
      </w:r>
      <w:r>
        <w:rPr>
          <w:bCs/>
        </w:rPr>
        <w:t>Any person may report serious misconduct</w:t>
      </w:r>
      <w:bookmarkEnd w:id="132"/>
      <w:bookmarkEnd w:id="133"/>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No. 78 of 2003 s. 17; amended: No. 35 of 2014 s. 31.]</w:t>
      </w:r>
    </w:p>
    <w:p>
      <w:pPr>
        <w:pStyle w:val="Heading5"/>
      </w:pPr>
      <w:bookmarkStart w:id="134" w:name="_Toc192492879"/>
      <w:bookmarkStart w:id="135" w:name="_Toc185428892"/>
      <w:r>
        <w:rPr>
          <w:rStyle w:val="CharSectno"/>
        </w:rPr>
        <w:t>26</w:t>
      </w:r>
      <w:r>
        <w:t>.</w:t>
      </w:r>
      <w:r>
        <w:tab/>
      </w:r>
      <w:r>
        <w:rPr>
          <w:bCs/>
        </w:rPr>
        <w:t>Commission may make proposition about serious misconduct</w:t>
      </w:r>
      <w:bookmarkEnd w:id="134"/>
      <w:bookmarkEnd w:id="135"/>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No. 78 of 2003 s. 17; amended: No. 35 of 2014 s. 31.]</w:t>
      </w:r>
    </w:p>
    <w:p>
      <w:pPr>
        <w:pStyle w:val="Heading5"/>
      </w:pPr>
      <w:bookmarkStart w:id="136" w:name="_Toc192492880"/>
      <w:bookmarkStart w:id="137" w:name="_Toc185428893"/>
      <w:r>
        <w:rPr>
          <w:rStyle w:val="CharSectno"/>
        </w:rPr>
        <w:t>27</w:t>
      </w:r>
      <w:r>
        <w:t>.</w:t>
      </w:r>
      <w:r>
        <w:tab/>
        <w:t>Allegation about Commissioner, Deputy Commissioner, Parliamentary Inspector or judicial officer not to be received or initiated</w:t>
      </w:r>
      <w:bookmarkEnd w:id="136"/>
      <w:bookmarkEnd w:id="137"/>
    </w:p>
    <w:p>
      <w:pPr>
        <w:pStyle w:val="Subsection"/>
      </w:pPr>
      <w:r>
        <w:tab/>
        <w:t>(1)</w:t>
      </w:r>
      <w:r>
        <w:tab/>
        <w:t>An allegation about the Commissioner or Deputy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No. 78 of 2003 s. 17; amended: No. 5 of 2024 s. 14.]</w:t>
      </w:r>
    </w:p>
    <w:p>
      <w:pPr>
        <w:pStyle w:val="Ednotesection"/>
      </w:pPr>
      <w:r>
        <w:t>[</w:t>
      </w:r>
      <w:r>
        <w:rPr>
          <w:b/>
        </w:rPr>
        <w:t>27A, 27B.</w:t>
      </w:r>
      <w:r>
        <w:tab/>
        <w:t>Deleted: No. 35 of 2014 s. 15.]</w:t>
      </w:r>
    </w:p>
    <w:p>
      <w:pPr>
        <w:pStyle w:val="Heading3"/>
      </w:pPr>
      <w:bookmarkStart w:id="138" w:name="_Toc192238713"/>
      <w:bookmarkStart w:id="139" w:name="_Toc192239498"/>
      <w:bookmarkStart w:id="140" w:name="_Toc192239869"/>
      <w:bookmarkStart w:id="141" w:name="_Toc192492881"/>
      <w:bookmarkStart w:id="142" w:name="_Toc185428152"/>
      <w:bookmarkStart w:id="143" w:name="_Toc185428522"/>
      <w:bookmarkStart w:id="144" w:name="_Toc185428894"/>
      <w:r>
        <w:rPr>
          <w:rStyle w:val="CharDivNo"/>
        </w:rPr>
        <w:t>Division 3</w:t>
      </w:r>
      <w:r>
        <w:t> — </w:t>
      </w:r>
      <w:r>
        <w:rPr>
          <w:rStyle w:val="CharDivText"/>
        </w:rPr>
        <w:t>Duty to notify</w:t>
      </w:r>
      <w:bookmarkEnd w:id="138"/>
      <w:bookmarkEnd w:id="139"/>
      <w:bookmarkEnd w:id="140"/>
      <w:bookmarkEnd w:id="141"/>
      <w:bookmarkEnd w:id="142"/>
      <w:bookmarkEnd w:id="143"/>
      <w:bookmarkEnd w:id="144"/>
    </w:p>
    <w:p>
      <w:pPr>
        <w:pStyle w:val="Footnoteheading"/>
        <w:tabs>
          <w:tab w:val="clear" w:pos="879"/>
          <w:tab w:val="left" w:pos="896"/>
        </w:tabs>
      </w:pPr>
      <w:r>
        <w:tab/>
        <w:t>[Heading inserted: No. 78 of 2003 s. 17.]</w:t>
      </w:r>
    </w:p>
    <w:p>
      <w:pPr>
        <w:pStyle w:val="Heading5"/>
      </w:pPr>
      <w:bookmarkStart w:id="145" w:name="_Toc192492882"/>
      <w:bookmarkStart w:id="146" w:name="_Toc185428895"/>
      <w:r>
        <w:rPr>
          <w:rStyle w:val="CharSectno"/>
        </w:rPr>
        <w:t>28</w:t>
      </w:r>
      <w:r>
        <w:t>.</w:t>
      </w:r>
      <w:r>
        <w:tab/>
      </w:r>
      <w:r>
        <w:rPr>
          <w:bCs/>
        </w:rPr>
        <w:t>Certain officers obliged to notify serious misconduct</w:t>
      </w:r>
      <w:bookmarkEnd w:id="145"/>
      <w:bookmarkEnd w:id="146"/>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keepNext/>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No. 78 of 2003 s. 17; amended: No. 35 of 2014 s. 31.]</w:t>
      </w:r>
    </w:p>
    <w:p>
      <w:pPr>
        <w:pStyle w:val="Heading5"/>
      </w:pPr>
      <w:bookmarkStart w:id="147" w:name="_Toc192492883"/>
      <w:bookmarkStart w:id="148" w:name="_Toc185428896"/>
      <w:r>
        <w:rPr>
          <w:rStyle w:val="CharSectno"/>
        </w:rPr>
        <w:t>29</w:t>
      </w:r>
      <w:r>
        <w:t>.</w:t>
      </w:r>
      <w:r>
        <w:tab/>
        <w:t>Duty to notify under s. 28 is paramount</w:t>
      </w:r>
      <w:bookmarkEnd w:id="147"/>
      <w:bookmarkEnd w:id="148"/>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No. 78 of 2003 s. 17.]</w:t>
      </w:r>
    </w:p>
    <w:p>
      <w:pPr>
        <w:pStyle w:val="Heading5"/>
      </w:pPr>
      <w:bookmarkStart w:id="149" w:name="_Toc192492884"/>
      <w:bookmarkStart w:id="150" w:name="_Toc185428897"/>
      <w:r>
        <w:rPr>
          <w:rStyle w:val="CharSectno"/>
        </w:rPr>
        <w:t>30</w:t>
      </w:r>
      <w:r>
        <w:t>.</w:t>
      </w:r>
      <w:r>
        <w:tab/>
        <w:t>Commission may issue guidelines about notifications</w:t>
      </w:r>
      <w:bookmarkEnd w:id="149"/>
      <w:bookmarkEnd w:id="150"/>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No. 78 of 2003 s. 17.]</w:t>
      </w:r>
    </w:p>
    <w:p>
      <w:pPr>
        <w:pStyle w:val="Heading5"/>
      </w:pPr>
      <w:bookmarkStart w:id="151" w:name="_Toc192492885"/>
      <w:bookmarkStart w:id="152" w:name="_Toc185428898"/>
      <w:r>
        <w:rPr>
          <w:rStyle w:val="CharSectno"/>
        </w:rPr>
        <w:t>31</w:t>
      </w:r>
      <w:r>
        <w:t>.</w:t>
      </w:r>
      <w:r>
        <w:tab/>
        <w:t>Commission may report breach of duty to report or notify</w:t>
      </w:r>
      <w:bookmarkEnd w:id="151"/>
      <w:bookmarkEnd w:id="152"/>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 Impairment)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No. 78 of 2003 s. 17; amended: No. 4 of 2015 s. 84(3); No. 10 of 2023 s. 410.]</w:t>
      </w:r>
    </w:p>
    <w:p>
      <w:pPr>
        <w:pStyle w:val="Heading3"/>
      </w:pPr>
      <w:bookmarkStart w:id="153" w:name="_Toc192238718"/>
      <w:bookmarkStart w:id="154" w:name="_Toc192239503"/>
      <w:bookmarkStart w:id="155" w:name="_Toc192239874"/>
      <w:bookmarkStart w:id="156" w:name="_Toc192492886"/>
      <w:bookmarkStart w:id="157" w:name="_Toc185428157"/>
      <w:bookmarkStart w:id="158" w:name="_Toc185428527"/>
      <w:bookmarkStart w:id="159" w:name="_Toc185428899"/>
      <w:r>
        <w:rPr>
          <w:rStyle w:val="CharDivNo"/>
        </w:rPr>
        <w:t>Division 4</w:t>
      </w:r>
      <w:r>
        <w:t> — </w:t>
      </w:r>
      <w:r>
        <w:rPr>
          <w:rStyle w:val="CharDivText"/>
        </w:rPr>
        <w:t>Assessments, opinions and investigation</w:t>
      </w:r>
      <w:bookmarkEnd w:id="153"/>
      <w:bookmarkEnd w:id="154"/>
      <w:bookmarkEnd w:id="155"/>
      <w:bookmarkEnd w:id="156"/>
      <w:bookmarkEnd w:id="157"/>
      <w:bookmarkEnd w:id="158"/>
      <w:bookmarkEnd w:id="159"/>
    </w:p>
    <w:p>
      <w:pPr>
        <w:pStyle w:val="Footnoteheading"/>
        <w:tabs>
          <w:tab w:val="clear" w:pos="879"/>
          <w:tab w:val="left" w:pos="896"/>
        </w:tabs>
      </w:pPr>
      <w:r>
        <w:tab/>
        <w:t>[Heading inserted: No. 78 of 2003 s. 17.]</w:t>
      </w:r>
    </w:p>
    <w:p>
      <w:pPr>
        <w:pStyle w:val="Heading5"/>
        <w:spacing w:before="180"/>
      </w:pPr>
      <w:bookmarkStart w:id="160" w:name="_Toc192492887"/>
      <w:bookmarkStart w:id="161" w:name="_Toc185428900"/>
      <w:r>
        <w:rPr>
          <w:rStyle w:val="CharSectno"/>
        </w:rPr>
        <w:t>32</w:t>
      </w:r>
      <w:r>
        <w:t>.</w:t>
      </w:r>
      <w:r>
        <w:tab/>
        <w:t>Dealing with allegations</w:t>
      </w:r>
      <w:bookmarkEnd w:id="160"/>
      <w:bookmarkEnd w:id="161"/>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No. 78 of 2003 s. 17; amended: No. 35 of 2014 s. 16.]</w:t>
      </w:r>
    </w:p>
    <w:p>
      <w:pPr>
        <w:pStyle w:val="Heading5"/>
      </w:pPr>
      <w:bookmarkStart w:id="162" w:name="_Toc192492888"/>
      <w:bookmarkStart w:id="163" w:name="_Toc185428901"/>
      <w:r>
        <w:rPr>
          <w:rStyle w:val="CharSectno"/>
        </w:rPr>
        <w:t>33</w:t>
      </w:r>
      <w:r>
        <w:t>.</w:t>
      </w:r>
      <w:r>
        <w:tab/>
        <w:t>Decision on further action on allegation</w:t>
      </w:r>
      <w:bookmarkEnd w:id="162"/>
      <w:bookmarkEnd w:id="163"/>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No. 78 of 2003 s. 17.]</w:t>
      </w:r>
    </w:p>
    <w:p>
      <w:pPr>
        <w:pStyle w:val="Heading5"/>
        <w:spacing w:before="240"/>
      </w:pPr>
      <w:bookmarkStart w:id="164" w:name="_Toc192492889"/>
      <w:bookmarkStart w:id="165" w:name="_Toc185428902"/>
      <w:r>
        <w:rPr>
          <w:rStyle w:val="CharSectno"/>
        </w:rPr>
        <w:t>34</w:t>
      </w:r>
      <w:r>
        <w:t>.</w:t>
      </w:r>
      <w:r>
        <w:tab/>
        <w:t>Matters to be considered in deciding who should take action</w:t>
      </w:r>
      <w:bookmarkEnd w:id="164"/>
      <w:bookmarkEnd w:id="165"/>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keepNext/>
      </w:pPr>
      <w:r>
        <w:tab/>
        <w:t>(b)</w:t>
      </w:r>
      <w:r>
        <w:tab/>
        <w:t>is or may be occurring; or</w:t>
      </w:r>
    </w:p>
    <w:p>
      <w:pPr>
        <w:pStyle w:val="Indenta"/>
        <w:keepNext/>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No. 78 of 2003 s. 17; amended: No. 35 of 2014 s. 17.]</w:t>
      </w:r>
    </w:p>
    <w:p>
      <w:pPr>
        <w:pStyle w:val="Heading5"/>
      </w:pPr>
      <w:bookmarkStart w:id="166" w:name="_Toc192492890"/>
      <w:bookmarkStart w:id="167" w:name="_Toc185428903"/>
      <w:r>
        <w:rPr>
          <w:rStyle w:val="CharSectno"/>
        </w:rPr>
        <w:t>35</w:t>
      </w:r>
      <w:r>
        <w:t>.</w:t>
      </w:r>
      <w:r>
        <w:tab/>
        <w:t>Informant to be notified of decision not to take action</w:t>
      </w:r>
      <w:bookmarkEnd w:id="166"/>
      <w:bookmarkEnd w:id="167"/>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keepNext/>
      </w:pPr>
      <w:r>
        <w:tab/>
        <w:t>(c)</w:t>
      </w:r>
      <w:r>
        <w:tab/>
        <w:t xml:space="preserve">a complaint under the </w:t>
      </w:r>
      <w:r>
        <w:rPr>
          <w:i/>
        </w:rPr>
        <w:t xml:space="preserve">Parliamentary Commissioner Act 1971 </w:t>
      </w:r>
      <w:r>
        <w:t>is referred to the Commission,</w:t>
      </w:r>
    </w:p>
    <w:p>
      <w:pPr>
        <w:pStyle w:val="Subsection"/>
        <w:keepNext/>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No. 78 of 2003 s. 17.]</w:t>
      </w:r>
    </w:p>
    <w:p>
      <w:pPr>
        <w:pStyle w:val="Heading5"/>
      </w:pPr>
      <w:bookmarkStart w:id="168" w:name="_Toc192492891"/>
      <w:bookmarkStart w:id="169" w:name="_Toc185428904"/>
      <w:r>
        <w:rPr>
          <w:rStyle w:val="CharSectno"/>
        </w:rPr>
        <w:t>36</w:t>
      </w:r>
      <w:r>
        <w:t>.</w:t>
      </w:r>
      <w:r>
        <w:tab/>
        <w:t>Person investigated can be advised of outcome of investigation</w:t>
      </w:r>
      <w:bookmarkEnd w:id="168"/>
      <w:bookmarkEnd w:id="169"/>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 xml:space="preserve">the person requests the information; 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No. 78 of 2003 s. 17.]</w:t>
      </w:r>
    </w:p>
    <w:p>
      <w:pPr>
        <w:pStyle w:val="Heading5"/>
      </w:pPr>
      <w:bookmarkStart w:id="170" w:name="_Toc192492892"/>
      <w:bookmarkStart w:id="171" w:name="_Toc185428905"/>
      <w:r>
        <w:rPr>
          <w:rStyle w:val="CharSectno"/>
        </w:rPr>
        <w:t>37</w:t>
      </w:r>
      <w:r>
        <w:t>.</w:t>
      </w:r>
      <w:r>
        <w:tab/>
        <w:t>Referring allegation to another agency or authority</w:t>
      </w:r>
      <w:bookmarkEnd w:id="170"/>
      <w:bookmarkEnd w:id="171"/>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No. 78 of 2003 s. 17; amended: No. 35 of 2014 s. 18.]</w:t>
      </w:r>
    </w:p>
    <w:p>
      <w:pPr>
        <w:pStyle w:val="Heading5"/>
      </w:pPr>
      <w:bookmarkStart w:id="172" w:name="_Toc192492893"/>
      <w:bookmarkStart w:id="173" w:name="_Toc185428906"/>
      <w:r>
        <w:rPr>
          <w:rStyle w:val="CharSectno"/>
        </w:rPr>
        <w:t>38</w:t>
      </w:r>
      <w:r>
        <w:t>.</w:t>
      </w:r>
      <w:r>
        <w:tab/>
        <w:t>Referring allegations to Parliamentary Commissioner or Auditor General</w:t>
      </w:r>
      <w:bookmarkEnd w:id="172"/>
      <w:bookmarkEnd w:id="173"/>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No. 78 of 2003 s. 17; amended: No. 77 of 2006 Sch. 1 cl. 35(3) and (4); No. 35 of 2014 s. 19.]</w:t>
      </w:r>
    </w:p>
    <w:p>
      <w:pPr>
        <w:pStyle w:val="Heading5"/>
        <w:spacing w:before="180"/>
      </w:pPr>
      <w:bookmarkStart w:id="174" w:name="_Toc192492894"/>
      <w:bookmarkStart w:id="175" w:name="_Toc185428907"/>
      <w:r>
        <w:rPr>
          <w:rStyle w:val="CharSectno"/>
        </w:rPr>
        <w:t>39</w:t>
      </w:r>
      <w:r>
        <w:t>.</w:t>
      </w:r>
      <w:r>
        <w:tab/>
        <w:t>Commission may decide to take other action</w:t>
      </w:r>
      <w:bookmarkEnd w:id="174"/>
      <w:bookmarkEnd w:id="175"/>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No. 78 of 2003 s. 17.]</w:t>
      </w:r>
    </w:p>
    <w:p>
      <w:pPr>
        <w:pStyle w:val="Heading5"/>
        <w:spacing w:before="180"/>
      </w:pPr>
      <w:bookmarkStart w:id="176" w:name="_Toc192492895"/>
      <w:bookmarkStart w:id="177" w:name="_Toc185428908"/>
      <w:r>
        <w:rPr>
          <w:rStyle w:val="CharSectno"/>
        </w:rPr>
        <w:t>40</w:t>
      </w:r>
      <w:r>
        <w:t>.</w:t>
      </w:r>
      <w:r>
        <w:tab/>
        <w:t>Commission’s monitoring role of appropriate authorities</w:t>
      </w:r>
      <w:bookmarkEnd w:id="176"/>
      <w:bookmarkEnd w:id="177"/>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No. 78 of 2003 s. 17.]</w:t>
      </w:r>
    </w:p>
    <w:p>
      <w:pPr>
        <w:pStyle w:val="Heading5"/>
        <w:spacing w:before="160"/>
      </w:pPr>
      <w:bookmarkStart w:id="178" w:name="_Toc192492896"/>
      <w:bookmarkStart w:id="179" w:name="_Toc185428909"/>
      <w:r>
        <w:rPr>
          <w:rStyle w:val="CharSectno"/>
        </w:rPr>
        <w:t>41</w:t>
      </w:r>
      <w:r>
        <w:t>.</w:t>
      </w:r>
      <w:r>
        <w:tab/>
      </w:r>
      <w:r>
        <w:rPr>
          <w:bCs/>
        </w:rPr>
        <w:t xml:space="preserve">Commission may </w:t>
      </w:r>
      <w:r>
        <w:t>review how appropriate authority has dealt with serious misconduct</w:t>
      </w:r>
      <w:bookmarkEnd w:id="178"/>
      <w:bookmarkEnd w:id="179"/>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No. 78 of 2003 s. 17; amended: No. 35 of 2014 s. 31.]</w:t>
      </w:r>
    </w:p>
    <w:p>
      <w:pPr>
        <w:pStyle w:val="Heading5"/>
      </w:pPr>
      <w:bookmarkStart w:id="180" w:name="_Toc192492897"/>
      <w:bookmarkStart w:id="181" w:name="_Toc185428910"/>
      <w:r>
        <w:rPr>
          <w:rStyle w:val="CharSectno"/>
        </w:rPr>
        <w:t>42</w:t>
      </w:r>
      <w:r>
        <w:t>.</w:t>
      </w:r>
      <w:r>
        <w:tab/>
        <w:t>Commission may direct Public Sector Commissioner or appropriate authority not to take action</w:t>
      </w:r>
      <w:bookmarkEnd w:id="180"/>
      <w:bookmarkEnd w:id="181"/>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No. 78 of 2003 s. 17; amended: No. 35 of 2014 s. 20.]</w:t>
      </w:r>
    </w:p>
    <w:p>
      <w:pPr>
        <w:pStyle w:val="Heading3"/>
      </w:pPr>
      <w:bookmarkStart w:id="182" w:name="_Toc192238730"/>
      <w:bookmarkStart w:id="183" w:name="_Toc192239515"/>
      <w:bookmarkStart w:id="184" w:name="_Toc192239886"/>
      <w:bookmarkStart w:id="185" w:name="_Toc192492898"/>
      <w:bookmarkStart w:id="186" w:name="_Toc185428169"/>
      <w:bookmarkStart w:id="187" w:name="_Toc185428539"/>
      <w:bookmarkStart w:id="188" w:name="_Toc185428911"/>
      <w:r>
        <w:rPr>
          <w:rStyle w:val="CharDivNo"/>
        </w:rPr>
        <w:t>Division 5</w:t>
      </w:r>
      <w:r>
        <w:t> — </w:t>
      </w:r>
      <w:r>
        <w:rPr>
          <w:rStyle w:val="CharDivText"/>
        </w:rPr>
        <w:t>Recommendations</w:t>
      </w:r>
      <w:bookmarkEnd w:id="182"/>
      <w:bookmarkEnd w:id="183"/>
      <w:bookmarkEnd w:id="184"/>
      <w:bookmarkEnd w:id="185"/>
      <w:bookmarkEnd w:id="186"/>
      <w:bookmarkEnd w:id="187"/>
      <w:bookmarkEnd w:id="188"/>
    </w:p>
    <w:p>
      <w:pPr>
        <w:pStyle w:val="Footnoteheading"/>
        <w:tabs>
          <w:tab w:val="clear" w:pos="879"/>
          <w:tab w:val="left" w:pos="896"/>
        </w:tabs>
      </w:pPr>
      <w:r>
        <w:tab/>
        <w:t>[Heading inserted: No. 78 of 2003 s. 17.]</w:t>
      </w:r>
    </w:p>
    <w:p>
      <w:pPr>
        <w:pStyle w:val="Heading5"/>
      </w:pPr>
      <w:bookmarkStart w:id="189" w:name="_Toc192492899"/>
      <w:bookmarkStart w:id="190" w:name="_Toc185428912"/>
      <w:r>
        <w:rPr>
          <w:rStyle w:val="CharSectno"/>
        </w:rPr>
        <w:t>43</w:t>
      </w:r>
      <w:r>
        <w:t>.</w:t>
      </w:r>
      <w:r>
        <w:tab/>
        <w:t>Recommendations by Commission</w:t>
      </w:r>
      <w:bookmarkEnd w:id="189"/>
      <w:bookmarkEnd w:id="190"/>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No. 78 of 2003 s. 17; amended: No. 59 of 2004 s. 141; No. 84 of 2004 s. 78.]</w:t>
      </w:r>
    </w:p>
    <w:p>
      <w:pPr>
        <w:pStyle w:val="Heading5"/>
      </w:pPr>
      <w:bookmarkStart w:id="191" w:name="_Toc192492900"/>
      <w:bookmarkStart w:id="192" w:name="_Toc185428913"/>
      <w:r>
        <w:rPr>
          <w:rStyle w:val="CharSectno"/>
        </w:rPr>
        <w:t>44</w:t>
      </w:r>
      <w:r>
        <w:t>.</w:t>
      </w:r>
      <w:r>
        <w:tab/>
        <w:t>Other action for misconduct</w:t>
      </w:r>
      <w:bookmarkEnd w:id="191"/>
      <w:bookmarkEnd w:id="192"/>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No. 78 of 2003 s. 17.]</w:t>
      </w:r>
    </w:p>
    <w:p>
      <w:pPr>
        <w:pStyle w:val="Heading2"/>
      </w:pPr>
      <w:bookmarkStart w:id="193" w:name="_Toc192238733"/>
      <w:bookmarkStart w:id="194" w:name="_Toc192239518"/>
      <w:bookmarkStart w:id="195" w:name="_Toc192239889"/>
      <w:bookmarkStart w:id="196" w:name="_Toc192492901"/>
      <w:bookmarkStart w:id="197" w:name="_Toc185428172"/>
      <w:bookmarkStart w:id="198" w:name="_Toc185428542"/>
      <w:bookmarkStart w:id="199" w:name="_Toc185428914"/>
      <w:r>
        <w:rPr>
          <w:rStyle w:val="CharPartNo"/>
        </w:rPr>
        <w:t>Part 4A</w:t>
      </w:r>
      <w:r>
        <w:t> — </w:t>
      </w:r>
      <w:r>
        <w:rPr>
          <w:rStyle w:val="CharPartText"/>
        </w:rPr>
        <w:t>Misconduct: role of Public Sector Commissioner</w:t>
      </w:r>
      <w:bookmarkEnd w:id="193"/>
      <w:bookmarkEnd w:id="194"/>
      <w:bookmarkEnd w:id="195"/>
      <w:bookmarkEnd w:id="196"/>
      <w:bookmarkEnd w:id="197"/>
      <w:bookmarkEnd w:id="198"/>
      <w:bookmarkEnd w:id="199"/>
    </w:p>
    <w:p>
      <w:pPr>
        <w:pStyle w:val="Footnoteheading"/>
        <w:tabs>
          <w:tab w:val="clear" w:pos="879"/>
          <w:tab w:val="left" w:pos="896"/>
        </w:tabs>
      </w:pPr>
      <w:r>
        <w:tab/>
        <w:t>[Heading inserted: No. 35 of 2014 s. 21.]</w:t>
      </w:r>
    </w:p>
    <w:p>
      <w:pPr>
        <w:pStyle w:val="Heading3"/>
      </w:pPr>
      <w:bookmarkStart w:id="200" w:name="_Toc192238734"/>
      <w:bookmarkStart w:id="201" w:name="_Toc192239519"/>
      <w:bookmarkStart w:id="202" w:name="_Toc192239890"/>
      <w:bookmarkStart w:id="203" w:name="_Toc192492902"/>
      <w:bookmarkStart w:id="204" w:name="_Toc185428173"/>
      <w:bookmarkStart w:id="205" w:name="_Toc185428543"/>
      <w:bookmarkStart w:id="206" w:name="_Toc185428915"/>
      <w:r>
        <w:rPr>
          <w:rStyle w:val="CharDivNo"/>
        </w:rPr>
        <w:t>Division 1</w:t>
      </w:r>
      <w:r>
        <w:t> — </w:t>
      </w:r>
      <w:r>
        <w:rPr>
          <w:rStyle w:val="CharDivText"/>
        </w:rPr>
        <w:t>Functions in relation to misconduct</w:t>
      </w:r>
      <w:bookmarkEnd w:id="200"/>
      <w:bookmarkEnd w:id="201"/>
      <w:bookmarkEnd w:id="202"/>
      <w:bookmarkEnd w:id="203"/>
      <w:bookmarkEnd w:id="204"/>
      <w:bookmarkEnd w:id="205"/>
      <w:bookmarkEnd w:id="206"/>
    </w:p>
    <w:p>
      <w:pPr>
        <w:pStyle w:val="Footnoteheading"/>
        <w:tabs>
          <w:tab w:val="clear" w:pos="879"/>
          <w:tab w:val="left" w:pos="896"/>
        </w:tabs>
      </w:pPr>
      <w:r>
        <w:tab/>
        <w:t>[Heading inserted: No. 35 of 2014 s. 21.]</w:t>
      </w:r>
    </w:p>
    <w:p>
      <w:pPr>
        <w:pStyle w:val="Heading5"/>
        <w:spacing w:before="240"/>
      </w:pPr>
      <w:bookmarkStart w:id="207" w:name="_Toc192492903"/>
      <w:bookmarkStart w:id="208" w:name="_Toc185428916"/>
      <w:r>
        <w:rPr>
          <w:rStyle w:val="CharSectno"/>
        </w:rPr>
        <w:t>45A</w:t>
      </w:r>
      <w:r>
        <w:t>.</w:t>
      </w:r>
      <w:r>
        <w:tab/>
        <w:t>Prevention and education function</w:t>
      </w:r>
      <w:bookmarkEnd w:id="207"/>
      <w:bookmarkEnd w:id="208"/>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No. 35 of 2014 s. 21.]</w:t>
      </w:r>
    </w:p>
    <w:p>
      <w:pPr>
        <w:pStyle w:val="Heading5"/>
        <w:spacing w:before="240"/>
      </w:pPr>
      <w:bookmarkStart w:id="209" w:name="_Toc192492904"/>
      <w:bookmarkStart w:id="210" w:name="_Toc185428917"/>
      <w:r>
        <w:rPr>
          <w:rStyle w:val="CharSectno"/>
        </w:rPr>
        <w:t>45B</w:t>
      </w:r>
      <w:r>
        <w:t>.</w:t>
      </w:r>
      <w:r>
        <w:tab/>
        <w:t>Minor misconduct function</w:t>
      </w:r>
      <w:bookmarkEnd w:id="209"/>
      <w:bookmarkEnd w:id="210"/>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No. 35 of 2014 s. 21.]</w:t>
      </w:r>
    </w:p>
    <w:p>
      <w:pPr>
        <w:pStyle w:val="Heading3"/>
      </w:pPr>
      <w:bookmarkStart w:id="211" w:name="_Toc192238737"/>
      <w:bookmarkStart w:id="212" w:name="_Toc192239522"/>
      <w:bookmarkStart w:id="213" w:name="_Toc192239893"/>
      <w:bookmarkStart w:id="214" w:name="_Toc192492905"/>
      <w:bookmarkStart w:id="215" w:name="_Toc185428176"/>
      <w:bookmarkStart w:id="216" w:name="_Toc185428546"/>
      <w:bookmarkStart w:id="217" w:name="_Toc185428918"/>
      <w:r>
        <w:rPr>
          <w:rStyle w:val="CharDivNo"/>
        </w:rPr>
        <w:t>Division 2</w:t>
      </w:r>
      <w:r>
        <w:t> — </w:t>
      </w:r>
      <w:r>
        <w:rPr>
          <w:rStyle w:val="CharDivText"/>
        </w:rPr>
        <w:t>Minor misconduct</w:t>
      </w:r>
      <w:bookmarkEnd w:id="211"/>
      <w:bookmarkEnd w:id="212"/>
      <w:bookmarkEnd w:id="213"/>
      <w:bookmarkEnd w:id="214"/>
      <w:bookmarkEnd w:id="215"/>
      <w:bookmarkEnd w:id="216"/>
      <w:bookmarkEnd w:id="217"/>
    </w:p>
    <w:p>
      <w:pPr>
        <w:pStyle w:val="Footnoteheading"/>
        <w:tabs>
          <w:tab w:val="clear" w:pos="879"/>
          <w:tab w:val="left" w:pos="896"/>
        </w:tabs>
      </w:pPr>
      <w:r>
        <w:tab/>
        <w:t>[Heading inserted: No. 35 of 2014 s. 21.]</w:t>
      </w:r>
    </w:p>
    <w:p>
      <w:pPr>
        <w:pStyle w:val="Heading4"/>
      </w:pPr>
      <w:bookmarkStart w:id="218" w:name="_Toc192238738"/>
      <w:bookmarkStart w:id="219" w:name="_Toc192239523"/>
      <w:bookmarkStart w:id="220" w:name="_Toc192239894"/>
      <w:bookmarkStart w:id="221" w:name="_Toc192492906"/>
      <w:bookmarkStart w:id="222" w:name="_Toc185428177"/>
      <w:bookmarkStart w:id="223" w:name="_Toc185428547"/>
      <w:bookmarkStart w:id="224" w:name="_Toc185428919"/>
      <w:r>
        <w:t>Subdivision 1 — Assessments and opinions</w:t>
      </w:r>
      <w:bookmarkEnd w:id="218"/>
      <w:bookmarkEnd w:id="219"/>
      <w:bookmarkEnd w:id="220"/>
      <w:bookmarkEnd w:id="221"/>
      <w:bookmarkEnd w:id="222"/>
      <w:bookmarkEnd w:id="223"/>
      <w:bookmarkEnd w:id="224"/>
    </w:p>
    <w:p>
      <w:pPr>
        <w:pStyle w:val="Footnoteheading"/>
        <w:tabs>
          <w:tab w:val="clear" w:pos="879"/>
          <w:tab w:val="left" w:pos="896"/>
        </w:tabs>
      </w:pPr>
      <w:r>
        <w:tab/>
        <w:t>[Heading inserted: No. 35 of 2014 s. 21.]</w:t>
      </w:r>
    </w:p>
    <w:p>
      <w:pPr>
        <w:pStyle w:val="Heading5"/>
      </w:pPr>
      <w:bookmarkStart w:id="225" w:name="_Toc192492907"/>
      <w:bookmarkStart w:id="226" w:name="_Toc185428920"/>
      <w:r>
        <w:rPr>
          <w:rStyle w:val="CharSectno"/>
        </w:rPr>
        <w:t>45C</w:t>
      </w:r>
      <w:r>
        <w:t>.</w:t>
      </w:r>
      <w:r>
        <w:tab/>
        <w:t>Assessments and opinions as to occurrence of minor misconduct</w:t>
      </w:r>
      <w:bookmarkEnd w:id="225"/>
      <w:bookmarkEnd w:id="226"/>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keepNext/>
      </w:pPr>
      <w:r>
        <w:tab/>
        <w:t>(c)</w:t>
      </w:r>
      <w:r>
        <w:tab/>
        <w:t>a reference to an employee were a reference to a public officer.</w:t>
      </w:r>
    </w:p>
    <w:p>
      <w:pPr>
        <w:pStyle w:val="Footnotesection"/>
        <w:ind w:left="890" w:hanging="890"/>
      </w:pPr>
      <w:r>
        <w:tab/>
        <w:t>[Section 45C inserted: No. 35 of 2014 s. 21.]</w:t>
      </w:r>
    </w:p>
    <w:p>
      <w:pPr>
        <w:pStyle w:val="Heading4"/>
        <w:keepLines/>
      </w:pPr>
      <w:bookmarkStart w:id="227" w:name="_Toc192238740"/>
      <w:bookmarkStart w:id="228" w:name="_Toc192239525"/>
      <w:bookmarkStart w:id="229" w:name="_Toc192239896"/>
      <w:bookmarkStart w:id="230" w:name="_Toc192492908"/>
      <w:bookmarkStart w:id="231" w:name="_Toc185428179"/>
      <w:bookmarkStart w:id="232" w:name="_Toc185428549"/>
      <w:bookmarkStart w:id="233" w:name="_Toc185428921"/>
      <w:r>
        <w:t>Subdivision 2 — Allegations</w:t>
      </w:r>
      <w:bookmarkEnd w:id="227"/>
      <w:bookmarkEnd w:id="228"/>
      <w:bookmarkEnd w:id="229"/>
      <w:bookmarkEnd w:id="230"/>
      <w:bookmarkEnd w:id="231"/>
      <w:bookmarkEnd w:id="232"/>
      <w:bookmarkEnd w:id="233"/>
    </w:p>
    <w:p>
      <w:pPr>
        <w:pStyle w:val="Footnoteheading"/>
        <w:keepNext/>
        <w:keepLines/>
        <w:tabs>
          <w:tab w:val="clear" w:pos="879"/>
          <w:tab w:val="left" w:pos="896"/>
        </w:tabs>
      </w:pPr>
      <w:r>
        <w:tab/>
        <w:t>[Heading inserted: No. 35 of 2014 s. 21.]</w:t>
      </w:r>
    </w:p>
    <w:p>
      <w:pPr>
        <w:pStyle w:val="Heading5"/>
      </w:pPr>
      <w:bookmarkStart w:id="234" w:name="_Toc192492909"/>
      <w:bookmarkStart w:id="235" w:name="_Toc185428922"/>
      <w:r>
        <w:rPr>
          <w:rStyle w:val="CharSectno"/>
        </w:rPr>
        <w:t>45D</w:t>
      </w:r>
      <w:r>
        <w:t>.</w:t>
      </w:r>
      <w:r>
        <w:tab/>
        <w:t>Allegations of minor misconduct</w:t>
      </w:r>
      <w:bookmarkEnd w:id="234"/>
      <w:bookmarkEnd w:id="235"/>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No. 35 of 2014 s. 21.]</w:t>
      </w:r>
    </w:p>
    <w:p>
      <w:pPr>
        <w:pStyle w:val="Heading5"/>
      </w:pPr>
      <w:bookmarkStart w:id="236" w:name="_Toc192492910"/>
      <w:bookmarkStart w:id="237" w:name="_Toc185428923"/>
      <w:r>
        <w:rPr>
          <w:rStyle w:val="CharSectno"/>
        </w:rPr>
        <w:t>45E</w:t>
      </w:r>
      <w:r>
        <w:t>.</w:t>
      </w:r>
      <w:r>
        <w:tab/>
        <w:t>Any person may report minor misconduct</w:t>
      </w:r>
      <w:bookmarkEnd w:id="236"/>
      <w:bookmarkEnd w:id="237"/>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No. 35 of 2014 s. 21.]</w:t>
      </w:r>
    </w:p>
    <w:p>
      <w:pPr>
        <w:pStyle w:val="Heading5"/>
        <w:keepLines w:val="0"/>
      </w:pPr>
      <w:bookmarkStart w:id="238" w:name="_Toc192492911"/>
      <w:bookmarkStart w:id="239" w:name="_Toc185428924"/>
      <w:r>
        <w:rPr>
          <w:rStyle w:val="CharSectno"/>
        </w:rPr>
        <w:t>45F</w:t>
      </w:r>
      <w:r>
        <w:t>.</w:t>
      </w:r>
      <w:r>
        <w:tab/>
        <w:t>Public Sector Commissioner may make proposition about minor misconduct</w:t>
      </w:r>
      <w:bookmarkEnd w:id="238"/>
      <w:bookmarkEnd w:id="239"/>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No. 35 of 2014 s. 21.]</w:t>
      </w:r>
    </w:p>
    <w:p>
      <w:pPr>
        <w:pStyle w:val="Heading5"/>
      </w:pPr>
      <w:bookmarkStart w:id="240" w:name="_Toc192492912"/>
      <w:bookmarkStart w:id="241" w:name="_Toc185428925"/>
      <w:r>
        <w:rPr>
          <w:rStyle w:val="CharSectno"/>
        </w:rPr>
        <w:t>45G</w:t>
      </w:r>
      <w:r>
        <w:t>.</w:t>
      </w:r>
      <w:r>
        <w:tab/>
        <w:t>Allegation about Commission, Public Sector Commissioner, Parliamentary Inspector or judicial officer not to be received or initiated</w:t>
      </w:r>
      <w:bookmarkEnd w:id="240"/>
      <w:bookmarkEnd w:id="241"/>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w:t>
      </w:r>
    </w:p>
    <w:p>
      <w:pPr>
        <w:pStyle w:val="Indenta"/>
      </w:pPr>
      <w:r>
        <w:tab/>
        <w:t>(aa)</w:t>
      </w:r>
      <w:r>
        <w:tab/>
        <w:t>a person acting in the office of Commissioner under section 13A or 14;</w:t>
      </w:r>
    </w:p>
    <w:p>
      <w:pPr>
        <w:pStyle w:val="Indenta"/>
      </w:pPr>
      <w:r>
        <w:tab/>
        <w:t>(ab)</w:t>
      </w:r>
      <w:r>
        <w:tab/>
        <w:t>the Deputy Commissioner;</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keepNext/>
      </w:pPr>
      <w:r>
        <w:tab/>
        <w:t>(f)</w:t>
      </w:r>
      <w:r>
        <w:tab/>
        <w:t xml:space="preserve">the holder of a judicial office as defined in </w:t>
      </w:r>
      <w:r>
        <w:rPr>
          <w:i/>
        </w:rPr>
        <w:t>The Criminal Code</w:t>
      </w:r>
      <w:r>
        <w:t xml:space="preserve"> section 121.</w:t>
      </w:r>
    </w:p>
    <w:p>
      <w:pPr>
        <w:pStyle w:val="Footnotesection"/>
      </w:pPr>
      <w:r>
        <w:tab/>
        <w:t>[Section 45G inserted: No. 35 of 2014 s. 21; amended: No. 5 of 2024 s. 15.]</w:t>
      </w:r>
    </w:p>
    <w:p>
      <w:pPr>
        <w:pStyle w:val="Heading4"/>
        <w:keepLines/>
      </w:pPr>
      <w:bookmarkStart w:id="242" w:name="_Toc192238745"/>
      <w:bookmarkStart w:id="243" w:name="_Toc192239530"/>
      <w:bookmarkStart w:id="244" w:name="_Toc192239901"/>
      <w:bookmarkStart w:id="245" w:name="_Toc192492913"/>
      <w:bookmarkStart w:id="246" w:name="_Toc185428184"/>
      <w:bookmarkStart w:id="247" w:name="_Toc185428554"/>
      <w:bookmarkStart w:id="248" w:name="_Toc185428926"/>
      <w:r>
        <w:t>Subdivision 3 — Duty to notify</w:t>
      </w:r>
      <w:bookmarkEnd w:id="242"/>
      <w:bookmarkEnd w:id="243"/>
      <w:bookmarkEnd w:id="244"/>
      <w:bookmarkEnd w:id="245"/>
      <w:bookmarkEnd w:id="246"/>
      <w:bookmarkEnd w:id="247"/>
      <w:bookmarkEnd w:id="248"/>
    </w:p>
    <w:p>
      <w:pPr>
        <w:pStyle w:val="Footnoteheading"/>
        <w:keepNext/>
        <w:keepLines/>
        <w:tabs>
          <w:tab w:val="clear" w:pos="879"/>
          <w:tab w:val="left" w:pos="896"/>
        </w:tabs>
      </w:pPr>
      <w:r>
        <w:tab/>
        <w:t>[Heading inserted: No. 35 of 2014 s. 21.]</w:t>
      </w:r>
    </w:p>
    <w:p>
      <w:pPr>
        <w:pStyle w:val="Heading5"/>
      </w:pPr>
      <w:bookmarkStart w:id="249" w:name="_Toc192492914"/>
      <w:bookmarkStart w:id="250" w:name="_Toc185428927"/>
      <w:r>
        <w:rPr>
          <w:rStyle w:val="CharSectno"/>
        </w:rPr>
        <w:t>45H</w:t>
      </w:r>
      <w:r>
        <w:t>.</w:t>
      </w:r>
      <w:r>
        <w:tab/>
        <w:t>Certain officers obliged to notify minor misconduct</w:t>
      </w:r>
      <w:bookmarkEnd w:id="249"/>
      <w:bookmarkEnd w:id="250"/>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a person acting in the office of Commissioner under section 13A or 14, the Deputy Commissioner,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No. 35 of 2014 s. 21; amended: No. 5 of 2024 s. 16.]</w:t>
      </w:r>
    </w:p>
    <w:p>
      <w:pPr>
        <w:pStyle w:val="Heading5"/>
        <w:spacing w:before="180"/>
      </w:pPr>
      <w:bookmarkStart w:id="251" w:name="_Toc192492915"/>
      <w:bookmarkStart w:id="252" w:name="_Toc185428928"/>
      <w:r>
        <w:rPr>
          <w:rStyle w:val="CharSectno"/>
        </w:rPr>
        <w:t>45I</w:t>
      </w:r>
      <w:r>
        <w:t>.</w:t>
      </w:r>
      <w:r>
        <w:tab/>
        <w:t>Duty to notify under s. 45H is paramount</w:t>
      </w:r>
      <w:bookmarkEnd w:id="251"/>
      <w:bookmarkEnd w:id="252"/>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No. 35 of 2014 s. 21.]</w:t>
      </w:r>
    </w:p>
    <w:p>
      <w:pPr>
        <w:pStyle w:val="Heading5"/>
      </w:pPr>
      <w:bookmarkStart w:id="253" w:name="_Toc192492916"/>
      <w:bookmarkStart w:id="254" w:name="_Toc185428929"/>
      <w:r>
        <w:rPr>
          <w:rStyle w:val="CharSectno"/>
        </w:rPr>
        <w:t>45J</w:t>
      </w:r>
      <w:r>
        <w:t>.</w:t>
      </w:r>
      <w:r>
        <w:tab/>
        <w:t>Public Sector Commissioner may issue guidelines about notifications</w:t>
      </w:r>
      <w:bookmarkEnd w:id="253"/>
      <w:bookmarkEnd w:id="254"/>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No. 35 of 2014 s. 21.]</w:t>
      </w:r>
    </w:p>
    <w:p>
      <w:pPr>
        <w:pStyle w:val="Heading5"/>
        <w:spacing w:before="240"/>
      </w:pPr>
      <w:bookmarkStart w:id="255" w:name="_Toc192492917"/>
      <w:bookmarkStart w:id="256" w:name="_Toc185428930"/>
      <w:r>
        <w:rPr>
          <w:rStyle w:val="CharSectno"/>
        </w:rPr>
        <w:t>45K</w:t>
      </w:r>
      <w:r>
        <w:t>.</w:t>
      </w:r>
      <w:r>
        <w:tab/>
        <w:t>Public Sector Commissioner may report breach of duty to report or notify</w:t>
      </w:r>
      <w:bookmarkEnd w:id="255"/>
      <w:bookmarkEnd w:id="256"/>
    </w:p>
    <w:p>
      <w:pPr>
        <w:pStyle w:val="Subsection"/>
        <w:keepNext/>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No. 35 of 2014 s. 21.]</w:t>
      </w:r>
    </w:p>
    <w:p>
      <w:pPr>
        <w:pStyle w:val="Heading4"/>
      </w:pPr>
      <w:bookmarkStart w:id="257" w:name="_Toc192238750"/>
      <w:bookmarkStart w:id="258" w:name="_Toc192239535"/>
      <w:bookmarkStart w:id="259" w:name="_Toc192239906"/>
      <w:bookmarkStart w:id="260" w:name="_Toc192492918"/>
      <w:bookmarkStart w:id="261" w:name="_Toc185428189"/>
      <w:bookmarkStart w:id="262" w:name="_Toc185428559"/>
      <w:bookmarkStart w:id="263" w:name="_Toc185428931"/>
      <w:r>
        <w:t>Subdivision 4 — Assessments, opinions and investigations</w:t>
      </w:r>
      <w:bookmarkEnd w:id="257"/>
      <w:bookmarkEnd w:id="258"/>
      <w:bookmarkEnd w:id="259"/>
      <w:bookmarkEnd w:id="260"/>
      <w:bookmarkEnd w:id="261"/>
      <w:bookmarkEnd w:id="262"/>
      <w:bookmarkEnd w:id="263"/>
    </w:p>
    <w:p>
      <w:pPr>
        <w:pStyle w:val="Footnoteheading"/>
        <w:tabs>
          <w:tab w:val="clear" w:pos="879"/>
          <w:tab w:val="left" w:pos="896"/>
        </w:tabs>
      </w:pPr>
      <w:r>
        <w:tab/>
        <w:t>[Heading inserted: No. 35 of 2014 s. 21.]</w:t>
      </w:r>
    </w:p>
    <w:p>
      <w:pPr>
        <w:pStyle w:val="Heading5"/>
      </w:pPr>
      <w:bookmarkStart w:id="264" w:name="_Toc192492919"/>
      <w:bookmarkStart w:id="265" w:name="_Toc185428932"/>
      <w:r>
        <w:rPr>
          <w:rStyle w:val="CharSectno"/>
        </w:rPr>
        <w:t>45L</w:t>
      </w:r>
      <w:r>
        <w:t>.</w:t>
      </w:r>
      <w:r>
        <w:tab/>
        <w:t>Dealing with allegations</w:t>
      </w:r>
      <w:bookmarkEnd w:id="264"/>
      <w:bookmarkEnd w:id="265"/>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No. 35 of 2014 s. 21.]</w:t>
      </w:r>
    </w:p>
    <w:p>
      <w:pPr>
        <w:pStyle w:val="Heading5"/>
      </w:pPr>
      <w:bookmarkStart w:id="266" w:name="_Toc192492920"/>
      <w:bookmarkStart w:id="267" w:name="_Toc185428933"/>
      <w:r>
        <w:rPr>
          <w:rStyle w:val="CharSectno"/>
        </w:rPr>
        <w:t>45M</w:t>
      </w:r>
      <w:r>
        <w:t>.</w:t>
      </w:r>
      <w:r>
        <w:tab/>
        <w:t>Decision on further action on allegation</w:t>
      </w:r>
      <w:bookmarkEnd w:id="266"/>
      <w:bookmarkEnd w:id="267"/>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No. 35 of 2014 s. 21.]</w:t>
      </w:r>
    </w:p>
    <w:p>
      <w:pPr>
        <w:pStyle w:val="Heading5"/>
      </w:pPr>
      <w:bookmarkStart w:id="268" w:name="_Toc192492921"/>
      <w:bookmarkStart w:id="269" w:name="_Toc185428934"/>
      <w:r>
        <w:rPr>
          <w:rStyle w:val="CharSectno"/>
        </w:rPr>
        <w:t>45N</w:t>
      </w:r>
      <w:r>
        <w:t>.</w:t>
      </w:r>
      <w:r>
        <w:tab/>
        <w:t>Matters to be considered in deciding who should take action</w:t>
      </w:r>
      <w:bookmarkEnd w:id="268"/>
      <w:bookmarkEnd w:id="269"/>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No. 35 of 2014 s. 21.]</w:t>
      </w:r>
    </w:p>
    <w:p>
      <w:pPr>
        <w:pStyle w:val="Heading5"/>
      </w:pPr>
      <w:bookmarkStart w:id="270" w:name="_Toc192492922"/>
      <w:bookmarkStart w:id="271" w:name="_Toc185428935"/>
      <w:r>
        <w:rPr>
          <w:rStyle w:val="CharSectno"/>
        </w:rPr>
        <w:t>45O</w:t>
      </w:r>
      <w:r>
        <w:t>.</w:t>
      </w:r>
      <w:r>
        <w:tab/>
        <w:t>Informant to be notified of decision not to take action</w:t>
      </w:r>
      <w:bookmarkEnd w:id="270"/>
      <w:bookmarkEnd w:id="271"/>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No. 35 of 2014 s. 21.]</w:t>
      </w:r>
    </w:p>
    <w:p>
      <w:pPr>
        <w:pStyle w:val="Heading5"/>
        <w:spacing w:before="180"/>
      </w:pPr>
      <w:bookmarkStart w:id="272" w:name="_Toc192492923"/>
      <w:bookmarkStart w:id="273" w:name="_Toc185428936"/>
      <w:r>
        <w:rPr>
          <w:rStyle w:val="CharSectno"/>
        </w:rPr>
        <w:t>45P</w:t>
      </w:r>
      <w:r>
        <w:t>.</w:t>
      </w:r>
      <w:r>
        <w:tab/>
        <w:t>Person to whom allegation relates can be advised of outcome of inquiry</w:t>
      </w:r>
      <w:bookmarkEnd w:id="272"/>
      <w:bookmarkEnd w:id="273"/>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No. 35 of 2014 s. 21.]</w:t>
      </w:r>
    </w:p>
    <w:p>
      <w:pPr>
        <w:pStyle w:val="Heading5"/>
        <w:keepNext w:val="0"/>
        <w:keepLines w:val="0"/>
      </w:pPr>
      <w:bookmarkStart w:id="274" w:name="_Toc192492924"/>
      <w:bookmarkStart w:id="275" w:name="_Toc185428937"/>
      <w:r>
        <w:rPr>
          <w:rStyle w:val="CharSectno"/>
        </w:rPr>
        <w:t>45Q</w:t>
      </w:r>
      <w:r>
        <w:t>.</w:t>
      </w:r>
      <w:r>
        <w:tab/>
        <w:t>Action by Public Sector Commissioner: special inquiry or investigation</w:t>
      </w:r>
      <w:bookmarkEnd w:id="274"/>
      <w:bookmarkEnd w:id="275"/>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No. 35 of 2014 s. 21.]</w:t>
      </w:r>
    </w:p>
    <w:p>
      <w:pPr>
        <w:pStyle w:val="Heading5"/>
        <w:spacing w:before="180"/>
      </w:pPr>
      <w:bookmarkStart w:id="276" w:name="_Toc192492925"/>
      <w:bookmarkStart w:id="277" w:name="_Toc185428938"/>
      <w:r>
        <w:rPr>
          <w:rStyle w:val="CharSectno"/>
        </w:rPr>
        <w:t>45R</w:t>
      </w:r>
      <w:r>
        <w:t>.</w:t>
      </w:r>
      <w:r>
        <w:tab/>
        <w:t>Referring allegation to independent agency or appropriate authority under s. 45M(c)</w:t>
      </w:r>
      <w:bookmarkEnd w:id="276"/>
      <w:bookmarkEnd w:id="277"/>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No. 35 of 2014 s. 21.]</w:t>
      </w:r>
    </w:p>
    <w:p>
      <w:pPr>
        <w:pStyle w:val="Heading5"/>
      </w:pPr>
      <w:bookmarkStart w:id="278" w:name="_Toc192492926"/>
      <w:bookmarkStart w:id="279" w:name="_Toc185428939"/>
      <w:r>
        <w:rPr>
          <w:rStyle w:val="CharSectno"/>
        </w:rPr>
        <w:t>45S</w:t>
      </w:r>
      <w:r>
        <w:t>.</w:t>
      </w:r>
      <w:r>
        <w:tab/>
        <w:t>Referring allegations to Parliamentary Commissioner or Auditor General under s. 45M(c)</w:t>
      </w:r>
      <w:bookmarkEnd w:id="278"/>
      <w:bookmarkEnd w:id="279"/>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No. 35 of 2014 s. 21.]</w:t>
      </w:r>
    </w:p>
    <w:p>
      <w:pPr>
        <w:pStyle w:val="Heading5"/>
      </w:pPr>
      <w:bookmarkStart w:id="280" w:name="_Toc192492927"/>
      <w:bookmarkStart w:id="281" w:name="_Toc185428940"/>
      <w:r>
        <w:rPr>
          <w:rStyle w:val="CharSectno"/>
        </w:rPr>
        <w:t>45T</w:t>
      </w:r>
      <w:r>
        <w:t>.</w:t>
      </w:r>
      <w:r>
        <w:tab/>
        <w:t>Referring allegations to Corruption and Crime Commission under s. 45M(d)</w:t>
      </w:r>
      <w:bookmarkEnd w:id="280"/>
      <w:bookmarkEnd w:id="281"/>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No. 35 of 2014 s. 21.]</w:t>
      </w:r>
    </w:p>
    <w:p>
      <w:pPr>
        <w:pStyle w:val="Heading5"/>
      </w:pPr>
      <w:bookmarkStart w:id="282" w:name="_Toc192492928"/>
      <w:bookmarkStart w:id="283" w:name="_Toc185428941"/>
      <w:r>
        <w:rPr>
          <w:rStyle w:val="CharSectno"/>
        </w:rPr>
        <w:t>45U</w:t>
      </w:r>
      <w:r>
        <w:t>.</w:t>
      </w:r>
      <w:r>
        <w:tab/>
        <w:t>Public Sector Commissioner may decide to take other action</w:t>
      </w:r>
      <w:bookmarkEnd w:id="282"/>
      <w:bookmarkEnd w:id="283"/>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No. 35 of 2014 s. 21.]</w:t>
      </w:r>
    </w:p>
    <w:p>
      <w:pPr>
        <w:pStyle w:val="Heading5"/>
      </w:pPr>
      <w:bookmarkStart w:id="284" w:name="_Toc192492929"/>
      <w:bookmarkStart w:id="285" w:name="_Toc185428942"/>
      <w:r>
        <w:rPr>
          <w:rStyle w:val="CharSectno"/>
        </w:rPr>
        <w:t>45V</w:t>
      </w:r>
      <w:r>
        <w:t>.</w:t>
      </w:r>
      <w:r>
        <w:tab/>
        <w:t>Monitoring of appropriate authorities</w:t>
      </w:r>
      <w:bookmarkEnd w:id="284"/>
      <w:bookmarkEnd w:id="285"/>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No. 35 of 2014 s. 21.]</w:t>
      </w:r>
    </w:p>
    <w:p>
      <w:pPr>
        <w:pStyle w:val="Heading5"/>
        <w:spacing w:before="180"/>
      </w:pPr>
      <w:bookmarkStart w:id="286" w:name="_Toc192492930"/>
      <w:bookmarkStart w:id="287" w:name="_Toc185428943"/>
      <w:r>
        <w:rPr>
          <w:rStyle w:val="CharSectno"/>
        </w:rPr>
        <w:t>45W</w:t>
      </w:r>
      <w:r>
        <w:t>.</w:t>
      </w:r>
      <w:r>
        <w:tab/>
        <w:t>Review of appropriate authority’s handling of minor misconduct</w:t>
      </w:r>
      <w:bookmarkEnd w:id="286"/>
      <w:bookmarkEnd w:id="287"/>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No. 35 of 2014 s. 21.]</w:t>
      </w:r>
    </w:p>
    <w:p>
      <w:pPr>
        <w:pStyle w:val="Heading4"/>
        <w:spacing w:before="200"/>
      </w:pPr>
      <w:bookmarkStart w:id="288" w:name="_Toc192238763"/>
      <w:bookmarkStart w:id="289" w:name="_Toc192239548"/>
      <w:bookmarkStart w:id="290" w:name="_Toc192239919"/>
      <w:bookmarkStart w:id="291" w:name="_Toc192492931"/>
      <w:bookmarkStart w:id="292" w:name="_Toc185428202"/>
      <w:bookmarkStart w:id="293" w:name="_Toc185428572"/>
      <w:bookmarkStart w:id="294" w:name="_Toc185428944"/>
      <w:r>
        <w:t>Subdivision 5 — Recommendations</w:t>
      </w:r>
      <w:bookmarkEnd w:id="288"/>
      <w:bookmarkEnd w:id="289"/>
      <w:bookmarkEnd w:id="290"/>
      <w:bookmarkEnd w:id="291"/>
      <w:bookmarkEnd w:id="292"/>
      <w:bookmarkEnd w:id="293"/>
      <w:bookmarkEnd w:id="294"/>
    </w:p>
    <w:p>
      <w:pPr>
        <w:pStyle w:val="Footnoteheading"/>
        <w:tabs>
          <w:tab w:val="clear" w:pos="879"/>
          <w:tab w:val="left" w:pos="896"/>
        </w:tabs>
      </w:pPr>
      <w:r>
        <w:tab/>
        <w:t>[Heading inserted: No. 35 of 2014 s. 21.]</w:t>
      </w:r>
    </w:p>
    <w:p>
      <w:pPr>
        <w:pStyle w:val="Heading5"/>
        <w:spacing w:before="180"/>
      </w:pPr>
      <w:bookmarkStart w:id="295" w:name="_Toc192492932"/>
      <w:bookmarkStart w:id="296" w:name="_Toc185428945"/>
      <w:r>
        <w:rPr>
          <w:rStyle w:val="CharSectno"/>
        </w:rPr>
        <w:t>45X</w:t>
      </w:r>
      <w:r>
        <w:t>.</w:t>
      </w:r>
      <w:r>
        <w:tab/>
        <w:t>Recommendations by Public Sector Commissioner</w:t>
      </w:r>
      <w:bookmarkEnd w:id="295"/>
      <w:bookmarkEnd w:id="296"/>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Public Sector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No. 35 of 2014 s. 21; amended: No. 5 of 2024 s. 17.]</w:t>
      </w:r>
    </w:p>
    <w:p>
      <w:pPr>
        <w:pStyle w:val="Heading5"/>
      </w:pPr>
      <w:bookmarkStart w:id="297" w:name="_Toc192492933"/>
      <w:bookmarkStart w:id="298" w:name="_Toc185428946"/>
      <w:r>
        <w:rPr>
          <w:rStyle w:val="CharSectno"/>
        </w:rPr>
        <w:t>45Y</w:t>
      </w:r>
      <w:r>
        <w:t>.</w:t>
      </w:r>
      <w:r>
        <w:tab/>
        <w:t>Other action for minor misconduct not affected</w:t>
      </w:r>
      <w:bookmarkEnd w:id="297"/>
      <w:bookmarkEnd w:id="298"/>
    </w:p>
    <w:p>
      <w:pPr>
        <w:pStyle w:val="Subsection"/>
      </w:pPr>
      <w:r>
        <w:tab/>
      </w:r>
      <w:r>
        <w:tab/>
        <w:t>This Part does not limit the action that may lawfully be taken to discipline or otherwise deal with a person for minor misconduct.</w:t>
      </w:r>
    </w:p>
    <w:p>
      <w:pPr>
        <w:pStyle w:val="Footnotesection"/>
      </w:pPr>
      <w:r>
        <w:tab/>
        <w:t>[Section 45Y inserted: No. 35 of 2014 s. 21.]</w:t>
      </w:r>
    </w:p>
    <w:p>
      <w:pPr>
        <w:pStyle w:val="Heading3"/>
      </w:pPr>
      <w:bookmarkStart w:id="299" w:name="_Toc192238766"/>
      <w:bookmarkStart w:id="300" w:name="_Toc192239551"/>
      <w:bookmarkStart w:id="301" w:name="_Toc192239922"/>
      <w:bookmarkStart w:id="302" w:name="_Toc192492934"/>
      <w:bookmarkStart w:id="303" w:name="_Toc185428205"/>
      <w:bookmarkStart w:id="304" w:name="_Toc185428575"/>
      <w:bookmarkStart w:id="305" w:name="_Toc185428947"/>
      <w:r>
        <w:rPr>
          <w:rStyle w:val="CharDivNo"/>
        </w:rPr>
        <w:t>Division 3</w:t>
      </w:r>
      <w:r>
        <w:t> — </w:t>
      </w:r>
      <w:r>
        <w:rPr>
          <w:rStyle w:val="CharDivText"/>
        </w:rPr>
        <w:t>Reporting</w:t>
      </w:r>
      <w:bookmarkEnd w:id="299"/>
      <w:bookmarkEnd w:id="300"/>
      <w:bookmarkEnd w:id="301"/>
      <w:bookmarkEnd w:id="302"/>
      <w:bookmarkEnd w:id="303"/>
      <w:bookmarkEnd w:id="304"/>
      <w:bookmarkEnd w:id="305"/>
    </w:p>
    <w:p>
      <w:pPr>
        <w:pStyle w:val="Footnoteheading"/>
        <w:tabs>
          <w:tab w:val="clear" w:pos="879"/>
          <w:tab w:val="left" w:pos="896"/>
        </w:tabs>
      </w:pPr>
      <w:r>
        <w:tab/>
        <w:t>[Heading inserted: No. 35 of 2014 s. 21.]</w:t>
      </w:r>
    </w:p>
    <w:p>
      <w:pPr>
        <w:pStyle w:val="Heading5"/>
      </w:pPr>
      <w:bookmarkStart w:id="306" w:name="_Toc192492935"/>
      <w:bookmarkStart w:id="307" w:name="_Toc185428948"/>
      <w:r>
        <w:rPr>
          <w:rStyle w:val="CharSectno"/>
        </w:rPr>
        <w:t>45ZA</w:t>
      </w:r>
      <w:r>
        <w:t>.</w:t>
      </w:r>
      <w:r>
        <w:tab/>
        <w:t>Report to Parliament on inquiry or other action</w:t>
      </w:r>
      <w:bookmarkEnd w:id="306"/>
      <w:bookmarkEnd w:id="307"/>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No. 35 of 2014 s. 21.]</w:t>
      </w:r>
    </w:p>
    <w:p>
      <w:pPr>
        <w:pStyle w:val="Heading5"/>
      </w:pPr>
      <w:bookmarkStart w:id="308" w:name="_Toc192492936"/>
      <w:bookmarkStart w:id="309" w:name="_Toc185428949"/>
      <w:r>
        <w:rPr>
          <w:rStyle w:val="CharSectno"/>
        </w:rPr>
        <w:t>45ZB</w:t>
      </w:r>
      <w:r>
        <w:t>.</w:t>
      </w:r>
      <w:r>
        <w:tab/>
        <w:t>Report to Parliament on further action by appropriate authority</w:t>
      </w:r>
      <w:bookmarkEnd w:id="308"/>
      <w:bookmarkEnd w:id="309"/>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No. 35 of 2014 s. 21.]</w:t>
      </w:r>
    </w:p>
    <w:p>
      <w:pPr>
        <w:pStyle w:val="Heading5"/>
      </w:pPr>
      <w:bookmarkStart w:id="310" w:name="_Toc192492937"/>
      <w:bookmarkStart w:id="311" w:name="_Toc185428950"/>
      <w:r>
        <w:rPr>
          <w:rStyle w:val="CharSectno"/>
        </w:rPr>
        <w:t>45ZC</w:t>
      </w:r>
      <w:r>
        <w:t>.</w:t>
      </w:r>
      <w:r>
        <w:tab/>
        <w:t>Person subject to adverse report: entitlement of</w:t>
      </w:r>
      <w:bookmarkEnd w:id="310"/>
      <w:bookmarkEnd w:id="311"/>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No. 35 of 2014 s. 21.]</w:t>
      </w:r>
    </w:p>
    <w:p>
      <w:pPr>
        <w:pStyle w:val="Heading5"/>
      </w:pPr>
      <w:bookmarkStart w:id="312" w:name="_Toc192492938"/>
      <w:bookmarkStart w:id="313" w:name="_Toc185428951"/>
      <w:r>
        <w:rPr>
          <w:rStyle w:val="CharSectno"/>
        </w:rPr>
        <w:t>45ZD</w:t>
      </w:r>
      <w:r>
        <w:t>.</w:t>
      </w:r>
      <w:r>
        <w:tab/>
        <w:t>Annual report under PSMA s. 22D: matters to be included</w:t>
      </w:r>
      <w:bookmarkEnd w:id="312"/>
      <w:bookmarkEnd w:id="313"/>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No. 35 of 2014 s. 21.]</w:t>
      </w:r>
    </w:p>
    <w:p>
      <w:pPr>
        <w:pStyle w:val="Heading2"/>
      </w:pPr>
      <w:bookmarkStart w:id="314" w:name="_Toc192238771"/>
      <w:bookmarkStart w:id="315" w:name="_Toc192239556"/>
      <w:bookmarkStart w:id="316" w:name="_Toc192239927"/>
      <w:bookmarkStart w:id="317" w:name="_Toc192492939"/>
      <w:bookmarkStart w:id="318" w:name="_Toc185428210"/>
      <w:bookmarkStart w:id="319" w:name="_Toc185428580"/>
      <w:bookmarkStart w:id="320" w:name="_Toc185428952"/>
      <w:r>
        <w:rPr>
          <w:rStyle w:val="CharPartNo"/>
        </w:rPr>
        <w:t>Part 4</w:t>
      </w:r>
      <w:r>
        <w:rPr>
          <w:b w:val="0"/>
        </w:rPr>
        <w:t> </w:t>
      </w:r>
      <w:r>
        <w:t>—</w:t>
      </w:r>
      <w:r>
        <w:rPr>
          <w:b w:val="0"/>
        </w:rPr>
        <w:t> </w:t>
      </w:r>
      <w:r>
        <w:rPr>
          <w:rStyle w:val="CharPartText"/>
        </w:rPr>
        <w:t>Organised crime: exceptional powers and fortification removal</w:t>
      </w:r>
      <w:bookmarkEnd w:id="314"/>
      <w:bookmarkEnd w:id="315"/>
      <w:bookmarkEnd w:id="316"/>
      <w:bookmarkEnd w:id="317"/>
      <w:bookmarkEnd w:id="318"/>
      <w:bookmarkEnd w:id="319"/>
      <w:bookmarkEnd w:id="320"/>
    </w:p>
    <w:p>
      <w:pPr>
        <w:pStyle w:val="Footnoteheading"/>
        <w:tabs>
          <w:tab w:val="clear" w:pos="879"/>
          <w:tab w:val="left" w:pos="896"/>
        </w:tabs>
        <w:spacing w:before="100"/>
      </w:pPr>
      <w:r>
        <w:tab/>
        <w:t>[Heading inserted: No. 78 of 2003 s. 17.]</w:t>
      </w:r>
    </w:p>
    <w:p>
      <w:pPr>
        <w:pStyle w:val="Heading3"/>
      </w:pPr>
      <w:bookmarkStart w:id="321" w:name="_Toc192238772"/>
      <w:bookmarkStart w:id="322" w:name="_Toc192239557"/>
      <w:bookmarkStart w:id="323" w:name="_Toc192239928"/>
      <w:bookmarkStart w:id="324" w:name="_Toc192492940"/>
      <w:bookmarkStart w:id="325" w:name="_Toc185428211"/>
      <w:bookmarkStart w:id="326" w:name="_Toc185428581"/>
      <w:bookmarkStart w:id="327" w:name="_Toc185428953"/>
      <w:r>
        <w:rPr>
          <w:rStyle w:val="CharDivNo"/>
        </w:rPr>
        <w:t>Division 1</w:t>
      </w:r>
      <w:r>
        <w:t> — </w:t>
      </w:r>
      <w:r>
        <w:rPr>
          <w:rStyle w:val="CharDivText"/>
        </w:rPr>
        <w:t>Basis for, and control of, use of exceptional powers</w:t>
      </w:r>
      <w:bookmarkEnd w:id="321"/>
      <w:bookmarkEnd w:id="322"/>
      <w:bookmarkEnd w:id="323"/>
      <w:bookmarkEnd w:id="324"/>
      <w:bookmarkEnd w:id="325"/>
      <w:bookmarkEnd w:id="326"/>
      <w:bookmarkEnd w:id="327"/>
    </w:p>
    <w:p>
      <w:pPr>
        <w:pStyle w:val="Footnoteheading"/>
        <w:tabs>
          <w:tab w:val="clear" w:pos="879"/>
          <w:tab w:val="left" w:pos="896"/>
        </w:tabs>
        <w:spacing w:before="100"/>
      </w:pPr>
      <w:r>
        <w:tab/>
        <w:t>[Heading inserted: No. 78 of 2003 s. 17.]</w:t>
      </w:r>
    </w:p>
    <w:p>
      <w:pPr>
        <w:pStyle w:val="Heading5"/>
      </w:pPr>
      <w:bookmarkStart w:id="328" w:name="_Toc192492941"/>
      <w:bookmarkStart w:id="329" w:name="_Toc185428954"/>
      <w:r>
        <w:rPr>
          <w:rStyle w:val="CharSectno"/>
        </w:rPr>
        <w:t>45</w:t>
      </w:r>
      <w:r>
        <w:t>.</w:t>
      </w:r>
      <w:r>
        <w:tab/>
        <w:t>Terms used</w:t>
      </w:r>
      <w:bookmarkEnd w:id="328"/>
      <w:bookmarkEnd w:id="329"/>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No. 78 of 2003 s. 17.]</w:t>
      </w:r>
    </w:p>
    <w:p>
      <w:pPr>
        <w:pStyle w:val="Heading5"/>
      </w:pPr>
      <w:bookmarkStart w:id="330" w:name="_Toc192492942"/>
      <w:bookmarkStart w:id="331" w:name="_Toc185428955"/>
      <w:r>
        <w:rPr>
          <w:rStyle w:val="CharSectno"/>
        </w:rPr>
        <w:t>46</w:t>
      </w:r>
      <w:r>
        <w:t>.</w:t>
      </w:r>
      <w:r>
        <w:tab/>
        <w:t>Exceptional powers finding, making of</w:t>
      </w:r>
      <w:bookmarkEnd w:id="330"/>
      <w:bookmarkEnd w:id="331"/>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keepNext/>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No. 78 of 2003 s. 17.]</w:t>
      </w:r>
    </w:p>
    <w:p>
      <w:pPr>
        <w:pStyle w:val="Heading5"/>
        <w:spacing w:before="180"/>
      </w:pPr>
      <w:bookmarkStart w:id="332" w:name="_Toc192492943"/>
      <w:bookmarkStart w:id="333" w:name="_Toc185428956"/>
      <w:r>
        <w:rPr>
          <w:rStyle w:val="CharSectno"/>
        </w:rPr>
        <w:t>47</w:t>
      </w:r>
      <w:r>
        <w:t>.</w:t>
      </w:r>
      <w:r>
        <w:tab/>
        <w:t>Purpose of Divisions 2 to 5</w:t>
      </w:r>
      <w:bookmarkEnd w:id="332"/>
      <w:bookmarkEnd w:id="333"/>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No. 78 of 2003 s. 17.]</w:t>
      </w:r>
    </w:p>
    <w:p>
      <w:pPr>
        <w:pStyle w:val="Heading3"/>
        <w:spacing w:before="180"/>
      </w:pPr>
      <w:bookmarkStart w:id="334" w:name="_Toc192238776"/>
      <w:bookmarkStart w:id="335" w:name="_Toc192239561"/>
      <w:bookmarkStart w:id="336" w:name="_Toc192239932"/>
      <w:bookmarkStart w:id="337" w:name="_Toc192492944"/>
      <w:bookmarkStart w:id="338" w:name="_Toc185428215"/>
      <w:bookmarkStart w:id="339" w:name="_Toc185428585"/>
      <w:bookmarkStart w:id="340" w:name="_Toc185428957"/>
      <w:r>
        <w:rPr>
          <w:rStyle w:val="CharDivNo"/>
        </w:rPr>
        <w:t>Division 2</w:t>
      </w:r>
      <w:r>
        <w:t> — </w:t>
      </w:r>
      <w:r>
        <w:rPr>
          <w:rStyle w:val="CharDivText"/>
        </w:rPr>
        <w:t>Examination before Commission</w:t>
      </w:r>
      <w:bookmarkEnd w:id="334"/>
      <w:bookmarkEnd w:id="335"/>
      <w:bookmarkEnd w:id="336"/>
      <w:bookmarkEnd w:id="337"/>
      <w:bookmarkEnd w:id="338"/>
      <w:bookmarkEnd w:id="339"/>
      <w:bookmarkEnd w:id="340"/>
    </w:p>
    <w:p>
      <w:pPr>
        <w:pStyle w:val="Footnoteheading"/>
        <w:keepNext/>
        <w:tabs>
          <w:tab w:val="clear" w:pos="879"/>
          <w:tab w:val="left" w:pos="896"/>
        </w:tabs>
        <w:spacing w:before="100"/>
      </w:pPr>
      <w:r>
        <w:tab/>
        <w:t>[Heading inserted: No. 78 of 2003 s. 17.]</w:t>
      </w:r>
    </w:p>
    <w:p>
      <w:pPr>
        <w:pStyle w:val="Heading5"/>
        <w:spacing w:before="180"/>
      </w:pPr>
      <w:bookmarkStart w:id="341" w:name="_Toc192492945"/>
      <w:bookmarkStart w:id="342" w:name="_Toc185428958"/>
      <w:r>
        <w:rPr>
          <w:rStyle w:val="CharSectno"/>
        </w:rPr>
        <w:t>48</w:t>
      </w:r>
      <w:r>
        <w:t>.</w:t>
      </w:r>
      <w:r>
        <w:tab/>
        <w:t>Commission, on application of police, may summons witnesses</w:t>
      </w:r>
      <w:bookmarkEnd w:id="341"/>
      <w:bookmarkEnd w:id="342"/>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No. 78 of 2003 s. 17.]</w:t>
      </w:r>
    </w:p>
    <w:p>
      <w:pPr>
        <w:pStyle w:val="Heading5"/>
      </w:pPr>
      <w:bookmarkStart w:id="343" w:name="_Toc192492946"/>
      <w:bookmarkStart w:id="344" w:name="_Toc185428959"/>
      <w:r>
        <w:rPr>
          <w:rStyle w:val="CharSectno"/>
        </w:rPr>
        <w:t>49</w:t>
      </w:r>
      <w:r>
        <w:t>.</w:t>
      </w:r>
      <w:r>
        <w:tab/>
        <w:t>Examination of witnesses by Commissioner of Police</w:t>
      </w:r>
      <w:bookmarkEnd w:id="343"/>
      <w:bookmarkEnd w:id="344"/>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No. 78 of 2003 s. 17.]</w:t>
      </w:r>
    </w:p>
    <w:p>
      <w:pPr>
        <w:pStyle w:val="Heading5"/>
        <w:spacing w:before="240"/>
      </w:pPr>
      <w:bookmarkStart w:id="345" w:name="_Toc192492947"/>
      <w:bookmarkStart w:id="346" w:name="_Toc185428960"/>
      <w:r>
        <w:rPr>
          <w:rStyle w:val="CharSectno"/>
        </w:rPr>
        <w:t>50</w:t>
      </w:r>
      <w:r>
        <w:t>.</w:t>
      </w:r>
      <w:r>
        <w:tab/>
        <w:t>Examination of witness about offence with which witness charged</w:t>
      </w:r>
      <w:bookmarkEnd w:id="345"/>
      <w:bookmarkEnd w:id="346"/>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No. 78 of 2003 s. 17; amended: No. 84 of 2004 s. 79.]</w:t>
      </w:r>
    </w:p>
    <w:p>
      <w:pPr>
        <w:pStyle w:val="Heading3"/>
      </w:pPr>
      <w:bookmarkStart w:id="347" w:name="_Toc192238780"/>
      <w:bookmarkStart w:id="348" w:name="_Toc192239565"/>
      <w:bookmarkStart w:id="349" w:name="_Toc192239936"/>
      <w:bookmarkStart w:id="350" w:name="_Toc192492948"/>
      <w:bookmarkStart w:id="351" w:name="_Toc185428219"/>
      <w:bookmarkStart w:id="352" w:name="_Toc185428589"/>
      <w:bookmarkStart w:id="353" w:name="_Toc185428961"/>
      <w:r>
        <w:rPr>
          <w:rStyle w:val="CharDivNo"/>
        </w:rPr>
        <w:t>Division 3</w:t>
      </w:r>
      <w:r>
        <w:t> — </w:t>
      </w:r>
      <w:r>
        <w:rPr>
          <w:rStyle w:val="CharDivText"/>
        </w:rPr>
        <w:t>Entry, search and related matters</w:t>
      </w:r>
      <w:bookmarkEnd w:id="347"/>
      <w:bookmarkEnd w:id="348"/>
      <w:bookmarkEnd w:id="349"/>
      <w:bookmarkEnd w:id="350"/>
      <w:bookmarkEnd w:id="351"/>
      <w:bookmarkEnd w:id="352"/>
      <w:bookmarkEnd w:id="353"/>
    </w:p>
    <w:p>
      <w:pPr>
        <w:pStyle w:val="Footnoteheading"/>
        <w:tabs>
          <w:tab w:val="clear" w:pos="879"/>
          <w:tab w:val="left" w:pos="896"/>
        </w:tabs>
      </w:pPr>
      <w:r>
        <w:tab/>
        <w:t>[Heading inserted: No. 78 of 2003 s. 17.]</w:t>
      </w:r>
    </w:p>
    <w:p>
      <w:pPr>
        <w:pStyle w:val="Heading5"/>
        <w:spacing w:before="240"/>
      </w:pPr>
      <w:bookmarkStart w:id="354" w:name="_Toc192492949"/>
      <w:bookmarkStart w:id="355" w:name="_Toc185428962"/>
      <w:r>
        <w:rPr>
          <w:rStyle w:val="CharSectno"/>
        </w:rPr>
        <w:t>51</w:t>
      </w:r>
      <w:r>
        <w:t>.</w:t>
      </w:r>
      <w:r>
        <w:tab/>
        <w:t>Commission may limit exercise of certain exceptional powers</w:t>
      </w:r>
      <w:bookmarkEnd w:id="354"/>
      <w:bookmarkEnd w:id="355"/>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No. 78 of 2003 s. 17.]</w:t>
      </w:r>
    </w:p>
    <w:p>
      <w:pPr>
        <w:pStyle w:val="Heading5"/>
        <w:keepNext w:val="0"/>
        <w:keepLines w:val="0"/>
        <w:spacing w:before="240"/>
      </w:pPr>
      <w:bookmarkStart w:id="356" w:name="_Toc192492950"/>
      <w:bookmarkStart w:id="357" w:name="_Toc185428963"/>
      <w:r>
        <w:rPr>
          <w:rStyle w:val="CharSectno"/>
        </w:rPr>
        <w:t>52</w:t>
      </w:r>
      <w:r>
        <w:t>.</w:t>
      </w:r>
      <w:r>
        <w:tab/>
        <w:t>Section 5 offences, enhanced police powers to enter, search etc. places</w:t>
      </w:r>
      <w:bookmarkEnd w:id="356"/>
      <w:bookmarkEnd w:id="357"/>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No. 78 of 2003 s. 17.]</w:t>
      </w:r>
    </w:p>
    <w:p>
      <w:pPr>
        <w:pStyle w:val="Heading5"/>
        <w:keepLines w:val="0"/>
      </w:pPr>
      <w:bookmarkStart w:id="358" w:name="_Toc192492951"/>
      <w:bookmarkStart w:id="359" w:name="_Toc185428964"/>
      <w:r>
        <w:rPr>
          <w:rStyle w:val="CharSectno"/>
        </w:rPr>
        <w:t>53</w:t>
      </w:r>
      <w:r>
        <w:t>.</w:t>
      </w:r>
      <w:r>
        <w:tab/>
        <w:t>Section 5 offences, enhanced police powers to stop, search etc. people and conveyances</w:t>
      </w:r>
      <w:bookmarkEnd w:id="358"/>
      <w:bookmarkEnd w:id="359"/>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keepNext/>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No. 78 of 2003 s. 17.]</w:t>
      </w:r>
    </w:p>
    <w:p>
      <w:pPr>
        <w:pStyle w:val="Heading5"/>
        <w:spacing w:before="180"/>
      </w:pPr>
      <w:bookmarkStart w:id="360" w:name="_Toc192492952"/>
      <w:bookmarkStart w:id="361" w:name="_Toc185428965"/>
      <w:r>
        <w:rPr>
          <w:rStyle w:val="CharSectno"/>
        </w:rPr>
        <w:t>54</w:t>
      </w:r>
      <w:r>
        <w:t>.</w:t>
      </w:r>
      <w:r>
        <w:tab/>
        <w:t>Searches of people, conduct of</w:t>
      </w:r>
      <w:bookmarkEnd w:id="360"/>
      <w:bookmarkEnd w:id="361"/>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No. 78 of 2003 s. 17; amended: No. 50 of 2006 Sch. 3 cl. 4; No. 22 of 2008 Sch. 3 cl. 11; No. 35 of 2010 s. 48; No. 4 of 2018 s. 105.]</w:t>
      </w:r>
    </w:p>
    <w:p>
      <w:pPr>
        <w:pStyle w:val="Heading5"/>
      </w:pPr>
      <w:bookmarkStart w:id="362" w:name="_Toc192492953"/>
      <w:bookmarkStart w:id="363" w:name="_Toc185428966"/>
      <w:r>
        <w:rPr>
          <w:rStyle w:val="CharSectno"/>
        </w:rPr>
        <w:t>55</w:t>
      </w:r>
      <w:r>
        <w:t>.</w:t>
      </w:r>
      <w:r>
        <w:tab/>
        <w:t>Power to search includes power to break open</w:t>
      </w:r>
      <w:bookmarkEnd w:id="362"/>
      <w:bookmarkEnd w:id="363"/>
    </w:p>
    <w:p>
      <w:pPr>
        <w:pStyle w:val="Subsection"/>
      </w:pPr>
      <w:r>
        <w:tab/>
      </w:r>
      <w:r>
        <w:tab/>
        <w:t>The power given by this Division to search for any thing includes the power to break open anything it is suspected might contain it.</w:t>
      </w:r>
    </w:p>
    <w:p>
      <w:pPr>
        <w:pStyle w:val="Footnotesection"/>
      </w:pPr>
      <w:r>
        <w:tab/>
        <w:t>[Section 55 inserted: No. 78 of 2003 s. 17.]</w:t>
      </w:r>
    </w:p>
    <w:p>
      <w:pPr>
        <w:pStyle w:val="Ednotesection"/>
      </w:pPr>
      <w:r>
        <w:t>[</w:t>
      </w:r>
      <w:r>
        <w:rPr>
          <w:b/>
          <w:bCs/>
        </w:rPr>
        <w:t>56.</w:t>
      </w:r>
      <w:r>
        <w:tab/>
        <w:t xml:space="preserve">Deleted: No. 59 of 2006 s. 9.] </w:t>
      </w:r>
    </w:p>
    <w:p>
      <w:pPr>
        <w:pStyle w:val="Heading5"/>
        <w:spacing w:before="120"/>
      </w:pPr>
      <w:bookmarkStart w:id="364" w:name="_Toc192492954"/>
      <w:bookmarkStart w:id="365" w:name="_Toc185428967"/>
      <w:r>
        <w:rPr>
          <w:rStyle w:val="CharSectno"/>
        </w:rPr>
        <w:t>57</w:t>
      </w:r>
      <w:r>
        <w:t>.</w:t>
      </w:r>
      <w:r>
        <w:tab/>
        <w:t>Offences</w:t>
      </w:r>
      <w:bookmarkEnd w:id="364"/>
      <w:bookmarkEnd w:id="365"/>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No. 78 of 2003 s. 17.]</w:t>
      </w:r>
    </w:p>
    <w:p>
      <w:pPr>
        <w:pStyle w:val="Heading5"/>
      </w:pPr>
      <w:bookmarkStart w:id="366" w:name="_Toc192492955"/>
      <w:bookmarkStart w:id="367" w:name="_Toc185428968"/>
      <w:r>
        <w:rPr>
          <w:rStyle w:val="CharSectno"/>
        </w:rPr>
        <w:t>58</w:t>
      </w:r>
      <w:r>
        <w:t>.</w:t>
      </w:r>
      <w:r>
        <w:tab/>
        <w:t>Police to report on use of powers under this Division</w:t>
      </w:r>
      <w:bookmarkEnd w:id="366"/>
      <w:bookmarkEnd w:id="367"/>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No. 78 of 2003 s. 17.]</w:t>
      </w:r>
    </w:p>
    <w:p>
      <w:pPr>
        <w:pStyle w:val="Heading5"/>
      </w:pPr>
      <w:bookmarkStart w:id="368" w:name="_Toc192492956"/>
      <w:bookmarkStart w:id="369" w:name="_Toc185428969"/>
      <w:r>
        <w:rPr>
          <w:rStyle w:val="CharSectno"/>
        </w:rPr>
        <w:t>59</w:t>
      </w:r>
      <w:r>
        <w:t>.</w:t>
      </w:r>
      <w:r>
        <w:tab/>
        <w:t>Overseeing exercise of powers under this Division</w:t>
      </w:r>
      <w:bookmarkEnd w:id="368"/>
      <w:bookmarkEnd w:id="369"/>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No. 78 of 2003 s. 17.]</w:t>
      </w:r>
    </w:p>
    <w:p>
      <w:pPr>
        <w:pStyle w:val="Heading3"/>
      </w:pPr>
      <w:bookmarkStart w:id="370" w:name="_Toc192238789"/>
      <w:bookmarkStart w:id="371" w:name="_Toc192239574"/>
      <w:bookmarkStart w:id="372" w:name="_Toc192239945"/>
      <w:bookmarkStart w:id="373" w:name="_Toc192492957"/>
      <w:bookmarkStart w:id="374" w:name="_Toc185428228"/>
      <w:bookmarkStart w:id="375" w:name="_Toc185428598"/>
      <w:bookmarkStart w:id="376" w:name="_Toc185428970"/>
      <w:r>
        <w:rPr>
          <w:rStyle w:val="CharDivNo"/>
        </w:rPr>
        <w:t>Division 4</w:t>
      </w:r>
      <w:r>
        <w:t> — </w:t>
      </w:r>
      <w:r>
        <w:rPr>
          <w:rStyle w:val="CharDivText"/>
        </w:rPr>
        <w:t>Assumed identities</w:t>
      </w:r>
      <w:bookmarkEnd w:id="370"/>
      <w:bookmarkEnd w:id="371"/>
      <w:bookmarkEnd w:id="372"/>
      <w:bookmarkEnd w:id="373"/>
      <w:bookmarkEnd w:id="374"/>
      <w:bookmarkEnd w:id="375"/>
      <w:bookmarkEnd w:id="376"/>
    </w:p>
    <w:p>
      <w:pPr>
        <w:pStyle w:val="Footnoteheading"/>
        <w:tabs>
          <w:tab w:val="clear" w:pos="879"/>
          <w:tab w:val="left" w:pos="896"/>
        </w:tabs>
        <w:spacing w:before="100"/>
      </w:pPr>
      <w:r>
        <w:tab/>
        <w:t>[Heading inserted: No. 78 of 2003 s. 17.]</w:t>
      </w:r>
    </w:p>
    <w:p>
      <w:pPr>
        <w:pStyle w:val="Heading5"/>
        <w:spacing w:before="200"/>
      </w:pPr>
      <w:bookmarkStart w:id="377" w:name="_Toc192492958"/>
      <w:bookmarkStart w:id="378" w:name="_Toc185428971"/>
      <w:r>
        <w:rPr>
          <w:rStyle w:val="CharSectno"/>
        </w:rPr>
        <w:t>60</w:t>
      </w:r>
      <w:r>
        <w:t>.</w:t>
      </w:r>
      <w:r>
        <w:tab/>
        <w:t>Approval for assumed identity</w:t>
      </w:r>
      <w:bookmarkEnd w:id="377"/>
      <w:bookmarkEnd w:id="378"/>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No. 78 of 2003 s. 17.]</w:t>
      </w:r>
    </w:p>
    <w:p>
      <w:pPr>
        <w:pStyle w:val="Heading5"/>
      </w:pPr>
      <w:bookmarkStart w:id="379" w:name="_Toc192492959"/>
      <w:bookmarkStart w:id="380" w:name="_Toc185428972"/>
      <w:r>
        <w:rPr>
          <w:rStyle w:val="CharSectno"/>
        </w:rPr>
        <w:t>61</w:t>
      </w:r>
      <w:r>
        <w:t>.</w:t>
      </w:r>
      <w:r>
        <w:tab/>
        <w:t>Police to report on activities undertaken under assumed identity approval</w:t>
      </w:r>
      <w:bookmarkEnd w:id="379"/>
      <w:bookmarkEnd w:id="380"/>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No. 78 of 2003 s. 17.]</w:t>
      </w:r>
    </w:p>
    <w:p>
      <w:pPr>
        <w:pStyle w:val="Heading5"/>
      </w:pPr>
      <w:bookmarkStart w:id="381" w:name="_Toc192492960"/>
      <w:bookmarkStart w:id="382" w:name="_Toc185428973"/>
      <w:r>
        <w:rPr>
          <w:rStyle w:val="CharSectno"/>
        </w:rPr>
        <w:t>62</w:t>
      </w:r>
      <w:r>
        <w:t>.</w:t>
      </w:r>
      <w:r>
        <w:tab/>
        <w:t>Overseeing exercise of powers under this Division</w:t>
      </w:r>
      <w:bookmarkEnd w:id="381"/>
      <w:bookmarkEnd w:id="382"/>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No. 78 of 2003 s. 17.]</w:t>
      </w:r>
    </w:p>
    <w:p>
      <w:pPr>
        <w:pStyle w:val="Heading3"/>
      </w:pPr>
      <w:bookmarkStart w:id="383" w:name="_Toc192238793"/>
      <w:bookmarkStart w:id="384" w:name="_Toc192239578"/>
      <w:bookmarkStart w:id="385" w:name="_Toc192239949"/>
      <w:bookmarkStart w:id="386" w:name="_Toc192492961"/>
      <w:bookmarkStart w:id="387" w:name="_Toc185428232"/>
      <w:bookmarkStart w:id="388" w:name="_Toc185428602"/>
      <w:bookmarkStart w:id="389" w:name="_Toc185428974"/>
      <w:r>
        <w:rPr>
          <w:rStyle w:val="CharDivNo"/>
        </w:rPr>
        <w:t>Division 5</w:t>
      </w:r>
      <w:r>
        <w:t> — </w:t>
      </w:r>
      <w:r>
        <w:rPr>
          <w:rStyle w:val="CharDivText"/>
        </w:rPr>
        <w:t>Controlled operations</w:t>
      </w:r>
      <w:bookmarkEnd w:id="383"/>
      <w:bookmarkEnd w:id="384"/>
      <w:bookmarkEnd w:id="385"/>
      <w:bookmarkEnd w:id="386"/>
      <w:bookmarkEnd w:id="387"/>
      <w:bookmarkEnd w:id="388"/>
      <w:bookmarkEnd w:id="389"/>
    </w:p>
    <w:p>
      <w:pPr>
        <w:pStyle w:val="Footnoteheading"/>
        <w:tabs>
          <w:tab w:val="clear" w:pos="879"/>
          <w:tab w:val="left" w:pos="896"/>
        </w:tabs>
      </w:pPr>
      <w:r>
        <w:tab/>
        <w:t>[Heading inserted: No. 78 of 2003 s. 17.]</w:t>
      </w:r>
    </w:p>
    <w:p>
      <w:pPr>
        <w:pStyle w:val="Heading5"/>
      </w:pPr>
      <w:bookmarkStart w:id="390" w:name="_Toc192492962"/>
      <w:bookmarkStart w:id="391" w:name="_Toc185428975"/>
      <w:r>
        <w:rPr>
          <w:rStyle w:val="CharSectno"/>
        </w:rPr>
        <w:t>63</w:t>
      </w:r>
      <w:r>
        <w:t>.</w:t>
      </w:r>
      <w:r>
        <w:tab/>
        <w:t>Terms used</w:t>
      </w:r>
      <w:bookmarkEnd w:id="390"/>
      <w:bookmarkEnd w:id="391"/>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No. 78 of 2003 s. 17.]</w:t>
      </w:r>
    </w:p>
    <w:p>
      <w:pPr>
        <w:pStyle w:val="Heading5"/>
      </w:pPr>
      <w:bookmarkStart w:id="392" w:name="_Toc192492963"/>
      <w:bookmarkStart w:id="393" w:name="_Toc185428976"/>
      <w:r>
        <w:rPr>
          <w:rStyle w:val="CharSectno"/>
        </w:rPr>
        <w:t>64</w:t>
      </w:r>
      <w:r>
        <w:t>.</w:t>
      </w:r>
      <w:r>
        <w:tab/>
        <w:t>Authority to conduct controlled operation and integrity testing</w:t>
      </w:r>
      <w:bookmarkEnd w:id="392"/>
      <w:bookmarkEnd w:id="393"/>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No. 78 of 2003 s. 17.]</w:t>
      </w:r>
    </w:p>
    <w:p>
      <w:pPr>
        <w:pStyle w:val="Heading5"/>
        <w:spacing w:before="240"/>
      </w:pPr>
      <w:bookmarkStart w:id="394" w:name="_Toc192492964"/>
      <w:bookmarkStart w:id="395" w:name="_Toc185428977"/>
      <w:r>
        <w:rPr>
          <w:rStyle w:val="CharSectno"/>
        </w:rPr>
        <w:t>65</w:t>
      </w:r>
      <w:r>
        <w:t>.</w:t>
      </w:r>
      <w:r>
        <w:tab/>
        <w:t>Police to report on controlled operation or integrity testing programme</w:t>
      </w:r>
      <w:bookmarkEnd w:id="394"/>
      <w:bookmarkEnd w:id="395"/>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No. 78 of 2003 s. 17.]</w:t>
      </w:r>
    </w:p>
    <w:p>
      <w:pPr>
        <w:pStyle w:val="Heading5"/>
      </w:pPr>
      <w:bookmarkStart w:id="396" w:name="_Toc192492965"/>
      <w:bookmarkStart w:id="397" w:name="_Toc185428978"/>
      <w:r>
        <w:rPr>
          <w:rStyle w:val="CharSectno"/>
        </w:rPr>
        <w:t>66</w:t>
      </w:r>
      <w:r>
        <w:t>.</w:t>
      </w:r>
      <w:r>
        <w:tab/>
        <w:t>Overseeing exercise of powers under this Division</w:t>
      </w:r>
      <w:bookmarkEnd w:id="396"/>
      <w:bookmarkEnd w:id="397"/>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No. 78 of 2003 s. 17.]</w:t>
      </w:r>
    </w:p>
    <w:p>
      <w:pPr>
        <w:pStyle w:val="Heading3"/>
      </w:pPr>
      <w:bookmarkStart w:id="398" w:name="_Toc192238798"/>
      <w:bookmarkStart w:id="399" w:name="_Toc192239583"/>
      <w:bookmarkStart w:id="400" w:name="_Toc192239954"/>
      <w:bookmarkStart w:id="401" w:name="_Toc192492966"/>
      <w:bookmarkStart w:id="402" w:name="_Toc185428237"/>
      <w:bookmarkStart w:id="403" w:name="_Toc185428607"/>
      <w:bookmarkStart w:id="404" w:name="_Toc185428979"/>
      <w:r>
        <w:rPr>
          <w:rStyle w:val="CharDivNo"/>
        </w:rPr>
        <w:t>Division 6</w:t>
      </w:r>
      <w:r>
        <w:t> — </w:t>
      </w:r>
      <w:r>
        <w:rPr>
          <w:rStyle w:val="CharDivText"/>
        </w:rPr>
        <w:t>Fortifications</w:t>
      </w:r>
      <w:bookmarkEnd w:id="398"/>
      <w:bookmarkEnd w:id="399"/>
      <w:bookmarkEnd w:id="400"/>
      <w:bookmarkEnd w:id="401"/>
      <w:bookmarkEnd w:id="402"/>
      <w:bookmarkEnd w:id="403"/>
      <w:bookmarkEnd w:id="404"/>
    </w:p>
    <w:p>
      <w:pPr>
        <w:pStyle w:val="Footnoteheading"/>
        <w:tabs>
          <w:tab w:val="clear" w:pos="879"/>
          <w:tab w:val="left" w:pos="896"/>
        </w:tabs>
      </w:pPr>
      <w:r>
        <w:tab/>
        <w:t>[Heading inserted: No. 78 of 2003 s. 17.]</w:t>
      </w:r>
    </w:p>
    <w:p>
      <w:pPr>
        <w:pStyle w:val="Heading5"/>
      </w:pPr>
      <w:bookmarkStart w:id="405" w:name="_Toc192492967"/>
      <w:bookmarkStart w:id="406" w:name="_Toc185428980"/>
      <w:r>
        <w:rPr>
          <w:rStyle w:val="CharSectno"/>
        </w:rPr>
        <w:t>67</w:t>
      </w:r>
      <w:r>
        <w:t>.</w:t>
      </w:r>
      <w:r>
        <w:tab/>
        <w:t>Terms used</w:t>
      </w:r>
      <w:bookmarkEnd w:id="405"/>
      <w:bookmarkEnd w:id="406"/>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No. 78 of 2003 s. 17; amended: No. 8 of 2009 s. 41(4).]</w:t>
      </w:r>
    </w:p>
    <w:p>
      <w:pPr>
        <w:pStyle w:val="Heading5"/>
      </w:pPr>
      <w:bookmarkStart w:id="407" w:name="_Toc192492968"/>
      <w:bookmarkStart w:id="408" w:name="_Toc185428981"/>
      <w:r>
        <w:rPr>
          <w:rStyle w:val="CharSectno"/>
        </w:rPr>
        <w:t>68</w:t>
      </w:r>
      <w:r>
        <w:t>.</w:t>
      </w:r>
      <w:r>
        <w:tab/>
        <w:t>Fortification warning notice: issue of</w:t>
      </w:r>
      <w:bookmarkEnd w:id="407"/>
      <w:bookmarkEnd w:id="408"/>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No. 78 of 2003 s. 17.]</w:t>
      </w:r>
    </w:p>
    <w:p>
      <w:pPr>
        <w:pStyle w:val="Heading5"/>
      </w:pPr>
      <w:bookmarkStart w:id="409" w:name="_Toc192492969"/>
      <w:bookmarkStart w:id="410" w:name="_Toc185428982"/>
      <w:r>
        <w:rPr>
          <w:rStyle w:val="CharSectno"/>
        </w:rPr>
        <w:t>69</w:t>
      </w:r>
      <w:r>
        <w:t>.</w:t>
      </w:r>
      <w:r>
        <w:tab/>
        <w:t>Fortification warning notice: contents of</w:t>
      </w:r>
      <w:bookmarkEnd w:id="409"/>
      <w:bookmarkEnd w:id="410"/>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No. 78 of 2003 s. 17.]</w:t>
      </w:r>
    </w:p>
    <w:p>
      <w:pPr>
        <w:pStyle w:val="Heading5"/>
      </w:pPr>
      <w:bookmarkStart w:id="411" w:name="_Toc192492970"/>
      <w:bookmarkStart w:id="412" w:name="_Toc185428983"/>
      <w:r>
        <w:rPr>
          <w:rStyle w:val="CharSectno"/>
        </w:rPr>
        <w:t>70</w:t>
      </w:r>
      <w:r>
        <w:t>.</w:t>
      </w:r>
      <w:r>
        <w:tab/>
        <w:t>Giving fortification warning notice</w:t>
      </w:r>
      <w:bookmarkEnd w:id="411"/>
      <w:bookmarkEnd w:id="412"/>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No. 78 of 2003 s. 17.]</w:t>
      </w:r>
    </w:p>
    <w:p>
      <w:pPr>
        <w:pStyle w:val="Heading5"/>
      </w:pPr>
      <w:bookmarkStart w:id="413" w:name="_Toc192492971"/>
      <w:bookmarkStart w:id="414" w:name="_Toc185428984"/>
      <w:r>
        <w:rPr>
          <w:rStyle w:val="CharSectno"/>
        </w:rPr>
        <w:t>71</w:t>
      </w:r>
      <w:r>
        <w:t>.</w:t>
      </w:r>
      <w:r>
        <w:tab/>
        <w:t>Withdrawal notice</w:t>
      </w:r>
      <w:bookmarkEnd w:id="413"/>
      <w:bookmarkEnd w:id="414"/>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No. 78 of 2003 s. 17.]</w:t>
      </w:r>
    </w:p>
    <w:p>
      <w:pPr>
        <w:pStyle w:val="Heading5"/>
      </w:pPr>
      <w:bookmarkStart w:id="415" w:name="_Toc192492972"/>
      <w:bookmarkStart w:id="416" w:name="_Toc185428985"/>
      <w:r>
        <w:rPr>
          <w:rStyle w:val="CharSectno"/>
        </w:rPr>
        <w:t>72</w:t>
      </w:r>
      <w:r>
        <w:t>.</w:t>
      </w:r>
      <w:r>
        <w:tab/>
        <w:t>Fortification removal notice: issue of</w:t>
      </w:r>
      <w:bookmarkEnd w:id="415"/>
      <w:bookmarkEnd w:id="416"/>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No. 78 of 2003 s. 17.]</w:t>
      </w:r>
    </w:p>
    <w:p>
      <w:pPr>
        <w:pStyle w:val="Heading5"/>
      </w:pPr>
      <w:bookmarkStart w:id="417" w:name="_Toc192492973"/>
      <w:bookmarkStart w:id="418" w:name="_Toc185428986"/>
      <w:r>
        <w:rPr>
          <w:rStyle w:val="CharSectno"/>
        </w:rPr>
        <w:t>73</w:t>
      </w:r>
      <w:r>
        <w:t>.</w:t>
      </w:r>
      <w:r>
        <w:tab/>
        <w:t>Fortification removal notice: contents of</w:t>
      </w:r>
      <w:bookmarkEnd w:id="417"/>
      <w:bookmarkEnd w:id="418"/>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No. 78 of 2003 s. 17.]</w:t>
      </w:r>
    </w:p>
    <w:p>
      <w:pPr>
        <w:pStyle w:val="Heading5"/>
      </w:pPr>
      <w:bookmarkStart w:id="419" w:name="_Toc192492974"/>
      <w:bookmarkStart w:id="420" w:name="_Toc185428987"/>
      <w:r>
        <w:rPr>
          <w:rStyle w:val="CharSectno"/>
        </w:rPr>
        <w:t>74</w:t>
      </w:r>
      <w:r>
        <w:t>.</w:t>
      </w:r>
      <w:r>
        <w:tab/>
        <w:t>Giving fortification removal notice</w:t>
      </w:r>
      <w:bookmarkEnd w:id="419"/>
      <w:bookmarkEnd w:id="420"/>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No. 78 of 2003 s. 17.]</w:t>
      </w:r>
    </w:p>
    <w:p>
      <w:pPr>
        <w:pStyle w:val="Heading5"/>
      </w:pPr>
      <w:bookmarkStart w:id="421" w:name="_Toc192492975"/>
      <w:bookmarkStart w:id="422" w:name="_Toc185428988"/>
      <w:r>
        <w:rPr>
          <w:rStyle w:val="CharSectno"/>
        </w:rPr>
        <w:t>75</w:t>
      </w:r>
      <w:r>
        <w:t>.</w:t>
      </w:r>
      <w:r>
        <w:tab/>
        <w:t>Fortification removal notice: enforcing</w:t>
      </w:r>
      <w:bookmarkEnd w:id="421"/>
      <w:bookmarkEnd w:id="422"/>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No. 78 of 2003 s. 17.]</w:t>
      </w:r>
    </w:p>
    <w:p>
      <w:pPr>
        <w:pStyle w:val="Heading5"/>
      </w:pPr>
      <w:bookmarkStart w:id="423" w:name="_Toc192492976"/>
      <w:bookmarkStart w:id="424" w:name="_Toc185428989"/>
      <w:r>
        <w:rPr>
          <w:rStyle w:val="CharSectno"/>
        </w:rPr>
        <w:t>76</w:t>
      </w:r>
      <w:r>
        <w:t>.</w:t>
      </w:r>
      <w:r>
        <w:tab/>
        <w:t>Review of fortification removal notice</w:t>
      </w:r>
      <w:bookmarkEnd w:id="423"/>
      <w:bookmarkEnd w:id="424"/>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No. 78 of 2003 s. 17.]</w:t>
      </w:r>
    </w:p>
    <w:p>
      <w:pPr>
        <w:pStyle w:val="Heading5"/>
      </w:pPr>
      <w:bookmarkStart w:id="425" w:name="_Toc192492977"/>
      <w:bookmarkStart w:id="426" w:name="_Toc185428990"/>
      <w:r>
        <w:rPr>
          <w:rStyle w:val="CharSectno"/>
        </w:rPr>
        <w:t>77</w:t>
      </w:r>
      <w:r>
        <w:t>.</w:t>
      </w:r>
      <w:r>
        <w:tab/>
        <w:t>Hindering removal or modification of fortifications</w:t>
      </w:r>
      <w:bookmarkEnd w:id="425"/>
      <w:bookmarkEnd w:id="426"/>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No. 78 of 2003 s. 17.]</w:t>
      </w:r>
    </w:p>
    <w:p>
      <w:pPr>
        <w:pStyle w:val="Heading5"/>
      </w:pPr>
      <w:bookmarkStart w:id="427" w:name="_Toc192492978"/>
      <w:bookmarkStart w:id="428" w:name="_Toc185428991"/>
      <w:r>
        <w:rPr>
          <w:rStyle w:val="CharSectno"/>
        </w:rPr>
        <w:t>78</w:t>
      </w:r>
      <w:r>
        <w:t>.</w:t>
      </w:r>
      <w:r>
        <w:tab/>
        <w:t>Planning and other approval issues</w:t>
      </w:r>
      <w:bookmarkEnd w:id="427"/>
      <w:bookmarkEnd w:id="428"/>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No. 78 of 2003 s. 17.]</w:t>
      </w:r>
    </w:p>
    <w:p>
      <w:pPr>
        <w:pStyle w:val="Heading5"/>
        <w:pageBreakBefore/>
        <w:spacing w:before="0"/>
      </w:pPr>
      <w:bookmarkStart w:id="429" w:name="_Toc192492979"/>
      <w:bookmarkStart w:id="430" w:name="_Toc185428992"/>
      <w:r>
        <w:rPr>
          <w:rStyle w:val="CharSectno"/>
        </w:rPr>
        <w:t>79</w:t>
      </w:r>
      <w:r>
        <w:t>.</w:t>
      </w:r>
      <w:r>
        <w:tab/>
        <w:t>No compensation for removal or modification of fortifications</w:t>
      </w:r>
      <w:bookmarkEnd w:id="429"/>
      <w:bookmarkEnd w:id="430"/>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No. 78 of 2003 s. 17.]</w:t>
      </w:r>
    </w:p>
    <w:p>
      <w:pPr>
        <w:pStyle w:val="Heading5"/>
      </w:pPr>
      <w:bookmarkStart w:id="431" w:name="_Toc192492980"/>
      <w:bookmarkStart w:id="432" w:name="_Toc185428993"/>
      <w:r>
        <w:rPr>
          <w:rStyle w:val="CharSectno"/>
        </w:rPr>
        <w:t>80</w:t>
      </w:r>
      <w:r>
        <w:t>.</w:t>
      </w:r>
      <w:r>
        <w:tab/>
        <w:t>Protection from liability for wrongdoing</w:t>
      </w:r>
      <w:bookmarkEnd w:id="431"/>
      <w:bookmarkEnd w:id="432"/>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No. 78 of 2003 s. 17.]</w:t>
      </w:r>
    </w:p>
    <w:p>
      <w:pPr>
        <w:pStyle w:val="Heading3"/>
      </w:pPr>
      <w:bookmarkStart w:id="433" w:name="_Toc192238813"/>
      <w:bookmarkStart w:id="434" w:name="_Toc192239598"/>
      <w:bookmarkStart w:id="435" w:name="_Toc192239969"/>
      <w:bookmarkStart w:id="436" w:name="_Toc192492981"/>
      <w:bookmarkStart w:id="437" w:name="_Toc185428252"/>
      <w:bookmarkStart w:id="438" w:name="_Toc185428622"/>
      <w:bookmarkStart w:id="439" w:name="_Toc185428994"/>
      <w:r>
        <w:rPr>
          <w:rStyle w:val="CharDivNo"/>
        </w:rPr>
        <w:t>Division 7</w:t>
      </w:r>
      <w:r>
        <w:t> — </w:t>
      </w:r>
      <w:r>
        <w:rPr>
          <w:rStyle w:val="CharDivText"/>
        </w:rPr>
        <w:t>General matters</w:t>
      </w:r>
      <w:bookmarkEnd w:id="433"/>
      <w:bookmarkEnd w:id="434"/>
      <w:bookmarkEnd w:id="435"/>
      <w:bookmarkEnd w:id="436"/>
      <w:bookmarkEnd w:id="437"/>
      <w:bookmarkEnd w:id="438"/>
      <w:bookmarkEnd w:id="439"/>
    </w:p>
    <w:p>
      <w:pPr>
        <w:pStyle w:val="Footnoteheading"/>
        <w:tabs>
          <w:tab w:val="clear" w:pos="879"/>
          <w:tab w:val="left" w:pos="896"/>
        </w:tabs>
      </w:pPr>
      <w:r>
        <w:tab/>
        <w:t>[Heading inserted: No. 78 of 2003 s. 17.]</w:t>
      </w:r>
    </w:p>
    <w:p>
      <w:pPr>
        <w:pStyle w:val="Heading5"/>
      </w:pPr>
      <w:bookmarkStart w:id="440" w:name="_Toc192492982"/>
      <w:bookmarkStart w:id="441" w:name="_Toc185428995"/>
      <w:r>
        <w:rPr>
          <w:rStyle w:val="CharSectno"/>
        </w:rPr>
        <w:t>81</w:t>
      </w:r>
      <w:r>
        <w:t>.</w:t>
      </w:r>
      <w:r>
        <w:tab/>
        <w:t>Part not applicable to juveniles</w:t>
      </w:r>
      <w:bookmarkEnd w:id="440"/>
      <w:bookmarkEnd w:id="441"/>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No. 78 of 2003 s. 17.]</w:t>
      </w:r>
    </w:p>
    <w:p>
      <w:pPr>
        <w:pStyle w:val="Heading5"/>
      </w:pPr>
      <w:bookmarkStart w:id="442" w:name="_Toc192492983"/>
      <w:bookmarkStart w:id="443" w:name="_Toc185428996"/>
      <w:r>
        <w:rPr>
          <w:rStyle w:val="CharSectno"/>
        </w:rPr>
        <w:t>82</w:t>
      </w:r>
      <w:r>
        <w:t>.</w:t>
      </w:r>
      <w:r>
        <w:tab/>
        <w:t>Delegation by Commissioner of Police</w:t>
      </w:r>
      <w:bookmarkEnd w:id="442"/>
      <w:bookmarkEnd w:id="443"/>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No. 78 of 2003 s. 17.]</w:t>
      </w:r>
    </w:p>
    <w:p>
      <w:pPr>
        <w:pStyle w:val="Heading5"/>
      </w:pPr>
      <w:bookmarkStart w:id="444" w:name="_Toc192492984"/>
      <w:bookmarkStart w:id="445" w:name="_Toc185428997"/>
      <w:r>
        <w:rPr>
          <w:rStyle w:val="CharSectno"/>
        </w:rPr>
        <w:t>83</w:t>
      </w:r>
      <w:r>
        <w:t>.</w:t>
      </w:r>
      <w:r>
        <w:tab/>
        <w:t>Judicial review excluded</w:t>
      </w:r>
      <w:bookmarkEnd w:id="444"/>
      <w:bookmarkEnd w:id="44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No. 78 of 2003 s. 17.]</w:t>
      </w:r>
    </w:p>
    <w:p>
      <w:pPr>
        <w:pStyle w:val="Heading2"/>
      </w:pPr>
      <w:bookmarkStart w:id="446" w:name="_Toc192238817"/>
      <w:bookmarkStart w:id="447" w:name="_Toc192239602"/>
      <w:bookmarkStart w:id="448" w:name="_Toc192239973"/>
      <w:bookmarkStart w:id="449" w:name="_Toc192492985"/>
      <w:bookmarkStart w:id="450" w:name="_Toc185428256"/>
      <w:bookmarkStart w:id="451" w:name="_Toc185428626"/>
      <w:bookmarkStart w:id="452" w:name="_Toc185428998"/>
      <w:r>
        <w:rPr>
          <w:rStyle w:val="CharPartNo"/>
        </w:rPr>
        <w:t>Part 5</w:t>
      </w:r>
      <w:r>
        <w:rPr>
          <w:b w:val="0"/>
        </w:rPr>
        <w:t> </w:t>
      </w:r>
      <w:r>
        <w:t>—</w:t>
      </w:r>
      <w:r>
        <w:rPr>
          <w:b w:val="0"/>
        </w:rPr>
        <w:t> </w:t>
      </w:r>
      <w:r>
        <w:rPr>
          <w:rStyle w:val="CharPartText"/>
        </w:rPr>
        <w:t>Reporting</w:t>
      </w:r>
      <w:bookmarkEnd w:id="446"/>
      <w:bookmarkEnd w:id="447"/>
      <w:bookmarkEnd w:id="448"/>
      <w:bookmarkEnd w:id="449"/>
      <w:bookmarkEnd w:id="450"/>
      <w:bookmarkEnd w:id="451"/>
      <w:bookmarkEnd w:id="452"/>
    </w:p>
    <w:p>
      <w:pPr>
        <w:pStyle w:val="Footnoteheading"/>
        <w:tabs>
          <w:tab w:val="clear" w:pos="879"/>
          <w:tab w:val="left" w:pos="896"/>
        </w:tabs>
      </w:pPr>
      <w:r>
        <w:tab/>
        <w:t>[Heading inserted: No. 78 of 2003 s. 17.]</w:t>
      </w:r>
    </w:p>
    <w:p>
      <w:pPr>
        <w:pStyle w:val="Heading3"/>
      </w:pPr>
      <w:bookmarkStart w:id="453" w:name="_Toc192238818"/>
      <w:bookmarkStart w:id="454" w:name="_Toc192239603"/>
      <w:bookmarkStart w:id="455" w:name="_Toc192239974"/>
      <w:bookmarkStart w:id="456" w:name="_Toc192492986"/>
      <w:bookmarkStart w:id="457" w:name="_Toc185428257"/>
      <w:bookmarkStart w:id="458" w:name="_Toc185428627"/>
      <w:bookmarkStart w:id="459" w:name="_Toc185428999"/>
      <w:r>
        <w:rPr>
          <w:rStyle w:val="CharDivNo"/>
        </w:rPr>
        <w:t>Division 1</w:t>
      </w:r>
      <w:r>
        <w:t> — </w:t>
      </w:r>
      <w:r>
        <w:rPr>
          <w:rStyle w:val="CharDivText"/>
        </w:rPr>
        <w:t>Reports by Commission on specific matters</w:t>
      </w:r>
      <w:bookmarkEnd w:id="453"/>
      <w:bookmarkEnd w:id="454"/>
      <w:bookmarkEnd w:id="455"/>
      <w:bookmarkEnd w:id="456"/>
      <w:bookmarkEnd w:id="457"/>
      <w:bookmarkEnd w:id="458"/>
      <w:bookmarkEnd w:id="459"/>
    </w:p>
    <w:p>
      <w:pPr>
        <w:pStyle w:val="Footnoteheading"/>
        <w:tabs>
          <w:tab w:val="clear" w:pos="879"/>
          <w:tab w:val="left" w:pos="896"/>
        </w:tabs>
      </w:pPr>
      <w:r>
        <w:tab/>
        <w:t>[Heading inserted: No. 78 of 2003 s. 17.]</w:t>
      </w:r>
    </w:p>
    <w:p>
      <w:pPr>
        <w:pStyle w:val="Heading5"/>
      </w:pPr>
      <w:bookmarkStart w:id="460" w:name="_Toc192492987"/>
      <w:bookmarkStart w:id="461" w:name="_Toc185429000"/>
      <w:r>
        <w:rPr>
          <w:rStyle w:val="CharSectno"/>
        </w:rPr>
        <w:t>84</w:t>
      </w:r>
      <w:r>
        <w:t>.</w:t>
      </w:r>
      <w:r>
        <w:tab/>
        <w:t>Report to Parliament on investigation or received matter</w:t>
      </w:r>
      <w:bookmarkEnd w:id="460"/>
      <w:bookmarkEnd w:id="461"/>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No. 78 of 2003 s. 17; amended: No. 35 of 2014 s. 31.]</w:t>
      </w:r>
    </w:p>
    <w:p>
      <w:pPr>
        <w:pStyle w:val="Heading5"/>
      </w:pPr>
      <w:bookmarkStart w:id="462" w:name="_Toc192492988"/>
      <w:bookmarkStart w:id="463" w:name="_Toc185429001"/>
      <w:r>
        <w:rPr>
          <w:rStyle w:val="CharSectno"/>
        </w:rPr>
        <w:t>85</w:t>
      </w:r>
      <w:r>
        <w:t>.</w:t>
      </w:r>
      <w:r>
        <w:tab/>
        <w:t>Report to Parliament on further action by appropriate authority</w:t>
      </w:r>
      <w:bookmarkEnd w:id="462"/>
      <w:bookmarkEnd w:id="463"/>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No. 78 of 2003 s. 17.]</w:t>
      </w:r>
    </w:p>
    <w:p>
      <w:pPr>
        <w:pStyle w:val="Heading5"/>
      </w:pPr>
      <w:bookmarkStart w:id="464" w:name="_Toc192492989"/>
      <w:bookmarkStart w:id="465" w:name="_Toc185429002"/>
      <w:r>
        <w:rPr>
          <w:rStyle w:val="CharSectno"/>
        </w:rPr>
        <w:t>86</w:t>
      </w:r>
      <w:r>
        <w:t>.</w:t>
      </w:r>
      <w:r>
        <w:tab/>
        <w:t>Person subject to adverse report, entitlement of</w:t>
      </w:r>
      <w:bookmarkEnd w:id="464"/>
      <w:bookmarkEnd w:id="465"/>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No. 78 of 2003 s. 17.]</w:t>
      </w:r>
    </w:p>
    <w:p>
      <w:pPr>
        <w:pStyle w:val="Heading5"/>
      </w:pPr>
      <w:bookmarkStart w:id="466" w:name="_Toc192492990"/>
      <w:bookmarkStart w:id="467" w:name="_Toc185429003"/>
      <w:r>
        <w:rPr>
          <w:rStyle w:val="CharSectno"/>
        </w:rPr>
        <w:t>87</w:t>
      </w:r>
      <w:r>
        <w:t>.</w:t>
      </w:r>
      <w:r>
        <w:tab/>
        <w:t>Disclosure of matters in report made under s. 84 or 85</w:t>
      </w:r>
      <w:bookmarkEnd w:id="466"/>
      <w:bookmarkEnd w:id="467"/>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No. 78 of 2003 s. 17.]</w:t>
      </w:r>
    </w:p>
    <w:p>
      <w:pPr>
        <w:pStyle w:val="Heading5"/>
      </w:pPr>
      <w:bookmarkStart w:id="468" w:name="_Toc192492991"/>
      <w:bookmarkStart w:id="469" w:name="_Toc185429004"/>
      <w:r>
        <w:rPr>
          <w:rStyle w:val="CharSectno"/>
        </w:rPr>
        <w:t>88</w:t>
      </w:r>
      <w:r>
        <w:t>.</w:t>
      </w:r>
      <w:r>
        <w:tab/>
        <w:t>Special reports to Parliament on policy matters</w:t>
      </w:r>
      <w:bookmarkEnd w:id="468"/>
      <w:bookmarkEnd w:id="469"/>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No. 78 of 2003 s. 17.]</w:t>
      </w:r>
    </w:p>
    <w:p>
      <w:pPr>
        <w:pStyle w:val="Heading5"/>
      </w:pPr>
      <w:bookmarkStart w:id="470" w:name="_Toc192492992"/>
      <w:bookmarkStart w:id="471" w:name="_Toc185429005"/>
      <w:r>
        <w:rPr>
          <w:rStyle w:val="CharSectno"/>
        </w:rPr>
        <w:t>89</w:t>
      </w:r>
      <w:r>
        <w:t>.</w:t>
      </w:r>
      <w:r>
        <w:tab/>
        <w:t>Report under s. 84, 85 or 88 may be made to Minister or Standing Committee instead of to Parliament</w:t>
      </w:r>
      <w:bookmarkEnd w:id="470"/>
      <w:bookmarkEnd w:id="471"/>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No. 78 of 2003 s. 17.]</w:t>
      </w:r>
    </w:p>
    <w:p>
      <w:pPr>
        <w:pStyle w:val="Heading5"/>
      </w:pPr>
      <w:bookmarkStart w:id="472" w:name="_Toc192492993"/>
      <w:bookmarkStart w:id="473" w:name="_Toc185429006"/>
      <w:r>
        <w:rPr>
          <w:rStyle w:val="CharSectno"/>
        </w:rPr>
        <w:t>90</w:t>
      </w:r>
      <w:r>
        <w:t>.</w:t>
      </w:r>
      <w:r>
        <w:tab/>
        <w:t>Reports about people proposed as police officers or CEOs</w:t>
      </w:r>
      <w:bookmarkEnd w:id="472"/>
      <w:bookmarkEnd w:id="473"/>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keepNext/>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No. 78 of 2003 s. 17; amended: No. 8 of 2008 s. 11(3) and (4); No. 39 of 2010 s. 74(3).]</w:t>
      </w:r>
    </w:p>
    <w:p>
      <w:pPr>
        <w:pStyle w:val="Heading3"/>
      </w:pPr>
      <w:bookmarkStart w:id="474" w:name="_Toc192238826"/>
      <w:bookmarkStart w:id="475" w:name="_Toc192239611"/>
      <w:bookmarkStart w:id="476" w:name="_Toc192239982"/>
      <w:bookmarkStart w:id="477" w:name="_Toc192492994"/>
      <w:bookmarkStart w:id="478" w:name="_Toc185428265"/>
      <w:bookmarkStart w:id="479" w:name="_Toc185428635"/>
      <w:bookmarkStart w:id="480" w:name="_Toc185429007"/>
      <w:r>
        <w:rPr>
          <w:rStyle w:val="CharDivNo"/>
        </w:rPr>
        <w:t>Division 2</w:t>
      </w:r>
      <w:r>
        <w:t> — </w:t>
      </w:r>
      <w:r>
        <w:rPr>
          <w:rStyle w:val="CharDivText"/>
        </w:rPr>
        <w:t>General reports</w:t>
      </w:r>
      <w:bookmarkEnd w:id="474"/>
      <w:bookmarkEnd w:id="475"/>
      <w:bookmarkEnd w:id="476"/>
      <w:bookmarkEnd w:id="477"/>
      <w:bookmarkEnd w:id="478"/>
      <w:bookmarkEnd w:id="479"/>
      <w:bookmarkEnd w:id="480"/>
    </w:p>
    <w:p>
      <w:pPr>
        <w:pStyle w:val="Footnoteheading"/>
        <w:tabs>
          <w:tab w:val="clear" w:pos="879"/>
          <w:tab w:val="left" w:pos="896"/>
        </w:tabs>
      </w:pPr>
      <w:r>
        <w:tab/>
        <w:t>[Heading inserted: No. 78 of 2003 s. 17.]</w:t>
      </w:r>
    </w:p>
    <w:p>
      <w:pPr>
        <w:pStyle w:val="Heading5"/>
      </w:pPr>
      <w:bookmarkStart w:id="481" w:name="_Toc192492995"/>
      <w:bookmarkStart w:id="482" w:name="_Toc185429008"/>
      <w:r>
        <w:rPr>
          <w:rStyle w:val="CharSectno"/>
        </w:rPr>
        <w:t>91</w:t>
      </w:r>
      <w:r>
        <w:t>.</w:t>
      </w:r>
      <w:r>
        <w:tab/>
        <w:t>Annual report to Parliament</w:t>
      </w:r>
      <w:bookmarkEnd w:id="481"/>
      <w:bookmarkEnd w:id="482"/>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No. 78 of 2003 s. 17; amended: No. 77 of 2006 Sch. 1 cl. 35(5); No. 46 of 2009 s. 17; No. 2 of 2011 s. 12; No. 23 of 2011 s. 95; No. 55 of 2012 s. 112; No. 35 of 2014 s. 22; No. 10 of 2018 s. 9.]</w:t>
      </w:r>
    </w:p>
    <w:p>
      <w:pPr>
        <w:pStyle w:val="Heading5"/>
      </w:pPr>
      <w:bookmarkStart w:id="483" w:name="_Toc192492996"/>
      <w:bookmarkStart w:id="484" w:name="_Toc185429009"/>
      <w:r>
        <w:rPr>
          <w:rStyle w:val="CharSectno"/>
        </w:rPr>
        <w:t>92</w:t>
      </w:r>
      <w:r>
        <w:t>.</w:t>
      </w:r>
      <w:r>
        <w:tab/>
        <w:t>Periodical report to Parliament</w:t>
      </w:r>
      <w:bookmarkEnd w:id="483"/>
      <w:bookmarkEnd w:id="484"/>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No. 78 of 2003 s. 17.]</w:t>
      </w:r>
    </w:p>
    <w:p>
      <w:pPr>
        <w:pStyle w:val="Heading3"/>
      </w:pPr>
      <w:bookmarkStart w:id="485" w:name="_Toc192238829"/>
      <w:bookmarkStart w:id="486" w:name="_Toc192239614"/>
      <w:bookmarkStart w:id="487" w:name="_Toc192239985"/>
      <w:bookmarkStart w:id="488" w:name="_Toc192492997"/>
      <w:bookmarkStart w:id="489" w:name="_Toc185428268"/>
      <w:bookmarkStart w:id="490" w:name="_Toc185428638"/>
      <w:bookmarkStart w:id="491" w:name="_Toc185429010"/>
      <w:r>
        <w:rPr>
          <w:rStyle w:val="CharDivNo"/>
        </w:rPr>
        <w:t>Division 3</w:t>
      </w:r>
      <w:r>
        <w:t> — </w:t>
      </w:r>
      <w:r>
        <w:rPr>
          <w:rStyle w:val="CharDivText"/>
        </w:rPr>
        <w:t>General matters</w:t>
      </w:r>
      <w:bookmarkEnd w:id="485"/>
      <w:bookmarkEnd w:id="486"/>
      <w:bookmarkEnd w:id="487"/>
      <w:bookmarkEnd w:id="488"/>
      <w:bookmarkEnd w:id="489"/>
      <w:bookmarkEnd w:id="490"/>
      <w:bookmarkEnd w:id="491"/>
    </w:p>
    <w:p>
      <w:pPr>
        <w:pStyle w:val="Footnoteheading"/>
        <w:keepNext/>
        <w:tabs>
          <w:tab w:val="clear" w:pos="879"/>
          <w:tab w:val="left" w:pos="896"/>
        </w:tabs>
      </w:pPr>
      <w:r>
        <w:tab/>
        <w:t>[Heading inserted: No. 78 of 2003 s. 17.]</w:t>
      </w:r>
    </w:p>
    <w:p>
      <w:pPr>
        <w:pStyle w:val="Heading5"/>
        <w:spacing w:before="180"/>
      </w:pPr>
      <w:bookmarkStart w:id="492" w:name="_Toc192492998"/>
      <w:bookmarkStart w:id="493" w:name="_Toc185429011"/>
      <w:r>
        <w:rPr>
          <w:rStyle w:val="CharSectno"/>
        </w:rPr>
        <w:t>93</w:t>
      </w:r>
      <w:r>
        <w:t>.</w:t>
      </w:r>
      <w:r>
        <w:tab/>
        <w:t>Laying documents before House of Parliament that is not sitting</w:t>
      </w:r>
      <w:bookmarkEnd w:id="492"/>
      <w:bookmarkEnd w:id="493"/>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No. 78 of 2003 s. 17.]</w:t>
      </w:r>
    </w:p>
    <w:p>
      <w:pPr>
        <w:pStyle w:val="Heading2"/>
      </w:pPr>
      <w:bookmarkStart w:id="494" w:name="_Toc192238831"/>
      <w:bookmarkStart w:id="495" w:name="_Toc192239616"/>
      <w:bookmarkStart w:id="496" w:name="_Toc192239987"/>
      <w:bookmarkStart w:id="497" w:name="_Toc192492999"/>
      <w:bookmarkStart w:id="498" w:name="_Toc185428270"/>
      <w:bookmarkStart w:id="499" w:name="_Toc185428640"/>
      <w:bookmarkStart w:id="500" w:name="_Toc185429012"/>
      <w:r>
        <w:rPr>
          <w:rStyle w:val="CharPartNo"/>
        </w:rPr>
        <w:t>Part 6</w:t>
      </w:r>
      <w:r>
        <w:rPr>
          <w:b w:val="0"/>
        </w:rPr>
        <w:t> </w:t>
      </w:r>
      <w:r>
        <w:t>—</w:t>
      </w:r>
      <w:r>
        <w:rPr>
          <w:b w:val="0"/>
        </w:rPr>
        <w:t> </w:t>
      </w:r>
      <w:r>
        <w:rPr>
          <w:rStyle w:val="CharPartText"/>
        </w:rPr>
        <w:t>Powers</w:t>
      </w:r>
      <w:bookmarkEnd w:id="494"/>
      <w:bookmarkEnd w:id="495"/>
      <w:bookmarkEnd w:id="496"/>
      <w:bookmarkEnd w:id="497"/>
      <w:bookmarkEnd w:id="498"/>
      <w:bookmarkEnd w:id="499"/>
      <w:bookmarkEnd w:id="500"/>
    </w:p>
    <w:p>
      <w:pPr>
        <w:pStyle w:val="Footnoteheading"/>
        <w:tabs>
          <w:tab w:val="clear" w:pos="879"/>
          <w:tab w:val="left" w:pos="896"/>
        </w:tabs>
      </w:pPr>
      <w:r>
        <w:tab/>
        <w:t>[Heading inserted: No. 78 of 2003 s. 17.]</w:t>
      </w:r>
    </w:p>
    <w:p>
      <w:pPr>
        <w:pStyle w:val="Heading3"/>
      </w:pPr>
      <w:bookmarkStart w:id="501" w:name="_Toc192238832"/>
      <w:bookmarkStart w:id="502" w:name="_Toc192239617"/>
      <w:bookmarkStart w:id="503" w:name="_Toc192239988"/>
      <w:bookmarkStart w:id="504" w:name="_Toc192493000"/>
      <w:bookmarkStart w:id="505" w:name="_Toc185428271"/>
      <w:bookmarkStart w:id="506" w:name="_Toc185428641"/>
      <w:bookmarkStart w:id="507" w:name="_Toc185429013"/>
      <w:r>
        <w:rPr>
          <w:rStyle w:val="CharDivNo"/>
        </w:rPr>
        <w:t>Division 1</w:t>
      </w:r>
      <w:r>
        <w:t> — </w:t>
      </w:r>
      <w:r>
        <w:rPr>
          <w:rStyle w:val="CharDivText"/>
        </w:rPr>
        <w:t>Particular powers to require information or attendance</w:t>
      </w:r>
      <w:bookmarkEnd w:id="501"/>
      <w:bookmarkEnd w:id="502"/>
      <w:bookmarkEnd w:id="503"/>
      <w:bookmarkEnd w:id="504"/>
      <w:bookmarkEnd w:id="505"/>
      <w:bookmarkEnd w:id="506"/>
      <w:bookmarkEnd w:id="507"/>
    </w:p>
    <w:p>
      <w:pPr>
        <w:pStyle w:val="Footnoteheading"/>
        <w:tabs>
          <w:tab w:val="clear" w:pos="879"/>
          <w:tab w:val="left" w:pos="896"/>
        </w:tabs>
      </w:pPr>
      <w:r>
        <w:tab/>
        <w:t>[Heading inserted: No. 78 of 2003 s. 17.]</w:t>
      </w:r>
    </w:p>
    <w:p>
      <w:pPr>
        <w:pStyle w:val="Heading5"/>
      </w:pPr>
      <w:bookmarkStart w:id="508" w:name="_Toc192493001"/>
      <w:bookmarkStart w:id="509" w:name="_Toc185429014"/>
      <w:r>
        <w:rPr>
          <w:rStyle w:val="CharSectno"/>
        </w:rPr>
        <w:t>94</w:t>
      </w:r>
      <w:r>
        <w:t>.</w:t>
      </w:r>
      <w:r>
        <w:tab/>
        <w:t>Power to obtain information from public authority or officer</w:t>
      </w:r>
      <w:bookmarkEnd w:id="508"/>
      <w:bookmarkEnd w:id="509"/>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keepNext/>
      </w:pPr>
      <w:r>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No. 78 of 2003 s. 17; amended: No. 10 of 2018 s. 10.]</w:t>
      </w:r>
    </w:p>
    <w:p>
      <w:pPr>
        <w:pStyle w:val="Heading5"/>
        <w:spacing w:before="180"/>
      </w:pPr>
      <w:bookmarkStart w:id="510" w:name="_Toc192493002"/>
      <w:bookmarkStart w:id="511" w:name="_Toc185429015"/>
      <w:r>
        <w:rPr>
          <w:rStyle w:val="CharSectno"/>
        </w:rPr>
        <w:t>95</w:t>
      </w:r>
      <w:r>
        <w:t>.</w:t>
      </w:r>
      <w:r>
        <w:tab/>
        <w:t>Power to obtain documents and other things</w:t>
      </w:r>
      <w:bookmarkEnd w:id="510"/>
      <w:bookmarkEnd w:id="511"/>
    </w:p>
    <w:p>
      <w:pPr>
        <w:pStyle w:val="Subsection"/>
        <w:keepNext/>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No. 78 of 2003 s. 17.]</w:t>
      </w:r>
    </w:p>
    <w:p>
      <w:pPr>
        <w:pStyle w:val="Heading5"/>
        <w:keepNext w:val="0"/>
        <w:keepLines w:val="0"/>
        <w:spacing w:before="180"/>
      </w:pPr>
      <w:bookmarkStart w:id="512" w:name="_Toc192493003"/>
      <w:bookmarkStart w:id="513" w:name="_Toc185429016"/>
      <w:r>
        <w:rPr>
          <w:rStyle w:val="CharSectno"/>
        </w:rPr>
        <w:t>96</w:t>
      </w:r>
      <w:r>
        <w:t>.</w:t>
      </w:r>
      <w:r>
        <w:tab/>
        <w:t>Power to summon witnesses to attend and produce things</w:t>
      </w:r>
      <w:bookmarkEnd w:id="512"/>
      <w:bookmarkEnd w:id="513"/>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No. 78 of 2003 s. 17.]</w:t>
      </w:r>
    </w:p>
    <w:p>
      <w:pPr>
        <w:pStyle w:val="Heading5"/>
      </w:pPr>
      <w:bookmarkStart w:id="514" w:name="_Toc192493004"/>
      <w:bookmarkStart w:id="515" w:name="_Toc185429017"/>
      <w:r>
        <w:rPr>
          <w:rStyle w:val="CharSectno"/>
        </w:rPr>
        <w:t>97</w:t>
      </w:r>
      <w:r>
        <w:t>.</w:t>
      </w:r>
      <w:r>
        <w:tab/>
        <w:t>Witnesses to attend until released</w:t>
      </w:r>
      <w:bookmarkEnd w:id="514"/>
      <w:bookmarkEnd w:id="515"/>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No. 78 of 2003 s. 17.]</w:t>
      </w:r>
    </w:p>
    <w:p>
      <w:pPr>
        <w:pStyle w:val="Heading5"/>
      </w:pPr>
      <w:bookmarkStart w:id="516" w:name="_Toc192493005"/>
      <w:bookmarkStart w:id="517" w:name="_Toc185429018"/>
      <w:r>
        <w:rPr>
          <w:rStyle w:val="CharSectno"/>
        </w:rPr>
        <w:t>98</w:t>
      </w:r>
      <w:r>
        <w:t>.</w:t>
      </w:r>
      <w:r>
        <w:tab/>
        <w:t>Powers in relation to things produced</w:t>
      </w:r>
      <w:bookmarkEnd w:id="516"/>
      <w:bookmarkEnd w:id="517"/>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No. 78 of 2003 s. 17.]</w:t>
      </w:r>
    </w:p>
    <w:p>
      <w:pPr>
        <w:pStyle w:val="Heading5"/>
        <w:spacing w:before="180"/>
      </w:pPr>
      <w:bookmarkStart w:id="518" w:name="_Toc192493006"/>
      <w:bookmarkStart w:id="519" w:name="_Toc185429019"/>
      <w:r>
        <w:rPr>
          <w:rStyle w:val="CharSectno"/>
        </w:rPr>
        <w:t>99</w:t>
      </w:r>
      <w:r>
        <w:t>.</w:t>
      </w:r>
      <w:r>
        <w:tab/>
        <w:t>Notation on notice or summons to restrict disclosure</w:t>
      </w:r>
      <w:bookmarkEnd w:id="518"/>
      <w:bookmarkEnd w:id="519"/>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keepNext/>
      </w:pPr>
      <w:r>
        <w:tab/>
        <w:t>(6)</w:t>
      </w:r>
      <w:r>
        <w:tab/>
        <w:t>If the notation is included, it must be accompanied by a written statement describing the effect of section 167.</w:t>
      </w:r>
    </w:p>
    <w:p>
      <w:pPr>
        <w:pStyle w:val="Subsection"/>
        <w:keepNext/>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No. 78 of 2003 s. 17.]</w:t>
      </w:r>
    </w:p>
    <w:p>
      <w:pPr>
        <w:pStyle w:val="Heading3"/>
        <w:spacing w:before="200"/>
      </w:pPr>
      <w:bookmarkStart w:id="520" w:name="_Toc192238839"/>
      <w:bookmarkStart w:id="521" w:name="_Toc192239624"/>
      <w:bookmarkStart w:id="522" w:name="_Toc192239995"/>
      <w:bookmarkStart w:id="523" w:name="_Toc192493007"/>
      <w:bookmarkStart w:id="524" w:name="_Toc185428278"/>
      <w:bookmarkStart w:id="525" w:name="_Toc185428648"/>
      <w:bookmarkStart w:id="526" w:name="_Toc185429020"/>
      <w:r>
        <w:rPr>
          <w:rStyle w:val="CharDivNo"/>
        </w:rPr>
        <w:t>Division 2</w:t>
      </w:r>
      <w:r>
        <w:t> — </w:t>
      </w:r>
      <w:r>
        <w:rPr>
          <w:rStyle w:val="CharDivText"/>
        </w:rPr>
        <w:t>Entry, search and related matters</w:t>
      </w:r>
      <w:bookmarkEnd w:id="520"/>
      <w:bookmarkEnd w:id="521"/>
      <w:bookmarkEnd w:id="522"/>
      <w:bookmarkEnd w:id="523"/>
      <w:bookmarkEnd w:id="524"/>
      <w:bookmarkEnd w:id="525"/>
      <w:bookmarkEnd w:id="526"/>
    </w:p>
    <w:p>
      <w:pPr>
        <w:pStyle w:val="Footnoteheading"/>
        <w:keepNext/>
        <w:tabs>
          <w:tab w:val="clear" w:pos="879"/>
          <w:tab w:val="left" w:pos="896"/>
        </w:tabs>
        <w:spacing w:before="100"/>
      </w:pPr>
      <w:r>
        <w:tab/>
        <w:t>[Heading inserted: No. 78 of 2003 s. 17.]</w:t>
      </w:r>
    </w:p>
    <w:p>
      <w:pPr>
        <w:pStyle w:val="Heading5"/>
        <w:spacing w:before="180"/>
      </w:pPr>
      <w:bookmarkStart w:id="527" w:name="_Toc192493008"/>
      <w:bookmarkStart w:id="528" w:name="_Toc185429021"/>
      <w:r>
        <w:rPr>
          <w:rStyle w:val="CharSectno"/>
        </w:rPr>
        <w:t>100</w:t>
      </w:r>
      <w:r>
        <w:t>.</w:t>
      </w:r>
      <w:r>
        <w:tab/>
        <w:t>Power to enter and search premises of public authority or officer</w:t>
      </w:r>
      <w:bookmarkEnd w:id="527"/>
      <w:bookmarkEnd w:id="528"/>
    </w:p>
    <w:p>
      <w:pPr>
        <w:pStyle w:val="Subsection"/>
        <w:keepNext/>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keepNext/>
      </w:pPr>
      <w:r>
        <w:tab/>
        <w:t>(c)</w:t>
      </w:r>
      <w:r>
        <w:tab/>
        <w:t>any duty of secrecy or other restriction on disclosure applying to a public authority or public officer.</w:t>
      </w:r>
    </w:p>
    <w:p>
      <w:pPr>
        <w:pStyle w:val="Footnotesection"/>
      </w:pPr>
      <w:r>
        <w:tab/>
        <w:t>[Section 100 inserted: No. 78 of 2003 s. 17; amended: No. 35 of 2014 s. 31.]</w:t>
      </w:r>
    </w:p>
    <w:p>
      <w:pPr>
        <w:pStyle w:val="Heading5"/>
      </w:pPr>
      <w:bookmarkStart w:id="529" w:name="_Toc192493009"/>
      <w:bookmarkStart w:id="530" w:name="_Toc185429022"/>
      <w:r>
        <w:rPr>
          <w:rStyle w:val="CharSectno"/>
        </w:rPr>
        <w:t>101</w:t>
      </w:r>
      <w:r>
        <w:t>.</w:t>
      </w:r>
      <w:r>
        <w:tab/>
        <w:t>Search warrants, issue and effect of</w:t>
      </w:r>
      <w:bookmarkEnd w:id="529"/>
      <w:bookmarkEnd w:id="530"/>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keepNext/>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No. 78 of 2003 s. 17; amended: No. 59 of 2006 s. 10.]</w:t>
      </w:r>
    </w:p>
    <w:p>
      <w:pPr>
        <w:pStyle w:val="Heading3"/>
      </w:pPr>
      <w:bookmarkStart w:id="531" w:name="_Toc192238842"/>
      <w:bookmarkStart w:id="532" w:name="_Toc192239627"/>
      <w:bookmarkStart w:id="533" w:name="_Toc192239998"/>
      <w:bookmarkStart w:id="534" w:name="_Toc192493010"/>
      <w:bookmarkStart w:id="535" w:name="_Toc185428281"/>
      <w:bookmarkStart w:id="536" w:name="_Toc185428651"/>
      <w:bookmarkStart w:id="537" w:name="_Toc185429023"/>
      <w:r>
        <w:rPr>
          <w:rStyle w:val="CharDivNo"/>
        </w:rPr>
        <w:t>Division 3</w:t>
      </w:r>
      <w:r>
        <w:t> — </w:t>
      </w:r>
      <w:r>
        <w:rPr>
          <w:rStyle w:val="CharDivText"/>
        </w:rPr>
        <w:t>Assumed identities</w:t>
      </w:r>
      <w:bookmarkEnd w:id="531"/>
      <w:bookmarkEnd w:id="532"/>
      <w:bookmarkEnd w:id="533"/>
      <w:bookmarkEnd w:id="534"/>
      <w:bookmarkEnd w:id="535"/>
      <w:bookmarkEnd w:id="536"/>
      <w:bookmarkEnd w:id="537"/>
    </w:p>
    <w:p>
      <w:pPr>
        <w:pStyle w:val="Footnoteheading"/>
        <w:tabs>
          <w:tab w:val="clear" w:pos="879"/>
          <w:tab w:val="left" w:pos="896"/>
        </w:tabs>
      </w:pPr>
      <w:r>
        <w:tab/>
        <w:t>[Heading inserted: No. 78 of 2003 s. 17.]</w:t>
      </w:r>
    </w:p>
    <w:p>
      <w:pPr>
        <w:pStyle w:val="Heading5"/>
      </w:pPr>
      <w:bookmarkStart w:id="538" w:name="_Toc192493011"/>
      <w:bookmarkStart w:id="539" w:name="_Toc185429024"/>
      <w:r>
        <w:rPr>
          <w:rStyle w:val="CharSectno"/>
        </w:rPr>
        <w:t>102</w:t>
      </w:r>
      <w:r>
        <w:t>.</w:t>
      </w:r>
      <w:r>
        <w:tab/>
        <w:t>Terms used</w:t>
      </w:r>
      <w:bookmarkEnd w:id="538"/>
      <w:bookmarkEnd w:id="539"/>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keepNex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No. 78 of 2003 s. 17; amended: No. 8 of 2009 s. 41(5).]</w:t>
      </w:r>
    </w:p>
    <w:p>
      <w:pPr>
        <w:pStyle w:val="Heading5"/>
      </w:pPr>
      <w:bookmarkStart w:id="540" w:name="_Toc192493012"/>
      <w:bookmarkStart w:id="541" w:name="_Toc185429025"/>
      <w:r>
        <w:rPr>
          <w:rStyle w:val="CharSectno"/>
        </w:rPr>
        <w:t>103</w:t>
      </w:r>
      <w:r>
        <w:t>.</w:t>
      </w:r>
      <w:r>
        <w:tab/>
        <w:t>Assumed identity approval, grant of</w:t>
      </w:r>
      <w:bookmarkEnd w:id="540"/>
      <w:bookmarkEnd w:id="541"/>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keepNext/>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No. 78 of 2003 s. 17.]</w:t>
      </w:r>
    </w:p>
    <w:p>
      <w:pPr>
        <w:pStyle w:val="Heading5"/>
      </w:pPr>
      <w:bookmarkStart w:id="542" w:name="_Toc192493013"/>
      <w:bookmarkStart w:id="543" w:name="_Toc185429026"/>
      <w:r>
        <w:rPr>
          <w:rStyle w:val="CharSectno"/>
        </w:rPr>
        <w:t>104</w:t>
      </w:r>
      <w:r>
        <w:t>.</w:t>
      </w:r>
      <w:r>
        <w:tab/>
        <w:t>What assumed identity approval authorises</w:t>
      </w:r>
      <w:bookmarkEnd w:id="542"/>
      <w:bookmarkEnd w:id="543"/>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No. 78 of 2003 s. 17.]</w:t>
      </w:r>
    </w:p>
    <w:p>
      <w:pPr>
        <w:pStyle w:val="Heading5"/>
      </w:pPr>
      <w:bookmarkStart w:id="544" w:name="_Toc192493014"/>
      <w:bookmarkStart w:id="545" w:name="_Toc185429027"/>
      <w:r>
        <w:rPr>
          <w:rStyle w:val="CharSectno"/>
        </w:rPr>
        <w:t>105</w:t>
      </w:r>
      <w:r>
        <w:t>.</w:t>
      </w:r>
      <w:r>
        <w:tab/>
        <w:t>Issuing evidence of assumed identity</w:t>
      </w:r>
      <w:bookmarkEnd w:id="544"/>
      <w:bookmarkEnd w:id="545"/>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keepNex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No. 78 of 2003 s. 17.]</w:t>
      </w:r>
    </w:p>
    <w:p>
      <w:pPr>
        <w:pStyle w:val="Heading5"/>
      </w:pPr>
      <w:bookmarkStart w:id="546" w:name="_Toc192493015"/>
      <w:bookmarkStart w:id="547" w:name="_Toc185429028"/>
      <w:r>
        <w:rPr>
          <w:rStyle w:val="CharSectno"/>
        </w:rPr>
        <w:t>106</w:t>
      </w:r>
      <w:r>
        <w:t>.</w:t>
      </w:r>
      <w:r>
        <w:tab/>
        <w:t>Court orders as to entries in register</w:t>
      </w:r>
      <w:bookmarkEnd w:id="546"/>
      <w:bookmarkEnd w:id="547"/>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No. 78 of 2003 s. 17.]</w:t>
      </w:r>
    </w:p>
    <w:p>
      <w:pPr>
        <w:pStyle w:val="Heading5"/>
        <w:spacing w:before="180"/>
      </w:pPr>
      <w:bookmarkStart w:id="548" w:name="_Toc192493016"/>
      <w:bookmarkStart w:id="549" w:name="_Toc185429029"/>
      <w:r>
        <w:rPr>
          <w:rStyle w:val="CharSectno"/>
        </w:rPr>
        <w:t>107</w:t>
      </w:r>
      <w:r>
        <w:t>.</w:t>
      </w:r>
      <w:r>
        <w:tab/>
        <w:t>Hearing of application under s. 106 or 109</w:t>
      </w:r>
      <w:bookmarkEnd w:id="548"/>
      <w:bookmarkEnd w:id="549"/>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keepNext/>
      </w:pPr>
      <w:r>
        <w:tab/>
        <w:t>(4)</w:t>
      </w:r>
      <w:r>
        <w:tab/>
        <w:t>Nothing in this section prevents a person who was present at an application from giving oral evidence to a court about things that happened at the application.</w:t>
      </w:r>
    </w:p>
    <w:p>
      <w:pPr>
        <w:pStyle w:val="Footnotesection"/>
      </w:pPr>
      <w:r>
        <w:tab/>
        <w:t>[Section 107 inserted: No. 78 of 2003 s. 17.]</w:t>
      </w:r>
    </w:p>
    <w:p>
      <w:pPr>
        <w:pStyle w:val="Heading5"/>
        <w:spacing w:before="180"/>
      </w:pPr>
      <w:bookmarkStart w:id="550" w:name="_Toc192493017"/>
      <w:bookmarkStart w:id="551" w:name="_Toc185429030"/>
      <w:r>
        <w:rPr>
          <w:rStyle w:val="CharSectno"/>
        </w:rPr>
        <w:t>108</w:t>
      </w:r>
      <w:r>
        <w:t>.</w:t>
      </w:r>
      <w:r>
        <w:tab/>
        <w:t>Cancellation of evidence of assumed identity</w:t>
      </w:r>
      <w:bookmarkEnd w:id="550"/>
      <w:bookmarkEnd w:id="551"/>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No. 78 of 2003 s. 17.]</w:t>
      </w:r>
    </w:p>
    <w:p>
      <w:pPr>
        <w:pStyle w:val="Heading5"/>
        <w:spacing w:before="180"/>
      </w:pPr>
      <w:bookmarkStart w:id="552" w:name="_Toc192493018"/>
      <w:bookmarkStart w:id="553" w:name="_Toc185429031"/>
      <w:r>
        <w:rPr>
          <w:rStyle w:val="CharSectno"/>
        </w:rPr>
        <w:t>109</w:t>
      </w:r>
      <w:r>
        <w:t>.</w:t>
      </w:r>
      <w:r>
        <w:tab/>
        <w:t>Cancellation of approval affecting entry in register</w:t>
      </w:r>
      <w:bookmarkEnd w:id="552"/>
      <w:bookmarkEnd w:id="553"/>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No. 78 of 2003 s. 17.]</w:t>
      </w:r>
    </w:p>
    <w:p>
      <w:pPr>
        <w:pStyle w:val="Heading5"/>
      </w:pPr>
      <w:bookmarkStart w:id="554" w:name="_Toc192493019"/>
      <w:bookmarkStart w:id="555" w:name="_Toc185429032"/>
      <w:r>
        <w:rPr>
          <w:rStyle w:val="CharSectno"/>
        </w:rPr>
        <w:t>110</w:t>
      </w:r>
      <w:r>
        <w:t>.</w:t>
      </w:r>
      <w:r>
        <w:tab/>
        <w:t>Court may order entries in register to be cancelled</w:t>
      </w:r>
      <w:bookmarkEnd w:id="554"/>
      <w:bookmarkEnd w:id="555"/>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tab/>
        <w:t>(2)</w:t>
      </w:r>
      <w:r>
        <w:tab/>
        <w:t>The Registrar must give effect to the order within 28 days after the day on which the order is made.</w:t>
      </w:r>
    </w:p>
    <w:p>
      <w:pPr>
        <w:pStyle w:val="Footnotesection"/>
      </w:pPr>
      <w:r>
        <w:tab/>
        <w:t>[Section 110 inserted: No. 78 of 2003 s. 17.]</w:t>
      </w:r>
    </w:p>
    <w:p>
      <w:pPr>
        <w:pStyle w:val="Heading5"/>
      </w:pPr>
      <w:bookmarkStart w:id="556" w:name="_Toc192493020"/>
      <w:bookmarkStart w:id="557" w:name="_Toc185429033"/>
      <w:r>
        <w:rPr>
          <w:rStyle w:val="CharSectno"/>
        </w:rPr>
        <w:t>111</w:t>
      </w:r>
      <w:r>
        <w:t>.</w:t>
      </w:r>
      <w:r>
        <w:tab/>
        <w:t>Protection from liability</w:t>
      </w:r>
      <w:bookmarkEnd w:id="556"/>
      <w:bookmarkEnd w:id="557"/>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No. 78 of 2003 s. 17.]</w:t>
      </w:r>
    </w:p>
    <w:p>
      <w:pPr>
        <w:pStyle w:val="Heading5"/>
      </w:pPr>
      <w:bookmarkStart w:id="558" w:name="_Toc192493021"/>
      <w:bookmarkStart w:id="559" w:name="_Toc185429034"/>
      <w:r>
        <w:rPr>
          <w:rStyle w:val="CharSectno"/>
        </w:rPr>
        <w:t>112</w:t>
      </w:r>
      <w:r>
        <w:t>.</w:t>
      </w:r>
      <w:r>
        <w:tab/>
        <w:t>Commission to indemnify agencies and officers</w:t>
      </w:r>
      <w:bookmarkEnd w:id="558"/>
      <w:bookmarkEnd w:id="559"/>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No. 78 of 2003 s. 17.]</w:t>
      </w:r>
    </w:p>
    <w:p>
      <w:pPr>
        <w:pStyle w:val="Heading5"/>
      </w:pPr>
      <w:bookmarkStart w:id="560" w:name="_Toc192493022"/>
      <w:bookmarkStart w:id="561" w:name="_Toc185429035"/>
      <w:r>
        <w:rPr>
          <w:rStyle w:val="CharSectno"/>
        </w:rPr>
        <w:t>113</w:t>
      </w:r>
      <w:r>
        <w:t>.</w:t>
      </w:r>
      <w:r>
        <w:tab/>
        <w:t>Operation of s. 111 and 112 limited in some cases</w:t>
      </w:r>
      <w:bookmarkEnd w:id="560"/>
      <w:bookmarkEnd w:id="561"/>
    </w:p>
    <w:p>
      <w:pPr>
        <w:pStyle w:val="Subsection"/>
        <w:spacing w:before="100"/>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spacing w:before="100"/>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No. 78 of 2003 s. 17.]</w:t>
      </w:r>
    </w:p>
    <w:p>
      <w:pPr>
        <w:pStyle w:val="Heading5"/>
      </w:pPr>
      <w:bookmarkStart w:id="562" w:name="_Toc192493023"/>
      <w:bookmarkStart w:id="563" w:name="_Toc185429036"/>
      <w:r>
        <w:rPr>
          <w:rStyle w:val="CharSectno"/>
        </w:rPr>
        <w:t>114</w:t>
      </w:r>
      <w:r>
        <w:t>.</w:t>
      </w:r>
      <w:r>
        <w:tab/>
        <w:t>Identity of certain officers not to be disclosed in legal proceedings</w:t>
      </w:r>
      <w:bookmarkEnd w:id="562"/>
      <w:bookmarkEnd w:id="563"/>
    </w:p>
    <w:p>
      <w:pPr>
        <w:pStyle w:val="Subsection"/>
        <w:spacing w:before="10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keepNext/>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No. 78 of 2003 s. 17.]</w:t>
      </w:r>
    </w:p>
    <w:p>
      <w:pPr>
        <w:pStyle w:val="Heading5"/>
        <w:keepNext w:val="0"/>
        <w:keepLines w:val="0"/>
        <w:spacing w:before="180"/>
      </w:pPr>
      <w:bookmarkStart w:id="564" w:name="_Toc192493024"/>
      <w:bookmarkStart w:id="565" w:name="_Toc185429037"/>
      <w:r>
        <w:rPr>
          <w:rStyle w:val="CharSectno"/>
        </w:rPr>
        <w:t>115</w:t>
      </w:r>
      <w:r>
        <w:t>.</w:t>
      </w:r>
      <w:r>
        <w:tab/>
        <w:t>Information about identity not to be disclosed</w:t>
      </w:r>
      <w:bookmarkEnd w:id="564"/>
      <w:bookmarkEnd w:id="565"/>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No. 78 of 2003 s. 17.]</w:t>
      </w:r>
    </w:p>
    <w:p>
      <w:pPr>
        <w:pStyle w:val="Heading5"/>
        <w:spacing w:before="240"/>
      </w:pPr>
      <w:bookmarkStart w:id="566" w:name="_Toc192493025"/>
      <w:bookmarkStart w:id="567" w:name="_Toc185429038"/>
      <w:r>
        <w:rPr>
          <w:rStyle w:val="CharSectno"/>
        </w:rPr>
        <w:t>116</w:t>
      </w:r>
      <w:r>
        <w:t>.</w:t>
      </w:r>
      <w:r>
        <w:tab/>
        <w:t>Misuse of assumed identity</w:t>
      </w:r>
      <w:bookmarkEnd w:id="566"/>
      <w:bookmarkEnd w:id="567"/>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No. 78 of 2003 s. 17.]</w:t>
      </w:r>
    </w:p>
    <w:p>
      <w:pPr>
        <w:pStyle w:val="Heading5"/>
        <w:spacing w:before="240"/>
      </w:pPr>
      <w:bookmarkStart w:id="568" w:name="_Toc192493026"/>
      <w:bookmarkStart w:id="569" w:name="_Toc185429039"/>
      <w:r>
        <w:rPr>
          <w:rStyle w:val="CharSectno"/>
        </w:rPr>
        <w:t>117</w:t>
      </w:r>
      <w:r>
        <w:t>.</w:t>
      </w:r>
      <w:r>
        <w:tab/>
        <w:t>Admissibility of certain Commission documents</w:t>
      </w:r>
      <w:bookmarkEnd w:id="568"/>
      <w:bookmarkEnd w:id="569"/>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No. 78 of 2003 s. 17.]</w:t>
      </w:r>
    </w:p>
    <w:p>
      <w:pPr>
        <w:pStyle w:val="Heading5"/>
      </w:pPr>
      <w:bookmarkStart w:id="570" w:name="_Toc192493027"/>
      <w:bookmarkStart w:id="571" w:name="_Toc185429040"/>
      <w:r>
        <w:rPr>
          <w:rStyle w:val="CharSectno"/>
        </w:rPr>
        <w:t>118</w:t>
      </w:r>
      <w:r>
        <w:t>.</w:t>
      </w:r>
      <w:r>
        <w:tab/>
        <w:t>Assumed identity approvals to be reviewed periodically</w:t>
      </w:r>
      <w:bookmarkEnd w:id="570"/>
      <w:bookmarkEnd w:id="571"/>
    </w:p>
    <w:p>
      <w:pPr>
        <w:pStyle w:val="Subsection"/>
      </w:pPr>
      <w:r>
        <w:tab/>
      </w:r>
      <w:r>
        <w:tab/>
        <w:t>The Commission must review each assumed identity approval at least once every 6 months while the approval is in force.</w:t>
      </w:r>
    </w:p>
    <w:p>
      <w:pPr>
        <w:pStyle w:val="Footnotesection"/>
      </w:pPr>
      <w:r>
        <w:tab/>
        <w:t>[Section 118 inserted: No. 78 of 2003 s. 17.]</w:t>
      </w:r>
    </w:p>
    <w:p>
      <w:pPr>
        <w:pStyle w:val="Heading3"/>
      </w:pPr>
      <w:bookmarkStart w:id="572" w:name="_Toc192238860"/>
      <w:bookmarkStart w:id="573" w:name="_Toc192239645"/>
      <w:bookmarkStart w:id="574" w:name="_Toc192240016"/>
      <w:bookmarkStart w:id="575" w:name="_Toc192493028"/>
      <w:bookmarkStart w:id="576" w:name="_Toc185428299"/>
      <w:bookmarkStart w:id="577" w:name="_Toc185428669"/>
      <w:bookmarkStart w:id="578" w:name="_Toc185429041"/>
      <w:r>
        <w:rPr>
          <w:rStyle w:val="CharDivNo"/>
        </w:rPr>
        <w:t>Division 4</w:t>
      </w:r>
      <w:r>
        <w:t> — </w:t>
      </w:r>
      <w:r>
        <w:rPr>
          <w:rStyle w:val="CharDivText"/>
        </w:rPr>
        <w:t>Controlled operations and integrity testing programmes</w:t>
      </w:r>
      <w:bookmarkEnd w:id="572"/>
      <w:bookmarkEnd w:id="573"/>
      <w:bookmarkEnd w:id="574"/>
      <w:bookmarkEnd w:id="575"/>
      <w:bookmarkEnd w:id="576"/>
      <w:bookmarkEnd w:id="577"/>
      <w:bookmarkEnd w:id="578"/>
    </w:p>
    <w:p>
      <w:pPr>
        <w:pStyle w:val="Footnoteheading"/>
        <w:tabs>
          <w:tab w:val="clear" w:pos="879"/>
          <w:tab w:val="left" w:pos="896"/>
        </w:tabs>
      </w:pPr>
      <w:r>
        <w:tab/>
        <w:t>[Heading inserted: No. 78 of 2003 s. 17.]</w:t>
      </w:r>
    </w:p>
    <w:p>
      <w:pPr>
        <w:pStyle w:val="Heading5"/>
      </w:pPr>
      <w:bookmarkStart w:id="579" w:name="_Toc192493029"/>
      <w:bookmarkStart w:id="580" w:name="_Toc185429042"/>
      <w:r>
        <w:rPr>
          <w:rStyle w:val="CharSectno"/>
        </w:rPr>
        <w:t>119</w:t>
      </w:r>
      <w:r>
        <w:t>.</w:t>
      </w:r>
      <w:r>
        <w:tab/>
        <w:t>Terms used</w:t>
      </w:r>
      <w:bookmarkEnd w:id="579"/>
      <w:bookmarkEnd w:id="580"/>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No. 78 of 2003 s. 17; amended: No. 35 of 2014 s. 23.]</w:t>
      </w:r>
    </w:p>
    <w:p>
      <w:pPr>
        <w:pStyle w:val="Heading5"/>
      </w:pPr>
      <w:bookmarkStart w:id="581" w:name="_Toc192493030"/>
      <w:bookmarkStart w:id="582" w:name="_Toc185429043"/>
      <w:r>
        <w:rPr>
          <w:rStyle w:val="CharSectno"/>
        </w:rPr>
        <w:t>120</w:t>
      </w:r>
      <w:r>
        <w:t>.</w:t>
      </w:r>
      <w:r>
        <w:tab/>
        <w:t>Division does not limit certain court powers</w:t>
      </w:r>
      <w:bookmarkEnd w:id="581"/>
      <w:bookmarkEnd w:id="582"/>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No. 78 of 2003 s. 17.]</w:t>
      </w:r>
    </w:p>
    <w:p>
      <w:pPr>
        <w:pStyle w:val="Heading5"/>
      </w:pPr>
      <w:bookmarkStart w:id="583" w:name="_Toc192493031"/>
      <w:bookmarkStart w:id="584" w:name="_Toc185429044"/>
      <w:r>
        <w:rPr>
          <w:rStyle w:val="CharSectno"/>
        </w:rPr>
        <w:t>121</w:t>
      </w:r>
      <w:r>
        <w:t>.</w:t>
      </w:r>
      <w:r>
        <w:tab/>
        <w:t>Controlled operation, grant of authority to conduct</w:t>
      </w:r>
      <w:bookmarkEnd w:id="583"/>
      <w:bookmarkEnd w:id="584"/>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keepNext/>
        <w:spacing w:before="120"/>
      </w:pPr>
      <w:r>
        <w:tab/>
        <w:t>(8)</w:t>
      </w:r>
      <w:r>
        <w:tab/>
        <w:t>Unless it is sooner cancelled, an authority remains in force for the period specified in the authority.</w:t>
      </w:r>
    </w:p>
    <w:p>
      <w:pPr>
        <w:pStyle w:val="Footnotesection"/>
      </w:pPr>
      <w:r>
        <w:tab/>
        <w:t>[Section 121 inserted: No. 78 of 2003 s. 17.]</w:t>
      </w:r>
    </w:p>
    <w:p>
      <w:pPr>
        <w:pStyle w:val="Heading5"/>
        <w:spacing w:before="180"/>
      </w:pPr>
      <w:bookmarkStart w:id="585" w:name="_Toc192493032"/>
      <w:bookmarkStart w:id="586" w:name="_Toc185429045"/>
      <w:r>
        <w:rPr>
          <w:rStyle w:val="CharSectno"/>
        </w:rPr>
        <w:t>122</w:t>
      </w:r>
      <w:r>
        <w:t>.</w:t>
      </w:r>
      <w:r>
        <w:tab/>
        <w:t>Limits as to what may be done in, granting authority for, or who may take part in, controlled operation</w:t>
      </w:r>
      <w:bookmarkEnd w:id="585"/>
      <w:bookmarkEnd w:id="586"/>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No. 78 of 2003 s. 17; amended: No. 10 of 2018 s. 11.]</w:t>
      </w:r>
    </w:p>
    <w:p>
      <w:pPr>
        <w:pStyle w:val="Heading5"/>
      </w:pPr>
      <w:bookmarkStart w:id="587" w:name="_Toc192493033"/>
      <w:bookmarkStart w:id="588" w:name="_Toc185429046"/>
      <w:r>
        <w:rPr>
          <w:rStyle w:val="CharSectno"/>
        </w:rPr>
        <w:t>123</w:t>
      </w:r>
      <w:r>
        <w:t>.</w:t>
      </w:r>
      <w:r>
        <w:tab/>
        <w:t>Integrity testing programme, grant of authority to conduct</w:t>
      </w:r>
      <w:bookmarkEnd w:id="587"/>
      <w:bookmarkEnd w:id="588"/>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No. 78 of 2003 s. 17.]</w:t>
      </w:r>
    </w:p>
    <w:p>
      <w:pPr>
        <w:pStyle w:val="Heading5"/>
        <w:keepLines w:val="0"/>
      </w:pPr>
      <w:bookmarkStart w:id="589" w:name="_Toc192493034"/>
      <w:bookmarkStart w:id="590" w:name="_Toc185429047"/>
      <w:r>
        <w:rPr>
          <w:rStyle w:val="CharSectno"/>
        </w:rPr>
        <w:t>124</w:t>
      </w:r>
      <w:r>
        <w:t>.</w:t>
      </w:r>
      <w:r>
        <w:tab/>
        <w:t>Varying authority</w:t>
      </w:r>
      <w:bookmarkEnd w:id="589"/>
      <w:bookmarkEnd w:id="590"/>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No. 78 of 2003 s. 17.]</w:t>
      </w:r>
    </w:p>
    <w:p>
      <w:pPr>
        <w:pStyle w:val="Heading5"/>
        <w:spacing w:before="180"/>
      </w:pPr>
      <w:bookmarkStart w:id="591" w:name="_Toc192493035"/>
      <w:bookmarkStart w:id="592" w:name="_Toc185429048"/>
      <w:r>
        <w:rPr>
          <w:rStyle w:val="CharSectno"/>
        </w:rPr>
        <w:t>125</w:t>
      </w:r>
      <w:r>
        <w:t>.</w:t>
      </w:r>
      <w:r>
        <w:tab/>
        <w:t>Cancelling authority</w:t>
      </w:r>
      <w:bookmarkEnd w:id="591"/>
      <w:bookmarkEnd w:id="592"/>
    </w:p>
    <w:p>
      <w:pPr>
        <w:pStyle w:val="Subsection"/>
      </w:pPr>
      <w:r>
        <w:tab/>
        <w:t>(1)</w:t>
      </w:r>
      <w:r>
        <w:tab/>
        <w:t>The Commission may, by order in writing, cancel an authority.</w:t>
      </w:r>
    </w:p>
    <w:p>
      <w:pPr>
        <w:pStyle w:val="Subsection"/>
        <w:keepNext/>
      </w:pPr>
      <w:r>
        <w:tab/>
        <w:t>(2)</w:t>
      </w:r>
      <w:r>
        <w:tab/>
        <w:t>Cancellation of an authority takes effect at the time the order is made or at such later time as may be specified in the order.</w:t>
      </w:r>
    </w:p>
    <w:p>
      <w:pPr>
        <w:pStyle w:val="Footnotesection"/>
        <w:ind w:left="890" w:hanging="890"/>
      </w:pPr>
      <w:r>
        <w:tab/>
        <w:t>[Section 125 inserted: No. 78 of 2003 s. 17.]</w:t>
      </w:r>
    </w:p>
    <w:p>
      <w:pPr>
        <w:pStyle w:val="Heading5"/>
      </w:pPr>
      <w:bookmarkStart w:id="593" w:name="_Toc192493036"/>
      <w:bookmarkStart w:id="594" w:name="_Toc185429049"/>
      <w:r>
        <w:rPr>
          <w:rStyle w:val="CharSectno"/>
        </w:rPr>
        <w:t>126</w:t>
      </w:r>
      <w:r>
        <w:t>.</w:t>
      </w:r>
      <w:r>
        <w:tab/>
        <w:t>Effect of authority</w:t>
      </w:r>
      <w:bookmarkEnd w:id="593"/>
      <w:bookmarkEnd w:id="594"/>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No. 78 of 2003 s. 17.]</w:t>
      </w:r>
    </w:p>
    <w:p>
      <w:pPr>
        <w:pStyle w:val="Heading5"/>
      </w:pPr>
      <w:bookmarkStart w:id="595" w:name="_Toc192493037"/>
      <w:bookmarkStart w:id="596" w:name="_Toc185429050"/>
      <w:r>
        <w:rPr>
          <w:rStyle w:val="CharSectno"/>
        </w:rPr>
        <w:t>127</w:t>
      </w:r>
      <w:r>
        <w:t>.</w:t>
      </w:r>
      <w:r>
        <w:tab/>
        <w:t>Defect in authority</w:t>
      </w:r>
      <w:bookmarkEnd w:id="595"/>
      <w:bookmarkEnd w:id="596"/>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No. 78 of 2003 s. 17.]</w:t>
      </w:r>
    </w:p>
    <w:p>
      <w:pPr>
        <w:pStyle w:val="Heading5"/>
        <w:spacing w:before="200"/>
      </w:pPr>
      <w:bookmarkStart w:id="597" w:name="_Toc192493038"/>
      <w:bookmarkStart w:id="598" w:name="_Toc185429051"/>
      <w:r>
        <w:rPr>
          <w:rStyle w:val="CharSectno"/>
        </w:rPr>
        <w:t>128</w:t>
      </w:r>
      <w:r>
        <w:t>.</w:t>
      </w:r>
      <w:r>
        <w:tab/>
        <w:t>Protection from criminal responsibility for acts in authorised operation</w:t>
      </w:r>
      <w:bookmarkEnd w:id="597"/>
      <w:bookmarkEnd w:id="598"/>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No. 78 of 2003 s. 17.]</w:t>
      </w:r>
    </w:p>
    <w:p>
      <w:pPr>
        <w:pStyle w:val="Heading5"/>
      </w:pPr>
      <w:bookmarkStart w:id="599" w:name="_Toc192493039"/>
      <w:bookmarkStart w:id="600" w:name="_Toc185429052"/>
      <w:r>
        <w:rPr>
          <w:rStyle w:val="CharSectno"/>
        </w:rPr>
        <w:t>129</w:t>
      </w:r>
      <w:r>
        <w:t>.</w:t>
      </w:r>
      <w:r>
        <w:tab/>
        <w:t>Indemnity against civil liability for officer participants</w:t>
      </w:r>
      <w:bookmarkEnd w:id="599"/>
      <w:bookmarkEnd w:id="600"/>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No. 78 of 2003 s. 17.]</w:t>
      </w:r>
    </w:p>
    <w:p>
      <w:pPr>
        <w:pStyle w:val="Heading5"/>
      </w:pPr>
      <w:bookmarkStart w:id="601" w:name="_Toc192493040"/>
      <w:bookmarkStart w:id="602" w:name="_Toc185429053"/>
      <w:r>
        <w:rPr>
          <w:rStyle w:val="CharSectno"/>
        </w:rPr>
        <w:t>130</w:t>
      </w:r>
      <w:r>
        <w:t>.</w:t>
      </w:r>
      <w:r>
        <w:tab/>
        <w:t>Requirements to be met to obtain protection from criminal responsibility or indemnity</w:t>
      </w:r>
      <w:bookmarkEnd w:id="601"/>
      <w:bookmarkEnd w:id="602"/>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No. 78 of 2003 s. 17.]</w:t>
      </w:r>
    </w:p>
    <w:p>
      <w:pPr>
        <w:pStyle w:val="Heading5"/>
      </w:pPr>
      <w:bookmarkStart w:id="603" w:name="_Toc192493041"/>
      <w:bookmarkStart w:id="604" w:name="_Toc185429054"/>
      <w:r>
        <w:rPr>
          <w:rStyle w:val="CharSectno"/>
        </w:rPr>
        <w:t>131</w:t>
      </w:r>
      <w:r>
        <w:t>.</w:t>
      </w:r>
      <w:r>
        <w:tab/>
        <w:t>Effect of being unaware of variation or cancellation of authority</w:t>
      </w:r>
      <w:bookmarkEnd w:id="603"/>
      <w:bookmarkEnd w:id="604"/>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spacing w:before="10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No. 78 of 2003 s. 17.]</w:t>
      </w:r>
    </w:p>
    <w:p>
      <w:pPr>
        <w:pStyle w:val="Heading5"/>
      </w:pPr>
      <w:bookmarkStart w:id="605" w:name="_Toc192493042"/>
      <w:bookmarkStart w:id="606" w:name="_Toc185429055"/>
      <w:r>
        <w:rPr>
          <w:rStyle w:val="CharSectno"/>
        </w:rPr>
        <w:t>132</w:t>
      </w:r>
      <w:r>
        <w:t>.</w:t>
      </w:r>
      <w:r>
        <w:tab/>
        <w:t>Protection from criminal responsibility for some ancillary activities</w:t>
      </w:r>
      <w:bookmarkEnd w:id="605"/>
      <w:bookmarkEnd w:id="606"/>
    </w:p>
    <w:p>
      <w:pPr>
        <w:pStyle w:val="Subsection"/>
        <w:spacing w:before="10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No. 78 of 2003 s. 17.]</w:t>
      </w:r>
    </w:p>
    <w:p>
      <w:pPr>
        <w:pStyle w:val="Heading5"/>
      </w:pPr>
      <w:bookmarkStart w:id="607" w:name="_Toc192493043"/>
      <w:bookmarkStart w:id="608" w:name="_Toc185429056"/>
      <w:r>
        <w:rPr>
          <w:rStyle w:val="CharSectno"/>
        </w:rPr>
        <w:t>133</w:t>
      </w:r>
      <w:r>
        <w:t>.</w:t>
      </w:r>
      <w:r>
        <w:tab/>
        <w:t>Admissibility of certain Commission documents</w:t>
      </w:r>
      <w:bookmarkEnd w:id="607"/>
      <w:bookmarkEnd w:id="608"/>
    </w:p>
    <w:p>
      <w:pPr>
        <w:pStyle w:val="Subsection"/>
      </w:pPr>
      <w:r>
        <w:tab/>
        <w:t>(1)</w:t>
      </w:r>
      <w:r>
        <w:tab/>
        <w:t>A document purporting to be an authority granted by the Commission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No. 78 of 2003 s. 17; amended: No. 5 of 2024 s. 18.]</w:t>
      </w:r>
    </w:p>
    <w:p>
      <w:pPr>
        <w:pStyle w:val="Heading5"/>
        <w:spacing w:before="180"/>
      </w:pPr>
      <w:bookmarkStart w:id="609" w:name="_Toc192493044"/>
      <w:bookmarkStart w:id="610" w:name="_Toc185429057"/>
      <w:r>
        <w:rPr>
          <w:rStyle w:val="CharSectno"/>
        </w:rPr>
        <w:t>134</w:t>
      </w:r>
      <w:r>
        <w:t>.</w:t>
      </w:r>
      <w:r>
        <w:tab/>
        <w:t>Identity of certain participants not to be disclosed in legal proceedings</w:t>
      </w:r>
      <w:bookmarkEnd w:id="609"/>
      <w:bookmarkEnd w:id="610"/>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No. 78 of 2003 s. 17.]</w:t>
      </w:r>
    </w:p>
    <w:p>
      <w:pPr>
        <w:pStyle w:val="Heading3"/>
      </w:pPr>
      <w:bookmarkStart w:id="611" w:name="_Toc192238877"/>
      <w:bookmarkStart w:id="612" w:name="_Toc192239662"/>
      <w:bookmarkStart w:id="613" w:name="_Toc192240033"/>
      <w:bookmarkStart w:id="614" w:name="_Toc192493045"/>
      <w:bookmarkStart w:id="615" w:name="_Toc185428316"/>
      <w:bookmarkStart w:id="616" w:name="_Toc185428686"/>
      <w:bookmarkStart w:id="617" w:name="_Toc185429058"/>
      <w:r>
        <w:rPr>
          <w:rStyle w:val="CharDivNo"/>
        </w:rPr>
        <w:t>Division 5</w:t>
      </w:r>
      <w:r>
        <w:t> — </w:t>
      </w:r>
      <w:r>
        <w:rPr>
          <w:rStyle w:val="CharDivText"/>
        </w:rPr>
        <w:t>General</w:t>
      </w:r>
      <w:bookmarkEnd w:id="611"/>
      <w:bookmarkEnd w:id="612"/>
      <w:bookmarkEnd w:id="613"/>
      <w:bookmarkEnd w:id="614"/>
      <w:bookmarkEnd w:id="615"/>
      <w:bookmarkEnd w:id="616"/>
      <w:bookmarkEnd w:id="617"/>
    </w:p>
    <w:p>
      <w:pPr>
        <w:pStyle w:val="Footnoteheading"/>
        <w:keepNext/>
        <w:tabs>
          <w:tab w:val="clear" w:pos="879"/>
          <w:tab w:val="left" w:pos="896"/>
        </w:tabs>
      </w:pPr>
      <w:r>
        <w:tab/>
        <w:t>[Heading inserted: No. 78 of 2003 s. 17.]</w:t>
      </w:r>
    </w:p>
    <w:p>
      <w:pPr>
        <w:pStyle w:val="Heading5"/>
      </w:pPr>
      <w:bookmarkStart w:id="618" w:name="_Toc192493046"/>
      <w:bookmarkStart w:id="619" w:name="_Toc185429059"/>
      <w:r>
        <w:rPr>
          <w:rStyle w:val="CharSectno"/>
        </w:rPr>
        <w:t>135</w:t>
      </w:r>
      <w:r>
        <w:t>.</w:t>
      </w:r>
      <w:r>
        <w:tab/>
        <w:t>Law of evidence, application to Commission</w:t>
      </w:r>
      <w:bookmarkEnd w:id="618"/>
      <w:bookmarkEnd w:id="619"/>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No. 78 of 2003 s. 17.]</w:t>
      </w:r>
    </w:p>
    <w:p>
      <w:pPr>
        <w:pStyle w:val="Heading5"/>
      </w:pPr>
      <w:bookmarkStart w:id="620" w:name="_Toc192493047"/>
      <w:bookmarkStart w:id="621" w:name="_Toc185429060"/>
      <w:r>
        <w:rPr>
          <w:rStyle w:val="CharSectno"/>
        </w:rPr>
        <w:t>136</w:t>
      </w:r>
      <w:r>
        <w:t>.</w:t>
      </w:r>
      <w:r>
        <w:tab/>
        <w:t>Ancillary powers of Commission</w:t>
      </w:r>
      <w:bookmarkEnd w:id="620"/>
      <w:bookmarkEnd w:id="621"/>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No. 78 of 2003 s. 17; amended: No. 10 of 2018 s. 12.]</w:t>
      </w:r>
    </w:p>
    <w:p>
      <w:pPr>
        <w:pStyle w:val="Heading2"/>
      </w:pPr>
      <w:bookmarkStart w:id="622" w:name="_Toc192238880"/>
      <w:bookmarkStart w:id="623" w:name="_Toc192239665"/>
      <w:bookmarkStart w:id="624" w:name="_Toc192240036"/>
      <w:bookmarkStart w:id="625" w:name="_Toc192493048"/>
      <w:bookmarkStart w:id="626" w:name="_Toc185428319"/>
      <w:bookmarkStart w:id="627" w:name="_Toc185428689"/>
      <w:bookmarkStart w:id="628" w:name="_Toc185429061"/>
      <w:r>
        <w:rPr>
          <w:rStyle w:val="CharPartNo"/>
        </w:rPr>
        <w:t>Part 7</w:t>
      </w:r>
      <w:r>
        <w:rPr>
          <w:b w:val="0"/>
        </w:rPr>
        <w:t> </w:t>
      </w:r>
      <w:r>
        <w:t>—</w:t>
      </w:r>
      <w:r>
        <w:rPr>
          <w:b w:val="0"/>
        </w:rPr>
        <w:t> </w:t>
      </w:r>
      <w:r>
        <w:rPr>
          <w:rStyle w:val="CharPartText"/>
        </w:rPr>
        <w:t>Examinations and deciding claims of privilege and excuse</w:t>
      </w:r>
      <w:bookmarkEnd w:id="622"/>
      <w:bookmarkEnd w:id="623"/>
      <w:bookmarkEnd w:id="624"/>
      <w:bookmarkEnd w:id="625"/>
      <w:bookmarkEnd w:id="626"/>
      <w:bookmarkEnd w:id="627"/>
      <w:bookmarkEnd w:id="628"/>
    </w:p>
    <w:p>
      <w:pPr>
        <w:pStyle w:val="Footnoteheading"/>
        <w:keepNext/>
        <w:tabs>
          <w:tab w:val="clear" w:pos="879"/>
          <w:tab w:val="left" w:pos="896"/>
        </w:tabs>
      </w:pPr>
      <w:r>
        <w:tab/>
        <w:t>[Heading inserted: No. 78 of 2003 s. 17.]</w:t>
      </w:r>
    </w:p>
    <w:p>
      <w:pPr>
        <w:pStyle w:val="Heading3"/>
      </w:pPr>
      <w:bookmarkStart w:id="629" w:name="_Toc192238881"/>
      <w:bookmarkStart w:id="630" w:name="_Toc192239666"/>
      <w:bookmarkStart w:id="631" w:name="_Toc192240037"/>
      <w:bookmarkStart w:id="632" w:name="_Toc192493049"/>
      <w:bookmarkStart w:id="633" w:name="_Toc185428320"/>
      <w:bookmarkStart w:id="634" w:name="_Toc185428690"/>
      <w:bookmarkStart w:id="635" w:name="_Toc185429062"/>
      <w:r>
        <w:rPr>
          <w:rStyle w:val="CharDivNo"/>
        </w:rPr>
        <w:t>Division 1</w:t>
      </w:r>
      <w:r>
        <w:t> — </w:t>
      </w:r>
      <w:r>
        <w:rPr>
          <w:rStyle w:val="CharDivText"/>
        </w:rPr>
        <w:t>Examinations</w:t>
      </w:r>
      <w:bookmarkEnd w:id="629"/>
      <w:bookmarkEnd w:id="630"/>
      <w:bookmarkEnd w:id="631"/>
      <w:bookmarkEnd w:id="632"/>
      <w:bookmarkEnd w:id="633"/>
      <w:bookmarkEnd w:id="634"/>
      <w:bookmarkEnd w:id="635"/>
    </w:p>
    <w:p>
      <w:pPr>
        <w:pStyle w:val="Footnoteheading"/>
        <w:keepNext/>
        <w:tabs>
          <w:tab w:val="clear" w:pos="879"/>
          <w:tab w:val="left" w:pos="896"/>
        </w:tabs>
      </w:pPr>
      <w:r>
        <w:tab/>
        <w:t>[Heading inserted: No. 78 of 2003 s. 17.]</w:t>
      </w:r>
    </w:p>
    <w:p>
      <w:pPr>
        <w:pStyle w:val="Heading5"/>
      </w:pPr>
      <w:bookmarkStart w:id="636" w:name="_Toc192493050"/>
      <w:bookmarkStart w:id="637" w:name="_Toc185429063"/>
      <w:r>
        <w:rPr>
          <w:rStyle w:val="CharSectno"/>
        </w:rPr>
        <w:t>137</w:t>
      </w:r>
      <w:r>
        <w:t>.</w:t>
      </w:r>
      <w:r>
        <w:tab/>
        <w:t>Commission may conduct examinations</w:t>
      </w:r>
      <w:bookmarkEnd w:id="636"/>
      <w:bookmarkEnd w:id="637"/>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No. 78 of 2003 s. 17; amended: No. 10 of 2018 s. 13.]</w:t>
      </w:r>
    </w:p>
    <w:p>
      <w:pPr>
        <w:pStyle w:val="Heading5"/>
      </w:pPr>
      <w:bookmarkStart w:id="638" w:name="_Toc192493051"/>
      <w:bookmarkStart w:id="639" w:name="_Toc185429064"/>
      <w:r>
        <w:rPr>
          <w:rStyle w:val="CharSectno"/>
        </w:rPr>
        <w:t>138</w:t>
      </w:r>
      <w:r>
        <w:t>.</w:t>
      </w:r>
      <w:r>
        <w:tab/>
        <w:t>Conduct of examinations</w:t>
      </w:r>
      <w:bookmarkEnd w:id="638"/>
      <w:bookmarkEnd w:id="639"/>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No. 78 of 2003 s. 17.]</w:t>
      </w:r>
    </w:p>
    <w:p>
      <w:pPr>
        <w:pStyle w:val="Heading5"/>
      </w:pPr>
      <w:bookmarkStart w:id="640" w:name="_Toc192493052"/>
      <w:bookmarkStart w:id="641" w:name="_Toc185429065"/>
      <w:r>
        <w:rPr>
          <w:rStyle w:val="CharSectno"/>
        </w:rPr>
        <w:t>139</w:t>
      </w:r>
      <w:r>
        <w:t>.</w:t>
      </w:r>
      <w:r>
        <w:tab/>
        <w:t>Examination to be private unless otherwise ordered</w:t>
      </w:r>
      <w:bookmarkEnd w:id="640"/>
      <w:bookmarkEnd w:id="641"/>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No. 78 of 2003 s. 17.]</w:t>
      </w:r>
    </w:p>
    <w:p>
      <w:pPr>
        <w:pStyle w:val="Heading5"/>
      </w:pPr>
      <w:bookmarkStart w:id="642" w:name="_Toc192493053"/>
      <w:bookmarkStart w:id="643" w:name="_Toc185429066"/>
      <w:r>
        <w:rPr>
          <w:rStyle w:val="CharSectno"/>
        </w:rPr>
        <w:t>140</w:t>
      </w:r>
      <w:r>
        <w:t>.</w:t>
      </w:r>
      <w:r>
        <w:tab/>
        <w:t>Public examination, when allowed</w:t>
      </w:r>
      <w:bookmarkEnd w:id="642"/>
      <w:bookmarkEnd w:id="643"/>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keepNext/>
      </w:pPr>
      <w:r>
        <w:tab/>
        <w:t>(4)</w:t>
      </w:r>
      <w:r>
        <w:tab/>
        <w:t>If the Commission decides to open an examination to the public, the Commission may close the examination for a particular purpose.</w:t>
      </w:r>
    </w:p>
    <w:p>
      <w:pPr>
        <w:pStyle w:val="Footnotesection"/>
      </w:pPr>
      <w:r>
        <w:tab/>
        <w:t>[Section 140 inserted: No. 78 of 2003 s. 17.]</w:t>
      </w:r>
    </w:p>
    <w:p>
      <w:pPr>
        <w:pStyle w:val="Heading5"/>
      </w:pPr>
      <w:bookmarkStart w:id="644" w:name="_Toc192493054"/>
      <w:bookmarkStart w:id="645" w:name="_Toc185429067"/>
      <w:r>
        <w:rPr>
          <w:rStyle w:val="CharSectno"/>
        </w:rPr>
        <w:t>141</w:t>
      </w:r>
      <w:r>
        <w:t>.</w:t>
      </w:r>
      <w:r>
        <w:tab/>
        <w:t>Power to examine on oath or affirmation</w:t>
      </w:r>
      <w:bookmarkEnd w:id="644"/>
      <w:bookmarkEnd w:id="645"/>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or Deputy Commissioner may </w:t>
      </w:r>
      <w:r>
        <w:rPr>
          <w:snapToGrid w:val="0"/>
        </w:rPr>
        <w:t>administer an oath or affirmation to a witness.</w:t>
      </w:r>
    </w:p>
    <w:p>
      <w:pPr>
        <w:pStyle w:val="Footnotesection"/>
      </w:pPr>
      <w:r>
        <w:tab/>
        <w:t>[Section 141 inserted: No. 78 of 2003 s. 17; amended: No. 5 of 2024 s. 19.]</w:t>
      </w:r>
    </w:p>
    <w:p>
      <w:pPr>
        <w:pStyle w:val="Heading5"/>
      </w:pPr>
      <w:bookmarkStart w:id="646" w:name="_Toc192493055"/>
      <w:bookmarkStart w:id="647" w:name="_Toc185429068"/>
      <w:r>
        <w:rPr>
          <w:rStyle w:val="CharSectno"/>
        </w:rPr>
        <w:t>142</w:t>
      </w:r>
      <w:r>
        <w:t>.</w:t>
      </w:r>
      <w:r>
        <w:tab/>
        <w:t>Legal representation for witnesses and others</w:t>
      </w:r>
      <w:bookmarkEnd w:id="646"/>
      <w:bookmarkEnd w:id="647"/>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No. 78 of 2003 s. 17; amended: No. 21 of 2008 s. 654(3).]</w:t>
      </w:r>
    </w:p>
    <w:p>
      <w:pPr>
        <w:pStyle w:val="Heading5"/>
      </w:pPr>
      <w:bookmarkStart w:id="648" w:name="_Toc192493056"/>
      <w:bookmarkStart w:id="649" w:name="_Toc185429069"/>
      <w:r>
        <w:rPr>
          <w:rStyle w:val="CharSectno"/>
        </w:rPr>
        <w:t>143</w:t>
      </w:r>
      <w:r>
        <w:t>.</w:t>
      </w:r>
      <w:r>
        <w:tab/>
        <w:t>Examination of witnesses</w:t>
      </w:r>
      <w:bookmarkEnd w:id="648"/>
      <w:bookmarkEnd w:id="649"/>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No. 78 of 2003 s. 17; amended: No. 21 of 2008 s. 654(4).]</w:t>
      </w:r>
    </w:p>
    <w:p>
      <w:pPr>
        <w:pStyle w:val="Heading3"/>
      </w:pPr>
      <w:bookmarkStart w:id="650" w:name="_Toc192238889"/>
      <w:bookmarkStart w:id="651" w:name="_Toc192239674"/>
      <w:bookmarkStart w:id="652" w:name="_Toc192240045"/>
      <w:bookmarkStart w:id="653" w:name="_Toc192493057"/>
      <w:bookmarkStart w:id="654" w:name="_Toc185428328"/>
      <w:bookmarkStart w:id="655" w:name="_Toc185428698"/>
      <w:bookmarkStart w:id="656" w:name="_Toc185429070"/>
      <w:r>
        <w:rPr>
          <w:rStyle w:val="CharDivNo"/>
        </w:rPr>
        <w:t>Division 2</w:t>
      </w:r>
      <w:r>
        <w:t> — </w:t>
      </w:r>
      <w:r>
        <w:rPr>
          <w:rStyle w:val="CharDivText"/>
        </w:rPr>
        <w:t>Claims of privilege and reasonable excuse</w:t>
      </w:r>
      <w:bookmarkEnd w:id="650"/>
      <w:bookmarkEnd w:id="651"/>
      <w:bookmarkEnd w:id="652"/>
      <w:bookmarkEnd w:id="653"/>
      <w:bookmarkEnd w:id="654"/>
      <w:bookmarkEnd w:id="655"/>
      <w:bookmarkEnd w:id="656"/>
    </w:p>
    <w:p>
      <w:pPr>
        <w:pStyle w:val="Footnoteheading"/>
        <w:keepNext/>
        <w:tabs>
          <w:tab w:val="clear" w:pos="879"/>
          <w:tab w:val="left" w:pos="896"/>
        </w:tabs>
      </w:pPr>
      <w:r>
        <w:tab/>
        <w:t>[Heading inserted: No. 78 of 2003 s. 17.]</w:t>
      </w:r>
    </w:p>
    <w:p>
      <w:pPr>
        <w:pStyle w:val="Heading5"/>
      </w:pPr>
      <w:bookmarkStart w:id="657" w:name="_Toc192493058"/>
      <w:bookmarkStart w:id="658" w:name="_Toc185429071"/>
      <w:r>
        <w:rPr>
          <w:rStyle w:val="CharSectno"/>
        </w:rPr>
        <w:t>144</w:t>
      </w:r>
      <w:r>
        <w:t>.</w:t>
      </w:r>
      <w:r>
        <w:tab/>
        <w:t>Legal professional privilege</w:t>
      </w:r>
      <w:bookmarkEnd w:id="657"/>
      <w:bookmarkEnd w:id="658"/>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No. 78 of 2003 s. 17; amended: No. 10 of 2018 s. 14.]</w:t>
      </w:r>
    </w:p>
    <w:p>
      <w:pPr>
        <w:pStyle w:val="Heading5"/>
      </w:pPr>
      <w:bookmarkStart w:id="659" w:name="_Toc192493059"/>
      <w:bookmarkStart w:id="660" w:name="_Toc185429072"/>
      <w:r>
        <w:rPr>
          <w:rStyle w:val="CharSectno"/>
        </w:rPr>
        <w:t>145</w:t>
      </w:r>
      <w:r>
        <w:t>.</w:t>
      </w:r>
      <w:r>
        <w:tab/>
        <w:t>Use of statements of witness against witness</w:t>
      </w:r>
      <w:bookmarkEnd w:id="659"/>
      <w:bookmarkEnd w:id="660"/>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No. 78 of 2003 s. 17; amended: No. 8 of 2009 s. 41(6); No. 10 of 2018 s. 15.]</w:t>
      </w:r>
    </w:p>
    <w:p>
      <w:pPr>
        <w:pStyle w:val="Heading3"/>
      </w:pPr>
      <w:bookmarkStart w:id="661" w:name="_Toc192238892"/>
      <w:bookmarkStart w:id="662" w:name="_Toc192239677"/>
      <w:bookmarkStart w:id="663" w:name="_Toc192240048"/>
      <w:bookmarkStart w:id="664" w:name="_Toc192493060"/>
      <w:bookmarkStart w:id="665" w:name="_Toc185428331"/>
      <w:bookmarkStart w:id="666" w:name="_Toc185428701"/>
      <w:bookmarkStart w:id="667" w:name="_Toc185429073"/>
      <w:r>
        <w:rPr>
          <w:rStyle w:val="CharDivNo"/>
        </w:rPr>
        <w:t>Division 3</w:t>
      </w:r>
      <w:r>
        <w:t> — </w:t>
      </w:r>
      <w:r>
        <w:rPr>
          <w:rStyle w:val="CharDivText"/>
        </w:rPr>
        <w:t>General</w:t>
      </w:r>
      <w:bookmarkEnd w:id="661"/>
      <w:bookmarkEnd w:id="662"/>
      <w:bookmarkEnd w:id="663"/>
      <w:bookmarkEnd w:id="664"/>
      <w:bookmarkEnd w:id="665"/>
      <w:bookmarkEnd w:id="666"/>
      <w:bookmarkEnd w:id="667"/>
    </w:p>
    <w:p>
      <w:pPr>
        <w:pStyle w:val="Footnoteheading"/>
        <w:keepNext/>
        <w:tabs>
          <w:tab w:val="clear" w:pos="879"/>
          <w:tab w:val="left" w:pos="896"/>
        </w:tabs>
      </w:pPr>
      <w:r>
        <w:tab/>
        <w:t>[Heading inserted: No. 78 of 2003 s. 17.]</w:t>
      </w:r>
    </w:p>
    <w:p>
      <w:pPr>
        <w:pStyle w:val="Heading5"/>
      </w:pPr>
      <w:bookmarkStart w:id="668" w:name="_Toc192493061"/>
      <w:bookmarkStart w:id="669" w:name="_Toc185429074"/>
      <w:r>
        <w:rPr>
          <w:rStyle w:val="CharSectno"/>
        </w:rPr>
        <w:t>146</w:t>
      </w:r>
      <w:r>
        <w:t>.</w:t>
      </w:r>
      <w:r>
        <w:tab/>
        <w:t>Witnesses’ expenses</w:t>
      </w:r>
      <w:bookmarkEnd w:id="668"/>
      <w:bookmarkEnd w:id="669"/>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No. 78 of 2003 s. 17; amended: No. 77 of 2006 s. 4.]</w:t>
      </w:r>
    </w:p>
    <w:p>
      <w:pPr>
        <w:pStyle w:val="Heading5"/>
      </w:pPr>
      <w:bookmarkStart w:id="670" w:name="_Toc192493062"/>
      <w:bookmarkStart w:id="671" w:name="_Toc185429075"/>
      <w:r>
        <w:rPr>
          <w:rStyle w:val="CharSectno"/>
        </w:rPr>
        <w:t>147</w:t>
      </w:r>
      <w:r>
        <w:t>.</w:t>
      </w:r>
      <w:r>
        <w:tab/>
        <w:t>Protection of Commission, legal representatives and witnesses</w:t>
      </w:r>
      <w:bookmarkEnd w:id="670"/>
      <w:bookmarkEnd w:id="671"/>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No. 78 of 2003 s. 17; amended: No. 21 of 2008 s. 654(5).]</w:t>
      </w:r>
    </w:p>
    <w:p>
      <w:pPr>
        <w:pStyle w:val="Heading2"/>
      </w:pPr>
      <w:bookmarkStart w:id="672" w:name="_Toc192238895"/>
      <w:bookmarkStart w:id="673" w:name="_Toc192239680"/>
      <w:bookmarkStart w:id="674" w:name="_Toc192240051"/>
      <w:bookmarkStart w:id="675" w:name="_Toc192493063"/>
      <w:bookmarkStart w:id="676" w:name="_Toc185428334"/>
      <w:bookmarkStart w:id="677" w:name="_Toc185428704"/>
      <w:bookmarkStart w:id="678" w:name="_Toc185429076"/>
      <w:r>
        <w:rPr>
          <w:rStyle w:val="CharPartNo"/>
        </w:rPr>
        <w:t>Part 8</w:t>
      </w:r>
      <w:r>
        <w:rPr>
          <w:rStyle w:val="CharDivNo"/>
        </w:rPr>
        <w:t> </w:t>
      </w:r>
      <w:r>
        <w:t>—</w:t>
      </w:r>
      <w:r>
        <w:rPr>
          <w:rStyle w:val="CharDivText"/>
        </w:rPr>
        <w:t> </w:t>
      </w:r>
      <w:r>
        <w:rPr>
          <w:rStyle w:val="CharPartText"/>
        </w:rPr>
        <w:t>Arrest warrants</w:t>
      </w:r>
      <w:bookmarkEnd w:id="672"/>
      <w:bookmarkEnd w:id="673"/>
      <w:bookmarkEnd w:id="674"/>
      <w:bookmarkEnd w:id="675"/>
      <w:bookmarkEnd w:id="676"/>
      <w:bookmarkEnd w:id="677"/>
      <w:bookmarkEnd w:id="678"/>
    </w:p>
    <w:p>
      <w:pPr>
        <w:pStyle w:val="Footnoteheading"/>
        <w:keepNext/>
        <w:tabs>
          <w:tab w:val="clear" w:pos="879"/>
          <w:tab w:val="left" w:pos="896"/>
        </w:tabs>
      </w:pPr>
      <w:r>
        <w:tab/>
        <w:t>[Heading inserted: No. 78 of 2003 s. 17.]</w:t>
      </w:r>
    </w:p>
    <w:p>
      <w:pPr>
        <w:pStyle w:val="Heading5"/>
      </w:pPr>
      <w:bookmarkStart w:id="679" w:name="_Toc192493064"/>
      <w:bookmarkStart w:id="680" w:name="_Toc185429077"/>
      <w:r>
        <w:rPr>
          <w:rStyle w:val="CharSectno"/>
        </w:rPr>
        <w:t>148</w:t>
      </w:r>
      <w:r>
        <w:t>.</w:t>
      </w:r>
      <w:r>
        <w:tab/>
        <w:t>Arrest warrants, issue and execution of</w:t>
      </w:r>
      <w:bookmarkEnd w:id="679"/>
      <w:bookmarkEnd w:id="680"/>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keepNext/>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keepNext/>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No. 78 of 2003 s. 17; amended: No. 35 of 2014 s. 31; No. 10 of 2018 s. 16.]</w:t>
      </w:r>
    </w:p>
    <w:p>
      <w:pPr>
        <w:pStyle w:val="Heading5"/>
      </w:pPr>
      <w:bookmarkStart w:id="681" w:name="_Toc192493065"/>
      <w:bookmarkStart w:id="682" w:name="_Toc185429078"/>
      <w:r>
        <w:rPr>
          <w:rStyle w:val="CharSectno"/>
        </w:rPr>
        <w:t>149</w:t>
      </w:r>
      <w:r>
        <w:t>.</w:t>
      </w:r>
      <w:r>
        <w:tab/>
        <w:t>Conditional release of arrested person</w:t>
      </w:r>
      <w:bookmarkEnd w:id="681"/>
      <w:bookmarkEnd w:id="682"/>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keepNext/>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No. 78 of 2003 s. 17.]</w:t>
      </w:r>
    </w:p>
    <w:p>
      <w:pPr>
        <w:pStyle w:val="Heading5"/>
      </w:pPr>
      <w:bookmarkStart w:id="683" w:name="_Toc192493066"/>
      <w:bookmarkStart w:id="684" w:name="_Toc185429079"/>
      <w:r>
        <w:rPr>
          <w:rStyle w:val="CharSectno"/>
        </w:rPr>
        <w:t>149A</w:t>
      </w:r>
      <w:r>
        <w:t>.</w:t>
      </w:r>
      <w:r>
        <w:tab/>
        <w:t>Provision for overnight detention</w:t>
      </w:r>
      <w:bookmarkEnd w:id="683"/>
      <w:bookmarkEnd w:id="684"/>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No. 78 of 2003 s. 17.]</w:t>
      </w:r>
    </w:p>
    <w:p>
      <w:pPr>
        <w:pStyle w:val="Heading5"/>
      </w:pPr>
      <w:bookmarkStart w:id="685" w:name="_Toc192493067"/>
      <w:bookmarkStart w:id="686" w:name="_Toc185429080"/>
      <w:r>
        <w:rPr>
          <w:rStyle w:val="CharSectno"/>
        </w:rPr>
        <w:t>150</w:t>
      </w:r>
      <w:r>
        <w:t>.</w:t>
      </w:r>
      <w:r>
        <w:tab/>
        <w:t>Supreme Court may review detention of arrested person</w:t>
      </w:r>
      <w:bookmarkEnd w:id="685"/>
      <w:bookmarkEnd w:id="686"/>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No. 78 of 2003 s. 17; amended: No. 8 of 2009 s. 41(7).]</w:t>
      </w:r>
    </w:p>
    <w:p>
      <w:pPr>
        <w:pStyle w:val="Heading2"/>
      </w:pPr>
      <w:bookmarkStart w:id="687" w:name="_Toc192238900"/>
      <w:bookmarkStart w:id="688" w:name="_Toc192239685"/>
      <w:bookmarkStart w:id="689" w:name="_Toc192240056"/>
      <w:bookmarkStart w:id="690" w:name="_Toc192493068"/>
      <w:bookmarkStart w:id="691" w:name="_Toc185428339"/>
      <w:bookmarkStart w:id="692" w:name="_Toc185428709"/>
      <w:bookmarkStart w:id="693" w:name="_Toc185429081"/>
      <w:r>
        <w:rPr>
          <w:rStyle w:val="CharPartNo"/>
        </w:rPr>
        <w:t>Part 9</w:t>
      </w:r>
      <w:r>
        <w:rPr>
          <w:rStyle w:val="CharDivNo"/>
        </w:rPr>
        <w:t> </w:t>
      </w:r>
      <w:r>
        <w:t>—</w:t>
      </w:r>
      <w:r>
        <w:rPr>
          <w:rStyle w:val="CharDivText"/>
        </w:rPr>
        <w:t> </w:t>
      </w:r>
      <w:r>
        <w:rPr>
          <w:rStyle w:val="CharPartText"/>
        </w:rPr>
        <w:t>Disclosure, secrecy and protection of witnesses</w:t>
      </w:r>
      <w:bookmarkEnd w:id="687"/>
      <w:bookmarkEnd w:id="688"/>
      <w:bookmarkEnd w:id="689"/>
      <w:bookmarkEnd w:id="690"/>
      <w:bookmarkEnd w:id="691"/>
      <w:bookmarkEnd w:id="692"/>
      <w:bookmarkEnd w:id="693"/>
    </w:p>
    <w:p>
      <w:pPr>
        <w:pStyle w:val="Footnoteheading"/>
        <w:keepNext/>
        <w:tabs>
          <w:tab w:val="clear" w:pos="879"/>
          <w:tab w:val="left" w:pos="896"/>
        </w:tabs>
        <w:ind w:left="938" w:hanging="938"/>
      </w:pPr>
      <w:r>
        <w:tab/>
        <w:t>[Part 9 heading, formerly Part 3 heading, renumbered: No. 78 of 2003 s. 35(2).]</w:t>
      </w:r>
    </w:p>
    <w:p>
      <w:pPr>
        <w:pStyle w:val="Heading5"/>
      </w:pPr>
      <w:bookmarkStart w:id="694" w:name="_Toc192493069"/>
      <w:bookmarkStart w:id="695" w:name="_Toc185429082"/>
      <w:r>
        <w:rPr>
          <w:rStyle w:val="CharSectno"/>
        </w:rPr>
        <w:t>151</w:t>
      </w:r>
      <w:r>
        <w:t>.</w:t>
      </w:r>
      <w:r>
        <w:tab/>
        <w:t>Disclosure of certain information restricted</w:t>
      </w:r>
      <w:bookmarkEnd w:id="694"/>
      <w:bookmarkEnd w:id="695"/>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No. 78 of 2003 s. 35(13); renumbered as section 151: No. 78 of 2003 s. 35(1); No. 10 of 2018 s. 17.]</w:t>
      </w:r>
    </w:p>
    <w:p>
      <w:pPr>
        <w:pStyle w:val="Heading5"/>
      </w:pPr>
      <w:bookmarkStart w:id="696" w:name="_Toc192493070"/>
      <w:bookmarkStart w:id="697" w:name="_Toc185429083"/>
      <w:r>
        <w:rPr>
          <w:rStyle w:val="CharSectno"/>
        </w:rPr>
        <w:t>152</w:t>
      </w:r>
      <w:r>
        <w:t>.</w:t>
      </w:r>
      <w:r>
        <w:tab/>
        <w:t>Disclosure by Commission or its officers</w:t>
      </w:r>
      <w:bookmarkEnd w:id="696"/>
      <w:bookmarkEnd w:id="697"/>
      <w:r>
        <w:t xml:space="preserve"> </w:t>
      </w:r>
    </w:p>
    <w:p>
      <w:pPr>
        <w:pStyle w:val="Subsection"/>
      </w:pPr>
      <w:r>
        <w:tab/>
        <w:t>(1)</w:t>
      </w:r>
      <w:r>
        <w:tab/>
        <w:t xml:space="preserve">In this section — </w:t>
      </w:r>
    </w:p>
    <w:p>
      <w:pPr>
        <w:pStyle w:val="Defstart"/>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No. 78 of 2003 s. 14; renumbered as section 152: No. 78 of 2003 s. 35(1).]</w:t>
      </w:r>
    </w:p>
    <w:p>
      <w:pPr>
        <w:pStyle w:val="Heading5"/>
      </w:pPr>
      <w:bookmarkStart w:id="698" w:name="_Toc192493071"/>
      <w:bookmarkStart w:id="699" w:name="_Toc185429084"/>
      <w:r>
        <w:rPr>
          <w:rStyle w:val="CharSectno"/>
        </w:rPr>
        <w:t>153</w:t>
      </w:r>
      <w:r>
        <w:t>.</w:t>
      </w:r>
      <w:r>
        <w:tab/>
        <w:t>Disclosure by other officials</w:t>
      </w:r>
      <w:bookmarkEnd w:id="698"/>
      <w:bookmarkEnd w:id="699"/>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No. 78 of 2003 s. 35(13); renumbered as section 153: No. 78 of 2003 s. 35(1).]</w:t>
      </w:r>
    </w:p>
    <w:p>
      <w:pPr>
        <w:pStyle w:val="Heading5"/>
      </w:pPr>
      <w:bookmarkStart w:id="700" w:name="_Toc192493072"/>
      <w:bookmarkStart w:id="701" w:name="_Toc185429085"/>
      <w:r>
        <w:rPr>
          <w:rStyle w:val="CharSectno"/>
        </w:rPr>
        <w:t>154</w:t>
      </w:r>
      <w:r>
        <w:t>.</w:t>
      </w:r>
      <w:r>
        <w:tab/>
        <w:t>Exclusion of other laws</w:t>
      </w:r>
      <w:bookmarkEnd w:id="700"/>
      <w:bookmarkEnd w:id="701"/>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No. 78 of 2003 s. 35(13); renumbered as section 154: No. 78 of 2003 s. 35(1).]</w:t>
      </w:r>
    </w:p>
    <w:p>
      <w:pPr>
        <w:pStyle w:val="Heading5"/>
      </w:pPr>
      <w:bookmarkStart w:id="702" w:name="_Toc192493073"/>
      <w:bookmarkStart w:id="703" w:name="_Toc185429086"/>
      <w:r>
        <w:rPr>
          <w:rStyle w:val="CharSectno"/>
        </w:rPr>
        <w:t>155</w:t>
      </w:r>
      <w:r>
        <w:t>.</w:t>
      </w:r>
      <w:r>
        <w:tab/>
        <w:t xml:space="preserve">Application of </w:t>
      </w:r>
      <w:r>
        <w:rPr>
          <w:i/>
        </w:rPr>
        <w:t>Telecommunications (Interception</w:t>
      </w:r>
      <w:r>
        <w:rPr>
          <w:i/>
          <w:iCs/>
        </w:rPr>
        <w:t xml:space="preserve"> and Access</w:t>
      </w:r>
      <w:r>
        <w:rPr>
          <w:i/>
        </w:rPr>
        <w:t>) Western Australia Act 1996</w:t>
      </w:r>
      <w:bookmarkEnd w:id="702"/>
      <w:bookmarkEnd w:id="703"/>
    </w:p>
    <w:p>
      <w:pPr>
        <w:pStyle w:val="Subsection"/>
      </w:pPr>
      <w:r>
        <w:tab/>
      </w:r>
      <w:r>
        <w:tab/>
        <w:t xml:space="preserve">Section 22 of the </w:t>
      </w:r>
      <w:r>
        <w:rPr>
          <w:i/>
        </w:rPr>
        <w:t xml:space="preserve">Telecommunications </w:t>
      </w:r>
      <w:r>
        <w:rPr>
          <w:i/>
          <w:iCs/>
        </w:rPr>
        <w:t xml:space="preserve">(Interception and Access) </w:t>
      </w:r>
      <w:r>
        <w:rPr>
          <w:i/>
        </w:rPr>
        <w:t>Western Australia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No. 78 of 2003 s. 35(1); amended: No. 2 of 2011 s. 13.]</w:t>
      </w:r>
    </w:p>
    <w:p>
      <w:pPr>
        <w:pStyle w:val="Heading5"/>
      </w:pPr>
      <w:bookmarkStart w:id="704" w:name="_Toc192493074"/>
      <w:bookmarkStart w:id="705" w:name="_Toc185429087"/>
      <w:r>
        <w:rPr>
          <w:rStyle w:val="CharSectno"/>
        </w:rPr>
        <w:t>156</w:t>
      </w:r>
      <w:r>
        <w:t>.</w:t>
      </w:r>
      <w:r>
        <w:tab/>
        <w:t>Witness protection arrangements, Commission may make</w:t>
      </w:r>
      <w:bookmarkEnd w:id="704"/>
      <w:bookmarkEnd w:id="705"/>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r>
        <w:tab/>
        <w:t>[Section 156, formerly section 23, renumbered as section 156: No. 78 of 2003 s. 35(1).]</w:t>
      </w:r>
    </w:p>
    <w:p>
      <w:pPr>
        <w:pStyle w:val="Heading2"/>
      </w:pPr>
      <w:bookmarkStart w:id="706" w:name="_Toc192238907"/>
      <w:bookmarkStart w:id="707" w:name="_Toc192239692"/>
      <w:bookmarkStart w:id="708" w:name="_Toc192240063"/>
      <w:bookmarkStart w:id="709" w:name="_Toc192493075"/>
      <w:bookmarkStart w:id="710" w:name="_Toc185428346"/>
      <w:bookmarkStart w:id="711" w:name="_Toc185428716"/>
      <w:bookmarkStart w:id="712" w:name="_Toc185429088"/>
      <w:r>
        <w:rPr>
          <w:rStyle w:val="CharPartNo"/>
        </w:rPr>
        <w:t>Part 10</w:t>
      </w:r>
      <w:r>
        <w:rPr>
          <w:b w:val="0"/>
        </w:rPr>
        <w:t> </w:t>
      </w:r>
      <w:r>
        <w:t>—</w:t>
      </w:r>
      <w:r>
        <w:rPr>
          <w:b w:val="0"/>
        </w:rPr>
        <w:t> </w:t>
      </w:r>
      <w:r>
        <w:rPr>
          <w:rStyle w:val="CharPartText"/>
        </w:rPr>
        <w:t>Contempt</w:t>
      </w:r>
      <w:bookmarkEnd w:id="706"/>
      <w:bookmarkEnd w:id="707"/>
      <w:bookmarkEnd w:id="708"/>
      <w:bookmarkEnd w:id="709"/>
      <w:bookmarkEnd w:id="710"/>
      <w:bookmarkEnd w:id="711"/>
      <w:bookmarkEnd w:id="712"/>
    </w:p>
    <w:p>
      <w:pPr>
        <w:pStyle w:val="Footnoteheading"/>
        <w:keepNext/>
        <w:tabs>
          <w:tab w:val="clear" w:pos="879"/>
          <w:tab w:val="left" w:pos="896"/>
        </w:tabs>
      </w:pPr>
      <w:r>
        <w:tab/>
        <w:t>[Heading inserted: No. 78 of 2003 s. 22.]</w:t>
      </w:r>
    </w:p>
    <w:p>
      <w:pPr>
        <w:pStyle w:val="Heading5"/>
      </w:pPr>
      <w:bookmarkStart w:id="713" w:name="_Toc192493076"/>
      <w:bookmarkStart w:id="714" w:name="_Toc185429089"/>
      <w:r>
        <w:rPr>
          <w:rStyle w:val="CharSectno"/>
        </w:rPr>
        <w:t>157</w:t>
      </w:r>
      <w:r>
        <w:t>.</w:t>
      </w:r>
      <w:r>
        <w:tab/>
        <w:t>Term used: reasonable excuse</w:t>
      </w:r>
      <w:bookmarkEnd w:id="713"/>
      <w:bookmarkEnd w:id="714"/>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No. 78 of 2003 s. 22; amended: No. 10 of 2018 s. 18.]</w:t>
      </w:r>
    </w:p>
    <w:p>
      <w:pPr>
        <w:pStyle w:val="Heading5"/>
      </w:pPr>
      <w:bookmarkStart w:id="715" w:name="_Toc192493077"/>
      <w:bookmarkStart w:id="716" w:name="_Toc185429090"/>
      <w:r>
        <w:rPr>
          <w:rStyle w:val="CharSectno"/>
        </w:rPr>
        <w:t>158</w:t>
      </w:r>
      <w:r>
        <w:t>.</w:t>
      </w:r>
      <w:r>
        <w:tab/>
        <w:t>Failing to comply with notice given under s. 94 or 95</w:t>
      </w:r>
      <w:bookmarkEnd w:id="715"/>
      <w:bookmarkEnd w:id="716"/>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keepNext/>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No. 78 of 2003 s. 22; amended: No. 8 of 2009 s. 41(8).]</w:t>
      </w:r>
    </w:p>
    <w:p>
      <w:pPr>
        <w:pStyle w:val="Heading5"/>
      </w:pPr>
      <w:bookmarkStart w:id="717" w:name="_Toc192493078"/>
      <w:bookmarkStart w:id="718" w:name="_Toc185429091"/>
      <w:r>
        <w:rPr>
          <w:rStyle w:val="CharSectno"/>
        </w:rPr>
        <w:t>159</w:t>
      </w:r>
      <w:r>
        <w:t>.</w:t>
      </w:r>
      <w:r>
        <w:tab/>
        <w:t>Failing to obey summons issued under s. 96</w:t>
      </w:r>
      <w:bookmarkEnd w:id="717"/>
      <w:bookmarkEnd w:id="718"/>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No. 78 of 2003 s. 22.]</w:t>
      </w:r>
    </w:p>
    <w:p>
      <w:pPr>
        <w:pStyle w:val="Heading5"/>
      </w:pPr>
      <w:bookmarkStart w:id="719" w:name="_Toc192493079"/>
      <w:bookmarkStart w:id="720" w:name="_Toc185429092"/>
      <w:r>
        <w:rPr>
          <w:rStyle w:val="CharSectno"/>
        </w:rPr>
        <w:t>160</w:t>
      </w:r>
      <w:r>
        <w:t>.</w:t>
      </w:r>
      <w:r>
        <w:tab/>
        <w:t>Failing to be sworn or to give evidence when summonsed</w:t>
      </w:r>
      <w:bookmarkEnd w:id="719"/>
      <w:bookmarkEnd w:id="720"/>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No. 78 of 2003 s. 22.]</w:t>
      </w:r>
    </w:p>
    <w:p>
      <w:pPr>
        <w:pStyle w:val="Heading5"/>
      </w:pPr>
      <w:bookmarkStart w:id="721" w:name="_Toc192493080"/>
      <w:bookmarkStart w:id="722" w:name="_Toc185429093"/>
      <w:r>
        <w:rPr>
          <w:rStyle w:val="CharSectno"/>
        </w:rPr>
        <w:t>160A</w:t>
      </w:r>
      <w:r>
        <w:t>.</w:t>
      </w:r>
      <w:r>
        <w:tab/>
        <w:t xml:space="preserve">Contempts in relation to examination orders under the </w:t>
      </w:r>
      <w:r>
        <w:rPr>
          <w:i/>
        </w:rPr>
        <w:t>Criminal Property Confiscation Act 2000</w:t>
      </w:r>
      <w:bookmarkEnd w:id="721"/>
      <w:bookmarkEnd w:id="722"/>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No. 10 of 2018 s. 19.]</w:t>
      </w:r>
    </w:p>
    <w:p>
      <w:pPr>
        <w:pStyle w:val="Heading5"/>
      </w:pPr>
      <w:bookmarkStart w:id="723" w:name="_Toc192493081"/>
      <w:bookmarkStart w:id="724" w:name="_Toc185429094"/>
      <w:r>
        <w:rPr>
          <w:rStyle w:val="CharSectno"/>
        </w:rPr>
        <w:t>161</w:t>
      </w:r>
      <w:r>
        <w:t>.</w:t>
      </w:r>
      <w:r>
        <w:tab/>
        <w:t>Hindering execution of search warrants</w:t>
      </w:r>
      <w:bookmarkEnd w:id="723"/>
      <w:bookmarkEnd w:id="724"/>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No. 78 of 2003 s. 22.]</w:t>
      </w:r>
    </w:p>
    <w:p>
      <w:pPr>
        <w:pStyle w:val="Heading5"/>
      </w:pPr>
      <w:bookmarkStart w:id="725" w:name="_Toc192493082"/>
      <w:bookmarkStart w:id="726" w:name="_Toc185429095"/>
      <w:r>
        <w:rPr>
          <w:rStyle w:val="CharSectno"/>
        </w:rPr>
        <w:t>162</w:t>
      </w:r>
      <w:r>
        <w:t>.</w:t>
      </w:r>
      <w:r>
        <w:tab/>
        <w:t>Other contempts of Commission</w:t>
      </w:r>
      <w:bookmarkEnd w:id="725"/>
      <w:bookmarkEnd w:id="726"/>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No. 78 of 2003 s. 22; amended: No. 10 of 2018 s. 20.]</w:t>
      </w:r>
    </w:p>
    <w:p>
      <w:pPr>
        <w:pStyle w:val="Heading5"/>
      </w:pPr>
      <w:bookmarkStart w:id="727" w:name="_Toc192493083"/>
      <w:bookmarkStart w:id="728" w:name="_Toc185429096"/>
      <w:r>
        <w:rPr>
          <w:rStyle w:val="CharSectno"/>
        </w:rPr>
        <w:t>163</w:t>
      </w:r>
      <w:r>
        <w:t>.</w:t>
      </w:r>
      <w:r>
        <w:tab/>
        <w:t>Punishment of contempt of Commission</w:t>
      </w:r>
      <w:bookmarkEnd w:id="727"/>
      <w:bookmarkEnd w:id="728"/>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No. 78 of 2003 s. 22; amended: No. 10 of 2018 s. 21.]</w:t>
      </w:r>
    </w:p>
    <w:p>
      <w:pPr>
        <w:pStyle w:val="Heading5"/>
      </w:pPr>
      <w:bookmarkStart w:id="729" w:name="_Toc192493084"/>
      <w:bookmarkStart w:id="730" w:name="_Toc185429097"/>
      <w:r>
        <w:rPr>
          <w:rStyle w:val="CharSectno"/>
        </w:rPr>
        <w:t>164</w:t>
      </w:r>
      <w:r>
        <w:t>.</w:t>
      </w:r>
      <w:r>
        <w:tab/>
        <w:t>Conduct that is both a contempt and an offence</w:t>
      </w:r>
      <w:bookmarkEnd w:id="729"/>
      <w:bookmarkEnd w:id="730"/>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No. 78 of 2003 s. 22.]</w:t>
      </w:r>
    </w:p>
    <w:p>
      <w:pPr>
        <w:pStyle w:val="Heading2"/>
      </w:pPr>
      <w:bookmarkStart w:id="731" w:name="_Toc192238917"/>
      <w:bookmarkStart w:id="732" w:name="_Toc192239702"/>
      <w:bookmarkStart w:id="733" w:name="_Toc192240073"/>
      <w:bookmarkStart w:id="734" w:name="_Toc192493085"/>
      <w:bookmarkStart w:id="735" w:name="_Toc185428356"/>
      <w:bookmarkStart w:id="736" w:name="_Toc185428726"/>
      <w:bookmarkStart w:id="737" w:name="_Toc185429098"/>
      <w:r>
        <w:rPr>
          <w:rStyle w:val="CharPartNo"/>
        </w:rPr>
        <w:t>Part 11</w:t>
      </w:r>
      <w:r>
        <w:rPr>
          <w:b w:val="0"/>
        </w:rPr>
        <w:t> </w:t>
      </w:r>
      <w:r>
        <w:t>—</w:t>
      </w:r>
      <w:r>
        <w:rPr>
          <w:b w:val="0"/>
        </w:rPr>
        <w:t> </w:t>
      </w:r>
      <w:r>
        <w:rPr>
          <w:rStyle w:val="CharPartText"/>
        </w:rPr>
        <w:t>Offences</w:t>
      </w:r>
      <w:bookmarkEnd w:id="731"/>
      <w:bookmarkEnd w:id="732"/>
      <w:bookmarkEnd w:id="733"/>
      <w:bookmarkEnd w:id="734"/>
      <w:bookmarkEnd w:id="735"/>
      <w:bookmarkEnd w:id="736"/>
      <w:bookmarkEnd w:id="737"/>
    </w:p>
    <w:p>
      <w:pPr>
        <w:pStyle w:val="Footnoteheading"/>
        <w:keepNext/>
        <w:tabs>
          <w:tab w:val="clear" w:pos="879"/>
          <w:tab w:val="left" w:pos="896"/>
        </w:tabs>
      </w:pPr>
      <w:r>
        <w:tab/>
        <w:t>[Heading inserted: No. 78 of 2003 s. 22.]</w:t>
      </w:r>
    </w:p>
    <w:p>
      <w:pPr>
        <w:pStyle w:val="Heading5"/>
      </w:pPr>
      <w:bookmarkStart w:id="738" w:name="_Toc192493086"/>
      <w:bookmarkStart w:id="739" w:name="_Toc185429099"/>
      <w:r>
        <w:rPr>
          <w:rStyle w:val="CharSectno"/>
        </w:rPr>
        <w:t>165</w:t>
      </w:r>
      <w:r>
        <w:t>.</w:t>
      </w:r>
      <w:r>
        <w:tab/>
        <w:t>Obstructing Commission, Parliamentary Inspector or their officers</w:t>
      </w:r>
      <w:bookmarkEnd w:id="738"/>
      <w:bookmarkEnd w:id="739"/>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No. 78 of 2003 s. 22.]</w:t>
      </w:r>
    </w:p>
    <w:p>
      <w:pPr>
        <w:pStyle w:val="Heading5"/>
      </w:pPr>
      <w:bookmarkStart w:id="740" w:name="_Toc192493087"/>
      <w:bookmarkStart w:id="741" w:name="_Toc185429100"/>
      <w:r>
        <w:rPr>
          <w:rStyle w:val="CharSectno"/>
        </w:rPr>
        <w:t>166</w:t>
      </w:r>
      <w:r>
        <w:t>.</w:t>
      </w:r>
      <w:r>
        <w:tab/>
        <w:t>Malicious disclosure of false allegation of misconduct</w:t>
      </w:r>
      <w:bookmarkEnd w:id="740"/>
      <w:bookmarkEnd w:id="741"/>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No. 78 of 2003 s. 22; amended: No. 35 of 2014 s. 24.]</w:t>
      </w:r>
    </w:p>
    <w:p>
      <w:pPr>
        <w:pStyle w:val="Heading5"/>
      </w:pPr>
      <w:bookmarkStart w:id="742" w:name="_Toc192493088"/>
      <w:bookmarkStart w:id="743" w:name="_Toc185429101"/>
      <w:r>
        <w:rPr>
          <w:rStyle w:val="CharSectno"/>
        </w:rPr>
        <w:t>167</w:t>
      </w:r>
      <w:r>
        <w:t>.</w:t>
      </w:r>
      <w:r>
        <w:tab/>
        <w:t>Disclosure contrary to notation under s. 99</w:t>
      </w:r>
      <w:bookmarkEnd w:id="742"/>
      <w:bookmarkEnd w:id="743"/>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No. 78 of 2003 s. 22.]</w:t>
      </w:r>
    </w:p>
    <w:p>
      <w:pPr>
        <w:pStyle w:val="Heading5"/>
      </w:pPr>
      <w:bookmarkStart w:id="744" w:name="_Toc192493089"/>
      <w:bookmarkStart w:id="745" w:name="_Toc185429102"/>
      <w:r>
        <w:rPr>
          <w:rStyle w:val="CharSectno"/>
        </w:rPr>
        <w:t>168</w:t>
      </w:r>
      <w:r>
        <w:t>.</w:t>
      </w:r>
      <w:r>
        <w:tab/>
        <w:t>Giving false testimony</w:t>
      </w:r>
      <w:bookmarkEnd w:id="744"/>
      <w:bookmarkEnd w:id="745"/>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No. 78 of 2003 s. 22.]</w:t>
      </w:r>
    </w:p>
    <w:p>
      <w:pPr>
        <w:pStyle w:val="Heading5"/>
      </w:pPr>
      <w:bookmarkStart w:id="746" w:name="_Toc192493090"/>
      <w:bookmarkStart w:id="747" w:name="_Toc185429103"/>
      <w:r>
        <w:rPr>
          <w:rStyle w:val="CharSectno"/>
        </w:rPr>
        <w:t>169</w:t>
      </w:r>
      <w:r>
        <w:t>.</w:t>
      </w:r>
      <w:r>
        <w:tab/>
        <w:t>Bribery of witness</w:t>
      </w:r>
      <w:bookmarkEnd w:id="746"/>
      <w:bookmarkEnd w:id="74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No. 78 of 2003 s. 22.]</w:t>
      </w:r>
    </w:p>
    <w:p>
      <w:pPr>
        <w:pStyle w:val="Heading5"/>
      </w:pPr>
      <w:bookmarkStart w:id="748" w:name="_Toc192493091"/>
      <w:bookmarkStart w:id="749" w:name="_Toc185429104"/>
      <w:r>
        <w:rPr>
          <w:rStyle w:val="CharSectno"/>
        </w:rPr>
        <w:t>170</w:t>
      </w:r>
      <w:r>
        <w:t>.</w:t>
      </w:r>
      <w:r>
        <w:tab/>
        <w:t>Fraud on witness</w:t>
      </w:r>
      <w:bookmarkEnd w:id="748"/>
      <w:bookmarkEnd w:id="749"/>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No. 78 of 2003 s. 22.]</w:t>
      </w:r>
    </w:p>
    <w:p>
      <w:pPr>
        <w:pStyle w:val="Heading5"/>
      </w:pPr>
      <w:bookmarkStart w:id="750" w:name="_Toc192493092"/>
      <w:bookmarkStart w:id="751" w:name="_Toc185429105"/>
      <w:r>
        <w:rPr>
          <w:rStyle w:val="CharSectno"/>
        </w:rPr>
        <w:t>171</w:t>
      </w:r>
      <w:r>
        <w:t>.</w:t>
      </w:r>
      <w:r>
        <w:tab/>
        <w:t>Destroying evidence</w:t>
      </w:r>
      <w:bookmarkEnd w:id="750"/>
      <w:bookmarkEnd w:id="751"/>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No. 78 of 2003 s. 22.]</w:t>
      </w:r>
    </w:p>
    <w:p>
      <w:pPr>
        <w:pStyle w:val="Heading5"/>
      </w:pPr>
      <w:bookmarkStart w:id="752" w:name="_Toc192493093"/>
      <w:bookmarkStart w:id="753" w:name="_Toc185429106"/>
      <w:r>
        <w:rPr>
          <w:rStyle w:val="CharSectno"/>
        </w:rPr>
        <w:t>172</w:t>
      </w:r>
      <w:r>
        <w:t>.</w:t>
      </w:r>
      <w:r>
        <w:tab/>
        <w:t>Preventing witness from attending</w:t>
      </w:r>
      <w:bookmarkEnd w:id="752"/>
      <w:bookmarkEnd w:id="753"/>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No. 78 of 2003 s. 22.]</w:t>
      </w:r>
    </w:p>
    <w:p>
      <w:pPr>
        <w:pStyle w:val="Heading5"/>
      </w:pPr>
      <w:bookmarkStart w:id="754" w:name="_Toc192493094"/>
      <w:bookmarkStart w:id="755" w:name="_Toc185429107"/>
      <w:r>
        <w:rPr>
          <w:rStyle w:val="CharSectno"/>
        </w:rPr>
        <w:t>173</w:t>
      </w:r>
      <w:r>
        <w:t>.</w:t>
      </w:r>
      <w:r>
        <w:tab/>
        <w:t>Injury or detriment to witness</w:t>
      </w:r>
      <w:bookmarkEnd w:id="754"/>
      <w:bookmarkEnd w:id="755"/>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No. 78 of 2003 s. 22.]</w:t>
      </w:r>
    </w:p>
    <w:p>
      <w:pPr>
        <w:pStyle w:val="Heading5"/>
      </w:pPr>
      <w:bookmarkStart w:id="756" w:name="_Toc192493095"/>
      <w:bookmarkStart w:id="757" w:name="_Toc185429108"/>
      <w:r>
        <w:rPr>
          <w:rStyle w:val="CharSectno"/>
        </w:rPr>
        <w:t>174</w:t>
      </w:r>
      <w:r>
        <w:t>.</w:t>
      </w:r>
      <w:r>
        <w:tab/>
        <w:t>Dismissal by employer of witness</w:t>
      </w:r>
      <w:bookmarkEnd w:id="756"/>
      <w:bookmarkEnd w:id="757"/>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No. 78 of 2003 s. 22.]</w:t>
      </w:r>
    </w:p>
    <w:p>
      <w:pPr>
        <w:pStyle w:val="Heading5"/>
      </w:pPr>
      <w:bookmarkStart w:id="758" w:name="_Toc192493096"/>
      <w:bookmarkStart w:id="759" w:name="_Toc185429109"/>
      <w:r>
        <w:rPr>
          <w:rStyle w:val="CharSectno"/>
        </w:rPr>
        <w:t>175</w:t>
      </w:r>
      <w:r>
        <w:t>.</w:t>
      </w:r>
      <w:r>
        <w:tab/>
        <w:t>Victimisation</w:t>
      </w:r>
      <w:bookmarkEnd w:id="758"/>
      <w:bookmarkEnd w:id="759"/>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No. 78 of 2003 s. 22; amended: No. 35 of 2014 s. 25.]</w:t>
      </w:r>
    </w:p>
    <w:p>
      <w:pPr>
        <w:pStyle w:val="Heading5"/>
        <w:spacing w:before="180"/>
      </w:pPr>
      <w:bookmarkStart w:id="760" w:name="_Toc192493097"/>
      <w:bookmarkStart w:id="761" w:name="_Toc185429110"/>
      <w:r>
        <w:rPr>
          <w:rStyle w:val="CharSectno"/>
        </w:rPr>
        <w:t>176</w:t>
      </w:r>
      <w:r>
        <w:t>.</w:t>
      </w:r>
      <w:r>
        <w:tab/>
        <w:t>Pretending to be officer</w:t>
      </w:r>
      <w:bookmarkEnd w:id="760"/>
      <w:bookmarkEnd w:id="761"/>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No. 78 of 2003 s. 22.]</w:t>
      </w:r>
    </w:p>
    <w:p>
      <w:pPr>
        <w:pStyle w:val="Heading5"/>
        <w:spacing w:before="180"/>
      </w:pPr>
      <w:bookmarkStart w:id="762" w:name="_Toc192493098"/>
      <w:bookmarkStart w:id="763" w:name="_Toc185429111"/>
      <w:r>
        <w:rPr>
          <w:rStyle w:val="CharSectno"/>
        </w:rPr>
        <w:t>177</w:t>
      </w:r>
      <w:r>
        <w:t>.</w:t>
      </w:r>
      <w:r>
        <w:tab/>
        <w:t>Summary conviction of crimes</w:t>
      </w:r>
      <w:bookmarkEnd w:id="762"/>
      <w:bookmarkEnd w:id="763"/>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keepNext/>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No. 78 of 2003 s. 22; amended: No. 84 of 2004 s. 82.]</w:t>
      </w:r>
    </w:p>
    <w:p>
      <w:pPr>
        <w:pStyle w:val="Heading5"/>
        <w:rPr>
          <w:b w:val="0"/>
        </w:rPr>
      </w:pPr>
      <w:bookmarkStart w:id="764" w:name="_Toc192493099"/>
      <w:bookmarkStart w:id="765" w:name="_Toc185429112"/>
      <w:r>
        <w:rPr>
          <w:rStyle w:val="CharSectno"/>
        </w:rPr>
        <w:t>177A</w:t>
      </w:r>
      <w:r>
        <w:rPr>
          <w:bCs/>
          <w:sz w:val="22"/>
        </w:rPr>
        <w:t>.</w:t>
      </w:r>
      <w:r>
        <w:rPr>
          <w:bCs/>
          <w:sz w:val="22"/>
        </w:rPr>
        <w:tab/>
      </w:r>
      <w:r>
        <w:rPr>
          <w:bCs/>
        </w:rPr>
        <w:t>Limitation period for prosecution of simple offences</w:t>
      </w:r>
      <w:bookmarkEnd w:id="764"/>
      <w:bookmarkEnd w:id="765"/>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No. 59 of 2004 s. 141.] </w:t>
      </w:r>
    </w:p>
    <w:p>
      <w:pPr>
        <w:pStyle w:val="Heading2"/>
      </w:pPr>
      <w:bookmarkStart w:id="766" w:name="_Toc192238932"/>
      <w:bookmarkStart w:id="767" w:name="_Toc192239717"/>
      <w:bookmarkStart w:id="768" w:name="_Toc192240088"/>
      <w:bookmarkStart w:id="769" w:name="_Toc192493100"/>
      <w:bookmarkStart w:id="770" w:name="_Toc185428371"/>
      <w:bookmarkStart w:id="771" w:name="_Toc185428741"/>
      <w:bookmarkStart w:id="772" w:name="_Toc185429113"/>
      <w:r>
        <w:rPr>
          <w:rStyle w:val="CharPartNo"/>
        </w:rPr>
        <w:t>Part 12</w:t>
      </w:r>
      <w:r>
        <w:t> — </w:t>
      </w:r>
      <w:r>
        <w:rPr>
          <w:rStyle w:val="CharPartText"/>
        </w:rPr>
        <w:t>Administration</w:t>
      </w:r>
      <w:bookmarkEnd w:id="766"/>
      <w:bookmarkEnd w:id="767"/>
      <w:bookmarkEnd w:id="768"/>
      <w:bookmarkEnd w:id="769"/>
      <w:bookmarkEnd w:id="770"/>
      <w:bookmarkEnd w:id="771"/>
      <w:bookmarkEnd w:id="772"/>
    </w:p>
    <w:p>
      <w:pPr>
        <w:pStyle w:val="Footnoteheading"/>
        <w:keepNext/>
        <w:tabs>
          <w:tab w:val="clear" w:pos="879"/>
          <w:tab w:val="left" w:pos="896"/>
        </w:tabs>
        <w:ind w:left="924" w:hanging="924"/>
      </w:pPr>
      <w:r>
        <w:tab/>
        <w:t>[Part 12 heading, formerly Part 4 heading, renumbered: No. 78 of 2003 s. 35(3).]</w:t>
      </w:r>
    </w:p>
    <w:p>
      <w:pPr>
        <w:pStyle w:val="Heading3"/>
      </w:pPr>
      <w:bookmarkStart w:id="773" w:name="_Toc192238933"/>
      <w:bookmarkStart w:id="774" w:name="_Toc192239718"/>
      <w:bookmarkStart w:id="775" w:name="_Toc192240089"/>
      <w:bookmarkStart w:id="776" w:name="_Toc192493101"/>
      <w:bookmarkStart w:id="777" w:name="_Toc185428372"/>
      <w:bookmarkStart w:id="778" w:name="_Toc185428742"/>
      <w:bookmarkStart w:id="779" w:name="_Toc185429114"/>
      <w:r>
        <w:rPr>
          <w:rStyle w:val="CharDivNo"/>
        </w:rPr>
        <w:t>Division 1</w:t>
      </w:r>
      <w:r>
        <w:t> — </w:t>
      </w:r>
      <w:r>
        <w:rPr>
          <w:rStyle w:val="CharDivText"/>
        </w:rPr>
        <w:t>Staff</w:t>
      </w:r>
      <w:bookmarkEnd w:id="773"/>
      <w:bookmarkEnd w:id="774"/>
      <w:bookmarkEnd w:id="775"/>
      <w:bookmarkEnd w:id="776"/>
      <w:bookmarkEnd w:id="777"/>
      <w:bookmarkEnd w:id="778"/>
      <w:bookmarkEnd w:id="779"/>
    </w:p>
    <w:p>
      <w:pPr>
        <w:pStyle w:val="Heading5"/>
      </w:pPr>
      <w:bookmarkStart w:id="780" w:name="_Toc192493102"/>
      <w:bookmarkStart w:id="781" w:name="_Toc185429115"/>
      <w:r>
        <w:rPr>
          <w:rStyle w:val="CharSectno"/>
        </w:rPr>
        <w:t>178</w:t>
      </w:r>
      <w:r>
        <w:t>.</w:t>
      </w:r>
      <w:r>
        <w:tab/>
        <w:t>Commission not SES organisation</w:t>
      </w:r>
      <w:bookmarkEnd w:id="780"/>
      <w:bookmarkEnd w:id="781"/>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No. 78 of 2003 s. 35(1).]</w:t>
      </w:r>
    </w:p>
    <w:p>
      <w:pPr>
        <w:pStyle w:val="Heading5"/>
      </w:pPr>
      <w:bookmarkStart w:id="782" w:name="_Toc192493103"/>
      <w:bookmarkStart w:id="783" w:name="_Toc185429116"/>
      <w:r>
        <w:rPr>
          <w:rStyle w:val="CharSectno"/>
        </w:rPr>
        <w:t>179</w:t>
      </w:r>
      <w:r>
        <w:t>.</w:t>
      </w:r>
      <w:r>
        <w:tab/>
        <w:t>Staff of Commission</w:t>
      </w:r>
      <w:bookmarkEnd w:id="782"/>
      <w:bookmarkEnd w:id="783"/>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No. 78 of 2003 s. 35(1).]</w:t>
      </w:r>
    </w:p>
    <w:p>
      <w:pPr>
        <w:pStyle w:val="Heading5"/>
      </w:pPr>
      <w:bookmarkStart w:id="784" w:name="_Toc192493104"/>
      <w:bookmarkStart w:id="785" w:name="_Toc185429117"/>
      <w:r>
        <w:rPr>
          <w:rStyle w:val="CharSectno"/>
        </w:rPr>
        <w:t>180</w:t>
      </w:r>
      <w:r>
        <w:t>.</w:t>
      </w:r>
      <w:r>
        <w:tab/>
        <w:t>Entitlements of public service officers</w:t>
      </w:r>
      <w:bookmarkEnd w:id="784"/>
      <w:bookmarkEnd w:id="785"/>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2</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No. 78 of 2003 s. 35(13); renumbered as section 180: No. 78 of 2003 s. 35(1).]</w:t>
      </w:r>
    </w:p>
    <w:p>
      <w:pPr>
        <w:pStyle w:val="Heading5"/>
      </w:pPr>
      <w:bookmarkStart w:id="786" w:name="_Toc192493105"/>
      <w:bookmarkStart w:id="787" w:name="_Toc185429118"/>
      <w:r>
        <w:rPr>
          <w:rStyle w:val="CharSectno"/>
        </w:rPr>
        <w:t>181</w:t>
      </w:r>
      <w:r>
        <w:t>.</w:t>
      </w:r>
      <w:r>
        <w:tab/>
        <w:t>Secondment of staff and use of facilities</w:t>
      </w:r>
      <w:bookmarkEnd w:id="786"/>
      <w:bookmarkEnd w:id="787"/>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No. 78 of 2003 s. 35(1).]</w:t>
      </w:r>
    </w:p>
    <w:p>
      <w:pPr>
        <w:pStyle w:val="Heading5"/>
      </w:pPr>
      <w:bookmarkStart w:id="788" w:name="_Toc192493106"/>
      <w:bookmarkStart w:id="789" w:name="_Toc185429119"/>
      <w:r>
        <w:rPr>
          <w:rStyle w:val="CharSectno"/>
        </w:rPr>
        <w:t>182</w:t>
      </w:r>
      <w:r>
        <w:t>.</w:t>
      </w:r>
      <w:r>
        <w:tab/>
        <w:t>Engagement of service providers</w:t>
      </w:r>
      <w:bookmarkEnd w:id="788"/>
      <w:bookmarkEnd w:id="78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No. 78 of 2003 s. 35(1).]</w:t>
      </w:r>
    </w:p>
    <w:p>
      <w:pPr>
        <w:pStyle w:val="Heading5"/>
      </w:pPr>
      <w:bookmarkStart w:id="790" w:name="_Toc192493107"/>
      <w:bookmarkStart w:id="791" w:name="_Toc185429120"/>
      <w:r>
        <w:rPr>
          <w:rStyle w:val="CharSectno"/>
        </w:rPr>
        <w:t>183</w:t>
      </w:r>
      <w:r>
        <w:t>.</w:t>
      </w:r>
      <w:r>
        <w:tab/>
        <w:t>Oath of secrecy for officers</w:t>
      </w:r>
      <w:bookmarkEnd w:id="790"/>
      <w:bookmarkEnd w:id="791"/>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 or Deputy Commissioner.</w:t>
      </w:r>
    </w:p>
    <w:p>
      <w:pPr>
        <w:pStyle w:val="Footnotesection"/>
      </w:pPr>
      <w:r>
        <w:tab/>
        <w:t>[Section 183, formerly section 29, renumbered as section 183: No. 78 of 2003 s. 35(1); amended: No. 5 of 2024 s. 20.]</w:t>
      </w:r>
    </w:p>
    <w:p>
      <w:pPr>
        <w:pStyle w:val="Heading5"/>
      </w:pPr>
      <w:bookmarkStart w:id="792" w:name="_Toc192493108"/>
      <w:bookmarkStart w:id="793" w:name="_Toc185429121"/>
      <w:r>
        <w:rPr>
          <w:rStyle w:val="CharSectno"/>
        </w:rPr>
        <w:t>184</w:t>
      </w:r>
      <w:r>
        <w:t>.</w:t>
      </w:r>
      <w:r>
        <w:tab/>
        <w:t>Appointment and functions of authorised officers</w:t>
      </w:r>
      <w:bookmarkEnd w:id="792"/>
      <w:bookmarkEnd w:id="79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(aa)</w:t>
      </w:r>
      <w:r>
        <w:tab/>
        <w:t>the Deputy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and Deputy Commissioner are each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and Deputy Commissioner are each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r>
      <w:del w:id="794" w:author="Master Repository Process" w:date="2025-07-03T12:15:00Z">
        <w:r>
          <w:delText>Section 8(1)(d)(i) of the</w:delText>
        </w:r>
      </w:del>
      <w:ins w:id="795" w:author="Master Repository Process" w:date="2025-07-03T12:15:00Z">
        <w:r>
          <w:t>The</w:t>
        </w:r>
      </w:ins>
      <w:r>
        <w:t xml:space="preserve"> </w:t>
      </w:r>
      <w:r>
        <w:rPr>
          <w:i/>
        </w:rPr>
        <w:t>Firearms Act </w:t>
      </w:r>
      <w:del w:id="796" w:author="Master Repository Process" w:date="2025-07-03T12:15:00Z">
        <w:r>
          <w:rPr>
            <w:i/>
          </w:rPr>
          <w:delText>1973</w:delText>
        </w:r>
      </w:del>
      <w:ins w:id="797" w:author="Master Repository Process" w:date="2025-07-03T12:15:00Z">
        <w:r>
          <w:rPr>
            <w:i/>
          </w:rPr>
          <w:t>2024</w:t>
        </w:r>
        <w:r>
          <w:t xml:space="preserve"> section 17</w:t>
        </w:r>
      </w:ins>
      <w:r>
        <w:t xml:space="preserve"> applies to an authorised officer when acting in </w:t>
      </w:r>
      <w:del w:id="798" w:author="Master Repository Process" w:date="2025-07-03T12:15:00Z">
        <w:r>
          <w:delText>his or her</w:delText>
        </w:r>
      </w:del>
      <w:ins w:id="799" w:author="Master Repository Process" w:date="2025-07-03T12:15:00Z">
        <w:r>
          <w:t>their</w:t>
        </w:r>
      </w:ins>
      <w:r>
        <w:t xml:space="preserve"> capacity as an officer of the Commission as if the authorised officer were a </w:t>
      </w:r>
      <w:del w:id="800" w:author="Master Repository Process" w:date="2025-07-03T12:15:00Z">
        <w:r>
          <w:delText>member of the Police Force</w:delText>
        </w:r>
      </w:del>
      <w:ins w:id="801" w:author="Master Repository Process" w:date="2025-07-03T12:15:00Z">
        <w:r>
          <w:t>police officer acting in the ordinary course of their duties as a police officer</w:t>
        </w:r>
      </w:ins>
      <w:r>
        <w:t>.</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No. 78 of 2003 s. 35(1); amended: No. 59 of 2006 s. 11; No. 5 of 2008 s. 128; No. 10 of 2018 s. 22; No. 5 of 2024 s. </w:t>
      </w:r>
      <w:del w:id="802" w:author="Master Repository Process" w:date="2025-07-03T12:15:00Z">
        <w:r>
          <w:delText>21</w:delText>
        </w:r>
      </w:del>
      <w:ins w:id="803" w:author="Master Repository Process" w:date="2025-07-03T12:15:00Z">
        <w:r>
          <w:t>21; No. 23 of 2024 s. 445</w:t>
        </w:r>
      </w:ins>
      <w:r>
        <w:t>.]</w:t>
      </w:r>
    </w:p>
    <w:p>
      <w:pPr>
        <w:pStyle w:val="Heading5"/>
      </w:pPr>
      <w:bookmarkStart w:id="804" w:name="_Toc192493109"/>
      <w:bookmarkStart w:id="805" w:name="_Toc185429122"/>
      <w:r>
        <w:rPr>
          <w:rStyle w:val="CharSectno"/>
        </w:rPr>
        <w:t>185</w:t>
      </w:r>
      <w:r>
        <w:t>.</w:t>
      </w:r>
      <w:r>
        <w:tab/>
        <w:t>Delegation by Commission</w:t>
      </w:r>
      <w:bookmarkEnd w:id="804"/>
      <w:bookmarkEnd w:id="805"/>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No. 78 of 2003 s. 23.]</w:t>
      </w:r>
    </w:p>
    <w:p>
      <w:pPr>
        <w:pStyle w:val="Heading3"/>
      </w:pPr>
      <w:bookmarkStart w:id="806" w:name="_Toc192238942"/>
      <w:bookmarkStart w:id="807" w:name="_Toc192239727"/>
      <w:bookmarkStart w:id="808" w:name="_Toc192240098"/>
      <w:bookmarkStart w:id="809" w:name="_Toc192493110"/>
      <w:bookmarkStart w:id="810" w:name="_Toc185428381"/>
      <w:bookmarkStart w:id="811" w:name="_Toc185428751"/>
      <w:bookmarkStart w:id="812" w:name="_Toc185429123"/>
      <w:r>
        <w:rPr>
          <w:rStyle w:val="CharDivNo"/>
        </w:rPr>
        <w:t>Division 2</w:t>
      </w:r>
      <w:r>
        <w:t> — </w:t>
      </w:r>
      <w:r>
        <w:rPr>
          <w:rStyle w:val="CharDivText"/>
        </w:rPr>
        <w:t>Financial provisions</w:t>
      </w:r>
      <w:bookmarkEnd w:id="806"/>
      <w:bookmarkEnd w:id="807"/>
      <w:bookmarkEnd w:id="808"/>
      <w:bookmarkEnd w:id="809"/>
      <w:bookmarkEnd w:id="810"/>
      <w:bookmarkEnd w:id="811"/>
      <w:bookmarkEnd w:id="812"/>
    </w:p>
    <w:p>
      <w:pPr>
        <w:pStyle w:val="Heading5"/>
      </w:pPr>
      <w:bookmarkStart w:id="813" w:name="_Toc192493111"/>
      <w:bookmarkStart w:id="814" w:name="_Toc185429124"/>
      <w:r>
        <w:rPr>
          <w:rStyle w:val="CharSectno"/>
        </w:rPr>
        <w:t>186</w:t>
      </w:r>
      <w:r>
        <w:t>.</w:t>
      </w:r>
      <w:r>
        <w:tab/>
        <w:t>Funds of Commission</w:t>
      </w:r>
      <w:bookmarkEnd w:id="813"/>
      <w:bookmarkEnd w:id="81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No. 78 of 2003 s. 35(13); renumbered as section 186: No. 78 of 2003 s. 35(1); amended: No. 77 of 2006 Sch. 1 cl. 35(6) and (7).]</w:t>
      </w:r>
    </w:p>
    <w:p>
      <w:pPr>
        <w:pStyle w:val="Heading5"/>
      </w:pPr>
      <w:bookmarkStart w:id="815" w:name="_Toc192493112"/>
      <w:bookmarkStart w:id="816" w:name="_Toc185429125"/>
      <w:r>
        <w:rPr>
          <w:rStyle w:val="CharSectno"/>
        </w:rPr>
        <w:t>187</w:t>
      </w:r>
      <w:r>
        <w:t>.</w:t>
      </w:r>
      <w:r>
        <w:tab/>
        <w:t xml:space="preserve">Application of </w:t>
      </w:r>
      <w:r>
        <w:rPr>
          <w:i/>
          <w:iCs/>
        </w:rPr>
        <w:t>Financial Management Act 2006</w:t>
      </w:r>
      <w:r>
        <w:t xml:space="preserve"> and </w:t>
      </w:r>
      <w:r>
        <w:rPr>
          <w:i/>
          <w:iCs/>
        </w:rPr>
        <w:t>Auditor General Act 2006</w:t>
      </w:r>
      <w:bookmarkEnd w:id="815"/>
      <w:bookmarkEnd w:id="816"/>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No. 78 of 2003 s. 35(13); renumbered as section 187: No. 78 of 2003 s. 35(1); amended: No. 77 of 2006 Sch. 1 cl. 35(8).]</w:t>
      </w:r>
    </w:p>
    <w:p>
      <w:pPr>
        <w:pStyle w:val="Heading2"/>
      </w:pPr>
      <w:bookmarkStart w:id="817" w:name="_Toc192238945"/>
      <w:bookmarkStart w:id="818" w:name="_Toc192239730"/>
      <w:bookmarkStart w:id="819" w:name="_Toc192240101"/>
      <w:bookmarkStart w:id="820" w:name="_Toc192493113"/>
      <w:bookmarkStart w:id="821" w:name="_Toc185428384"/>
      <w:bookmarkStart w:id="822" w:name="_Toc185428754"/>
      <w:bookmarkStart w:id="823" w:name="_Toc185429126"/>
      <w:r>
        <w:rPr>
          <w:rStyle w:val="CharPartNo"/>
        </w:rPr>
        <w:t>Part 13</w:t>
      </w:r>
      <w:r>
        <w:t> — </w:t>
      </w:r>
      <w:r>
        <w:rPr>
          <w:rStyle w:val="CharPartText"/>
        </w:rPr>
        <w:t>Parliamentary Inspector of the Corruption and Crime Commission</w:t>
      </w:r>
      <w:bookmarkEnd w:id="817"/>
      <w:bookmarkEnd w:id="818"/>
      <w:bookmarkEnd w:id="819"/>
      <w:bookmarkEnd w:id="820"/>
      <w:bookmarkEnd w:id="821"/>
      <w:bookmarkEnd w:id="822"/>
      <w:bookmarkEnd w:id="823"/>
    </w:p>
    <w:p>
      <w:pPr>
        <w:pStyle w:val="Footnoteheading"/>
        <w:keepNext/>
        <w:tabs>
          <w:tab w:val="clear" w:pos="879"/>
          <w:tab w:val="left" w:pos="896"/>
        </w:tabs>
        <w:ind w:left="924" w:hanging="924"/>
      </w:pPr>
      <w:r>
        <w:tab/>
        <w:t>[Part 13 heading, formerly Part 5 heading, renumbered: No. 78 of 2003 s. 35(4).]</w:t>
      </w:r>
    </w:p>
    <w:p>
      <w:pPr>
        <w:pStyle w:val="Heading3"/>
      </w:pPr>
      <w:bookmarkStart w:id="824" w:name="_Toc192238946"/>
      <w:bookmarkStart w:id="825" w:name="_Toc192239731"/>
      <w:bookmarkStart w:id="826" w:name="_Toc192240102"/>
      <w:bookmarkStart w:id="827" w:name="_Toc192493114"/>
      <w:bookmarkStart w:id="828" w:name="_Toc185428385"/>
      <w:bookmarkStart w:id="829" w:name="_Toc185428755"/>
      <w:bookmarkStart w:id="830" w:name="_Toc185429127"/>
      <w:r>
        <w:rPr>
          <w:rStyle w:val="CharDivNo"/>
        </w:rPr>
        <w:t>Division 1</w:t>
      </w:r>
      <w:r>
        <w:t> — </w:t>
      </w:r>
      <w:r>
        <w:rPr>
          <w:rStyle w:val="CharDivText"/>
        </w:rPr>
        <w:t>Office of Parliamentary Inspector of the Corruption and Crime Commission</w:t>
      </w:r>
      <w:bookmarkEnd w:id="824"/>
      <w:bookmarkEnd w:id="825"/>
      <w:bookmarkEnd w:id="826"/>
      <w:bookmarkEnd w:id="827"/>
      <w:bookmarkEnd w:id="828"/>
      <w:bookmarkEnd w:id="829"/>
      <w:bookmarkEnd w:id="830"/>
    </w:p>
    <w:p>
      <w:pPr>
        <w:pStyle w:val="Heading5"/>
        <w:spacing w:before="180"/>
      </w:pPr>
      <w:bookmarkStart w:id="831" w:name="_Toc192493115"/>
      <w:bookmarkStart w:id="832" w:name="_Toc185429128"/>
      <w:r>
        <w:rPr>
          <w:rStyle w:val="CharSectno"/>
        </w:rPr>
        <w:t>188</w:t>
      </w:r>
      <w:r>
        <w:t>.</w:t>
      </w:r>
      <w:r>
        <w:tab/>
        <w:t>Parliamentary Inspector of Corruption and Crime Commission, office established</w:t>
      </w:r>
      <w:bookmarkEnd w:id="831"/>
      <w:bookmarkEnd w:id="832"/>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No. 78 of 2003 s. 24; renumbered as section 188: No. 78 of 2003 s. 35(1).]</w:t>
      </w:r>
    </w:p>
    <w:p>
      <w:pPr>
        <w:pStyle w:val="Heading5"/>
        <w:spacing w:before="180"/>
      </w:pPr>
      <w:bookmarkStart w:id="833" w:name="_Toc192493116"/>
      <w:bookmarkStart w:id="834" w:name="_Toc185429129"/>
      <w:r>
        <w:rPr>
          <w:rStyle w:val="CharSectno"/>
        </w:rPr>
        <w:t>189</w:t>
      </w:r>
      <w:r>
        <w:t>.</w:t>
      </w:r>
      <w:r>
        <w:tab/>
        <w:t>Parliamentary Inspector, appointment of</w:t>
      </w:r>
      <w:bookmarkEnd w:id="833"/>
      <w:bookmarkEnd w:id="834"/>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No. 78 of 2003 s. 25; renumbered as section 189: No. 78 of 2003 s. 35(1).]</w:t>
      </w:r>
    </w:p>
    <w:p>
      <w:pPr>
        <w:pStyle w:val="Heading5"/>
        <w:spacing w:before="180"/>
      </w:pPr>
      <w:bookmarkStart w:id="835" w:name="_Toc192493117"/>
      <w:bookmarkStart w:id="836" w:name="_Toc185429130"/>
      <w:r>
        <w:rPr>
          <w:rStyle w:val="CharSectno"/>
        </w:rPr>
        <w:t>190</w:t>
      </w:r>
      <w:r>
        <w:t>.</w:t>
      </w:r>
      <w:r>
        <w:tab/>
        <w:t>Qualifications for appointment as Parliamentary Inspector</w:t>
      </w:r>
      <w:bookmarkEnd w:id="835"/>
      <w:bookmarkEnd w:id="836"/>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No. 78 of 2003 s. 35(1); amended: No. 21 of 2008 s. 654(6) and (7).]</w:t>
      </w:r>
    </w:p>
    <w:p>
      <w:pPr>
        <w:pStyle w:val="Heading5"/>
        <w:spacing w:before="180"/>
      </w:pPr>
      <w:bookmarkStart w:id="837" w:name="_Toc192493118"/>
      <w:bookmarkStart w:id="838" w:name="_Toc185429131"/>
      <w:r>
        <w:rPr>
          <w:rStyle w:val="CharSectno"/>
        </w:rPr>
        <w:t>191</w:t>
      </w:r>
      <w:r>
        <w:t>.</w:t>
      </w:r>
      <w:r>
        <w:tab/>
        <w:t>Terms and conditions of service of Parliamentary Inspector</w:t>
      </w:r>
      <w:bookmarkEnd w:id="837"/>
      <w:bookmarkEnd w:id="838"/>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No. 78 of 2003 s. 35(13); renumbered as section 191: No. 78 of 2003 s. 35(1).]</w:t>
      </w:r>
    </w:p>
    <w:p>
      <w:pPr>
        <w:pStyle w:val="Heading5"/>
        <w:keepLines w:val="0"/>
        <w:spacing w:before="180"/>
      </w:pPr>
      <w:bookmarkStart w:id="839" w:name="_Toc192493119"/>
      <w:bookmarkStart w:id="840" w:name="_Toc185429132"/>
      <w:r>
        <w:rPr>
          <w:rStyle w:val="CharSectno"/>
        </w:rPr>
        <w:t>192</w:t>
      </w:r>
      <w:r>
        <w:t>.</w:t>
      </w:r>
      <w:r>
        <w:tab/>
        <w:t>Removal or suspension of Parliamentary Inspector</w:t>
      </w:r>
      <w:bookmarkEnd w:id="839"/>
      <w:bookmarkEnd w:id="840"/>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No. 78 of 2003 s. 35(1).]</w:t>
      </w:r>
    </w:p>
    <w:p>
      <w:pPr>
        <w:pStyle w:val="Heading5"/>
      </w:pPr>
      <w:bookmarkStart w:id="841" w:name="_Toc192493120"/>
      <w:bookmarkStart w:id="842" w:name="_Toc185429133"/>
      <w:r>
        <w:rPr>
          <w:rStyle w:val="CharSectno"/>
        </w:rPr>
        <w:t>193</w:t>
      </w:r>
      <w:r>
        <w:t>.</w:t>
      </w:r>
      <w:r>
        <w:tab/>
        <w:t>Acting Parliamentary Inspector</w:t>
      </w:r>
      <w:bookmarkEnd w:id="841"/>
      <w:bookmarkEnd w:id="842"/>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No. 78 of 2003 s. 26 and 35(13); renumbered as section 193: No. 78 of 2003 s. 35(1).]</w:t>
      </w:r>
    </w:p>
    <w:p>
      <w:pPr>
        <w:pStyle w:val="Heading5"/>
        <w:spacing w:before="180"/>
      </w:pPr>
      <w:bookmarkStart w:id="843" w:name="_Toc192493121"/>
      <w:bookmarkStart w:id="844" w:name="_Toc185429134"/>
      <w:r>
        <w:rPr>
          <w:rStyle w:val="CharSectno"/>
        </w:rPr>
        <w:t>194</w:t>
      </w:r>
      <w:r>
        <w:t>.</w:t>
      </w:r>
      <w:r>
        <w:tab/>
        <w:t>Oath or affirmation of office</w:t>
      </w:r>
      <w:bookmarkEnd w:id="843"/>
      <w:bookmarkEnd w:id="844"/>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No. 78 of 2003 s. 35(1).]</w:t>
      </w:r>
    </w:p>
    <w:p>
      <w:pPr>
        <w:pStyle w:val="Heading3"/>
      </w:pPr>
      <w:bookmarkStart w:id="845" w:name="_Toc192238954"/>
      <w:bookmarkStart w:id="846" w:name="_Toc192239739"/>
      <w:bookmarkStart w:id="847" w:name="_Toc192240110"/>
      <w:bookmarkStart w:id="848" w:name="_Toc192493122"/>
      <w:bookmarkStart w:id="849" w:name="_Toc185428393"/>
      <w:bookmarkStart w:id="850" w:name="_Toc185428763"/>
      <w:bookmarkStart w:id="851" w:name="_Toc185429135"/>
      <w:r>
        <w:rPr>
          <w:rStyle w:val="CharDivNo"/>
        </w:rPr>
        <w:t>Division 2</w:t>
      </w:r>
      <w:r>
        <w:t> — </w:t>
      </w:r>
      <w:r>
        <w:rPr>
          <w:rStyle w:val="CharDivText"/>
        </w:rPr>
        <w:t>Functions of the Parliamentary Inspector</w:t>
      </w:r>
      <w:bookmarkEnd w:id="845"/>
      <w:bookmarkEnd w:id="846"/>
      <w:bookmarkEnd w:id="847"/>
      <w:bookmarkEnd w:id="848"/>
      <w:bookmarkEnd w:id="849"/>
      <w:bookmarkEnd w:id="850"/>
      <w:bookmarkEnd w:id="851"/>
    </w:p>
    <w:p>
      <w:pPr>
        <w:pStyle w:val="Heading5"/>
      </w:pPr>
      <w:bookmarkStart w:id="852" w:name="_Toc192493123"/>
      <w:bookmarkStart w:id="853" w:name="_Toc185429136"/>
      <w:r>
        <w:rPr>
          <w:rStyle w:val="CharSectno"/>
        </w:rPr>
        <w:t>195</w:t>
      </w:r>
      <w:r>
        <w:t>.</w:t>
      </w:r>
      <w:r>
        <w:tab/>
        <w:t>Functions</w:t>
      </w:r>
      <w:bookmarkEnd w:id="852"/>
      <w:bookmarkEnd w:id="853"/>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No. 78 of 2003 s. 18 and 27; renumbered as section 195: No. 78 of 2003 s. 35(1).]</w:t>
      </w:r>
    </w:p>
    <w:p>
      <w:pPr>
        <w:pStyle w:val="Heading5"/>
      </w:pPr>
      <w:bookmarkStart w:id="854" w:name="_Toc192493124"/>
      <w:bookmarkStart w:id="855" w:name="_Toc185429137"/>
      <w:r>
        <w:rPr>
          <w:rStyle w:val="CharSectno"/>
        </w:rPr>
        <w:t>196</w:t>
      </w:r>
      <w:r>
        <w:t>.</w:t>
      </w:r>
      <w:r>
        <w:tab/>
        <w:t>Powers</w:t>
      </w:r>
      <w:bookmarkEnd w:id="854"/>
      <w:bookmarkEnd w:id="855"/>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No. 78 of 2003 s. 28.]</w:t>
      </w:r>
    </w:p>
    <w:p>
      <w:pPr>
        <w:pStyle w:val="Heading5"/>
        <w:spacing w:before="180"/>
      </w:pPr>
      <w:bookmarkStart w:id="856" w:name="_Toc192493125"/>
      <w:bookmarkStart w:id="857" w:name="_Toc185429138"/>
      <w:r>
        <w:rPr>
          <w:rStyle w:val="CharSectno"/>
        </w:rPr>
        <w:t>197</w:t>
      </w:r>
      <w:r>
        <w:t>.</w:t>
      </w:r>
      <w:r>
        <w:tab/>
        <w:t>Inquiries</w:t>
      </w:r>
      <w:bookmarkEnd w:id="856"/>
      <w:bookmarkEnd w:id="857"/>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keepLines/>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No. 78 of 2003 s. 28.]</w:t>
      </w:r>
    </w:p>
    <w:p>
      <w:pPr>
        <w:pStyle w:val="Heading5"/>
      </w:pPr>
      <w:bookmarkStart w:id="858" w:name="_Toc192493126"/>
      <w:bookmarkStart w:id="859" w:name="_Toc185429139"/>
      <w:r>
        <w:rPr>
          <w:rStyle w:val="CharSectno"/>
        </w:rPr>
        <w:t>198</w:t>
      </w:r>
      <w:r>
        <w:t>.</w:t>
      </w:r>
      <w:r>
        <w:tab/>
        <w:t>Parliamentary Inspector not to interfere with Commission’s operations</w:t>
      </w:r>
      <w:bookmarkEnd w:id="858"/>
      <w:bookmarkEnd w:id="859"/>
    </w:p>
    <w:p>
      <w:pPr>
        <w:pStyle w:val="Subsection"/>
      </w:pPr>
      <w:r>
        <w:tab/>
      </w:r>
      <w:r>
        <w:tab/>
        <w:t>The Parliamentary Inspector is not to interfere with, obstruct, hinder or delay any lawful operation of the Commission.</w:t>
      </w:r>
    </w:p>
    <w:p>
      <w:pPr>
        <w:pStyle w:val="Footnotesection"/>
      </w:pPr>
      <w:r>
        <w:tab/>
        <w:t>[Section 198 inserted: No. 78 of 2003 s. 28.]</w:t>
      </w:r>
    </w:p>
    <w:p>
      <w:pPr>
        <w:pStyle w:val="Heading3"/>
      </w:pPr>
      <w:bookmarkStart w:id="860" w:name="_Toc192238959"/>
      <w:bookmarkStart w:id="861" w:name="_Toc192239744"/>
      <w:bookmarkStart w:id="862" w:name="_Toc192240115"/>
      <w:bookmarkStart w:id="863" w:name="_Toc192493127"/>
      <w:bookmarkStart w:id="864" w:name="_Toc185428398"/>
      <w:bookmarkStart w:id="865" w:name="_Toc185428768"/>
      <w:bookmarkStart w:id="866" w:name="_Toc185429140"/>
      <w:r>
        <w:rPr>
          <w:rStyle w:val="CharDivNo"/>
        </w:rPr>
        <w:t>Division 3</w:t>
      </w:r>
      <w:r>
        <w:t> — </w:t>
      </w:r>
      <w:r>
        <w:rPr>
          <w:rStyle w:val="CharDivText"/>
        </w:rPr>
        <w:t>Reporting</w:t>
      </w:r>
      <w:bookmarkEnd w:id="860"/>
      <w:bookmarkEnd w:id="861"/>
      <w:bookmarkEnd w:id="862"/>
      <w:bookmarkEnd w:id="863"/>
      <w:bookmarkEnd w:id="864"/>
      <w:bookmarkEnd w:id="865"/>
      <w:bookmarkEnd w:id="866"/>
    </w:p>
    <w:p>
      <w:pPr>
        <w:pStyle w:val="Footnoteheading"/>
        <w:keepNext/>
        <w:tabs>
          <w:tab w:val="clear" w:pos="879"/>
          <w:tab w:val="left" w:pos="896"/>
        </w:tabs>
      </w:pPr>
      <w:r>
        <w:tab/>
        <w:t>[Heading inserted: No. 78 of 2003 s. 28.]</w:t>
      </w:r>
    </w:p>
    <w:p>
      <w:pPr>
        <w:pStyle w:val="Heading5"/>
      </w:pPr>
      <w:bookmarkStart w:id="867" w:name="_Toc192493128"/>
      <w:bookmarkStart w:id="868" w:name="_Toc185429141"/>
      <w:r>
        <w:rPr>
          <w:rStyle w:val="CharSectno"/>
        </w:rPr>
        <w:t>199</w:t>
      </w:r>
      <w:r>
        <w:t>.</w:t>
      </w:r>
      <w:r>
        <w:tab/>
        <w:t>Report to Parliament may be given at any time</w:t>
      </w:r>
      <w:bookmarkEnd w:id="867"/>
      <w:bookmarkEnd w:id="868"/>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No. 78 of 2003 s. 28.]</w:t>
      </w:r>
    </w:p>
    <w:p>
      <w:pPr>
        <w:pStyle w:val="Heading5"/>
      </w:pPr>
      <w:bookmarkStart w:id="869" w:name="_Toc192493129"/>
      <w:bookmarkStart w:id="870" w:name="_Toc185429142"/>
      <w:r>
        <w:rPr>
          <w:rStyle w:val="CharSectno"/>
        </w:rPr>
        <w:t>200</w:t>
      </w:r>
      <w:r>
        <w:t>.</w:t>
      </w:r>
      <w:r>
        <w:tab/>
        <w:t>Person subject to adverse report, entitlement of</w:t>
      </w:r>
      <w:bookmarkEnd w:id="869"/>
      <w:bookmarkEnd w:id="870"/>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No. 78 of 2003 s. 28.]</w:t>
      </w:r>
    </w:p>
    <w:p>
      <w:pPr>
        <w:pStyle w:val="Heading5"/>
      </w:pPr>
      <w:bookmarkStart w:id="871" w:name="_Toc192493130"/>
      <w:bookmarkStart w:id="872" w:name="_Toc185429143"/>
      <w:r>
        <w:rPr>
          <w:rStyle w:val="CharSectno"/>
        </w:rPr>
        <w:t>201</w:t>
      </w:r>
      <w:r>
        <w:t>.</w:t>
      </w:r>
      <w:r>
        <w:tab/>
        <w:t>Report under s. 199 may be made to Standing Committee instead of Parliament</w:t>
      </w:r>
      <w:bookmarkEnd w:id="871"/>
      <w:bookmarkEnd w:id="872"/>
    </w:p>
    <w:p>
      <w:pPr>
        <w:pStyle w:val="Subsection"/>
        <w:keepNext/>
        <w:spacing w:before="100"/>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keepNext/>
      </w:pPr>
      <w:r>
        <w:tab/>
        <w:t>[Section 201 inserted: No. 78 of 2003 s. 28.]</w:t>
      </w:r>
    </w:p>
    <w:p>
      <w:pPr>
        <w:pStyle w:val="Heading5"/>
      </w:pPr>
      <w:bookmarkStart w:id="873" w:name="_Toc192493131"/>
      <w:bookmarkStart w:id="874" w:name="_Toc185429144"/>
      <w:r>
        <w:rPr>
          <w:rStyle w:val="CharSectno"/>
        </w:rPr>
        <w:t>202</w:t>
      </w:r>
      <w:r>
        <w:t>.</w:t>
      </w:r>
      <w:r>
        <w:tab/>
        <w:t>Disclosure of matters in report</w:t>
      </w:r>
      <w:bookmarkEnd w:id="873"/>
      <w:bookmarkEnd w:id="874"/>
    </w:p>
    <w:p>
      <w:pPr>
        <w:pStyle w:val="Subsection"/>
        <w:spacing w:before="100"/>
      </w:pPr>
      <w:r>
        <w:tab/>
        <w:t>(1)</w:t>
      </w:r>
      <w:r>
        <w:tab/>
        <w:t>If a report under section 199 is laid before either House of Parliament, a matter included in that report may be disclosed despite sections 151 and 207.</w:t>
      </w:r>
    </w:p>
    <w:p>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No. 78 of 2003 s. 28.]</w:t>
      </w:r>
    </w:p>
    <w:p>
      <w:pPr>
        <w:pStyle w:val="Heading5"/>
      </w:pPr>
      <w:bookmarkStart w:id="875" w:name="_Toc192493132"/>
      <w:bookmarkStart w:id="876" w:name="_Toc185429145"/>
      <w:r>
        <w:rPr>
          <w:rStyle w:val="CharSectno"/>
        </w:rPr>
        <w:t>203</w:t>
      </w:r>
      <w:r>
        <w:t>.</w:t>
      </w:r>
      <w:r>
        <w:tab/>
        <w:t>Annual report to Parliament</w:t>
      </w:r>
      <w:bookmarkEnd w:id="875"/>
      <w:bookmarkEnd w:id="876"/>
    </w:p>
    <w:p>
      <w:pPr>
        <w:pStyle w:val="Subsection"/>
      </w:pPr>
      <w:r>
        <w:tab/>
        <w:t>(1)</w:t>
      </w:r>
      <w:r>
        <w:tab/>
        <w:t>The Parliamentary Inspector is to prepare, within 3 months after 30 June of each year, a report as to his or her general activities during that year.</w:t>
      </w:r>
    </w:p>
    <w:p>
      <w:pPr>
        <w:pStyle w:val="Subsection"/>
        <w:keepLines/>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No. 78 of 2003 s. 28; amended: No. 77 of 2006 Sch. 1 cl. 35(9); No. 46 of 2009 s. 17.]</w:t>
      </w:r>
    </w:p>
    <w:p>
      <w:pPr>
        <w:pStyle w:val="Heading5"/>
      </w:pPr>
      <w:bookmarkStart w:id="877" w:name="_Toc192493133"/>
      <w:bookmarkStart w:id="878" w:name="_Toc185429146"/>
      <w:r>
        <w:rPr>
          <w:rStyle w:val="CharSectno"/>
        </w:rPr>
        <w:t>204</w:t>
      </w:r>
      <w:r>
        <w:t>.</w:t>
      </w:r>
      <w:r>
        <w:tab/>
        <w:t>Periodical report to Parliament</w:t>
      </w:r>
      <w:bookmarkEnd w:id="877"/>
      <w:bookmarkEnd w:id="878"/>
    </w:p>
    <w:p>
      <w:pPr>
        <w:pStyle w:val="Subsection"/>
        <w:keepLines/>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No. 78 of 2003 s. 28.]</w:t>
      </w:r>
    </w:p>
    <w:p>
      <w:pPr>
        <w:pStyle w:val="Heading5"/>
      </w:pPr>
      <w:bookmarkStart w:id="879" w:name="_Toc192493134"/>
      <w:bookmarkStart w:id="880" w:name="_Toc185429147"/>
      <w:r>
        <w:rPr>
          <w:rStyle w:val="CharSectno"/>
        </w:rPr>
        <w:t>205</w:t>
      </w:r>
      <w:r>
        <w:t>.</w:t>
      </w:r>
      <w:r>
        <w:tab/>
        <w:t>Reports not to include certain information</w:t>
      </w:r>
      <w:bookmarkEnd w:id="879"/>
      <w:bookmarkEnd w:id="880"/>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No. 78 of 2003 s. 28.]</w:t>
      </w:r>
    </w:p>
    <w:p>
      <w:pPr>
        <w:pStyle w:val="Heading5"/>
      </w:pPr>
      <w:bookmarkStart w:id="881" w:name="_Toc192493135"/>
      <w:bookmarkStart w:id="882" w:name="_Toc185429148"/>
      <w:r>
        <w:rPr>
          <w:rStyle w:val="CharSectno"/>
        </w:rPr>
        <w:t>206</w:t>
      </w:r>
      <w:r>
        <w:t>.</w:t>
      </w:r>
      <w:r>
        <w:tab/>
        <w:t>Laying documents before House of Parliament that is not sitting</w:t>
      </w:r>
      <w:bookmarkEnd w:id="881"/>
      <w:bookmarkEnd w:id="882"/>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No. 78 of 2003 s. 28.]</w:t>
      </w:r>
    </w:p>
    <w:p>
      <w:pPr>
        <w:pStyle w:val="Heading3"/>
      </w:pPr>
      <w:bookmarkStart w:id="883" w:name="_Toc192238968"/>
      <w:bookmarkStart w:id="884" w:name="_Toc192239753"/>
      <w:bookmarkStart w:id="885" w:name="_Toc192240124"/>
      <w:bookmarkStart w:id="886" w:name="_Toc192493136"/>
      <w:bookmarkStart w:id="887" w:name="_Toc185428407"/>
      <w:bookmarkStart w:id="888" w:name="_Toc185428777"/>
      <w:bookmarkStart w:id="889" w:name="_Toc185429149"/>
      <w:r>
        <w:rPr>
          <w:rStyle w:val="CharDivNo"/>
        </w:rPr>
        <w:t>Division 4</w:t>
      </w:r>
      <w:r>
        <w:t> — </w:t>
      </w:r>
      <w:r>
        <w:rPr>
          <w:rStyle w:val="CharDivText"/>
        </w:rPr>
        <w:t>Disclosure</w:t>
      </w:r>
      <w:bookmarkEnd w:id="883"/>
      <w:bookmarkEnd w:id="884"/>
      <w:bookmarkEnd w:id="885"/>
      <w:bookmarkEnd w:id="886"/>
      <w:bookmarkEnd w:id="887"/>
      <w:bookmarkEnd w:id="888"/>
      <w:bookmarkEnd w:id="889"/>
    </w:p>
    <w:p>
      <w:pPr>
        <w:pStyle w:val="Footnoteheading"/>
        <w:keepNext/>
        <w:tabs>
          <w:tab w:val="clear" w:pos="879"/>
          <w:tab w:val="left" w:pos="896"/>
        </w:tabs>
        <w:ind w:left="924" w:hanging="924"/>
      </w:pPr>
      <w:r>
        <w:tab/>
        <w:t>[Division 4 heading, formerly Division 3 heading, renumbered: No. 78 of 2003 s. 35(5).]</w:t>
      </w:r>
    </w:p>
    <w:p>
      <w:pPr>
        <w:pStyle w:val="Heading5"/>
        <w:spacing w:before="240"/>
      </w:pPr>
      <w:bookmarkStart w:id="890" w:name="_Toc192493137"/>
      <w:bookmarkStart w:id="891" w:name="_Toc185429150"/>
      <w:r>
        <w:rPr>
          <w:rStyle w:val="CharSectno"/>
        </w:rPr>
        <w:t>207</w:t>
      </w:r>
      <w:r>
        <w:t>.</w:t>
      </w:r>
      <w:r>
        <w:tab/>
        <w:t>Restriction on disclosure generally</w:t>
      </w:r>
      <w:bookmarkEnd w:id="890"/>
      <w:bookmarkEnd w:id="891"/>
    </w:p>
    <w:p>
      <w:pPr>
        <w:pStyle w:val="Subsection"/>
        <w:keepNext/>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No. 78 of 2003 s. 35(13); renumbered as section 207: No. 78 of 2003 s. 35(1).]</w:t>
      </w:r>
    </w:p>
    <w:p>
      <w:pPr>
        <w:pStyle w:val="Heading5"/>
      </w:pPr>
      <w:bookmarkStart w:id="892" w:name="_Toc192493138"/>
      <w:bookmarkStart w:id="893" w:name="_Toc185429151"/>
      <w:r>
        <w:rPr>
          <w:rStyle w:val="CharSectno"/>
        </w:rPr>
        <w:t>208</w:t>
      </w:r>
      <w:r>
        <w:t>.</w:t>
      </w:r>
      <w:r>
        <w:tab/>
        <w:t>Disclosure by Parliamentary Inspector or officer</w:t>
      </w:r>
      <w:bookmarkEnd w:id="892"/>
      <w:bookmarkEnd w:id="893"/>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No. 78 of 2003 s. 19; renumbered as section 208: No. 78 of 2003 s. 35(1).]</w:t>
      </w:r>
    </w:p>
    <w:p>
      <w:pPr>
        <w:pStyle w:val="Heading5"/>
        <w:spacing w:before="180"/>
      </w:pPr>
      <w:bookmarkStart w:id="894" w:name="_Toc192493139"/>
      <w:bookmarkStart w:id="895" w:name="_Toc185429152"/>
      <w:r>
        <w:rPr>
          <w:rStyle w:val="CharSectno"/>
        </w:rPr>
        <w:t>209</w:t>
      </w:r>
      <w:r>
        <w:t>.</w:t>
      </w:r>
      <w:r>
        <w:tab/>
        <w:t>Disclosure by other officials</w:t>
      </w:r>
      <w:bookmarkEnd w:id="894"/>
      <w:bookmarkEnd w:id="895"/>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keepNext/>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No. 78 of 2003 s. 20 and 35(13); renumbered as section 209: No. 78 of 2003 s. 35(1).]</w:t>
      </w:r>
    </w:p>
    <w:p>
      <w:pPr>
        <w:pStyle w:val="Heading3"/>
      </w:pPr>
      <w:bookmarkStart w:id="896" w:name="_Toc192238972"/>
      <w:bookmarkStart w:id="897" w:name="_Toc192239757"/>
      <w:bookmarkStart w:id="898" w:name="_Toc192240128"/>
      <w:bookmarkStart w:id="899" w:name="_Toc192493140"/>
      <w:bookmarkStart w:id="900" w:name="_Toc185428411"/>
      <w:bookmarkStart w:id="901" w:name="_Toc185428781"/>
      <w:bookmarkStart w:id="902" w:name="_Toc185429153"/>
      <w:r>
        <w:rPr>
          <w:rStyle w:val="CharDivNo"/>
        </w:rPr>
        <w:t>Division 5</w:t>
      </w:r>
      <w:r>
        <w:t> — </w:t>
      </w:r>
      <w:r>
        <w:rPr>
          <w:rStyle w:val="CharDivText"/>
        </w:rPr>
        <w:t>Staff</w:t>
      </w:r>
      <w:bookmarkEnd w:id="896"/>
      <w:bookmarkEnd w:id="897"/>
      <w:bookmarkEnd w:id="898"/>
      <w:bookmarkEnd w:id="899"/>
      <w:bookmarkEnd w:id="900"/>
      <w:bookmarkEnd w:id="901"/>
      <w:bookmarkEnd w:id="902"/>
    </w:p>
    <w:p>
      <w:pPr>
        <w:pStyle w:val="Footnoteheading"/>
        <w:keepNext/>
        <w:tabs>
          <w:tab w:val="clear" w:pos="879"/>
          <w:tab w:val="left" w:pos="896"/>
        </w:tabs>
        <w:ind w:left="924" w:hanging="924"/>
      </w:pPr>
      <w:r>
        <w:tab/>
        <w:t>[Division 5 heading, formerly Division 4 heading, renumbered: No. 78 of 2003 s. 35(6).]</w:t>
      </w:r>
    </w:p>
    <w:p>
      <w:pPr>
        <w:pStyle w:val="Heading5"/>
      </w:pPr>
      <w:bookmarkStart w:id="903" w:name="_Toc192493141"/>
      <w:bookmarkStart w:id="904" w:name="_Toc185429154"/>
      <w:r>
        <w:rPr>
          <w:rStyle w:val="CharSectno"/>
        </w:rPr>
        <w:t>210</w:t>
      </w:r>
      <w:r>
        <w:t>.</w:t>
      </w:r>
      <w:r>
        <w:tab/>
        <w:t>Staff of Parliamentary Inspector</w:t>
      </w:r>
      <w:bookmarkEnd w:id="903"/>
      <w:bookmarkEnd w:id="904"/>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keepNext/>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No. 78 of 2003 s. 35(1).]</w:t>
      </w:r>
    </w:p>
    <w:p>
      <w:pPr>
        <w:pStyle w:val="Heading5"/>
      </w:pPr>
      <w:bookmarkStart w:id="905" w:name="_Toc192493142"/>
      <w:bookmarkStart w:id="906" w:name="_Toc185429155"/>
      <w:r>
        <w:rPr>
          <w:rStyle w:val="CharSectno"/>
        </w:rPr>
        <w:t>211</w:t>
      </w:r>
      <w:r>
        <w:t>.</w:t>
      </w:r>
      <w:r>
        <w:tab/>
        <w:t>Entitlements of public service officers</w:t>
      </w:r>
      <w:bookmarkEnd w:id="905"/>
      <w:bookmarkEnd w:id="906"/>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2</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No. 78 of 2003 s. 35(13); renumbered as section 211: No. 78 of 2003 s. 35(1).]</w:t>
      </w:r>
    </w:p>
    <w:p>
      <w:pPr>
        <w:pStyle w:val="Heading5"/>
      </w:pPr>
      <w:bookmarkStart w:id="907" w:name="_Toc192493143"/>
      <w:bookmarkStart w:id="908" w:name="_Toc185429156"/>
      <w:r>
        <w:rPr>
          <w:rStyle w:val="CharSectno"/>
        </w:rPr>
        <w:t>212</w:t>
      </w:r>
      <w:r>
        <w:t>.</w:t>
      </w:r>
      <w:r>
        <w:tab/>
        <w:t>Secondment of staff and use of facilities</w:t>
      </w:r>
      <w:bookmarkEnd w:id="907"/>
      <w:bookmarkEnd w:id="908"/>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No. 78 of 2003 s. 35(1).]</w:t>
      </w:r>
    </w:p>
    <w:p>
      <w:pPr>
        <w:pStyle w:val="Heading5"/>
      </w:pPr>
      <w:bookmarkStart w:id="909" w:name="_Toc192493144"/>
      <w:bookmarkStart w:id="910" w:name="_Toc185429157"/>
      <w:r>
        <w:rPr>
          <w:rStyle w:val="CharSectno"/>
        </w:rPr>
        <w:t>213</w:t>
      </w:r>
      <w:r>
        <w:t>.</w:t>
      </w:r>
      <w:r>
        <w:tab/>
        <w:t>Engagement of service providers</w:t>
      </w:r>
      <w:bookmarkEnd w:id="909"/>
      <w:bookmarkEnd w:id="910"/>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No. 78 of 2003 s. 35(1).]</w:t>
      </w:r>
    </w:p>
    <w:p>
      <w:pPr>
        <w:pStyle w:val="Heading5"/>
      </w:pPr>
      <w:bookmarkStart w:id="911" w:name="_Toc192493145"/>
      <w:bookmarkStart w:id="912" w:name="_Toc185429158"/>
      <w:r>
        <w:rPr>
          <w:rStyle w:val="CharSectno"/>
        </w:rPr>
        <w:t>214</w:t>
      </w:r>
      <w:r>
        <w:t>.</w:t>
      </w:r>
      <w:r>
        <w:tab/>
        <w:t>Oath of secrecy for officers</w:t>
      </w:r>
      <w:bookmarkEnd w:id="911"/>
      <w:bookmarkEnd w:id="912"/>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No. 78 of 2003 s. 35(1).]</w:t>
      </w:r>
    </w:p>
    <w:p>
      <w:pPr>
        <w:pStyle w:val="Heading3"/>
      </w:pPr>
      <w:bookmarkStart w:id="913" w:name="_Toc192238978"/>
      <w:bookmarkStart w:id="914" w:name="_Toc192239763"/>
      <w:bookmarkStart w:id="915" w:name="_Toc192240134"/>
      <w:bookmarkStart w:id="916" w:name="_Toc192493146"/>
      <w:bookmarkStart w:id="917" w:name="_Toc185428417"/>
      <w:bookmarkStart w:id="918" w:name="_Toc185428787"/>
      <w:bookmarkStart w:id="919" w:name="_Toc185429159"/>
      <w:r>
        <w:rPr>
          <w:rStyle w:val="CharDivNo"/>
        </w:rPr>
        <w:t>Division 6</w:t>
      </w:r>
      <w:r>
        <w:t> — </w:t>
      </w:r>
      <w:r>
        <w:rPr>
          <w:rStyle w:val="CharDivText"/>
        </w:rPr>
        <w:t>Financial provisions</w:t>
      </w:r>
      <w:bookmarkEnd w:id="913"/>
      <w:bookmarkEnd w:id="914"/>
      <w:bookmarkEnd w:id="915"/>
      <w:bookmarkEnd w:id="916"/>
      <w:bookmarkEnd w:id="917"/>
      <w:bookmarkEnd w:id="918"/>
      <w:bookmarkEnd w:id="919"/>
    </w:p>
    <w:p>
      <w:pPr>
        <w:pStyle w:val="Footnoteheading"/>
        <w:tabs>
          <w:tab w:val="clear" w:pos="879"/>
          <w:tab w:val="left" w:pos="896"/>
        </w:tabs>
        <w:spacing w:before="80"/>
        <w:ind w:left="936" w:hanging="896"/>
      </w:pPr>
      <w:r>
        <w:tab/>
        <w:t>[Division 6 heading, formerly Division 5 heading, renumbered: No. 78 of 2003 s. 35(7).]</w:t>
      </w:r>
    </w:p>
    <w:p>
      <w:pPr>
        <w:pStyle w:val="Heading5"/>
        <w:keepNext w:val="0"/>
        <w:spacing w:before="180"/>
      </w:pPr>
      <w:bookmarkStart w:id="920" w:name="_Toc192493147"/>
      <w:bookmarkStart w:id="921" w:name="_Toc185429160"/>
      <w:r>
        <w:rPr>
          <w:rStyle w:val="CharSectno"/>
        </w:rPr>
        <w:t>215</w:t>
      </w:r>
      <w:r>
        <w:t>.</w:t>
      </w:r>
      <w:r>
        <w:tab/>
        <w:t>Funds of Parliamentary Inspector</w:t>
      </w:r>
      <w:bookmarkEnd w:id="920"/>
      <w:bookmarkEnd w:id="921"/>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keepNext/>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No. 78 of 2003 s. 35(13); renumbered as section 215: No. 78 of 2003 s. 35(1); amended: No. 77 of 2006 Sch. 1 cl. 35(10) and (11).]</w:t>
      </w:r>
    </w:p>
    <w:p>
      <w:pPr>
        <w:pStyle w:val="Heading5"/>
        <w:rPr>
          <w:i/>
        </w:rPr>
      </w:pPr>
      <w:bookmarkStart w:id="922" w:name="_Toc192493148"/>
      <w:bookmarkStart w:id="923" w:name="_Toc185429161"/>
      <w:r>
        <w:rPr>
          <w:rStyle w:val="CharSectno"/>
        </w:rPr>
        <w:t>216</w:t>
      </w:r>
      <w:r>
        <w:t>.</w:t>
      </w:r>
      <w:r>
        <w:tab/>
        <w:t xml:space="preserve">Application of </w:t>
      </w:r>
      <w:r>
        <w:rPr>
          <w:i/>
          <w:iCs/>
        </w:rPr>
        <w:t>Financial Management Act 2006</w:t>
      </w:r>
      <w:r>
        <w:t xml:space="preserve"> and </w:t>
      </w:r>
      <w:r>
        <w:rPr>
          <w:i/>
          <w:iCs/>
        </w:rPr>
        <w:t>Auditor General Act 2006</w:t>
      </w:r>
      <w:bookmarkEnd w:id="922"/>
      <w:bookmarkEnd w:id="923"/>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No. 78 of 2003 s. 35(13); renumbered as section 216: No. 78 of 2003 s. 35(1); amended: No. 77 of 2006 Sch. 1 cl. 35(12).]</w:t>
      </w:r>
    </w:p>
    <w:p>
      <w:pPr>
        <w:pStyle w:val="Heading2"/>
      </w:pPr>
      <w:bookmarkStart w:id="924" w:name="_Toc192238981"/>
      <w:bookmarkStart w:id="925" w:name="_Toc192239766"/>
      <w:bookmarkStart w:id="926" w:name="_Toc192240137"/>
      <w:bookmarkStart w:id="927" w:name="_Toc192493149"/>
      <w:bookmarkStart w:id="928" w:name="_Toc185428420"/>
      <w:bookmarkStart w:id="929" w:name="_Toc185428790"/>
      <w:bookmarkStart w:id="930" w:name="_Toc185429162"/>
      <w:r>
        <w:rPr>
          <w:rStyle w:val="CharPartNo"/>
        </w:rPr>
        <w:t>Part 13A</w:t>
      </w:r>
      <w:r>
        <w:rPr>
          <w:rStyle w:val="CharDivNo"/>
        </w:rPr>
        <w:t> </w:t>
      </w:r>
      <w:r>
        <w:t>—</w:t>
      </w:r>
      <w:r>
        <w:rPr>
          <w:rStyle w:val="CharDivText"/>
        </w:rPr>
        <w:t> </w:t>
      </w:r>
      <w:r>
        <w:rPr>
          <w:rStyle w:val="CharPartText"/>
        </w:rPr>
        <w:t>Standing Committee</w:t>
      </w:r>
      <w:bookmarkEnd w:id="924"/>
      <w:bookmarkEnd w:id="925"/>
      <w:bookmarkEnd w:id="926"/>
      <w:bookmarkEnd w:id="927"/>
      <w:bookmarkEnd w:id="928"/>
      <w:bookmarkEnd w:id="929"/>
      <w:bookmarkEnd w:id="930"/>
      <w:r>
        <w:rPr>
          <w:rStyle w:val="CharPartText"/>
        </w:rPr>
        <w:t xml:space="preserve"> </w:t>
      </w:r>
    </w:p>
    <w:p>
      <w:pPr>
        <w:pStyle w:val="Footnoteheading"/>
        <w:keepNext/>
        <w:tabs>
          <w:tab w:val="clear" w:pos="879"/>
          <w:tab w:val="left" w:pos="896"/>
        </w:tabs>
      </w:pPr>
      <w:r>
        <w:tab/>
        <w:t>[Heading inserted: No. 78 of 2003 s. 29.]</w:t>
      </w:r>
    </w:p>
    <w:p>
      <w:pPr>
        <w:pStyle w:val="Heading5"/>
      </w:pPr>
      <w:bookmarkStart w:id="931" w:name="_Toc192493150"/>
      <w:bookmarkStart w:id="932" w:name="_Toc185429163"/>
      <w:r>
        <w:rPr>
          <w:rStyle w:val="CharSectno"/>
        </w:rPr>
        <w:t>216A</w:t>
      </w:r>
      <w:r>
        <w:t>.</w:t>
      </w:r>
      <w:r>
        <w:tab/>
        <w:t>Standing committee of Houses of Parliament</w:t>
      </w:r>
      <w:bookmarkEnd w:id="931"/>
      <w:bookmarkEnd w:id="932"/>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No. 78 of 2003 s. 29.]</w:t>
      </w:r>
    </w:p>
    <w:p>
      <w:pPr>
        <w:pStyle w:val="Heading2"/>
      </w:pPr>
      <w:bookmarkStart w:id="933" w:name="_Toc192238983"/>
      <w:bookmarkStart w:id="934" w:name="_Toc192239768"/>
      <w:bookmarkStart w:id="935" w:name="_Toc192240139"/>
      <w:bookmarkStart w:id="936" w:name="_Toc192493151"/>
      <w:bookmarkStart w:id="937" w:name="_Toc185428422"/>
      <w:bookmarkStart w:id="938" w:name="_Toc185428792"/>
      <w:bookmarkStart w:id="939" w:name="_Toc185429164"/>
      <w:r>
        <w:rPr>
          <w:rStyle w:val="CharPartNo"/>
        </w:rPr>
        <w:t>Part 14</w:t>
      </w:r>
      <w:r>
        <w:rPr>
          <w:rStyle w:val="CharDivNo"/>
        </w:rPr>
        <w:t> </w:t>
      </w:r>
      <w:r>
        <w:t>—</w:t>
      </w:r>
      <w:r>
        <w:rPr>
          <w:rStyle w:val="CharDivText"/>
        </w:rPr>
        <w:t> </w:t>
      </w:r>
      <w:r>
        <w:rPr>
          <w:rStyle w:val="CharPartText"/>
        </w:rPr>
        <w:t>Other matters</w:t>
      </w:r>
      <w:bookmarkEnd w:id="933"/>
      <w:bookmarkEnd w:id="934"/>
      <w:bookmarkEnd w:id="935"/>
      <w:bookmarkEnd w:id="936"/>
      <w:bookmarkEnd w:id="937"/>
      <w:bookmarkEnd w:id="938"/>
      <w:bookmarkEnd w:id="939"/>
    </w:p>
    <w:p>
      <w:pPr>
        <w:pStyle w:val="Footnoteheading"/>
        <w:keepNext/>
        <w:tabs>
          <w:tab w:val="clear" w:pos="879"/>
          <w:tab w:val="left" w:pos="896"/>
        </w:tabs>
        <w:spacing w:before="80"/>
        <w:ind w:left="924" w:hanging="924"/>
      </w:pPr>
      <w:r>
        <w:tab/>
        <w:t>[Part 14 heading, formerly Part 6 heading, renumbered: No. 78 of 2003 s. 35(8).]</w:t>
      </w:r>
    </w:p>
    <w:p>
      <w:pPr>
        <w:pStyle w:val="Heading5"/>
        <w:spacing w:before="180"/>
      </w:pPr>
      <w:bookmarkStart w:id="940" w:name="_Toc192493152"/>
      <w:bookmarkStart w:id="941" w:name="_Toc185429165"/>
      <w:r>
        <w:rPr>
          <w:rStyle w:val="CharSectno"/>
        </w:rPr>
        <w:t>217A</w:t>
      </w:r>
      <w:r>
        <w:t>.</w:t>
      </w:r>
      <w:r>
        <w:tab/>
        <w:t>Findings and opinions of Commission or Public Sector Commissioner</w:t>
      </w:r>
      <w:bookmarkEnd w:id="940"/>
      <w:bookmarkEnd w:id="941"/>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No. 35 of 2014 s. 26.]</w:t>
      </w:r>
    </w:p>
    <w:p>
      <w:pPr>
        <w:pStyle w:val="Heading5"/>
        <w:spacing w:before="160"/>
      </w:pPr>
      <w:bookmarkStart w:id="942" w:name="_Toc192493153"/>
      <w:bookmarkStart w:id="943" w:name="_Toc185429166"/>
      <w:r>
        <w:rPr>
          <w:rStyle w:val="CharSectno"/>
        </w:rPr>
        <w:t>217</w:t>
      </w:r>
      <w:r>
        <w:t>.</w:t>
      </w:r>
      <w:r>
        <w:tab/>
        <w:t>Facilitating proof of certain documents</w:t>
      </w:r>
      <w:bookmarkEnd w:id="942"/>
      <w:bookmarkEnd w:id="943"/>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 xml:space="preserve">a document purporting to be signed by the Governor and to be sealed with the Public Seal of the State and purporting to appoint a person to be the </w:t>
      </w:r>
      <w:r>
        <w:t xml:space="preserve">Commissioner, the Deputy Commissioner </w:t>
      </w:r>
      <w:r>
        <w:rPr>
          <w:snapToGrid w:val="0"/>
        </w:rPr>
        <w:t>or the Parliamentary Inspector; or</w:t>
      </w:r>
    </w:p>
    <w:p>
      <w:pPr>
        <w:pStyle w:val="Indenta"/>
        <w:keepNext/>
        <w:spacing w:before="60"/>
        <w:rPr>
          <w:snapToGrid w:val="0"/>
        </w:rPr>
      </w:pPr>
      <w:r>
        <w:rPr>
          <w:snapToGrid w:val="0"/>
        </w:rPr>
        <w:tab/>
        <w:t>(b)</w:t>
      </w:r>
      <w:r>
        <w:rPr>
          <w:snapToGrid w:val="0"/>
        </w:rPr>
        <w:tab/>
        <w:t xml:space="preserve">a document purporting to be a copy of a document described in paragraph (a) and certified in writing to be a true copy of it by a person purporting to be a person named in the document as the </w:t>
      </w:r>
      <w:r>
        <w:t xml:space="preserve">Commissioner, the Deputy Commissioner </w:t>
      </w:r>
      <w:r>
        <w:rPr>
          <w:snapToGrid w:val="0"/>
        </w:rPr>
        <w:t>or the Parliamentary Inspector,</w:t>
      </w:r>
    </w:p>
    <w:p>
      <w:pPr>
        <w:pStyle w:val="Subsection"/>
        <w:spacing w:before="80"/>
        <w:rPr>
          <w:snapToGrid w:val="0"/>
        </w:rPr>
      </w:pPr>
      <w:r>
        <w:rPr>
          <w:snapToGrid w:val="0"/>
        </w:rPr>
        <w:tab/>
      </w:r>
      <w:r>
        <w:rPr>
          <w:snapToGrid w:val="0"/>
        </w:rPr>
        <w:tab/>
        <w:t xml:space="preserve">is evidence that the Governor has appointed any person described in that document as the </w:t>
      </w:r>
      <w:r>
        <w:t xml:space="preserve">Commissioner, the Deputy Commissioner </w:t>
      </w:r>
      <w:r>
        <w:rPr>
          <w:snapToGrid w:val="0"/>
        </w:rPr>
        <w:t>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No. 78 of 2003 s. 30; renumbered as section 217: No. 78 of 2003 s. 35(1); No. 10 of 2018 s. 23; amended: No. 5 of 2024 s. 22.]</w:t>
      </w:r>
    </w:p>
    <w:p>
      <w:pPr>
        <w:pStyle w:val="Heading5"/>
      </w:pPr>
      <w:bookmarkStart w:id="944" w:name="_Toc192493154"/>
      <w:bookmarkStart w:id="945" w:name="_Toc185429167"/>
      <w:r>
        <w:rPr>
          <w:rStyle w:val="CharSectno"/>
        </w:rPr>
        <w:t>218</w:t>
      </w:r>
      <w:r>
        <w:t>.</w:t>
      </w:r>
      <w:r>
        <w:tab/>
        <w:t>Disclosure of material personal interests</w:t>
      </w:r>
      <w:bookmarkEnd w:id="944"/>
      <w:bookmarkEnd w:id="945"/>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No. 78 of 2003 s. 35(1).]</w:t>
      </w:r>
    </w:p>
    <w:p>
      <w:pPr>
        <w:pStyle w:val="Heading5"/>
      </w:pPr>
      <w:bookmarkStart w:id="946" w:name="_Toc192493155"/>
      <w:bookmarkStart w:id="947" w:name="_Toc185429168"/>
      <w:r>
        <w:rPr>
          <w:rStyle w:val="CharSectno"/>
        </w:rPr>
        <w:t>219</w:t>
      </w:r>
      <w:r>
        <w:t>.</w:t>
      </w:r>
      <w:r>
        <w:tab/>
        <w:t>Protection from liability</w:t>
      </w:r>
      <w:bookmarkEnd w:id="946"/>
      <w:bookmarkEnd w:id="947"/>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No. 35 of 2014 s. 27.]</w:t>
      </w:r>
    </w:p>
    <w:p>
      <w:pPr>
        <w:pStyle w:val="Heading5"/>
      </w:pPr>
      <w:bookmarkStart w:id="948" w:name="_Toc192493156"/>
      <w:bookmarkStart w:id="949" w:name="_Toc185429169"/>
      <w:r>
        <w:rPr>
          <w:rStyle w:val="CharSectno"/>
        </w:rPr>
        <w:t>220</w:t>
      </w:r>
      <w:r>
        <w:t>.</w:t>
      </w:r>
      <w:r>
        <w:tab/>
        <w:t>Protection of persons making allegations and certain disclosures and giving information</w:t>
      </w:r>
      <w:bookmarkEnd w:id="948"/>
      <w:bookmarkEnd w:id="949"/>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keepNext/>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No. 78 of 2003 s. 35(1); amended: No. 35 of 2014 s. 28.]</w:t>
      </w:r>
    </w:p>
    <w:p>
      <w:pPr>
        <w:pStyle w:val="Heading5"/>
      </w:pPr>
      <w:bookmarkStart w:id="950" w:name="_Toc192493157"/>
      <w:bookmarkStart w:id="951" w:name="_Toc185429170"/>
      <w:r>
        <w:rPr>
          <w:rStyle w:val="CharSectno"/>
        </w:rPr>
        <w:t>221</w:t>
      </w:r>
      <w:r>
        <w:t>.</w:t>
      </w:r>
      <w:r>
        <w:tab/>
        <w:t>Protection for compliance with this Act</w:t>
      </w:r>
      <w:bookmarkEnd w:id="950"/>
      <w:bookmarkEnd w:id="95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No. 78 of 2003 s. 35(1).]</w:t>
      </w:r>
    </w:p>
    <w:p>
      <w:pPr>
        <w:pStyle w:val="Heading5"/>
      </w:pPr>
      <w:bookmarkStart w:id="952" w:name="_Toc192493158"/>
      <w:bookmarkStart w:id="953" w:name="_Toc185429171"/>
      <w:r>
        <w:rPr>
          <w:rStyle w:val="CharSectno"/>
        </w:rPr>
        <w:t>222</w:t>
      </w:r>
      <w:r>
        <w:t>.</w:t>
      </w:r>
      <w:r>
        <w:tab/>
        <w:t>Proceedings for defamation not to lie</w:t>
      </w:r>
      <w:bookmarkEnd w:id="952"/>
      <w:bookmarkEnd w:id="953"/>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No. 78 of 2003 s. 35(1); amended: No. 35 of 2014 s. 29.]</w:t>
      </w:r>
    </w:p>
    <w:p>
      <w:pPr>
        <w:pStyle w:val="Heading5"/>
      </w:pPr>
      <w:bookmarkStart w:id="954" w:name="_Toc192493159"/>
      <w:bookmarkStart w:id="955" w:name="_Toc185429172"/>
      <w:r>
        <w:rPr>
          <w:rStyle w:val="CharSectno"/>
        </w:rPr>
        <w:t>223</w:t>
      </w:r>
      <w:r>
        <w:t>.</w:t>
      </w:r>
      <w:r>
        <w:tab/>
        <w:t>Privilege, protection or immunity not limited or abridged</w:t>
      </w:r>
      <w:bookmarkEnd w:id="954"/>
      <w:bookmarkEnd w:id="95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No. 78 of 2003 s. 31; renumbered as section 223: No. 78 of 2003 s. 35(1).]</w:t>
      </w:r>
    </w:p>
    <w:p>
      <w:pPr>
        <w:pStyle w:val="Heading5"/>
      </w:pPr>
      <w:bookmarkStart w:id="956" w:name="_Toc192493160"/>
      <w:bookmarkStart w:id="957" w:name="_Toc185429173"/>
      <w:r>
        <w:rPr>
          <w:rStyle w:val="CharSectno"/>
        </w:rPr>
        <w:t>223A</w:t>
      </w:r>
      <w:r>
        <w:t>.</w:t>
      </w:r>
      <w:r>
        <w:tab/>
        <w:t>Disposal of things seized under this Act</w:t>
      </w:r>
      <w:bookmarkEnd w:id="956"/>
      <w:bookmarkEnd w:id="957"/>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No. 59 of 2006 s. 12; amended: No. 10 of 2018 s. 24.] </w:t>
      </w:r>
    </w:p>
    <w:p>
      <w:pPr>
        <w:pStyle w:val="Heading5"/>
        <w:spacing w:before="180"/>
      </w:pPr>
      <w:bookmarkStart w:id="958" w:name="_Toc192493161"/>
      <w:bookmarkStart w:id="959" w:name="_Toc185429174"/>
      <w:r>
        <w:rPr>
          <w:rStyle w:val="CharSectno"/>
        </w:rPr>
        <w:t>224</w:t>
      </w:r>
      <w:r>
        <w:t>.</w:t>
      </w:r>
      <w:r>
        <w:tab/>
        <w:t>Records of Commission</w:t>
      </w:r>
      <w:bookmarkEnd w:id="958"/>
      <w:bookmarkEnd w:id="959"/>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No. 78 of 2003 s. 35(1).]</w:t>
      </w:r>
    </w:p>
    <w:p>
      <w:pPr>
        <w:pStyle w:val="Heading5"/>
      </w:pPr>
      <w:bookmarkStart w:id="960" w:name="_Toc192493162"/>
      <w:bookmarkStart w:id="961" w:name="_Toc185429175"/>
      <w:r>
        <w:rPr>
          <w:rStyle w:val="CharSectno"/>
        </w:rPr>
        <w:t>225</w:t>
      </w:r>
      <w:r>
        <w:t>.</w:t>
      </w:r>
      <w:r>
        <w:tab/>
        <w:t>Execution of documents by Commission</w:t>
      </w:r>
      <w:bookmarkEnd w:id="960"/>
      <w:bookmarkEnd w:id="96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or Deputy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No. 78 of 2003 s. 35(1); amended: No. 5 of 2024 s. 23.]</w:t>
      </w:r>
    </w:p>
    <w:p>
      <w:pPr>
        <w:pStyle w:val="Heading5"/>
      </w:pPr>
      <w:bookmarkStart w:id="962" w:name="_Toc192493163"/>
      <w:bookmarkStart w:id="963" w:name="_Toc185429176"/>
      <w:r>
        <w:rPr>
          <w:rStyle w:val="CharSectno"/>
        </w:rPr>
        <w:t>226</w:t>
      </w:r>
      <w:r>
        <w:t>.</w:t>
      </w:r>
      <w:r>
        <w:tab/>
        <w:t>Review of Act</w:t>
      </w:r>
      <w:bookmarkEnd w:id="962"/>
      <w:bookmarkEnd w:id="963"/>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No. 78 of 2003 s. 21; renumbered as section 226: No. 78 of 2003 s. 35(1).]</w:t>
      </w:r>
    </w:p>
    <w:p>
      <w:pPr>
        <w:pStyle w:val="Heading5"/>
      </w:pPr>
      <w:bookmarkStart w:id="964" w:name="_Toc192493164"/>
      <w:bookmarkStart w:id="965" w:name="_Toc185429177"/>
      <w:r>
        <w:rPr>
          <w:rStyle w:val="CharSectno"/>
        </w:rPr>
        <w:t>226A</w:t>
      </w:r>
      <w:r>
        <w:t>.</w:t>
      </w:r>
      <w:r>
        <w:tab/>
        <w:t>Review of 2018 amendments to Act</w:t>
      </w:r>
      <w:bookmarkEnd w:id="964"/>
      <w:bookmarkEnd w:id="965"/>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No. 10 of 2018 s. 25.]</w:t>
      </w:r>
    </w:p>
    <w:p>
      <w:pPr>
        <w:pStyle w:val="Heading5"/>
      </w:pPr>
      <w:bookmarkStart w:id="966" w:name="_Toc192493165"/>
      <w:bookmarkStart w:id="967" w:name="_Toc185429178"/>
      <w:r>
        <w:rPr>
          <w:rStyle w:val="CharSectno"/>
        </w:rPr>
        <w:t>227</w:t>
      </w:r>
      <w:r>
        <w:t>.</w:t>
      </w:r>
      <w:r>
        <w:tab/>
        <w:t>Regulations</w:t>
      </w:r>
      <w:bookmarkEnd w:id="966"/>
      <w:bookmarkEnd w:id="967"/>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No. 78 of 2003 s. 35(1).]</w:t>
      </w:r>
    </w:p>
    <w:p>
      <w:pPr>
        <w:pStyle w:val="Heading5"/>
        <w:rPr>
          <w:ins w:id="968" w:author="Master Repository Process" w:date="2025-07-03T12:15:00Z"/>
        </w:rPr>
      </w:pPr>
      <w:bookmarkStart w:id="969" w:name="_Toc170464956"/>
      <w:bookmarkStart w:id="970" w:name="_Toc192493166"/>
      <w:ins w:id="971" w:author="Master Repository Process" w:date="2025-07-03T12:15:00Z">
        <w:r>
          <w:rPr>
            <w:rStyle w:val="CharSectno"/>
          </w:rPr>
          <w:t>227A</w:t>
        </w:r>
        <w:r>
          <w:t>.</w:t>
        </w:r>
        <w:r>
          <w:tab/>
          <w:t>Savings</w:t>
        </w:r>
        <w:bookmarkEnd w:id="969"/>
        <w:bookmarkEnd w:id="970"/>
      </w:ins>
    </w:p>
    <w:p>
      <w:pPr>
        <w:pStyle w:val="Subsection"/>
        <w:rPr>
          <w:ins w:id="972" w:author="Master Repository Process" w:date="2025-07-03T12:15:00Z"/>
        </w:rPr>
      </w:pPr>
      <w:ins w:id="973" w:author="Master Repository Process" w:date="2025-07-03T12:15:00Z">
        <w:r>
          <w:tab/>
        </w:r>
        <w:r>
          <w:tab/>
          <w:t xml:space="preserve">A reference in Schedule 1 clause 2 to an offence under a provision of the </w:t>
        </w:r>
        <w:r>
          <w:rPr>
            <w:i/>
            <w:iCs/>
          </w:rPr>
          <w:t>Firearms Act 2024</w:t>
        </w:r>
        <w:r>
          <w:t xml:space="preserve"> Part 5 Divisions 1 to 4 includes an offence against the regulations made under the </w:t>
        </w:r>
        <w:r>
          <w:rPr>
            <w:i/>
            <w:iCs/>
          </w:rPr>
          <w:t>Firearms Act 1973</w:t>
        </w:r>
        <w:r>
          <w:t xml:space="preserve"> section 6(1).</w:t>
        </w:r>
      </w:ins>
    </w:p>
    <w:p>
      <w:pPr>
        <w:pStyle w:val="Footnotesection"/>
        <w:rPr>
          <w:ins w:id="974" w:author="Master Repository Process" w:date="2025-07-03T12:15:00Z"/>
        </w:rPr>
      </w:pPr>
      <w:ins w:id="975" w:author="Master Repository Process" w:date="2025-07-03T12:15:00Z">
        <w:r>
          <w:tab/>
          <w:t>[Section 227A inserted: No. 23 of 2024 s. 446.]</w:t>
        </w:r>
      </w:ins>
    </w:p>
    <w:p>
      <w:pPr>
        <w:pStyle w:val="Heading2"/>
      </w:pPr>
      <w:bookmarkStart w:id="976" w:name="_Toc192238998"/>
      <w:bookmarkStart w:id="977" w:name="_Toc192239784"/>
      <w:bookmarkStart w:id="978" w:name="_Toc192240155"/>
      <w:bookmarkStart w:id="979" w:name="_Toc192493167"/>
      <w:bookmarkStart w:id="980" w:name="_Toc185428437"/>
      <w:bookmarkStart w:id="981" w:name="_Toc185428807"/>
      <w:bookmarkStart w:id="982" w:name="_Toc185429179"/>
      <w:r>
        <w:rPr>
          <w:rStyle w:val="CharPartNo"/>
        </w:rPr>
        <w:t>Part 15</w:t>
      </w:r>
      <w:r>
        <w:t> — </w:t>
      </w:r>
      <w:r>
        <w:rPr>
          <w:rStyle w:val="CharPartText"/>
        </w:rPr>
        <w:t>Transitional matters</w:t>
      </w:r>
      <w:bookmarkEnd w:id="976"/>
      <w:bookmarkEnd w:id="977"/>
      <w:bookmarkEnd w:id="978"/>
      <w:bookmarkEnd w:id="979"/>
      <w:bookmarkEnd w:id="980"/>
      <w:bookmarkEnd w:id="981"/>
      <w:bookmarkEnd w:id="982"/>
    </w:p>
    <w:p>
      <w:pPr>
        <w:pStyle w:val="Footnoteheading"/>
        <w:tabs>
          <w:tab w:val="clear" w:pos="879"/>
          <w:tab w:val="left" w:pos="896"/>
        </w:tabs>
      </w:pPr>
      <w:r>
        <w:tab/>
        <w:t>[Heading inserted: No. 35 of 2014 s. 30.]</w:t>
      </w:r>
    </w:p>
    <w:p>
      <w:pPr>
        <w:pStyle w:val="Heading3"/>
      </w:pPr>
      <w:bookmarkStart w:id="983" w:name="_Toc192238999"/>
      <w:bookmarkStart w:id="984" w:name="_Toc192239785"/>
      <w:bookmarkStart w:id="985" w:name="_Toc192240156"/>
      <w:bookmarkStart w:id="986" w:name="_Toc192493168"/>
      <w:bookmarkStart w:id="987" w:name="_Toc185428438"/>
      <w:bookmarkStart w:id="988" w:name="_Toc185428808"/>
      <w:bookmarkStart w:id="989" w:name="_Toc185429180"/>
      <w:r>
        <w:rPr>
          <w:rStyle w:val="CharDivNo"/>
        </w:rPr>
        <w:t>Division 1</w:t>
      </w:r>
      <w:r>
        <w:t> — </w:t>
      </w:r>
      <w:r>
        <w:rPr>
          <w:rStyle w:val="CharDivText"/>
        </w:rPr>
        <w:t xml:space="preserve">Transitional provision for </w:t>
      </w:r>
      <w:r>
        <w:rPr>
          <w:rStyle w:val="CharDivText"/>
          <w:i/>
          <w:iCs/>
        </w:rPr>
        <w:t>Corruption and Crime Commission Amendment (Misconduct) Act 2014</w:t>
      </w:r>
      <w:bookmarkEnd w:id="983"/>
      <w:bookmarkEnd w:id="984"/>
      <w:bookmarkEnd w:id="985"/>
      <w:bookmarkEnd w:id="986"/>
      <w:bookmarkEnd w:id="987"/>
      <w:bookmarkEnd w:id="988"/>
      <w:bookmarkEnd w:id="989"/>
    </w:p>
    <w:p>
      <w:pPr>
        <w:pStyle w:val="Footnoteheading"/>
      </w:pPr>
      <w:r>
        <w:tab/>
        <w:t>[Heading inserted: No. 5 of 2024 s. 24.]</w:t>
      </w:r>
    </w:p>
    <w:p>
      <w:pPr>
        <w:pStyle w:val="Heading5"/>
        <w:rPr>
          <w:snapToGrid w:val="0"/>
        </w:rPr>
      </w:pPr>
      <w:bookmarkStart w:id="990" w:name="_Toc192493169"/>
      <w:bookmarkStart w:id="991" w:name="_Toc185429181"/>
      <w:r>
        <w:rPr>
          <w:rStyle w:val="CharSectno"/>
        </w:rPr>
        <w:t>228</w:t>
      </w:r>
      <w:r>
        <w:t>.</w:t>
      </w:r>
      <w:r>
        <w:tab/>
        <w:t xml:space="preserve">Transitional provision for </w:t>
      </w:r>
      <w:r>
        <w:rPr>
          <w:i/>
          <w:snapToGrid w:val="0"/>
        </w:rPr>
        <w:t>Corruption and Crime Commission Amendment (Misconduct) Act 2014</w:t>
      </w:r>
      <w:bookmarkEnd w:id="990"/>
      <w:bookmarkEnd w:id="991"/>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No. 35 of 2014 s. 30.]</w:t>
      </w:r>
    </w:p>
    <w:p>
      <w:pPr>
        <w:pStyle w:val="Heading3"/>
      </w:pPr>
      <w:bookmarkStart w:id="992" w:name="_Toc192239001"/>
      <w:bookmarkStart w:id="993" w:name="_Toc192239787"/>
      <w:bookmarkStart w:id="994" w:name="_Toc192240158"/>
      <w:bookmarkStart w:id="995" w:name="_Toc192493170"/>
      <w:bookmarkStart w:id="996" w:name="_Toc185428440"/>
      <w:bookmarkStart w:id="997" w:name="_Toc185428810"/>
      <w:bookmarkStart w:id="998" w:name="_Toc185429182"/>
      <w:r>
        <w:rPr>
          <w:rStyle w:val="CharDivNo"/>
        </w:rPr>
        <w:t>Division 2</w:t>
      </w:r>
      <w:r>
        <w:t> — </w:t>
      </w:r>
      <w:r>
        <w:rPr>
          <w:rStyle w:val="CharDivText"/>
        </w:rPr>
        <w:t xml:space="preserve">Transitional provisions for </w:t>
      </w:r>
      <w:r>
        <w:rPr>
          <w:rStyle w:val="CharDivText"/>
          <w:i/>
          <w:iCs/>
        </w:rPr>
        <w:t>Corruption, Crime and Misconduct Amendment Act 2024</w:t>
      </w:r>
      <w:bookmarkEnd w:id="992"/>
      <w:bookmarkEnd w:id="993"/>
      <w:bookmarkEnd w:id="994"/>
      <w:bookmarkEnd w:id="995"/>
      <w:bookmarkEnd w:id="996"/>
      <w:bookmarkEnd w:id="997"/>
      <w:bookmarkEnd w:id="998"/>
    </w:p>
    <w:p>
      <w:pPr>
        <w:pStyle w:val="Footnoteheading"/>
      </w:pPr>
      <w:r>
        <w:tab/>
        <w:t>[Heading inserted: No. 5 of 2024 s. 25.]</w:t>
      </w:r>
    </w:p>
    <w:p>
      <w:pPr>
        <w:pStyle w:val="Heading5"/>
      </w:pPr>
      <w:bookmarkStart w:id="999" w:name="_Toc192493171"/>
      <w:bookmarkStart w:id="1000" w:name="_Toc185429183"/>
      <w:r>
        <w:rPr>
          <w:rStyle w:val="CharSectno"/>
        </w:rPr>
        <w:t>229</w:t>
      </w:r>
      <w:r>
        <w:t>.</w:t>
      </w:r>
      <w:r>
        <w:tab/>
        <w:t>Terms used</w:t>
      </w:r>
      <w:bookmarkEnd w:id="999"/>
      <w:bookmarkEnd w:id="1000"/>
    </w:p>
    <w:p>
      <w:pPr>
        <w:pStyle w:val="Subsection"/>
      </w:pPr>
      <w:r>
        <w:tab/>
      </w:r>
      <w:r>
        <w:tab/>
        <w:t xml:space="preserve">In this Division — </w:t>
      </w:r>
    </w:p>
    <w:p>
      <w:pPr>
        <w:pStyle w:val="Defstart"/>
      </w:pPr>
      <w:r>
        <w:tab/>
      </w:r>
      <w:r>
        <w:rPr>
          <w:rStyle w:val="CharDefText"/>
        </w:rPr>
        <w:t>amending Act</w:t>
      </w:r>
      <w:r>
        <w:t xml:space="preserve"> means the </w:t>
      </w:r>
      <w:r>
        <w:rPr>
          <w:i/>
        </w:rPr>
        <w:t>Corruption, Crime and Misconduct Amendment Act 2024</w:t>
      </w:r>
      <w:r>
        <w:t>;</w:t>
      </w:r>
    </w:p>
    <w:p>
      <w:pPr>
        <w:pStyle w:val="Defstart"/>
      </w:pPr>
      <w:r>
        <w:tab/>
      </w:r>
      <w:r>
        <w:rPr>
          <w:rStyle w:val="CharDefText"/>
        </w:rPr>
        <w:t>former Act</w:t>
      </w:r>
      <w:r>
        <w:t xml:space="preserve"> means this Act as in force immediately before transition day;</w:t>
      </w:r>
    </w:p>
    <w:p>
      <w:pPr>
        <w:pStyle w:val="Defstart"/>
      </w:pPr>
      <w:r>
        <w:tab/>
      </w:r>
      <w:r>
        <w:rPr>
          <w:rStyle w:val="CharDefText"/>
        </w:rPr>
        <w:t>transition day</w:t>
      </w:r>
      <w:r>
        <w:t xml:space="preserve"> means the day on which Part 2 of the amending Act comes into operation.</w:t>
      </w:r>
    </w:p>
    <w:p>
      <w:pPr>
        <w:pStyle w:val="Footnotesection"/>
      </w:pPr>
      <w:r>
        <w:tab/>
        <w:t>[Section 229 inserted: No. 5 of 2024 s. 25.]</w:t>
      </w:r>
    </w:p>
    <w:p>
      <w:pPr>
        <w:pStyle w:val="Heading5"/>
      </w:pPr>
      <w:bookmarkStart w:id="1001" w:name="_Toc192493172"/>
      <w:bookmarkStart w:id="1002" w:name="_Toc185429184"/>
      <w:r>
        <w:rPr>
          <w:rStyle w:val="CharSectno"/>
        </w:rPr>
        <w:t>230</w:t>
      </w:r>
      <w:r>
        <w:t>.</w:t>
      </w:r>
      <w:r>
        <w:tab/>
        <w:t>Advertising by nominating committee before transition day</w:t>
      </w:r>
      <w:bookmarkEnd w:id="1001"/>
      <w:bookmarkEnd w:id="1002"/>
    </w:p>
    <w:p>
      <w:pPr>
        <w:pStyle w:val="Subsection"/>
        <w:keepNext/>
      </w:pPr>
      <w:r>
        <w:tab/>
        <w:t>(1)</w:t>
      </w:r>
      <w:r>
        <w:tab/>
        <w:t>This section applies if —</w:t>
      </w:r>
    </w:p>
    <w:p>
      <w:pPr>
        <w:pStyle w:val="Indenta"/>
      </w:pPr>
      <w:r>
        <w:tab/>
        <w:t>(a)</w:t>
      </w:r>
      <w:r>
        <w:tab/>
        <w:t xml:space="preserve">before transition day the nominating committee — </w:t>
      </w:r>
    </w:p>
    <w:p>
      <w:pPr>
        <w:pStyle w:val="Indenti"/>
      </w:pPr>
      <w:r>
        <w:tab/>
        <w:t>(i)</w:t>
      </w:r>
      <w:r>
        <w:tab/>
        <w:t xml:space="preserve">began advertising (the </w:t>
      </w:r>
      <w:r>
        <w:rPr>
          <w:rStyle w:val="CharDefText"/>
        </w:rPr>
        <w:t>relevant advertising</w:t>
      </w:r>
      <w:r>
        <w:t>) throughout Australia under section 9(3b) of the former Act for expressions of interest in relation to an appointment by the Governor under section 9(3) or 14(1) of the former Act; and</w:t>
      </w:r>
    </w:p>
    <w:p>
      <w:pPr>
        <w:pStyle w:val="Indenti"/>
      </w:pPr>
      <w:r>
        <w:tab/>
        <w:t>(ii)</w:t>
      </w:r>
      <w:r>
        <w:tab/>
        <w:t>did not, pursuant to the relevant advertising, submit to the Premier under section 9(3a)(a) of the former Act (including as applied by section 14(2a) of the former Act) a list of 3 persons eligible for appointment;</w:t>
      </w:r>
    </w:p>
    <w:p>
      <w:pPr>
        <w:pStyle w:val="Indenta"/>
      </w:pPr>
      <w:r>
        <w:tab/>
      </w:r>
      <w:r>
        <w:tab/>
        <w:t>and</w:t>
      </w:r>
    </w:p>
    <w:p>
      <w:pPr>
        <w:pStyle w:val="Indenta"/>
      </w:pPr>
      <w:r>
        <w:tab/>
        <w:t>(b)</w:t>
      </w:r>
      <w:r>
        <w:tab/>
        <w:t>it is not more than 12 months since the day on which the nominating committee began the relevant advertising.</w:t>
      </w:r>
    </w:p>
    <w:p>
      <w:pPr>
        <w:pStyle w:val="Subsection"/>
      </w:pPr>
      <w:r>
        <w:tab/>
        <w:t>(2)</w:t>
      </w:r>
      <w:r>
        <w:tab/>
        <w:t>Despite section 9B, the nominating committee may, once the relevant advertising is completed, submit to the Premier a list of 3 persons qualified and eligible under section 10 for appointment.</w:t>
      </w:r>
    </w:p>
    <w:p>
      <w:pPr>
        <w:pStyle w:val="Subsection"/>
      </w:pPr>
      <w:r>
        <w:tab/>
        <w:t>(3)</w:t>
      </w:r>
      <w:r>
        <w:tab/>
        <w:t>A list submitted to the Premier by the nominating committee under subsection (2) is taken to be a list of 3 persons that is submitted to the Premier by the nominating committee under section 9B(1).</w:t>
      </w:r>
    </w:p>
    <w:p>
      <w:pPr>
        <w:pStyle w:val="Footnotesection"/>
      </w:pPr>
      <w:r>
        <w:tab/>
        <w:t>[Section 230 inserted: No. 5 of 2024 s. 25.]</w:t>
      </w:r>
    </w:p>
    <w:p>
      <w:pPr>
        <w:pStyle w:val="Heading5"/>
      </w:pPr>
      <w:bookmarkStart w:id="1003" w:name="_Toc192493173"/>
      <w:bookmarkStart w:id="1004" w:name="_Toc185429185"/>
      <w:r>
        <w:rPr>
          <w:rStyle w:val="CharSectno"/>
        </w:rPr>
        <w:t>231</w:t>
      </w:r>
      <w:r>
        <w:t>.</w:t>
      </w:r>
      <w:r>
        <w:tab/>
        <w:t>Person on list submitted by nominating committee before transition day</w:t>
      </w:r>
      <w:bookmarkEnd w:id="1003"/>
      <w:bookmarkEnd w:id="1004"/>
    </w:p>
    <w:p>
      <w:pPr>
        <w:pStyle w:val="Subsection"/>
      </w:pPr>
      <w:r>
        <w:tab/>
        <w:t>(1)</w:t>
      </w:r>
      <w:r>
        <w:tab/>
        <w:t xml:space="preserve">This section applies if — </w:t>
      </w:r>
    </w:p>
    <w:p>
      <w:pPr>
        <w:pStyle w:val="Indenta"/>
      </w:pPr>
      <w:r>
        <w:tab/>
        <w:t>(a)</w:t>
      </w:r>
      <w:r>
        <w:tab/>
        <w:t xml:space="preserve">before transition day — </w:t>
      </w:r>
    </w:p>
    <w:p>
      <w:pPr>
        <w:pStyle w:val="Indenti"/>
      </w:pPr>
      <w:r>
        <w:tab/>
        <w:t>(i)</w:t>
      </w:r>
      <w:r>
        <w:tab/>
        <w:t xml:space="preserve">a person’s (the </w:t>
      </w:r>
      <w:r>
        <w:rPr>
          <w:rStyle w:val="CharDefText"/>
        </w:rPr>
        <w:t>relevant person</w:t>
      </w:r>
      <w:r>
        <w:t>) name is on a list of 3 persons eligible for appointment submitted to the Premier by the nominating committee under section 9(3a)(a) of the former Act (including as applied by section 14(2a) of the former Act); and</w:t>
      </w:r>
    </w:p>
    <w:p>
      <w:pPr>
        <w:pStyle w:val="Indenti"/>
      </w:pPr>
      <w:r>
        <w:tab/>
        <w:t>(ii)</w:t>
      </w:r>
      <w:r>
        <w:tab/>
        <w:t>the Governor did not appoint the relevant person under section 9(3) or 14(1) of the former Act;</w:t>
      </w:r>
    </w:p>
    <w:p>
      <w:pPr>
        <w:pStyle w:val="Indenta"/>
      </w:pPr>
      <w:r>
        <w:tab/>
      </w:r>
      <w:r>
        <w:tab/>
        <w:t>and</w:t>
      </w:r>
    </w:p>
    <w:p>
      <w:pPr>
        <w:pStyle w:val="Indenta"/>
      </w:pPr>
      <w:r>
        <w:tab/>
        <w:t>(b)</w:t>
      </w:r>
      <w:r>
        <w:tab/>
        <w:t>it is not more than 12 months since the day on which the nominating committee submitted the list to the Premier.</w:t>
      </w:r>
    </w:p>
    <w:p>
      <w:pPr>
        <w:pStyle w:val="Subsection"/>
      </w:pPr>
      <w:r>
        <w:tab/>
        <w:t>(2)</w:t>
      </w:r>
      <w:r>
        <w:tab/>
        <w:t>Sections 9(3), (3a) and (4) and 14(2a) of the former Act (as the case may require) continue to apply in relation to the appointment of the relevant person as if the amendments made by sections 5(3), 6 and 12(2) of the amending Act had not been made.</w:t>
      </w:r>
    </w:p>
    <w:p>
      <w:pPr>
        <w:pStyle w:val="Footnotesection"/>
      </w:pPr>
      <w:r>
        <w:tab/>
        <w:t>[Section 231 inserted: No. 5 of 2024 s. 25.]</w:t>
      </w:r>
    </w:p>
    <w:p>
      <w:pPr>
        <w:pStyle w:val="Heading5"/>
      </w:pPr>
      <w:bookmarkStart w:id="1005" w:name="_Toc192493174"/>
      <w:bookmarkStart w:id="1006" w:name="_Toc185429186"/>
      <w:r>
        <w:rPr>
          <w:rStyle w:val="CharSectno"/>
        </w:rPr>
        <w:t>232</w:t>
      </w:r>
      <w:r>
        <w:t>.</w:t>
      </w:r>
      <w:r>
        <w:tab/>
        <w:t>References to Commissioner appointed under s. 9A(1)</w:t>
      </w:r>
      <w:bookmarkEnd w:id="1005"/>
      <w:bookmarkEnd w:id="1006"/>
    </w:p>
    <w:p>
      <w:pPr>
        <w:pStyle w:val="Subsection"/>
      </w:pPr>
      <w:r>
        <w:tab/>
      </w:r>
      <w:r>
        <w:tab/>
        <w:t>On and from transition day, a reference in this Act to a Commissioner appointed under section 9A(1) includes a reference to a Commissioner appointed under section 9 of the former Act.</w:t>
      </w:r>
    </w:p>
    <w:p>
      <w:pPr>
        <w:pStyle w:val="Footnotesection"/>
      </w:pPr>
      <w:r>
        <w:tab/>
        <w:t>[Section 232 inserted: No. 5 of 2024 s. 25.]</w:t>
      </w:r>
    </w:p>
    <w:p>
      <w:pPr>
        <w:pStyle w:val="Heading5"/>
      </w:pPr>
      <w:bookmarkStart w:id="1007" w:name="_Toc192493175"/>
      <w:bookmarkStart w:id="1008" w:name="_Toc185429187"/>
      <w:r>
        <w:rPr>
          <w:rStyle w:val="CharSectno"/>
        </w:rPr>
        <w:t>233</w:t>
      </w:r>
      <w:r>
        <w:t>.</w:t>
      </w:r>
      <w:r>
        <w:tab/>
        <w:t>Person taken to be acting for reason mentioned in s. 14(1)(b)</w:t>
      </w:r>
      <w:bookmarkEnd w:id="1007"/>
      <w:bookmarkEnd w:id="1008"/>
    </w:p>
    <w:p>
      <w:pPr>
        <w:pStyle w:val="Subsection"/>
      </w:pPr>
      <w:r>
        <w:tab/>
      </w:r>
      <w:r>
        <w:tab/>
        <w:t>On and from transition day, a person appointed under section 14(1) of the former Act for the reason mentioned in section 14(1)(c) of the former Act is, when acting under section 14 for that reason, taken to be acting under section 14 for the reason mentioned in section 14(1)(b).</w:t>
      </w:r>
    </w:p>
    <w:p>
      <w:pPr>
        <w:pStyle w:val="Footnotesection"/>
      </w:pPr>
      <w:r>
        <w:tab/>
        <w:t>[Section 233 inserted: No. 5 of 2024 s. 25.]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009" w:name="_Toc192239007"/>
      <w:bookmarkStart w:id="1010" w:name="_Toc192239793"/>
      <w:bookmarkStart w:id="1011" w:name="_Toc192240164"/>
      <w:bookmarkStart w:id="1012" w:name="_Toc192493176"/>
      <w:bookmarkStart w:id="1013" w:name="_Toc185428446"/>
      <w:bookmarkStart w:id="1014" w:name="_Toc185428816"/>
      <w:bookmarkStart w:id="1015" w:name="_Toc185429188"/>
      <w:r>
        <w:rPr>
          <w:rStyle w:val="CharSchNo"/>
        </w:rPr>
        <w:t>Schedule 1</w:t>
      </w:r>
      <w:r>
        <w:t> — </w:t>
      </w:r>
      <w:r>
        <w:rPr>
          <w:rStyle w:val="CharSchText"/>
        </w:rPr>
        <w:t>Offences that may be relevant for Part 4</w:t>
      </w:r>
      <w:bookmarkEnd w:id="1009"/>
      <w:bookmarkEnd w:id="1010"/>
      <w:bookmarkEnd w:id="1011"/>
      <w:bookmarkEnd w:id="1012"/>
      <w:bookmarkEnd w:id="1013"/>
      <w:bookmarkEnd w:id="1014"/>
      <w:bookmarkEnd w:id="1015"/>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w:t>
      </w:r>
      <w:del w:id="1016" w:author="Master Repository Process" w:date="2025-07-03T12:15:00Z">
        <w:r>
          <w:delText xml:space="preserve">against regulations made </w:delText>
        </w:r>
      </w:del>
      <w:r>
        <w:rPr>
          <w:szCs w:val="22"/>
        </w:rPr>
        <w:t xml:space="preserve">under </w:t>
      </w:r>
      <w:del w:id="1017" w:author="Master Repository Process" w:date="2025-07-03T12:15:00Z">
        <w:r>
          <w:delText>s. 6(1)</w:delText>
        </w:r>
      </w:del>
      <w:ins w:id="1018" w:author="Master Repository Process" w:date="2025-07-03T12:15:00Z">
        <w:r>
          <w:rPr>
            <w:szCs w:val="22"/>
          </w:rPr>
          <w:t>a provision</w:t>
        </w:r>
      </w:ins>
      <w:r>
        <w:rPr>
          <w:szCs w:val="22"/>
        </w:rPr>
        <w:t xml:space="preserve"> of the </w:t>
      </w:r>
      <w:r>
        <w:rPr>
          <w:i/>
          <w:szCs w:val="22"/>
        </w:rPr>
        <w:t>Firearms Act </w:t>
      </w:r>
      <w:del w:id="1019" w:author="Master Repository Process" w:date="2025-07-03T12:15:00Z">
        <w:r>
          <w:rPr>
            <w:i/>
          </w:rPr>
          <w:delText>1973</w:delText>
        </w:r>
      </w:del>
      <w:ins w:id="1020" w:author="Master Repository Process" w:date="2025-07-03T12:15:00Z">
        <w:r>
          <w:rPr>
            <w:i/>
            <w:szCs w:val="22"/>
          </w:rPr>
          <w:t xml:space="preserve">2024 </w:t>
        </w:r>
        <w:r>
          <w:rPr>
            <w:szCs w:val="22"/>
          </w:rPr>
          <w:t>Part 5 Divisions 1 to 4</w:t>
        </w:r>
      </w:ins>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keepNext/>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No. 78 of 2003 s. 33; amended: No. 4 of 2004 s. 24; No. 70 of 2004 s. 82; No. 29 of 2008 s. 26; No. 8 of 2009 s. 41(9</w:t>
      </w:r>
      <w:del w:id="1021" w:author="Master Repository Process" w:date="2025-07-03T12:15:00Z">
        <w:r>
          <w:delText>).]</w:delText>
        </w:r>
      </w:del>
      <w:ins w:id="1022" w:author="Master Repository Process" w:date="2025-07-03T12:15:00Z">
        <w:r>
          <w:t>); No. 23 of 2024 s. 447.]</w:t>
        </w:r>
      </w:ins>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024" w:name="_Toc192239008"/>
      <w:bookmarkStart w:id="1025" w:name="_Toc192239794"/>
      <w:bookmarkStart w:id="1026" w:name="_Toc192240165"/>
      <w:bookmarkStart w:id="1027" w:name="_Toc192493177"/>
      <w:bookmarkStart w:id="1028" w:name="_Toc185428447"/>
      <w:bookmarkStart w:id="1029" w:name="_Toc185428817"/>
      <w:bookmarkStart w:id="1030" w:name="_Toc185429189"/>
      <w:r>
        <w:rPr>
          <w:rStyle w:val="CharSchNo"/>
        </w:rPr>
        <w:t>Schedule 2</w:t>
      </w:r>
      <w:r>
        <w:t> — </w:t>
      </w:r>
      <w:r>
        <w:rPr>
          <w:rStyle w:val="CharSchText"/>
        </w:rPr>
        <w:t>Terms and conditions of service of Commissioner</w:t>
      </w:r>
      <w:bookmarkEnd w:id="1024"/>
      <w:bookmarkEnd w:id="1025"/>
      <w:bookmarkEnd w:id="1026"/>
      <w:bookmarkEnd w:id="1027"/>
      <w:bookmarkEnd w:id="1028"/>
      <w:bookmarkEnd w:id="1029"/>
      <w:bookmarkEnd w:id="1030"/>
    </w:p>
    <w:p>
      <w:pPr>
        <w:pStyle w:val="yShoulderClause"/>
      </w:pPr>
      <w:r>
        <w:t>[s. 11]</w:t>
      </w:r>
    </w:p>
    <w:p>
      <w:pPr>
        <w:pStyle w:val="yFootnoteheading"/>
      </w:pPr>
      <w:r>
        <w:tab/>
        <w:t>[Heading, formerly Schedule 1, renumbered as Schedule 2: No. 78 of 2003 s. 35(10).]</w:t>
      </w:r>
    </w:p>
    <w:p>
      <w:pPr>
        <w:pStyle w:val="yHeading5"/>
      </w:pPr>
      <w:bookmarkStart w:id="1031" w:name="_Toc192493178"/>
      <w:bookmarkStart w:id="1032" w:name="_Toc185429190"/>
      <w:r>
        <w:rPr>
          <w:rStyle w:val="CharSClsNo"/>
        </w:rPr>
        <w:t>1</w:t>
      </w:r>
      <w:r>
        <w:t>.</w:t>
      </w:r>
      <w:r>
        <w:tab/>
        <w:t>Tenure of office</w:t>
      </w:r>
      <w:bookmarkEnd w:id="1031"/>
      <w:bookmarkEnd w:id="1032"/>
      <w: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No. 78 of 2003 s. 32(a).]</w:t>
      </w:r>
    </w:p>
    <w:p>
      <w:pPr>
        <w:pStyle w:val="yHeading5"/>
      </w:pPr>
      <w:bookmarkStart w:id="1033" w:name="_Toc192493179"/>
      <w:bookmarkStart w:id="1034" w:name="_Toc185429191"/>
      <w:r>
        <w:rPr>
          <w:rStyle w:val="CharSClsNo"/>
        </w:rPr>
        <w:t>2</w:t>
      </w:r>
      <w:r>
        <w:t>.</w:t>
      </w:r>
      <w:r>
        <w:tab/>
        <w:t>Terms of appointment</w:t>
      </w:r>
      <w:bookmarkEnd w:id="1033"/>
      <w:bookmarkEnd w:id="1034"/>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pPr>
      <w:bookmarkStart w:id="1035" w:name="_Toc192493180"/>
      <w:bookmarkStart w:id="1036" w:name="_Toc185429192"/>
      <w:r>
        <w:rPr>
          <w:rStyle w:val="CharSClsNo"/>
        </w:rPr>
        <w:t>3</w:t>
      </w:r>
      <w:r>
        <w:t>.</w:t>
      </w:r>
      <w:r>
        <w:tab/>
        <w:t>Remuneration, leave and entitlements</w:t>
      </w:r>
      <w:bookmarkEnd w:id="1035"/>
      <w:bookmarkEnd w:id="1036"/>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keepNext/>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No. 77 of 2006 s. 4; No. 35 of 2014 s. 32.]</w:t>
      </w:r>
    </w:p>
    <w:p>
      <w:pPr>
        <w:pStyle w:val="yHeading5"/>
      </w:pPr>
      <w:bookmarkStart w:id="1037" w:name="_Toc192493181"/>
      <w:bookmarkStart w:id="1038" w:name="_Toc185429193"/>
      <w:r>
        <w:rPr>
          <w:rStyle w:val="CharSClsNo"/>
        </w:rPr>
        <w:t>4</w:t>
      </w:r>
      <w:r>
        <w:t>.</w:t>
      </w:r>
      <w:r>
        <w:tab/>
        <w:t>Provisions where Commissioner was judge</w:t>
      </w:r>
      <w:bookmarkEnd w:id="1037"/>
      <w:bookmarkEnd w:id="1038"/>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No. 78 of 2003 s. 32(b).]</w:t>
      </w:r>
    </w:p>
    <w:p>
      <w:pPr>
        <w:pStyle w:val="yHeading5"/>
      </w:pPr>
      <w:bookmarkStart w:id="1039" w:name="_Toc192493182"/>
      <w:bookmarkStart w:id="1040" w:name="_Toc185429194"/>
      <w:r>
        <w:rPr>
          <w:rStyle w:val="CharSClsNo"/>
        </w:rPr>
        <w:t>5</w:t>
      </w:r>
      <w:r>
        <w:t>.</w:t>
      </w:r>
      <w:r>
        <w:tab/>
        <w:t>Provisions where Commissioner was public service officer</w:t>
      </w:r>
      <w:bookmarkEnd w:id="1039"/>
      <w:bookmarkEnd w:id="1040"/>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2</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pPr>
      <w:bookmarkStart w:id="1041" w:name="_Toc192493183"/>
      <w:bookmarkStart w:id="1042" w:name="_Toc185429195"/>
      <w:r>
        <w:rPr>
          <w:rStyle w:val="CharSClsNo"/>
        </w:rPr>
        <w:t>6</w:t>
      </w:r>
      <w:r>
        <w:t>.</w:t>
      </w:r>
      <w:r>
        <w:tab/>
        <w:t>Resignation</w:t>
      </w:r>
      <w:bookmarkEnd w:id="1041"/>
      <w:bookmarkEnd w:id="1042"/>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pPr>
      <w:bookmarkStart w:id="1043" w:name="_Toc192493184"/>
      <w:bookmarkStart w:id="1044" w:name="_Toc185429196"/>
      <w:r>
        <w:rPr>
          <w:rStyle w:val="CharSClsNo"/>
        </w:rPr>
        <w:t>7</w:t>
      </w:r>
      <w:r>
        <w:t>.</w:t>
      </w:r>
      <w:r>
        <w:tab/>
        <w:t>Vacancy</w:t>
      </w:r>
      <w:bookmarkEnd w:id="1043"/>
      <w:bookmarkEnd w:id="1044"/>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No. 78 of 2003 s. 35(13); No. 18 of 2009 s. 23(2).]</w:t>
      </w:r>
    </w:p>
    <w:p>
      <w:pPr>
        <w:pStyle w:val="yScheduleHeading"/>
      </w:pPr>
      <w:bookmarkStart w:id="1045" w:name="_Toc192239016"/>
      <w:bookmarkStart w:id="1046" w:name="_Toc192239802"/>
      <w:bookmarkStart w:id="1047" w:name="_Toc192240173"/>
      <w:bookmarkStart w:id="1048" w:name="_Toc192493185"/>
      <w:bookmarkStart w:id="1049" w:name="_Toc185428455"/>
      <w:bookmarkStart w:id="1050" w:name="_Toc185428825"/>
      <w:bookmarkStart w:id="1051" w:name="_Toc185429197"/>
      <w:r>
        <w:rPr>
          <w:rStyle w:val="CharSchNo"/>
        </w:rPr>
        <w:t>Schedule 2A</w:t>
      </w:r>
      <w:r>
        <w:t> — </w:t>
      </w:r>
      <w:r>
        <w:rPr>
          <w:rStyle w:val="CharSchText"/>
        </w:rPr>
        <w:t>Terms and conditions of service of Deputy Commissioner</w:t>
      </w:r>
      <w:bookmarkEnd w:id="1045"/>
      <w:bookmarkEnd w:id="1046"/>
      <w:bookmarkEnd w:id="1047"/>
      <w:bookmarkEnd w:id="1048"/>
      <w:bookmarkEnd w:id="1049"/>
      <w:bookmarkEnd w:id="1050"/>
      <w:bookmarkEnd w:id="1051"/>
    </w:p>
    <w:p>
      <w:pPr>
        <w:pStyle w:val="yShoulderClause"/>
      </w:pPr>
      <w:r>
        <w:t>[s. 11A]</w:t>
      </w:r>
    </w:p>
    <w:p>
      <w:pPr>
        <w:pStyle w:val="yFootnoteheading"/>
      </w:pPr>
      <w:r>
        <w:tab/>
        <w:t>[Heading inserted: No. 5 of 2024 s. 26.]</w:t>
      </w:r>
    </w:p>
    <w:p>
      <w:pPr>
        <w:pStyle w:val="yHeading5"/>
      </w:pPr>
      <w:bookmarkStart w:id="1052" w:name="_Toc192493186"/>
      <w:bookmarkStart w:id="1053" w:name="_Toc185429198"/>
      <w:r>
        <w:rPr>
          <w:rStyle w:val="CharSClsNo"/>
        </w:rPr>
        <w:t>1</w:t>
      </w:r>
      <w:r>
        <w:t>.</w:t>
      </w:r>
      <w:r>
        <w:tab/>
        <w:t>Tenure of office</w:t>
      </w:r>
      <w:bookmarkEnd w:id="1052"/>
      <w:bookmarkEnd w:id="1053"/>
    </w:p>
    <w:p>
      <w:pPr>
        <w:pStyle w:val="ySubsection"/>
      </w:pPr>
      <w:r>
        <w:tab/>
      </w:r>
      <w:r>
        <w:tab/>
        <w:t>Subject to this Act, the Deputy Commissioner holds office for a period of 5 years and is eligible for reappointment once.</w:t>
      </w:r>
    </w:p>
    <w:p>
      <w:pPr>
        <w:pStyle w:val="yFootnotesection"/>
      </w:pPr>
      <w:r>
        <w:tab/>
        <w:t>[Clause 1 inserted: No. 5 of 2024 s. 26.]</w:t>
      </w:r>
    </w:p>
    <w:p>
      <w:pPr>
        <w:pStyle w:val="yHeading5"/>
      </w:pPr>
      <w:bookmarkStart w:id="1054" w:name="_Toc192493187"/>
      <w:bookmarkStart w:id="1055" w:name="_Toc185429199"/>
      <w:r>
        <w:rPr>
          <w:rStyle w:val="CharSClsNo"/>
        </w:rPr>
        <w:t>2</w:t>
      </w:r>
      <w:r>
        <w:t>.</w:t>
      </w:r>
      <w:r>
        <w:tab/>
        <w:t>Terms of appointment</w:t>
      </w:r>
      <w:bookmarkEnd w:id="1054"/>
      <w:bookmarkEnd w:id="1055"/>
    </w:p>
    <w:p>
      <w:pPr>
        <w:pStyle w:val="ySubsection"/>
      </w:pPr>
      <w:r>
        <w:tab/>
        <w:t>(1)</w:t>
      </w:r>
      <w:r>
        <w:tab/>
        <w:t>The Deputy Commissioner is to be appointed on a full</w:t>
      </w:r>
      <w:r>
        <w:noBreakHyphen/>
        <w:t>time basis.</w:t>
      </w:r>
    </w:p>
    <w:p>
      <w:pPr>
        <w:pStyle w:val="ySubsection"/>
      </w:pPr>
      <w:r>
        <w:tab/>
        <w:t>(2)</w:t>
      </w:r>
      <w:r>
        <w:tab/>
        <w:t>The Deputy Commissioner must not, except in so far as authorised to do so by the Governor, hold any office of profit or trust (other than office as Deputy Commissioner) or engage in any occupation for reward outside the duties of the office of Deputy Commissioner.</w:t>
      </w:r>
    </w:p>
    <w:p>
      <w:pPr>
        <w:pStyle w:val="ySubsection"/>
      </w:pPr>
      <w:r>
        <w:tab/>
        <w:t>(3)</w:t>
      </w:r>
      <w:r>
        <w:tab/>
        <w:t xml:space="preserve">Section 52 of the </w:t>
      </w:r>
      <w:r>
        <w:rPr>
          <w:i/>
        </w:rPr>
        <w:t>Interpretation Act 1984</w:t>
      </w:r>
      <w:r>
        <w:t xml:space="preserve"> does not apply to the office of Deputy Commissioner.</w:t>
      </w:r>
    </w:p>
    <w:p>
      <w:pPr>
        <w:pStyle w:val="yFootnotesection"/>
      </w:pPr>
      <w:r>
        <w:tab/>
        <w:t>[Clause 2 inserted: No. 5 of 2024 s. 26.]</w:t>
      </w:r>
    </w:p>
    <w:p>
      <w:pPr>
        <w:pStyle w:val="yHeading5"/>
      </w:pPr>
      <w:bookmarkStart w:id="1056" w:name="_Toc192493188"/>
      <w:bookmarkStart w:id="1057" w:name="_Toc185429200"/>
      <w:r>
        <w:rPr>
          <w:rStyle w:val="CharSClsNo"/>
        </w:rPr>
        <w:t>3</w:t>
      </w:r>
      <w:r>
        <w:t>.</w:t>
      </w:r>
      <w:r>
        <w:tab/>
        <w:t>Remuneration, leave and entitlements</w:t>
      </w:r>
      <w:bookmarkEnd w:id="1056"/>
      <w:bookmarkEnd w:id="1057"/>
    </w:p>
    <w:p>
      <w:pPr>
        <w:pStyle w:val="ySubsection"/>
      </w:pPr>
      <w:r>
        <w:tab/>
        <w:t>(1)</w:t>
      </w:r>
      <w:r>
        <w:tab/>
        <w:t xml:space="preserve">The Deputy Commissioner is entitled to be paid remuneration and to receive allowances or reimbursements at the same rate as — </w:t>
      </w:r>
    </w:p>
    <w:p>
      <w:pPr>
        <w:pStyle w:val="yIndenta"/>
      </w:pPr>
      <w:r>
        <w:tab/>
        <w:t>(a)</w:t>
      </w:r>
      <w:r>
        <w:tab/>
        <w:t>if the Deputy Commissioner is a person who has served as a judge of the Supreme Court of Western Australia or another State or Territory or the High Court of Australia or the Federal Court of Australia — a puisne judge of the Supreme Court; or</w:t>
      </w:r>
    </w:p>
    <w:p>
      <w:pPr>
        <w:pStyle w:val="yIndenta"/>
      </w:pPr>
      <w:r>
        <w:tab/>
        <w:t>(b)</w:t>
      </w:r>
      <w:r>
        <w:tab/>
        <w:t>otherwise — the senior District Court judge.</w:t>
      </w:r>
    </w:p>
    <w:p>
      <w:pPr>
        <w:pStyle w:val="ySubsection"/>
      </w:pPr>
      <w:r>
        <w:tab/>
        <w:t>(2)</w:t>
      </w:r>
      <w:r>
        <w:tab/>
        <w:t>Despite subclause (1), during any period when the Deputy Commissioner is acting in the office of Commissioner under section 13A(1)(a) the Deputy Commissioner is entitled to be paid remuneration and receive allowances or reimbursements at the same rate as a puisne judge of the Supreme Court.</w:t>
      </w:r>
    </w:p>
    <w:p>
      <w:pPr>
        <w:pStyle w:val="ySubsection"/>
      </w:pPr>
      <w:r>
        <w:tab/>
        <w:t>(3)</w:t>
      </w:r>
      <w:r>
        <w:tab/>
        <w:t>The Deputy Commissioner is entitled to the same conditions in respect of leave of absence as a judge of the Supreme Court.</w:t>
      </w:r>
    </w:p>
    <w:p>
      <w:pPr>
        <w:pStyle w:val="ySubsection"/>
      </w:pPr>
      <w:r>
        <w:tab/>
        <w:t>(4)</w:t>
      </w:r>
      <w:r>
        <w:tab/>
        <w:t xml:space="preserve">The provisions of the </w:t>
      </w:r>
      <w:r>
        <w:rPr>
          <w:i/>
        </w:rPr>
        <w:t>Judges’ Salaries and Pensions Act 1950</w:t>
      </w:r>
      <w:r>
        <w:t xml:space="preserve"> that relate to pensions apply, with such modifications as circumstances require — </w:t>
      </w:r>
    </w:p>
    <w:p>
      <w:pPr>
        <w:pStyle w:val="yIndenta"/>
      </w:pPr>
      <w:r>
        <w:tab/>
        <w:t>(a)</w:t>
      </w:r>
      <w:r>
        <w:tab/>
        <w:t>to and in relation to the Deputy Commissioner as they apply to and in relation to a judge of the Supreme Court appointed after the commencement of that Act; and</w:t>
      </w:r>
    </w:p>
    <w:p>
      <w:pPr>
        <w:pStyle w:val="yIndenta"/>
      </w:pPr>
      <w:r>
        <w:tab/>
        <w:t>(b)</w:t>
      </w:r>
      <w:r>
        <w:tab/>
        <w:t>after the Deputy Commissioner’s death, to and in relation to the Deputy Commissioner’s spouse or de facto partner and children as they apply to and in relation to the spouse or de facto partner and children of a judge of the Supreme Court after that judge’s death.</w:t>
      </w:r>
    </w:p>
    <w:p>
      <w:pPr>
        <w:pStyle w:val="ySubsection"/>
      </w:pPr>
      <w:r>
        <w:tab/>
        <w:t>(5)</w:t>
      </w:r>
      <w:r>
        <w:tab/>
        <w:t xml:space="preserve">For the purposes of subclause (4), judge in the </w:t>
      </w:r>
      <w:r>
        <w:rPr>
          <w:i/>
        </w:rPr>
        <w:t>Judges’ Salaries and Pensions Act 1950</w:t>
      </w:r>
      <w:r>
        <w:t xml:space="preserve"> includes a reference to the Deputy Commissioner.</w:t>
      </w:r>
    </w:p>
    <w:p>
      <w:pPr>
        <w:pStyle w:val="ySubsection"/>
      </w:pPr>
      <w:r>
        <w:tab/>
        <w:t>(6)</w:t>
      </w:r>
      <w:r>
        <w:tab/>
        <w:t>Subclauses (1) and (2) have effect subject to clause 4.</w:t>
      </w:r>
    </w:p>
    <w:p>
      <w:pPr>
        <w:pStyle w:val="ySubsection"/>
      </w:pPr>
      <w:r>
        <w:tab/>
        <w:t>(7)</w:t>
      </w:r>
      <w:r>
        <w:tab/>
        <w:t>The remuneration payable to the holder of the office of Deputy Commissioner is to be charged to the Consolidated Account which, to the necessary extent, is by this clause appropriated accordingly.</w:t>
      </w:r>
    </w:p>
    <w:p>
      <w:pPr>
        <w:pStyle w:val="yFootnotesection"/>
      </w:pPr>
      <w:r>
        <w:tab/>
        <w:t>[Clause 3 inserted: No. 5 of 2024 s. 26.]</w:t>
      </w:r>
    </w:p>
    <w:p>
      <w:pPr>
        <w:pStyle w:val="yHeading5"/>
      </w:pPr>
      <w:bookmarkStart w:id="1058" w:name="_Toc192493189"/>
      <w:bookmarkStart w:id="1059" w:name="_Toc185429201"/>
      <w:r>
        <w:rPr>
          <w:rStyle w:val="CharSClsNo"/>
        </w:rPr>
        <w:t>4</w:t>
      </w:r>
      <w:r>
        <w:t>.</w:t>
      </w:r>
      <w:r>
        <w:tab/>
        <w:t>Provisions where Deputy Commissioner was judge</w:t>
      </w:r>
      <w:bookmarkEnd w:id="1058"/>
      <w:bookmarkEnd w:id="1059"/>
    </w:p>
    <w:p>
      <w:pPr>
        <w:pStyle w:val="ySubsection"/>
      </w:pPr>
      <w:r>
        <w:tab/>
        <w:t>(1)</w:t>
      </w:r>
      <w:r>
        <w:tab/>
        <w:t>If a person was a judge of the Supreme Court or the Chief Judge of the District Court immediately before appointment to the office of Deputy Commissioner, that person must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Deputy Commissioner of a former judge is taken to be service as the holder of the same judicial office as the office that person held before appointment as Deputy Commissioner.</w:t>
      </w:r>
    </w:p>
    <w:p>
      <w:pPr>
        <w:pStyle w:val="ySubsection"/>
      </w:pPr>
      <w:r>
        <w:tab/>
        <w:t>(3)</w:t>
      </w:r>
      <w:r>
        <w:tab/>
        <w:t>The person’s service as Deputy Commissioner is, for all purposes, taken to be service as the holder of that judicial office.</w:t>
      </w:r>
    </w:p>
    <w:p>
      <w:pPr>
        <w:pStyle w:val="ySubsection"/>
        <w:keepNext/>
      </w:pPr>
      <w:r>
        <w:tab/>
        <w:t>(4)</w:t>
      </w:r>
      <w:r>
        <w:tab/>
        <w:t>In this clause —</w:t>
      </w:r>
    </w:p>
    <w:p>
      <w:pPr>
        <w:pStyle w:val="yDefstart"/>
      </w:pPr>
      <w:r>
        <w:tab/>
      </w:r>
      <w:r>
        <w:rPr>
          <w:rStyle w:val="CharDefText"/>
        </w:rPr>
        <w:t>former judge</w:t>
      </w:r>
      <w:r>
        <w:t xml:space="preserve"> means a person who, immediately before appointment to the office of Deputy Commissioner, was a judge of the Supreme Court or the District Court.</w:t>
      </w:r>
    </w:p>
    <w:p>
      <w:pPr>
        <w:pStyle w:val="yFootnotesection"/>
      </w:pPr>
      <w:r>
        <w:tab/>
        <w:t>[Clause 4 inserted: No. 5 of 2024 s. 26.]</w:t>
      </w:r>
    </w:p>
    <w:p>
      <w:pPr>
        <w:pStyle w:val="yHeading5"/>
      </w:pPr>
      <w:bookmarkStart w:id="1060" w:name="_Toc192493190"/>
      <w:bookmarkStart w:id="1061" w:name="_Toc185429202"/>
      <w:r>
        <w:rPr>
          <w:rStyle w:val="CharSClsNo"/>
        </w:rPr>
        <w:t>5</w:t>
      </w:r>
      <w:r>
        <w:t>.</w:t>
      </w:r>
      <w:r>
        <w:tab/>
        <w:t>Provisions where Deputy Commissioner was public service officer</w:t>
      </w:r>
      <w:bookmarkEnd w:id="1060"/>
      <w:bookmarkEnd w:id="1061"/>
    </w:p>
    <w:p>
      <w:pPr>
        <w:pStyle w:val="ySubsection"/>
      </w:pPr>
      <w:r>
        <w:tab/>
        <w:t>(1)</w:t>
      </w:r>
      <w:r>
        <w:tab/>
        <w:t xml:space="preserve">If a public service officer is appointed as Deputy Commissioner, that person is entitled to retain all their accruing and existing rights, including any rights under the </w:t>
      </w:r>
      <w:r>
        <w:rPr>
          <w:i/>
        </w:rPr>
        <w:t>Superannuation and Family Benefits Act 1938</w:t>
      </w:r>
      <w:r>
        <w:t xml:space="preserve">, as if service as Deputy Commissioner were a continuation of service as a public service officer. </w:t>
      </w:r>
    </w:p>
    <w:p>
      <w:pPr>
        <w:pStyle w:val="ySubsection"/>
      </w:pPr>
      <w:r>
        <w:tab/>
        <w:t>(2)</w:t>
      </w:r>
      <w:r>
        <w:tab/>
        <w:t xml:space="preserve">If a person ceases to be Deputy Commissioner and becomes a public service officer, the service as Deputy Commissioner is to be regarded as service in the Public Service for the purposes of determining that person’s rights as a public service officer and, if applicable, for the purposes of the </w:t>
      </w:r>
      <w:r>
        <w:rPr>
          <w:i/>
        </w:rPr>
        <w:t>Superannuation and Family Benefits Act 1938</w:t>
      </w:r>
      <w:r>
        <w:t>.</w:t>
      </w:r>
    </w:p>
    <w:p>
      <w:pPr>
        <w:pStyle w:val="ySubsection"/>
      </w:pPr>
      <w:r>
        <w:tab/>
        <w:t>(3)</w:t>
      </w:r>
      <w:r>
        <w:tab/>
        <w:t>Subclause (4) applies to a person if —</w:t>
      </w:r>
    </w:p>
    <w:p>
      <w:pPr>
        <w:pStyle w:val="yIndenta"/>
      </w:pPr>
      <w:r>
        <w:tab/>
        <w:t>(a)</w:t>
      </w:r>
      <w:r>
        <w:tab/>
        <w:t xml:space="preserve">immediately before the person’s appointment as Deputy Commissioner the person occupied an office under the </w:t>
      </w:r>
      <w:r>
        <w:rPr>
          <w:i/>
        </w:rPr>
        <w:t>Public Sector Management Act 1994</w:t>
      </w:r>
      <w:r>
        <w:t xml:space="preserve"> Part 3; and</w:t>
      </w:r>
    </w:p>
    <w:p>
      <w:pPr>
        <w:pStyle w:val="yIndenta"/>
      </w:pPr>
      <w:r>
        <w:tab/>
        <w:t>(b)</w:t>
      </w:r>
      <w:r>
        <w:tab/>
        <w:t>the person’s term of office expires by effluxion of time and the person is not reappointed as Deputy Commissioner.</w:t>
      </w:r>
    </w:p>
    <w:p>
      <w:pPr>
        <w:pStyle w:val="ySubsection"/>
      </w:pPr>
      <w:r>
        <w:tab/>
        <w:t>(4)</w:t>
      </w:r>
      <w:r>
        <w:tab/>
        <w:t xml:space="preserve">A person to whom this subclause applies is entitled to be appointed to an office under the </w:t>
      </w:r>
      <w:r>
        <w:rPr>
          <w:i/>
        </w:rPr>
        <w:t>Public Sector Management Act 1994</w:t>
      </w:r>
      <w:r>
        <w:t xml:space="preserve"> Part 3 of at least the equivalent level of classification as the office that person occupied immediately prior to appointment as Deputy Commissioner.</w:t>
      </w:r>
    </w:p>
    <w:p>
      <w:pPr>
        <w:pStyle w:val="yFootnotesection"/>
      </w:pPr>
      <w:r>
        <w:tab/>
        <w:t>[Clause 5 inserted: No. 5 of 2024 s. 26.]</w:t>
      </w:r>
    </w:p>
    <w:p>
      <w:pPr>
        <w:pStyle w:val="yHeading5"/>
      </w:pPr>
      <w:bookmarkStart w:id="1062" w:name="_Toc192493191"/>
      <w:bookmarkStart w:id="1063" w:name="_Toc185429203"/>
      <w:r>
        <w:rPr>
          <w:rStyle w:val="CharSClsNo"/>
        </w:rPr>
        <w:t>6</w:t>
      </w:r>
      <w:r>
        <w:t>.</w:t>
      </w:r>
      <w:r>
        <w:tab/>
        <w:t>Resignation</w:t>
      </w:r>
      <w:bookmarkEnd w:id="1062"/>
      <w:bookmarkEnd w:id="1063"/>
    </w:p>
    <w:p>
      <w:pPr>
        <w:pStyle w:val="ySubsection"/>
      </w:pPr>
      <w:r>
        <w:tab/>
      </w:r>
      <w:r>
        <w:tab/>
        <w:t>The Deputy Commissioner may, at any time, by instrument in writing addressed to the Governor, resign the office of Deputy Commissioner, and on receipt of the resignation by the Governor, the Deputy Commissioner is to vacate the office of Deputy Commissioner.</w:t>
      </w:r>
    </w:p>
    <w:p>
      <w:pPr>
        <w:pStyle w:val="yFootnotesection"/>
      </w:pPr>
      <w:r>
        <w:tab/>
        <w:t>[Clause 6 inserted: No. 5 of 2024 s. 26.]</w:t>
      </w:r>
    </w:p>
    <w:p>
      <w:pPr>
        <w:pStyle w:val="yHeading5"/>
      </w:pPr>
      <w:bookmarkStart w:id="1064" w:name="_Toc192493192"/>
      <w:bookmarkStart w:id="1065" w:name="_Toc185429204"/>
      <w:r>
        <w:rPr>
          <w:rStyle w:val="CharSClsNo"/>
        </w:rPr>
        <w:t>7</w:t>
      </w:r>
      <w:r>
        <w:t>.</w:t>
      </w:r>
      <w:r>
        <w:tab/>
        <w:t>Vacancy</w:t>
      </w:r>
      <w:bookmarkEnd w:id="1064"/>
      <w:bookmarkEnd w:id="1065"/>
    </w:p>
    <w:p>
      <w:pPr>
        <w:pStyle w:val="ySubsection"/>
      </w:pPr>
      <w:r>
        <w:tab/>
      </w:r>
      <w:r>
        <w:tab/>
        <w:t xml:space="preserve">The office of Deputy Commissioner becomes vacant if the Deputy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pPr>
      <w:r>
        <w:tab/>
        <w:t>(e)</w:t>
      </w:r>
      <w:r>
        <w:tab/>
        <w:t>is removed from office under section 12; or</w:t>
      </w:r>
    </w:p>
    <w:p>
      <w:pPr>
        <w:pStyle w:val="yIndenta"/>
      </w:pPr>
      <w:r>
        <w:tab/>
        <w:t>(f)</w:t>
      </w:r>
      <w:r>
        <w:tab/>
        <w:t xml:space="preserve">is appointed Commissioner under section 9A(1). </w:t>
      </w:r>
    </w:p>
    <w:p>
      <w:pPr>
        <w:pStyle w:val="yFootnotesection"/>
      </w:pPr>
      <w:r>
        <w:tab/>
        <w:t>[Clause 7 inserted: No. 5 of 2024 s. 26.]</w:t>
      </w:r>
    </w:p>
    <w:p>
      <w:pPr>
        <w:pStyle w:val="yScheduleHeading"/>
      </w:pPr>
      <w:bookmarkStart w:id="1066" w:name="_Toc192239024"/>
      <w:bookmarkStart w:id="1067" w:name="_Toc192239810"/>
      <w:bookmarkStart w:id="1068" w:name="_Toc192240181"/>
      <w:bookmarkStart w:id="1069" w:name="_Toc192493193"/>
      <w:bookmarkStart w:id="1070" w:name="_Toc185428463"/>
      <w:bookmarkStart w:id="1071" w:name="_Toc185428833"/>
      <w:bookmarkStart w:id="1072" w:name="_Toc185429205"/>
      <w:r>
        <w:rPr>
          <w:rStyle w:val="CharSchNo"/>
        </w:rPr>
        <w:t>Schedule 3</w:t>
      </w:r>
      <w:r>
        <w:t> — </w:t>
      </w:r>
      <w:r>
        <w:rPr>
          <w:rStyle w:val="CharSchText"/>
        </w:rPr>
        <w:t>Terms and conditions of service of Parliamentary Inspector</w:t>
      </w:r>
      <w:bookmarkEnd w:id="1066"/>
      <w:bookmarkEnd w:id="1067"/>
      <w:bookmarkEnd w:id="1068"/>
      <w:bookmarkEnd w:id="1069"/>
      <w:bookmarkEnd w:id="1070"/>
      <w:bookmarkEnd w:id="1071"/>
      <w:bookmarkEnd w:id="1072"/>
    </w:p>
    <w:p>
      <w:pPr>
        <w:pStyle w:val="yShoulderClause"/>
      </w:pPr>
      <w:r>
        <w:t>[s. 191]</w:t>
      </w:r>
    </w:p>
    <w:p>
      <w:pPr>
        <w:pStyle w:val="yFootnotesection"/>
      </w:pPr>
      <w:r>
        <w:tab/>
        <w:t>[Heading, formerly Schedule 2, renumbered as Schedule 3: No. 78 of 2003 s. 35(11).]</w:t>
      </w:r>
    </w:p>
    <w:p>
      <w:pPr>
        <w:pStyle w:val="yHeading5"/>
      </w:pPr>
      <w:bookmarkStart w:id="1073" w:name="_Toc192493194"/>
      <w:bookmarkStart w:id="1074" w:name="_Toc185429206"/>
      <w:r>
        <w:rPr>
          <w:rStyle w:val="CharSClsNo"/>
        </w:rPr>
        <w:t>1</w:t>
      </w:r>
      <w:r>
        <w:t>.</w:t>
      </w:r>
      <w:r>
        <w:tab/>
        <w:t>Tenure of office</w:t>
      </w:r>
      <w:bookmarkEnd w:id="1073"/>
      <w:bookmarkEnd w:id="1074"/>
      <w: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No. 78 of 2003 s. 34.]</w:t>
      </w:r>
    </w:p>
    <w:p>
      <w:pPr>
        <w:pStyle w:val="yHeading5"/>
      </w:pPr>
      <w:bookmarkStart w:id="1075" w:name="_Toc192493195"/>
      <w:bookmarkStart w:id="1076" w:name="_Toc185429207"/>
      <w:r>
        <w:rPr>
          <w:rStyle w:val="CharSClsNo"/>
        </w:rPr>
        <w:t>2</w:t>
      </w:r>
      <w:r>
        <w:t>.</w:t>
      </w:r>
      <w:r>
        <w:tab/>
        <w:t>Terms of appointment</w:t>
      </w:r>
      <w:bookmarkEnd w:id="1075"/>
      <w:bookmarkEnd w:id="1076"/>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pPr>
      <w:bookmarkStart w:id="1077" w:name="_Toc192493196"/>
      <w:bookmarkStart w:id="1078" w:name="_Toc185429208"/>
      <w:r>
        <w:rPr>
          <w:rStyle w:val="CharSClsNo"/>
        </w:rPr>
        <w:t>3</w:t>
      </w:r>
      <w:r>
        <w:t>.</w:t>
      </w:r>
      <w:r>
        <w:tab/>
        <w:t>Remuneration, leave and entitlements</w:t>
      </w:r>
      <w:bookmarkEnd w:id="1077"/>
      <w:bookmarkEnd w:id="1078"/>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No. 77 of 2006 s. 4.]</w:t>
      </w:r>
    </w:p>
    <w:p>
      <w:pPr>
        <w:pStyle w:val="yHeading5"/>
      </w:pPr>
      <w:bookmarkStart w:id="1079" w:name="_Toc192493197"/>
      <w:bookmarkStart w:id="1080" w:name="_Toc185429209"/>
      <w:r>
        <w:rPr>
          <w:rStyle w:val="CharSClsNo"/>
        </w:rPr>
        <w:t>4</w:t>
      </w:r>
      <w:r>
        <w:t>.</w:t>
      </w:r>
      <w:r>
        <w:tab/>
        <w:t>Provisions where Parliamentary Inspector was judge</w:t>
      </w:r>
      <w:bookmarkEnd w:id="1079"/>
      <w:bookmarkEnd w:id="1080"/>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pPr>
      <w:bookmarkStart w:id="1081" w:name="_Toc192493198"/>
      <w:bookmarkStart w:id="1082" w:name="_Toc185429210"/>
      <w:r>
        <w:rPr>
          <w:rStyle w:val="CharSClsNo"/>
        </w:rPr>
        <w:t>5</w:t>
      </w:r>
      <w:r>
        <w:t>.</w:t>
      </w:r>
      <w:r>
        <w:tab/>
        <w:t>Provisions where Parliamentary Inspector was public service officer</w:t>
      </w:r>
      <w:bookmarkEnd w:id="1081"/>
      <w:bookmarkEnd w:id="1082"/>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2</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pPr>
      <w:bookmarkStart w:id="1083" w:name="_Toc192493199"/>
      <w:bookmarkStart w:id="1084" w:name="_Toc185429211"/>
      <w:r>
        <w:rPr>
          <w:rStyle w:val="CharSClsNo"/>
        </w:rPr>
        <w:t>6</w:t>
      </w:r>
      <w:r>
        <w:t>.</w:t>
      </w:r>
      <w:r>
        <w:tab/>
        <w:t>Resignation</w:t>
      </w:r>
      <w:bookmarkEnd w:id="1083"/>
      <w:bookmarkEnd w:id="1084"/>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pPr>
      <w:bookmarkStart w:id="1085" w:name="_Toc192493200"/>
      <w:bookmarkStart w:id="1086" w:name="_Toc185429212"/>
      <w:r>
        <w:rPr>
          <w:rStyle w:val="CharSClsNo"/>
        </w:rPr>
        <w:t>7</w:t>
      </w:r>
      <w:r>
        <w:t>.</w:t>
      </w:r>
      <w:r>
        <w:tab/>
        <w:t>Vacancy</w:t>
      </w:r>
      <w:bookmarkEnd w:id="1085"/>
      <w:bookmarkEnd w:id="1086"/>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1087" w:name="_Toc192239032"/>
      <w:bookmarkStart w:id="1088" w:name="_Toc192239818"/>
      <w:bookmarkStart w:id="1089" w:name="_Toc192240189"/>
      <w:bookmarkStart w:id="1090" w:name="_Toc192493201"/>
      <w:bookmarkStart w:id="1091" w:name="_Toc185428471"/>
      <w:bookmarkStart w:id="1092" w:name="_Toc185428841"/>
      <w:bookmarkStart w:id="1093" w:name="_Toc185429213"/>
      <w:r>
        <w:t>Notes</w:t>
      </w:r>
      <w:bookmarkEnd w:id="1087"/>
      <w:bookmarkEnd w:id="1088"/>
      <w:bookmarkEnd w:id="1089"/>
      <w:bookmarkEnd w:id="1090"/>
      <w:bookmarkEnd w:id="1091"/>
      <w:bookmarkEnd w:id="1092"/>
      <w:bookmarkEnd w:id="1093"/>
    </w:p>
    <w:p>
      <w:pPr>
        <w:pStyle w:val="nStatement"/>
      </w:pPr>
      <w:r>
        <w:t xml:space="preserve">This is a compilation of the </w:t>
      </w:r>
      <w:r>
        <w:rPr>
          <w:i/>
          <w:noProof/>
        </w:rPr>
        <w:t>Corruption, Crime and Misconduct Act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94" w:name="_Toc192493202"/>
      <w:bookmarkStart w:id="1095" w:name="_Toc185429214"/>
      <w:r>
        <w:t>Compilation table</w:t>
      </w:r>
      <w:bookmarkEnd w:id="1094"/>
      <w:bookmarkEnd w:id="1095"/>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3"/>
        <w:gridCol w:w="2538"/>
        <w:gridCol w:w="14"/>
      </w:tblGrid>
      <w:tr>
        <w:trPr>
          <w:gridBefore w:val="1"/>
          <w:wBefore w:w="14" w:type="dxa"/>
          <w:tblHeader/>
        </w:trPr>
        <w:tc>
          <w:tcPr>
            <w:tcW w:w="2268" w:type="dxa"/>
            <w:gridSpan w:val="2"/>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4" w:type="dxa"/>
            <w:gridSpan w:val="2"/>
            <w:tcBorders>
              <w:top w:val="single" w:sz="4" w:space="0" w:color="auto"/>
              <w:bottom w:val="single" w:sz="4" w:space="0" w:color="auto"/>
            </w:tcBorders>
          </w:tcPr>
          <w:p>
            <w:pPr>
              <w:pStyle w:val="nTable"/>
              <w:spacing w:after="40"/>
              <w:rPr>
                <w:b/>
              </w:rPr>
            </w:pPr>
            <w:r>
              <w:rPr>
                <w:b/>
              </w:rPr>
              <w:t>Assent</w:t>
            </w:r>
          </w:p>
        </w:tc>
        <w:tc>
          <w:tcPr>
            <w:tcW w:w="2552" w:type="dxa"/>
            <w:gridSpan w:val="2"/>
            <w:tcBorders>
              <w:top w:val="single" w:sz="4" w:space="0" w:color="auto"/>
              <w:bottom w:val="single" w:sz="4" w:space="0" w:color="auto"/>
            </w:tcBorders>
          </w:tcPr>
          <w:p>
            <w:pPr>
              <w:pStyle w:val="nTable"/>
              <w:spacing w:after="40"/>
              <w:rPr>
                <w:b/>
              </w:rPr>
            </w:pPr>
            <w:r>
              <w:rPr>
                <w:b/>
              </w:rPr>
              <w:t>Commencement</w:t>
            </w:r>
          </w:p>
        </w:tc>
      </w:tr>
      <w:tr>
        <w:trPr>
          <w:gridAfter w:val="1"/>
          <w:wAfter w:w="14" w:type="dxa"/>
        </w:trPr>
        <w:tc>
          <w:tcPr>
            <w:tcW w:w="2269" w:type="dxa"/>
            <w:gridSpan w:val="2"/>
          </w:tcPr>
          <w:p>
            <w:pPr>
              <w:pStyle w:val="nTable"/>
              <w:spacing w:after="40"/>
            </w:pPr>
            <w:r>
              <w:rPr>
                <w:i/>
                <w:noProof/>
                <w:snapToGrid w:val="0"/>
              </w:rPr>
              <w:t>Corruption and Crime Commission Act 2003</w:t>
            </w:r>
            <w:r>
              <w:rPr>
                <w:noProof/>
                <w:snapToGrid w:val="0"/>
                <w:vertAlign w:val="superscript"/>
              </w:rPr>
              <w:t> 3</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s. 1 and 2: 3 Jul 2003;</w:t>
            </w:r>
            <w:r>
              <w:br/>
              <w:t xml:space="preserve">Act other than s. 1 and 2: 1 Jan 2004 (see s. 2 and </w:t>
            </w:r>
            <w:r>
              <w:rPr>
                <w:i/>
              </w:rPr>
              <w:t>Gazette</w:t>
            </w:r>
            <w:r>
              <w:t xml:space="preserve"> 30 Dec 2003 p. 5723)</w:t>
            </w:r>
          </w:p>
        </w:tc>
      </w:tr>
      <w:tr>
        <w:trPr>
          <w:gridAfter w:val="1"/>
          <w:wAfter w:w="14" w:type="dxa"/>
        </w:trP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1"/>
          <w:wAfter w:w="14" w:type="dxa"/>
          <w:cantSplit/>
        </w:trPr>
        <w:tc>
          <w:tcPr>
            <w:tcW w:w="7088" w:type="dxa"/>
            <w:gridSpan w:val="8"/>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rPr>
          <w:gridAfter w:val="1"/>
          <w:wAfter w:w="14" w:type="dxa"/>
        </w:trP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rPr>
          <w:gridAfter w:val="1"/>
          <w:wAfter w:w="14" w:type="dxa"/>
        </w:trP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4" w:type="dxa"/>
        </w:trP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gridAfter w:val="1"/>
          <w:wAfter w:w="14" w:type="dxa"/>
        </w:trP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rPr>
          <w:gridAfter w:val="1"/>
          <w:wAfter w:w="14" w:type="dxa"/>
        </w:trPr>
        <w:tc>
          <w:tcPr>
            <w:tcW w:w="2269" w:type="dxa"/>
            <w:gridSpan w:val="2"/>
            <w:tcBorders>
              <w:bottom w:val="nil"/>
            </w:tcBorders>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Borders>
              <w:bottom w:val="nil"/>
            </w:tcBorders>
          </w:tcPr>
          <w:p>
            <w:pPr>
              <w:pStyle w:val="nTable"/>
              <w:spacing w:after="40"/>
              <w:rPr>
                <w:snapToGrid w:val="0"/>
              </w:rPr>
            </w:pPr>
            <w:r>
              <w:rPr>
                <w:snapToGrid w:val="0"/>
              </w:rPr>
              <w:t>50 of 2006</w:t>
            </w:r>
          </w:p>
        </w:tc>
        <w:tc>
          <w:tcPr>
            <w:tcW w:w="1134" w:type="dxa"/>
            <w:gridSpan w:val="2"/>
            <w:tcBorders>
              <w:bottom w:val="nil"/>
            </w:tcBorders>
          </w:tcPr>
          <w:p>
            <w:pPr>
              <w:pStyle w:val="nTable"/>
              <w:spacing w:after="40"/>
            </w:pPr>
            <w:r>
              <w:t>6 Oct 2006</w:t>
            </w:r>
          </w:p>
        </w:tc>
        <w:tc>
          <w:tcPr>
            <w:tcW w:w="2551" w:type="dxa"/>
            <w:gridSpan w:val="2"/>
            <w:tcBorders>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14" w:type="dxa"/>
          <w:cantSplit/>
        </w:trPr>
        <w:tc>
          <w:tcPr>
            <w:tcW w:w="2269" w:type="dxa"/>
            <w:gridSpan w:val="2"/>
            <w:tcBorders>
              <w:bottom w:val="nil"/>
            </w:tcBorders>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Borders>
              <w:bottom w:val="nil"/>
            </w:tcBorders>
          </w:tcPr>
          <w:p>
            <w:pPr>
              <w:pStyle w:val="nTable"/>
              <w:spacing w:after="40"/>
              <w:rPr>
                <w:snapToGrid w:val="0"/>
              </w:rPr>
            </w:pPr>
            <w:r>
              <w:rPr>
                <w:snapToGrid w:val="0"/>
              </w:rPr>
              <w:t>59 of 2006</w:t>
            </w:r>
          </w:p>
        </w:tc>
        <w:tc>
          <w:tcPr>
            <w:tcW w:w="1134" w:type="dxa"/>
            <w:gridSpan w:val="2"/>
            <w:tcBorders>
              <w:bottom w:val="nil"/>
            </w:tcBorders>
          </w:tcPr>
          <w:p>
            <w:pPr>
              <w:pStyle w:val="nTable"/>
              <w:spacing w:after="40"/>
            </w:pPr>
            <w:r>
              <w:t>16 Nov 2006</w:t>
            </w:r>
          </w:p>
        </w:tc>
        <w:tc>
          <w:tcPr>
            <w:tcW w:w="2551" w:type="dxa"/>
            <w:gridSpan w:val="2"/>
            <w:tcBorders>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4" w:type="dxa"/>
          <w:cantSplit/>
        </w:trPr>
        <w:tc>
          <w:tcPr>
            <w:tcW w:w="2269" w:type="dxa"/>
            <w:gridSpan w:val="2"/>
            <w:tcBorders>
              <w:top w:val="nil"/>
            </w:tcBorders>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Borders>
              <w:top w:val="nil"/>
            </w:tcBorders>
          </w:tcPr>
          <w:p>
            <w:pPr>
              <w:pStyle w:val="nTable"/>
              <w:spacing w:after="40"/>
              <w:rPr>
                <w:snapToGrid w:val="0"/>
              </w:rPr>
            </w:pPr>
            <w:r>
              <w:rPr>
                <w:snapToGrid w:val="0"/>
              </w:rPr>
              <w:t xml:space="preserve">77 of 2006 </w:t>
            </w:r>
          </w:p>
        </w:tc>
        <w:tc>
          <w:tcPr>
            <w:tcW w:w="1134" w:type="dxa"/>
            <w:gridSpan w:val="2"/>
            <w:tcBorders>
              <w:top w:val="nil"/>
            </w:tcBorders>
          </w:tcPr>
          <w:p>
            <w:pPr>
              <w:pStyle w:val="nTable"/>
              <w:spacing w:after="40"/>
            </w:pPr>
            <w:r>
              <w:rPr>
                <w:snapToGrid w:val="0"/>
              </w:rPr>
              <w:t>21 Dec 2006</w:t>
            </w:r>
          </w:p>
        </w:tc>
        <w:tc>
          <w:tcPr>
            <w:tcW w:w="2551" w:type="dxa"/>
            <w:gridSpan w:val="2"/>
            <w:tcBorders>
              <w:top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4" w:type="dxa"/>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rPr>
          <w:gridAfter w:val="1"/>
          <w:wAfter w:w="14" w:type="dxa"/>
        </w:trPr>
        <w:tc>
          <w:tcPr>
            <w:tcW w:w="2269"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Pr>
          <w:p>
            <w:pPr>
              <w:pStyle w:val="nTable"/>
              <w:spacing w:after="40"/>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4" w:type="dxa"/>
        </w:trPr>
        <w:tc>
          <w:tcPr>
            <w:tcW w:w="2269" w:type="dxa"/>
            <w:gridSpan w:val="2"/>
          </w:tcPr>
          <w:p>
            <w:pPr>
              <w:pStyle w:val="nTable"/>
              <w:spacing w:after="40"/>
            </w:pPr>
            <w:r>
              <w:rPr>
                <w:i/>
                <w:snapToGrid w:val="0"/>
              </w:rPr>
              <w:t>Medical Practitioners Act 2008</w:t>
            </w:r>
            <w:r>
              <w:t xml:space="preserve"> Sch. 3 cl. 11</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14" w:type="dxa"/>
        </w:trP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gridAfter w:val="1"/>
          <w:wAfter w:w="14" w:type="dxa"/>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4" w:type="dxa"/>
          <w:cantSplit/>
        </w:trPr>
        <w:tc>
          <w:tcPr>
            <w:tcW w:w="7088" w:type="dxa"/>
            <w:gridSpan w:val="8"/>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gridAfter w:val="1"/>
          <w:wAfter w:w="14" w:type="dxa"/>
          <w:cantSplit/>
        </w:trPr>
        <w:tc>
          <w:tcPr>
            <w:tcW w:w="2269" w:type="dxa"/>
            <w:gridSpan w:val="2"/>
            <w:tcBorders>
              <w:bottom w:val="nil"/>
            </w:tcBorders>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Borders>
              <w:bottom w:val="nil"/>
            </w:tcBorders>
          </w:tcPr>
          <w:p>
            <w:pPr>
              <w:pStyle w:val="nTable"/>
              <w:spacing w:after="40"/>
            </w:pPr>
            <w:r>
              <w:rPr>
                <w:snapToGrid w:val="0"/>
              </w:rPr>
              <w:t>35 of 2010</w:t>
            </w:r>
          </w:p>
        </w:tc>
        <w:tc>
          <w:tcPr>
            <w:tcW w:w="1134" w:type="dxa"/>
            <w:gridSpan w:val="2"/>
            <w:tcBorders>
              <w:bottom w:val="nil"/>
            </w:tcBorders>
          </w:tcPr>
          <w:p>
            <w:pPr>
              <w:pStyle w:val="nTable"/>
              <w:spacing w:after="40"/>
            </w:pPr>
            <w:r>
              <w:rPr>
                <w:snapToGrid w:val="0"/>
              </w:rPr>
              <w:t>30 Aug 2010</w:t>
            </w:r>
          </w:p>
        </w:tc>
        <w:tc>
          <w:tcPr>
            <w:tcW w:w="2551" w:type="dxa"/>
            <w:gridSpan w:val="2"/>
            <w:tcBorders>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4" w:type="dxa"/>
          <w:cantSplit/>
        </w:trPr>
        <w:tc>
          <w:tcPr>
            <w:tcW w:w="2269" w:type="dxa"/>
            <w:gridSpan w:val="2"/>
            <w:tcBorders>
              <w:bottom w:val="nil"/>
            </w:tcBorders>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Borders>
              <w:bottom w:val="nil"/>
            </w:tcBorders>
          </w:tcPr>
          <w:p>
            <w:pPr>
              <w:pStyle w:val="nTable"/>
              <w:spacing w:after="40"/>
              <w:rPr>
                <w:snapToGrid w:val="0"/>
              </w:rPr>
            </w:pPr>
            <w:r>
              <w:rPr>
                <w:snapToGrid w:val="0"/>
              </w:rPr>
              <w:t>39 of 2010</w:t>
            </w:r>
          </w:p>
        </w:tc>
        <w:tc>
          <w:tcPr>
            <w:tcW w:w="1134" w:type="dxa"/>
            <w:gridSpan w:val="2"/>
            <w:tcBorders>
              <w:bottom w:val="nil"/>
            </w:tcBorders>
          </w:tcPr>
          <w:p>
            <w:pPr>
              <w:pStyle w:val="nTable"/>
              <w:spacing w:after="40"/>
              <w:rPr>
                <w:snapToGrid w:val="0"/>
              </w:rPr>
            </w:pPr>
            <w:r>
              <w:t>1 Oct 2010</w:t>
            </w:r>
          </w:p>
        </w:tc>
        <w:tc>
          <w:tcPr>
            <w:tcW w:w="2551" w:type="dxa"/>
            <w:gridSpan w:val="2"/>
            <w:tcBorders>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9" w:type="dxa"/>
            <w:gridSpan w:val="2"/>
            <w:tcBorders>
              <w:top w:val="nil"/>
            </w:tcBorders>
          </w:tcPr>
          <w:p>
            <w:pPr>
              <w:pStyle w:val="nTable"/>
              <w:spacing w:after="40"/>
              <w:ind w:right="113"/>
              <w:rPr>
                <w:i/>
                <w:snapToGrid w:val="0"/>
              </w:rPr>
            </w:pPr>
            <w:r>
              <w:rPr>
                <w:i/>
                <w:snapToGrid w:val="0"/>
              </w:rPr>
              <w:t xml:space="preserve">Telecommunications (Interception) Western Australia Amendment Act 2011 </w:t>
            </w:r>
            <w:r>
              <w:rPr>
                <w:snapToGrid w:val="0"/>
              </w:rPr>
              <w:t>Pt. 3</w:t>
            </w:r>
          </w:p>
        </w:tc>
        <w:tc>
          <w:tcPr>
            <w:tcW w:w="1134" w:type="dxa"/>
            <w:gridSpan w:val="2"/>
            <w:tcBorders>
              <w:top w:val="nil"/>
            </w:tcBorders>
          </w:tcPr>
          <w:p>
            <w:pPr>
              <w:pStyle w:val="nTable"/>
              <w:spacing w:after="40"/>
              <w:rPr>
                <w:snapToGrid w:val="0"/>
              </w:rPr>
            </w:pPr>
            <w:r>
              <w:rPr>
                <w:snapToGrid w:val="0"/>
              </w:rPr>
              <w:t>2 of 2011</w:t>
            </w:r>
          </w:p>
        </w:tc>
        <w:tc>
          <w:tcPr>
            <w:tcW w:w="1134" w:type="dxa"/>
            <w:gridSpan w:val="2"/>
            <w:tcBorders>
              <w:top w:val="nil"/>
            </w:tcBorders>
          </w:tcPr>
          <w:p>
            <w:pPr>
              <w:pStyle w:val="nTable"/>
              <w:spacing w:after="40"/>
            </w:pPr>
            <w:r>
              <w:t>1 Mar 2011</w:t>
            </w:r>
          </w:p>
        </w:tc>
        <w:tc>
          <w:tcPr>
            <w:tcW w:w="2551" w:type="dxa"/>
            <w:gridSpan w:val="2"/>
            <w:tcBorders>
              <w:top w:val="nil"/>
            </w:tcBorders>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gridAfter w:val="1"/>
          <w:wAfter w:w="14" w:type="dxa"/>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gridAfter w:val="1"/>
          <w:wAfter w:w="14" w:type="dxa"/>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gridAfter w:val="1"/>
          <w:wAfter w:w="14" w:type="dxa"/>
          <w:cantSplit/>
        </w:trPr>
        <w:tc>
          <w:tcPr>
            <w:tcW w:w="7088" w:type="dxa"/>
            <w:gridSpan w:val="8"/>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gridAfter w:val="1"/>
          <w:wAfter w:w="14" w:type="dxa"/>
          <w:cantSplit/>
        </w:trPr>
        <w:tc>
          <w:tcPr>
            <w:tcW w:w="2269" w:type="dxa"/>
            <w:gridSpan w:val="2"/>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gridAfter w:val="1"/>
          <w:wAfter w:w="14" w:type="dxa"/>
          <w:cantSplit/>
        </w:trPr>
        <w:tc>
          <w:tcPr>
            <w:tcW w:w="2269" w:type="dxa"/>
            <w:gridSpan w:val="2"/>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After w:val="1"/>
          <w:wAfter w:w="14" w:type="dxa"/>
          <w:cantSplit/>
        </w:trPr>
        <w:tc>
          <w:tcPr>
            <w:tcW w:w="7088" w:type="dxa"/>
            <w:gridSpan w:val="8"/>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gridAfter w:val="1"/>
          <w:wAfter w:w="14" w:type="dxa"/>
          <w:cantSplit/>
        </w:trPr>
        <w:tc>
          <w:tcPr>
            <w:tcW w:w="2269"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11</w:t>
            </w:r>
          </w:p>
        </w:tc>
        <w:tc>
          <w:tcPr>
            <w:tcW w:w="1134" w:type="dxa"/>
            <w:gridSpan w:val="2"/>
            <w:shd w:val="clear" w:color="auto" w:fill="auto"/>
          </w:tcPr>
          <w:p>
            <w:pPr>
              <w:pStyle w:val="nTable"/>
              <w:spacing w:after="40"/>
              <w:rPr>
                <w:b/>
                <w:snapToGrid w:val="0"/>
              </w:rPr>
            </w:pPr>
            <w:r>
              <w:t>26 of 2016</w:t>
            </w:r>
          </w:p>
        </w:tc>
        <w:tc>
          <w:tcPr>
            <w:tcW w:w="1134" w:type="dxa"/>
            <w:gridSpan w:val="2"/>
            <w:shd w:val="clear" w:color="auto" w:fill="auto"/>
          </w:tcPr>
          <w:p>
            <w:pPr>
              <w:pStyle w:val="nTable"/>
              <w:spacing w:after="40"/>
              <w:rPr>
                <w:b/>
                <w:snapToGrid w:val="0"/>
              </w:rPr>
            </w:pPr>
            <w:r>
              <w:t>21 Sep 2016</w:t>
            </w:r>
          </w:p>
        </w:tc>
        <w:tc>
          <w:tcPr>
            <w:tcW w:w="2551"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4" w:type="dxa"/>
          <w:cantSplit/>
        </w:trPr>
        <w:tc>
          <w:tcPr>
            <w:tcW w:w="2269" w:type="dxa"/>
            <w:gridSpan w:val="2"/>
            <w:shd w:val="clear" w:color="auto" w:fill="auto"/>
          </w:tcPr>
          <w:p>
            <w:pPr>
              <w:pStyle w:val="nTable"/>
              <w:spacing w:after="40"/>
              <w:rPr>
                <w:i/>
                <w:snapToGrid w:val="0"/>
              </w:rPr>
            </w:pPr>
            <w:r>
              <w:rPr>
                <w:i/>
              </w:rPr>
              <w:t>Health Practitioner Regulation National Law (WA) Amendment Act 2018</w:t>
            </w:r>
            <w:r>
              <w:t xml:space="preserve"> s. 105</w:t>
            </w:r>
          </w:p>
        </w:tc>
        <w:tc>
          <w:tcPr>
            <w:tcW w:w="1134" w:type="dxa"/>
            <w:gridSpan w:val="2"/>
            <w:shd w:val="clear" w:color="auto" w:fill="auto"/>
          </w:tcPr>
          <w:p>
            <w:pPr>
              <w:pStyle w:val="nTable"/>
              <w:spacing w:after="40"/>
            </w:pPr>
            <w:r>
              <w:t>4 of 2018</w:t>
            </w:r>
          </w:p>
        </w:tc>
        <w:tc>
          <w:tcPr>
            <w:tcW w:w="1134" w:type="dxa"/>
            <w:gridSpan w:val="2"/>
            <w:shd w:val="clear" w:color="auto" w:fill="auto"/>
          </w:tcPr>
          <w:p>
            <w:pPr>
              <w:pStyle w:val="nTable"/>
              <w:spacing w:after="40"/>
            </w:pPr>
            <w:r>
              <w:t>19 Apr 2018</w:t>
            </w:r>
          </w:p>
        </w:tc>
        <w:tc>
          <w:tcPr>
            <w:tcW w:w="2551" w:type="dxa"/>
            <w:gridSpan w:val="2"/>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and Criminal Property Confiscation Amendment Act 2018</w:t>
            </w:r>
            <w:r>
              <w:t xml:space="preserve"> Pt. 2</w:t>
            </w:r>
          </w:p>
        </w:tc>
        <w:tc>
          <w:tcPr>
            <w:tcW w:w="1134" w:type="dxa"/>
            <w:gridSpan w:val="2"/>
            <w:shd w:val="clear" w:color="auto" w:fill="auto"/>
          </w:tcPr>
          <w:p>
            <w:pPr>
              <w:pStyle w:val="nTable"/>
              <w:spacing w:after="40"/>
            </w:pPr>
            <w:r>
              <w:t>10 of 2018</w:t>
            </w:r>
          </w:p>
        </w:tc>
        <w:tc>
          <w:tcPr>
            <w:tcW w:w="1134" w:type="dxa"/>
            <w:gridSpan w:val="2"/>
            <w:shd w:val="clear" w:color="auto" w:fill="auto"/>
          </w:tcPr>
          <w:p>
            <w:pPr>
              <w:pStyle w:val="nTable"/>
              <w:spacing w:after="40"/>
            </w:pPr>
            <w:r>
              <w:t>13 Jul 2018</w:t>
            </w:r>
          </w:p>
        </w:tc>
        <w:tc>
          <w:tcPr>
            <w:tcW w:w="2551" w:type="dxa"/>
            <w:gridSpan w:val="2"/>
            <w:shd w:val="clear" w:color="auto" w:fill="auto"/>
          </w:tcPr>
          <w:p>
            <w:pPr>
              <w:pStyle w:val="nTable"/>
              <w:spacing w:after="40"/>
              <w:rPr>
                <w:snapToGrid w:val="0"/>
              </w:rPr>
            </w:pPr>
            <w:r>
              <w:t xml:space="preserve">1 Sep 2018 (see s. 2(b) and </w:t>
            </w:r>
            <w:r>
              <w:rPr>
                <w:i/>
              </w:rPr>
              <w:t>Gazette</w:t>
            </w:r>
            <w:r>
              <w:t xml:space="preserve"> 17 Aug 2018 p. 2894)</w:t>
            </w:r>
          </w:p>
        </w:tc>
      </w:tr>
      <w:tr>
        <w:trPr>
          <w:gridBefore w:val="1"/>
          <w:wBefore w:w="14" w:type="dxa"/>
        </w:trPr>
        <w:tc>
          <w:tcPr>
            <w:tcW w:w="7088" w:type="dxa"/>
            <w:gridSpan w:val="8"/>
            <w:tcBorders>
              <w:bottom w:val="nil"/>
            </w:tcBorders>
          </w:tcPr>
          <w:p>
            <w:pPr>
              <w:pStyle w:val="nTable"/>
              <w:spacing w:after="40"/>
            </w:pPr>
            <w:r>
              <w:rPr>
                <w:b/>
              </w:rPr>
              <w:t xml:space="preserve">Reprint 7: The </w:t>
            </w:r>
            <w:r>
              <w:rPr>
                <w:b/>
                <w:i/>
                <w:noProof/>
              </w:rPr>
              <w:t>Corruption, Crime and Misconduct Act 2003</w:t>
            </w:r>
            <w:r>
              <w:rPr>
                <w:b/>
              </w:rPr>
              <w:t xml:space="preserve"> as at 24 May 2019</w:t>
            </w:r>
            <w:r>
              <w:t xml:space="preserve"> (includes amendments listed above)</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Amendment Act 2021</w:t>
            </w:r>
          </w:p>
        </w:tc>
        <w:tc>
          <w:tcPr>
            <w:tcW w:w="1134" w:type="dxa"/>
            <w:gridSpan w:val="2"/>
            <w:shd w:val="clear" w:color="auto" w:fill="auto"/>
          </w:tcPr>
          <w:p>
            <w:pPr>
              <w:pStyle w:val="nTable"/>
              <w:spacing w:after="40"/>
            </w:pPr>
            <w:r>
              <w:t>7 of 2021</w:t>
            </w:r>
          </w:p>
        </w:tc>
        <w:tc>
          <w:tcPr>
            <w:tcW w:w="1134" w:type="dxa"/>
            <w:gridSpan w:val="2"/>
            <w:shd w:val="clear" w:color="auto" w:fill="auto"/>
          </w:tcPr>
          <w:p>
            <w:pPr>
              <w:pStyle w:val="nTable"/>
              <w:spacing w:after="40"/>
            </w:pPr>
            <w:r>
              <w:t>25 Jun 2021</w:t>
            </w:r>
          </w:p>
        </w:tc>
        <w:tc>
          <w:tcPr>
            <w:tcW w:w="2551" w:type="dxa"/>
            <w:gridSpan w:val="2"/>
            <w:shd w:val="clear" w:color="auto" w:fill="auto"/>
          </w:tcPr>
          <w:p>
            <w:pPr>
              <w:pStyle w:val="nTable"/>
              <w:spacing w:after="40"/>
              <w:rPr>
                <w:snapToGrid w:val="0"/>
              </w:rPr>
            </w:pPr>
            <w:r>
              <w:t>s. 1 and 2: 25 Jun 2021 (see s. 2(a));</w:t>
            </w:r>
            <w:r>
              <w:br/>
              <w:t>Act other than s. 1 and 2: 26 Jun 2021 (see s. 2(b))</w:t>
            </w:r>
          </w:p>
        </w:tc>
      </w:tr>
      <w:tr>
        <w:trPr>
          <w:gridAfter w:val="1"/>
          <w:wAfter w:w="14" w:type="dxa"/>
          <w:cantSplit/>
        </w:trPr>
        <w:tc>
          <w:tcPr>
            <w:tcW w:w="2269" w:type="dxa"/>
            <w:gridSpan w:val="2"/>
            <w:shd w:val="clear" w:color="auto" w:fill="auto"/>
          </w:tcPr>
          <w:p>
            <w:pPr>
              <w:pStyle w:val="nTable"/>
              <w:spacing w:after="40"/>
              <w:rPr>
                <w:i/>
              </w:rPr>
            </w:pPr>
            <w:r>
              <w:rPr>
                <w:i/>
              </w:rPr>
              <w:t>Legal Profession Uniform Law Application Act 2022</w:t>
            </w:r>
            <w:r>
              <w:t xml:space="preserve"> s. 424</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spacing w:after="40"/>
            </w:pPr>
            <w:r>
              <w:rPr>
                <w:snapToGrid w:val="0"/>
                <w:spacing w:val="-2"/>
              </w:rPr>
              <w:t>1 Jul 2022 (see s. 2(c) and SL 2022/113 cl. 2)</w:t>
            </w:r>
          </w:p>
        </w:tc>
      </w:tr>
      <w:tr>
        <w:trPr>
          <w:gridAfter w:val="1"/>
          <w:wAfter w:w="14" w:type="dxa"/>
          <w:cantSplit/>
        </w:trPr>
        <w:tc>
          <w:tcPr>
            <w:tcW w:w="2269" w:type="dxa"/>
            <w:gridSpan w:val="2"/>
            <w:shd w:val="clear" w:color="auto" w:fill="auto"/>
          </w:tcPr>
          <w:p>
            <w:pPr>
              <w:pStyle w:val="nTable"/>
              <w:spacing w:after="40"/>
              <w:rPr>
                <w:i/>
              </w:rPr>
            </w:pPr>
            <w:r>
              <w:rPr>
                <w:i/>
              </w:rPr>
              <w:t>Criminal Law (Mental Impairment) Act 2023</w:t>
            </w:r>
            <w:r>
              <w:t xml:space="preserve"> s. 410</w:t>
            </w:r>
          </w:p>
        </w:tc>
        <w:tc>
          <w:tcPr>
            <w:tcW w:w="1134" w:type="dxa"/>
            <w:gridSpan w:val="2"/>
            <w:shd w:val="clear" w:color="auto" w:fill="auto"/>
          </w:tcPr>
          <w:p>
            <w:pPr>
              <w:pStyle w:val="nTable"/>
              <w:spacing w:after="40"/>
            </w:pPr>
            <w:r>
              <w:t>10 of 2023</w:t>
            </w:r>
          </w:p>
        </w:tc>
        <w:tc>
          <w:tcPr>
            <w:tcW w:w="1134" w:type="dxa"/>
            <w:gridSpan w:val="2"/>
            <w:shd w:val="clear" w:color="auto" w:fill="auto"/>
          </w:tcPr>
          <w:p>
            <w:pPr>
              <w:pStyle w:val="nTable"/>
              <w:spacing w:after="40"/>
            </w:pPr>
            <w:r>
              <w:t>13 Apr 2023</w:t>
            </w:r>
          </w:p>
        </w:tc>
        <w:tc>
          <w:tcPr>
            <w:tcW w:w="2551" w:type="dxa"/>
            <w:gridSpan w:val="2"/>
            <w:shd w:val="clear" w:color="auto" w:fill="auto"/>
          </w:tcPr>
          <w:p>
            <w:pPr>
              <w:pStyle w:val="nTable"/>
              <w:spacing w:after="40"/>
              <w:rPr>
                <w:snapToGrid w:val="0"/>
                <w:spacing w:val="-2"/>
              </w:rPr>
            </w:pPr>
            <w:r>
              <w:t>1 Sep 2024 (see s. 2(b) and SL 2024/175 cl. 2)</w:t>
            </w:r>
          </w:p>
        </w:tc>
      </w:tr>
      <w:tr>
        <w:trPr>
          <w:gridAfter w:val="1"/>
          <w:wAfter w:w="14" w:type="dxa"/>
          <w:cantSplit/>
        </w:trPr>
        <w:tc>
          <w:tcPr>
            <w:tcW w:w="2269" w:type="dxa"/>
            <w:gridSpan w:val="2"/>
            <w:shd w:val="clear" w:color="auto" w:fill="auto"/>
          </w:tcPr>
          <w:p>
            <w:pPr>
              <w:pStyle w:val="nTable"/>
              <w:spacing w:after="40"/>
              <w:rPr>
                <w:iCs/>
              </w:rPr>
            </w:pPr>
            <w:r>
              <w:rPr>
                <w:i/>
              </w:rPr>
              <w:t>Corruption, Crime and Misconduct Amendment Act 2024</w:t>
            </w:r>
            <w:r>
              <w:rPr>
                <w:iCs/>
              </w:rPr>
              <w:t xml:space="preserve"> Pt. 2</w:t>
            </w:r>
          </w:p>
        </w:tc>
        <w:tc>
          <w:tcPr>
            <w:tcW w:w="1134" w:type="dxa"/>
            <w:gridSpan w:val="2"/>
            <w:shd w:val="clear" w:color="auto" w:fill="auto"/>
          </w:tcPr>
          <w:p>
            <w:pPr>
              <w:pStyle w:val="nTable"/>
              <w:spacing w:after="40"/>
            </w:pPr>
            <w:r>
              <w:t>5 of 2024</w:t>
            </w:r>
          </w:p>
        </w:tc>
        <w:tc>
          <w:tcPr>
            <w:tcW w:w="1134" w:type="dxa"/>
            <w:gridSpan w:val="2"/>
            <w:shd w:val="clear" w:color="auto" w:fill="auto"/>
          </w:tcPr>
          <w:p>
            <w:pPr>
              <w:pStyle w:val="nTable"/>
              <w:spacing w:after="40"/>
            </w:pPr>
            <w:r>
              <w:t>14 Mar 2024</w:t>
            </w:r>
          </w:p>
        </w:tc>
        <w:tc>
          <w:tcPr>
            <w:tcW w:w="2551" w:type="dxa"/>
            <w:gridSpan w:val="2"/>
            <w:shd w:val="clear" w:color="auto" w:fill="auto"/>
          </w:tcPr>
          <w:p>
            <w:pPr>
              <w:pStyle w:val="nTable"/>
              <w:spacing w:after="40"/>
              <w:rPr>
                <w:snapToGrid w:val="0"/>
                <w:spacing w:val="-2"/>
              </w:rPr>
            </w:pPr>
            <w:r>
              <w:rPr>
                <w:snapToGrid w:val="0"/>
                <w:spacing w:val="-2"/>
              </w:rPr>
              <w:t>15 Mar 2024 (see s. 2(b))</w:t>
            </w:r>
          </w:p>
        </w:tc>
      </w:tr>
      <w:tr>
        <w:trPr>
          <w:gridAfter w:val="1"/>
          <w:wAfter w:w="14" w:type="dxa"/>
          <w:cantSplit/>
          <w:ins w:id="1096" w:author="Master Repository Process" w:date="2025-07-03T12:15:00Z"/>
        </w:trPr>
        <w:tc>
          <w:tcPr>
            <w:tcW w:w="2269" w:type="dxa"/>
            <w:gridSpan w:val="2"/>
            <w:shd w:val="clear" w:color="auto" w:fill="auto"/>
          </w:tcPr>
          <w:p>
            <w:pPr>
              <w:pStyle w:val="nTable"/>
              <w:spacing w:after="40"/>
              <w:rPr>
                <w:ins w:id="1097" w:author="Master Repository Process" w:date="2025-07-03T12:15:00Z"/>
                <w:i/>
              </w:rPr>
            </w:pPr>
            <w:ins w:id="1098" w:author="Master Repository Process" w:date="2025-07-03T12:15:00Z">
              <w:r>
                <w:rPr>
                  <w:i/>
                </w:rPr>
                <w:t xml:space="preserve">Firearms Act 2024 </w:t>
              </w:r>
              <w:r>
                <w:rPr>
                  <w:iCs/>
                </w:rPr>
                <w:t>Pt. 17 Div. 3 Subdiv. 2</w:t>
              </w:r>
            </w:ins>
          </w:p>
        </w:tc>
        <w:tc>
          <w:tcPr>
            <w:tcW w:w="1134" w:type="dxa"/>
            <w:gridSpan w:val="2"/>
            <w:shd w:val="clear" w:color="auto" w:fill="auto"/>
          </w:tcPr>
          <w:p>
            <w:pPr>
              <w:pStyle w:val="nTable"/>
              <w:spacing w:after="40"/>
              <w:rPr>
                <w:ins w:id="1099" w:author="Master Repository Process" w:date="2025-07-03T12:15:00Z"/>
              </w:rPr>
            </w:pPr>
            <w:ins w:id="1100" w:author="Master Repository Process" w:date="2025-07-03T12:15:00Z">
              <w:r>
                <w:t>23 of 2024</w:t>
              </w:r>
            </w:ins>
          </w:p>
        </w:tc>
        <w:tc>
          <w:tcPr>
            <w:tcW w:w="1134" w:type="dxa"/>
            <w:gridSpan w:val="2"/>
            <w:shd w:val="clear" w:color="auto" w:fill="auto"/>
          </w:tcPr>
          <w:p>
            <w:pPr>
              <w:pStyle w:val="nTable"/>
              <w:spacing w:after="40"/>
              <w:rPr>
                <w:ins w:id="1101" w:author="Master Repository Process" w:date="2025-07-03T12:15:00Z"/>
              </w:rPr>
            </w:pPr>
            <w:ins w:id="1102" w:author="Master Repository Process" w:date="2025-07-03T12:15:00Z">
              <w:r>
                <w:t>27 Jun 2024</w:t>
              </w:r>
            </w:ins>
          </w:p>
        </w:tc>
        <w:tc>
          <w:tcPr>
            <w:tcW w:w="2551" w:type="dxa"/>
            <w:gridSpan w:val="2"/>
            <w:shd w:val="clear" w:color="auto" w:fill="auto"/>
          </w:tcPr>
          <w:p>
            <w:pPr>
              <w:pStyle w:val="nTable"/>
              <w:spacing w:after="40"/>
              <w:rPr>
                <w:ins w:id="1103" w:author="Master Repository Process" w:date="2025-07-03T12:15:00Z"/>
                <w:snapToGrid w:val="0"/>
                <w:spacing w:val="-2"/>
              </w:rPr>
            </w:pPr>
            <w:ins w:id="1104" w:author="Master Repository Process" w:date="2025-07-03T12:15:00Z">
              <w:r>
                <w:t>31 Mar 2025 (see s. 2(d) and SL 2024/289 cl. 2)</w:t>
              </w:r>
            </w:ins>
          </w:p>
        </w:tc>
      </w:tr>
    </w:tbl>
    <w:p>
      <w:pPr>
        <w:pStyle w:val="nHeading3"/>
      </w:pPr>
      <w:bookmarkStart w:id="1105" w:name="_Toc192493203"/>
      <w:bookmarkStart w:id="1106" w:name="_Toc185429215"/>
      <w:r>
        <w:t>Uncommenced provisions table</w:t>
      </w:r>
      <w:bookmarkEnd w:id="1105"/>
      <w:bookmarkEnd w:id="110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del w:id="1107" w:author="Master Repository Process" w:date="2025-07-03T12:15:00Z"/>
        </w:trPr>
        <w:tc>
          <w:tcPr>
            <w:tcW w:w="2268" w:type="dxa"/>
            <w:tcBorders>
              <w:top w:val="nil"/>
              <w:bottom w:val="nil"/>
            </w:tcBorders>
          </w:tcPr>
          <w:p>
            <w:pPr>
              <w:pStyle w:val="nTable"/>
              <w:spacing w:after="40"/>
              <w:rPr>
                <w:del w:id="1108" w:author="Master Repository Process" w:date="2025-07-03T12:15:00Z"/>
                <w:iCs/>
              </w:rPr>
            </w:pPr>
            <w:del w:id="1109" w:author="Master Repository Process" w:date="2025-07-03T12:15:00Z">
              <w:r>
                <w:rPr>
                  <w:i/>
                </w:rPr>
                <w:delText xml:space="preserve">Firearms Act 2024 </w:delText>
              </w:r>
              <w:r>
                <w:rPr>
                  <w:iCs/>
                </w:rPr>
                <w:delText>Pt. 17 Div. 3 Subdiv. 2</w:delText>
              </w:r>
            </w:del>
          </w:p>
        </w:tc>
        <w:tc>
          <w:tcPr>
            <w:tcW w:w="1134" w:type="dxa"/>
            <w:tcBorders>
              <w:top w:val="nil"/>
              <w:bottom w:val="nil"/>
            </w:tcBorders>
          </w:tcPr>
          <w:p>
            <w:pPr>
              <w:pStyle w:val="nTable"/>
              <w:spacing w:after="40"/>
              <w:rPr>
                <w:del w:id="1110" w:author="Master Repository Process" w:date="2025-07-03T12:15:00Z"/>
              </w:rPr>
            </w:pPr>
            <w:del w:id="1111" w:author="Master Repository Process" w:date="2025-07-03T12:15:00Z">
              <w:r>
                <w:delText>23 of 2024</w:delText>
              </w:r>
            </w:del>
          </w:p>
        </w:tc>
        <w:tc>
          <w:tcPr>
            <w:tcW w:w="1134" w:type="dxa"/>
            <w:tcBorders>
              <w:top w:val="nil"/>
              <w:bottom w:val="nil"/>
            </w:tcBorders>
          </w:tcPr>
          <w:p>
            <w:pPr>
              <w:pStyle w:val="nTable"/>
              <w:spacing w:after="40"/>
              <w:rPr>
                <w:del w:id="1112" w:author="Master Repository Process" w:date="2025-07-03T12:15:00Z"/>
              </w:rPr>
            </w:pPr>
            <w:del w:id="1113" w:author="Master Repository Process" w:date="2025-07-03T12:15:00Z">
              <w:r>
                <w:delText>27 Jun 2024</w:delText>
              </w:r>
            </w:del>
          </w:p>
        </w:tc>
        <w:tc>
          <w:tcPr>
            <w:tcW w:w="2552" w:type="dxa"/>
            <w:tcBorders>
              <w:top w:val="nil"/>
              <w:bottom w:val="nil"/>
            </w:tcBorders>
          </w:tcPr>
          <w:p>
            <w:pPr>
              <w:pStyle w:val="nTable"/>
              <w:spacing w:after="40"/>
              <w:rPr>
                <w:del w:id="1114" w:author="Master Repository Process" w:date="2025-07-03T12:15:00Z"/>
              </w:rPr>
            </w:pPr>
            <w:del w:id="1115" w:author="Master Repository Process" w:date="2025-07-03T12:15:00Z">
              <w:r>
                <w:delText>31 Mar 2025 (see s. 2(d) and SL 2024/289 cl. 2)</w:delText>
              </w:r>
            </w:del>
          </w:p>
        </w:tc>
      </w:tr>
      <w:tr>
        <w:tc>
          <w:tcPr>
            <w:tcW w:w="2268" w:type="dxa"/>
            <w:tcBorders>
              <w:top w:val="nil"/>
              <w:bottom w:val="single" w:sz="4" w:space="0" w:color="auto"/>
            </w:tcBorders>
          </w:tcPr>
          <w:p>
            <w:pPr>
              <w:pStyle w:val="nTable"/>
              <w:spacing w:after="40"/>
              <w:rPr>
                <w:iCs/>
              </w:rPr>
            </w:pPr>
            <w:r>
              <w:rPr>
                <w:i/>
              </w:rPr>
              <w:t>Local Government Amendment Act 2024</w:t>
            </w:r>
            <w:r>
              <w:rPr>
                <w:iCs/>
              </w:rPr>
              <w:t xml:space="preserve"> Pt. 3 Div. 2</w:t>
            </w:r>
          </w:p>
        </w:tc>
        <w:tc>
          <w:tcPr>
            <w:tcW w:w="1134" w:type="dxa"/>
            <w:tcBorders>
              <w:top w:val="nil"/>
              <w:bottom w:val="single" w:sz="4" w:space="0" w:color="auto"/>
            </w:tcBorders>
          </w:tcPr>
          <w:p>
            <w:pPr>
              <w:pStyle w:val="nTable"/>
              <w:spacing w:after="40"/>
            </w:pPr>
            <w:r>
              <w:t>47 of 2024</w:t>
            </w:r>
          </w:p>
        </w:tc>
        <w:tc>
          <w:tcPr>
            <w:tcW w:w="1134" w:type="dxa"/>
            <w:tcBorders>
              <w:top w:val="nil"/>
              <w:bottom w:val="single" w:sz="4" w:space="0" w:color="auto"/>
            </w:tcBorders>
          </w:tcPr>
          <w:p>
            <w:pPr>
              <w:pStyle w:val="nTable"/>
              <w:spacing w:after="40"/>
            </w:pPr>
            <w:r>
              <w:t>6 Dec 2024</w:t>
            </w:r>
          </w:p>
        </w:tc>
        <w:tc>
          <w:tcPr>
            <w:tcW w:w="2552" w:type="dxa"/>
            <w:tcBorders>
              <w:top w:val="nil"/>
              <w:bottom w:val="single" w:sz="4" w:space="0" w:color="auto"/>
            </w:tcBorders>
          </w:tcPr>
          <w:p>
            <w:pPr>
              <w:pStyle w:val="nTable"/>
              <w:spacing w:after="40"/>
            </w:pPr>
            <w:r>
              <w:t>To be proclaimed (see s. 2(1)(i))</w:t>
            </w:r>
          </w:p>
        </w:tc>
      </w:tr>
    </w:tbl>
    <w:p>
      <w:pPr>
        <w:pStyle w:val="nHeading3"/>
      </w:pPr>
      <w:bookmarkStart w:id="1116" w:name="_Toc192493204"/>
      <w:bookmarkStart w:id="1117" w:name="_Toc185429216"/>
      <w:r>
        <w:t>Other notes</w:t>
      </w:r>
      <w:bookmarkEnd w:id="1116"/>
      <w:bookmarkEnd w:id="1117"/>
    </w:p>
    <w:p>
      <w:pPr>
        <w:pStyle w:val="nNote"/>
        <w:spacing w:before="160"/>
        <w:rPr>
          <w:snapToGrid w:val="0"/>
          <w:vertAlign w:val="superscript"/>
        </w:rPr>
      </w:pPr>
      <w:r>
        <w:rPr>
          <w:snapToGrid w:val="0"/>
          <w:vertAlign w:val="superscript"/>
        </w:rPr>
        <w:t>1</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3</w:t>
      </w:r>
      <w:r>
        <w:tab/>
        <w:t xml:space="preserve">Now known as the </w:t>
      </w:r>
      <w:r>
        <w:rPr>
          <w:i/>
          <w:noProof/>
          <w:snapToGrid w:val="0"/>
        </w:rPr>
        <w:t>Corruption, Crime and Misconduct Act 2003</w:t>
      </w:r>
      <w:r>
        <w:t>; short title changed (see note under s. 1).</w:t>
      </w:r>
    </w:p>
    <w:p>
      <w:pPr>
        <w:pStyle w:val="nNote"/>
        <w:keepNext/>
        <w:rPr>
          <w:snapToGrid w:val="0"/>
        </w:rPr>
      </w:pPr>
      <w:r>
        <w:rPr>
          <w:snapToGrid w:val="0"/>
          <w:vertAlign w:val="superscript"/>
        </w:rPr>
        <w:t>4</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keepNext/>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Note"/>
        <w:keepNext/>
        <w:spacing w:before="40"/>
      </w:pPr>
      <w:r>
        <w:rPr>
          <w:vertAlign w:val="superscript"/>
        </w:rPr>
        <w:t>5</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keepNext/>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19" w:author="Master Repository Process" w:date="2025-07-03T12:15:00Z">
                              <w:r>
                                <w:rPr>
                                  <w:sz w:val="16"/>
                                </w:rPr>
                                <w:delText>2024</w:delText>
                              </w:r>
                            </w:del>
                            <w:ins w:id="1120" w:author="Master Repository Process" w:date="2025-07-03T12:1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21" w:author="Master Repository Process" w:date="2025-07-03T12:15:00Z">
                              <w:r>
                                <w:rPr>
                                  <w:sz w:val="16"/>
                                </w:rPr>
                                <w:delText>2024</w:delText>
                              </w:r>
                            </w:del>
                            <w:ins w:id="1122" w:author="Master Repository Process" w:date="2025-07-03T12:1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23" w:author="Master Repository Process" w:date="2025-07-03T12:15:00Z">
                        <w:r>
                          <w:rPr>
                            <w:sz w:val="16"/>
                          </w:rPr>
                          <w:delText>2024</w:delText>
                        </w:r>
                      </w:del>
                      <w:ins w:id="1124" w:author="Master Repository Process" w:date="2025-07-03T12:1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25" w:author="Master Repository Process" w:date="2025-07-03T12:15:00Z">
                        <w:r>
                          <w:rPr>
                            <w:sz w:val="16"/>
                          </w:rPr>
                          <w:delText>2024</w:delText>
                        </w:r>
                      </w:del>
                      <w:ins w:id="1126" w:author="Master Repository Process" w:date="2025-07-03T12:1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Introduction</w: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1023" w:name="Schedule"/>
    <w:bookmarkEnd w:id="10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18" w:name="Compilation"/>
    <w:bookmarkEnd w:id="11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27" w:name="Coversheet"/>
    <w:bookmarkEnd w:id="1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885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BEA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14BD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1AD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EEB4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07111539"/>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 w:name="WAFER_20210628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83821_GUID" w:val="b755a8ff-ab31-4650-9f5a-23c766c6f8cc"/>
    <w:docVar w:name="WAFER_20220407160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45_GUID" w:val="2c94fe0f-ea17-499a-99d2-11f076f0f3b6"/>
    <w:docVar w:name="WAFER_202206281528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2829_GUID" w:val="8e3bfaf8-83a2-41ea-87cc-8c77e936eb7a"/>
    <w:docVar w:name="WAFER_2023041210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03_GUID" w:val="89a26e5b-53a0-41ef-85a0-ff8071d8f8fb"/>
    <w:docVar w:name="WAFER_20240314125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25106_GUID" w:val="4701bf90-d613-4fd0-b1ec-e6f55476718e"/>
    <w:docVar w:name="WAFER_20240626144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4230_GUID" w:val="1203e7b6-4ca1-4781-9f71-c08a70a57a29"/>
    <w:docVar w:name="WAFER_2024082213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4222_GUID" w:val="9514d5d9-8fa6-4b48-8520-f9377cbea94b"/>
    <w:docVar w:name="WAFER_20241203083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083304_GUID" w:val="450306d6-16aa-4fa1-9ee7-39926e515476"/>
    <w:docVar w:name="WAFER_20241218152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406_GUID" w:val="023a87d5-93b1-4dd8-8514-9aa16f982ecd"/>
    <w:docVar w:name="WAFER_20250307111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07111539_GUID" w:val="c9e05875-31ea-4670-b1e8-f13aa578b0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3D3A54-4FC5-4686-8680-70131B4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5B5C4-46D6-41D2-897A-31922FE4C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56171</Words>
  <Characters>275241</Characters>
  <Application>Microsoft Office Word</Application>
  <DocSecurity>0</DocSecurity>
  <Lines>7243</Lines>
  <Paragraphs>3898</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327514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07-i0-01 - 07-j0-00</dc:title>
  <dc:subject/>
  <dc:creator/>
  <cp:keywords/>
  <dc:description/>
  <cp:lastModifiedBy>Master Repository Process</cp:lastModifiedBy>
  <cp:revision>2</cp:revision>
  <cp:lastPrinted>2019-04-29T06:51:00Z</cp:lastPrinted>
  <dcterms:created xsi:type="dcterms:W3CDTF">2025-07-03T04:14:00Z</dcterms:created>
  <dcterms:modified xsi:type="dcterms:W3CDTF">2025-07-03T04:15:00Z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20250331</vt:lpwstr>
  </property>
  <property fmtid="{D5CDD505-2E9C-101B-9397-08002B2CF9AE}" pid="9" name="CommencementAsAt">
    <vt:filetime>2025-03-30T16:00:00Z</vt:filetime>
  </property>
  <property fmtid="{D5CDD505-2E9C-101B-9397-08002B2CF9AE}" pid="10" name="CommencementYear">
    <vt:lpwstr>2025</vt:lpwstr>
  </property>
  <property fmtid="{D5CDD505-2E9C-101B-9397-08002B2CF9AE}" pid="11" name="FromSuffix">
    <vt:lpwstr>07-i0-01</vt:lpwstr>
  </property>
  <property fmtid="{D5CDD505-2E9C-101B-9397-08002B2CF9AE}" pid="12" name="FromAsAtDate">
    <vt:lpwstr>06 Dec 2024</vt:lpwstr>
  </property>
  <property fmtid="{D5CDD505-2E9C-101B-9397-08002B2CF9AE}" pid="13" name="ToSuffix">
    <vt:lpwstr>07-j0-00</vt:lpwstr>
  </property>
  <property fmtid="{D5CDD505-2E9C-101B-9397-08002B2CF9AE}" pid="14" name="ToAsAtDate">
    <vt:lpwstr>31 Mar 2025</vt:lpwstr>
  </property>
</Properties>
</file>