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06-l0-01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1" w:name="_Toc192514224"/>
      <w:bookmarkStart w:id="2" w:name="_Toc192515031"/>
      <w:bookmarkStart w:id="3" w:name="_Toc192578413"/>
      <w:bookmarkStart w:id="4" w:name="_Toc185430049"/>
      <w:bookmarkStart w:id="5" w:name="_Toc185430188"/>
      <w:bookmarkStart w:id="6" w:name="_Toc185495109"/>
      <w:bookmarkStart w:id="7" w:name="_Toc185495377"/>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Footnotesection"/>
      </w:pPr>
      <w:r>
        <w:tab/>
        <w:t>[Heading inserted: No. 13 of 2022 s. 4.]</w:t>
      </w:r>
    </w:p>
    <w:p>
      <w:pPr>
        <w:pStyle w:val="Heading5"/>
        <w:spacing w:before="240"/>
        <w:rPr>
          <w:snapToGrid w:val="0"/>
        </w:rPr>
      </w:pPr>
      <w:bookmarkStart w:id="8" w:name="_Toc192578414"/>
      <w:bookmarkStart w:id="9" w:name="_Toc18549537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0" w:name="_Toc192578415"/>
      <w:bookmarkStart w:id="11" w:name="_Toc18549537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2" w:name="_Toc192578416"/>
      <w:bookmarkStart w:id="13" w:name="_Toc185495380"/>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an edged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 No. 33 of 2024 s. 28.]</w:t>
      </w:r>
    </w:p>
    <w:p>
      <w:pPr>
        <w:pStyle w:val="Heading5"/>
      </w:pPr>
      <w:bookmarkStart w:id="14" w:name="_Toc192578417"/>
      <w:bookmarkStart w:id="15" w:name="_Toc185495381"/>
      <w:r>
        <w:rPr>
          <w:rStyle w:val="CharSectno"/>
        </w:rPr>
        <w:t>4A</w:t>
      </w:r>
      <w:r>
        <w:t>.</w:t>
      </w:r>
      <w:r>
        <w:tab/>
        <w:t>Possession of firearms and other things</w:t>
      </w:r>
      <w:bookmarkEnd w:id="14"/>
      <w:bookmarkEnd w:id="15"/>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6" w:name="_Toc192578418"/>
      <w:bookmarkStart w:id="17" w:name="_Toc185495382"/>
      <w:r>
        <w:rPr>
          <w:rStyle w:val="CharSectno"/>
        </w:rPr>
        <w:t>5</w:t>
      </w:r>
      <w:r>
        <w:rPr>
          <w:snapToGrid w:val="0"/>
        </w:rPr>
        <w:t>.</w:t>
      </w:r>
      <w:r>
        <w:rPr>
          <w:snapToGrid w:val="0"/>
        </w:rPr>
        <w:tab/>
        <w:t>Administration</w:t>
      </w:r>
      <w:bookmarkEnd w:id="16"/>
      <w:bookmarkEnd w:id="1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8" w:name="_Toc192578419"/>
      <w:bookmarkStart w:id="19" w:name="_Toc185495383"/>
      <w:r>
        <w:rPr>
          <w:rStyle w:val="CharSectno"/>
        </w:rPr>
        <w:t>5A</w:t>
      </w:r>
      <w:r>
        <w:rPr>
          <w:snapToGrid w:val="0"/>
        </w:rPr>
        <w:t>.</w:t>
      </w:r>
      <w:r>
        <w:rPr>
          <w:snapToGrid w:val="0"/>
        </w:rPr>
        <w:tab/>
        <w:t>Delegation of Commissioner’s powers</w:t>
      </w:r>
      <w:bookmarkEnd w:id="18"/>
      <w:bookmarkEnd w:id="19"/>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20" w:name="_Toc192578420"/>
      <w:bookmarkStart w:id="21" w:name="_Toc185495384"/>
      <w:r>
        <w:rPr>
          <w:rStyle w:val="CharSectno"/>
        </w:rPr>
        <w:t>6</w:t>
      </w:r>
      <w:r>
        <w:rPr>
          <w:snapToGrid w:val="0"/>
        </w:rPr>
        <w:t>.</w:t>
      </w:r>
      <w:r>
        <w:rPr>
          <w:snapToGrid w:val="0"/>
        </w:rPr>
        <w:tab/>
        <w:t>Prohibition</w:t>
      </w:r>
      <w:bookmarkEnd w:id="20"/>
      <w:bookmarkEnd w:id="21"/>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2" w:name="_Toc192578421"/>
      <w:bookmarkStart w:id="23" w:name="_Toc185495385"/>
      <w:r>
        <w:rPr>
          <w:rStyle w:val="CharSectno"/>
        </w:rPr>
        <w:t>7</w:t>
      </w:r>
      <w:r>
        <w:rPr>
          <w:snapToGrid w:val="0"/>
        </w:rPr>
        <w:t>.</w:t>
      </w:r>
      <w:r>
        <w:rPr>
          <w:snapToGrid w:val="0"/>
        </w:rPr>
        <w:tab/>
        <w:t>Governor may order delivery of firearms by dealers and manufacturers in cases of emergency</w:t>
      </w:r>
      <w:bookmarkEnd w:id="22"/>
      <w:bookmarkEnd w:id="23"/>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24" w:name="_Toc192514233"/>
      <w:bookmarkStart w:id="25" w:name="_Toc192515040"/>
      <w:bookmarkStart w:id="26" w:name="_Toc192578422"/>
      <w:bookmarkStart w:id="27" w:name="_Toc185430058"/>
      <w:bookmarkStart w:id="28" w:name="_Toc185430197"/>
      <w:bookmarkStart w:id="29" w:name="_Toc185495118"/>
      <w:bookmarkStart w:id="30" w:name="_Toc185495386"/>
      <w:r>
        <w:rPr>
          <w:rStyle w:val="CharPartNo"/>
        </w:rPr>
        <w:t>Part 2</w:t>
      </w:r>
      <w:r>
        <w:t> — </w:t>
      </w:r>
      <w:r>
        <w:rPr>
          <w:rStyle w:val="CharPartText"/>
        </w:rPr>
        <w:t>Licences, permits and approvals</w:t>
      </w:r>
      <w:bookmarkEnd w:id="24"/>
      <w:bookmarkEnd w:id="25"/>
      <w:bookmarkEnd w:id="26"/>
      <w:bookmarkEnd w:id="27"/>
      <w:bookmarkEnd w:id="28"/>
      <w:bookmarkEnd w:id="29"/>
      <w:bookmarkEnd w:id="30"/>
    </w:p>
    <w:p>
      <w:pPr>
        <w:pStyle w:val="Footnoteheading"/>
        <w:keepNext/>
      </w:pPr>
      <w:r>
        <w:tab/>
        <w:t>[Heading inserted: No. 13 of 2022 s. 11.]</w:t>
      </w:r>
    </w:p>
    <w:p>
      <w:pPr>
        <w:pStyle w:val="Heading3"/>
      </w:pPr>
      <w:bookmarkStart w:id="31" w:name="_Toc192514234"/>
      <w:bookmarkStart w:id="32" w:name="_Toc192515041"/>
      <w:bookmarkStart w:id="33" w:name="_Toc192578423"/>
      <w:bookmarkStart w:id="34" w:name="_Toc185430059"/>
      <w:bookmarkStart w:id="35" w:name="_Toc185430198"/>
      <w:bookmarkStart w:id="36" w:name="_Toc185495119"/>
      <w:bookmarkStart w:id="37" w:name="_Toc185495387"/>
      <w:r>
        <w:rPr>
          <w:rStyle w:val="CharDivNo"/>
        </w:rPr>
        <w:t>Division 1</w:t>
      </w:r>
      <w:r>
        <w:t> — </w:t>
      </w:r>
      <w:r>
        <w:rPr>
          <w:rStyle w:val="CharDivText"/>
        </w:rPr>
        <w:t>General matters</w:t>
      </w:r>
      <w:bookmarkEnd w:id="31"/>
      <w:bookmarkEnd w:id="32"/>
      <w:bookmarkEnd w:id="33"/>
      <w:bookmarkEnd w:id="34"/>
      <w:bookmarkEnd w:id="35"/>
      <w:bookmarkEnd w:id="36"/>
      <w:bookmarkEnd w:id="37"/>
    </w:p>
    <w:p>
      <w:pPr>
        <w:pStyle w:val="Footnoteheading"/>
        <w:keepNext/>
      </w:pPr>
      <w:r>
        <w:tab/>
        <w:t>[Heading inserted: No. 13 of 2022 s. 11.]</w:t>
      </w:r>
    </w:p>
    <w:p>
      <w:pPr>
        <w:pStyle w:val="Heading5"/>
        <w:rPr>
          <w:snapToGrid w:val="0"/>
        </w:rPr>
      </w:pPr>
      <w:bookmarkStart w:id="38" w:name="_Toc192578424"/>
      <w:bookmarkStart w:id="39" w:name="_Toc185495388"/>
      <w:r>
        <w:rPr>
          <w:rStyle w:val="CharSectno"/>
        </w:rPr>
        <w:t>8</w:t>
      </w:r>
      <w:r>
        <w:rPr>
          <w:snapToGrid w:val="0"/>
        </w:rPr>
        <w:t>.</w:t>
      </w:r>
      <w:r>
        <w:rPr>
          <w:snapToGrid w:val="0"/>
        </w:rPr>
        <w:tab/>
        <w:t>Exemptions from licensing requirements</w:t>
      </w:r>
      <w:bookmarkEnd w:id="38"/>
      <w:bookmarkEnd w:id="39"/>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40" w:name="_Toc192578425"/>
      <w:bookmarkStart w:id="41" w:name="_Toc185495389"/>
      <w:r>
        <w:rPr>
          <w:rStyle w:val="CharSectno"/>
        </w:rPr>
        <w:t>9</w:t>
      </w:r>
      <w:r>
        <w:rPr>
          <w:snapToGrid w:val="0"/>
        </w:rPr>
        <w:t>.</w:t>
      </w:r>
      <w:r>
        <w:rPr>
          <w:snapToGrid w:val="0"/>
        </w:rPr>
        <w:tab/>
        <w:t>Licences, permits, approvals not transferable</w:t>
      </w:r>
      <w:bookmarkEnd w:id="40"/>
      <w:bookmarkEnd w:id="41"/>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2" w:name="_Toc192578426"/>
      <w:bookmarkStart w:id="43" w:name="_Toc185495390"/>
      <w:r>
        <w:rPr>
          <w:rStyle w:val="CharSectno"/>
        </w:rPr>
        <w:t>9A</w:t>
      </w:r>
      <w:r>
        <w:rPr>
          <w:snapToGrid w:val="0"/>
        </w:rPr>
        <w:t>.</w:t>
      </w:r>
      <w:r>
        <w:rPr>
          <w:snapToGrid w:val="0"/>
        </w:rPr>
        <w:tab/>
        <w:t>Duration and renewal of licences</w:t>
      </w:r>
      <w:bookmarkEnd w:id="42"/>
      <w:bookmarkEnd w:id="43"/>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44" w:name="_Toc192514238"/>
      <w:bookmarkStart w:id="45" w:name="_Toc192515045"/>
      <w:bookmarkStart w:id="46" w:name="_Toc192578427"/>
      <w:bookmarkStart w:id="47" w:name="_Toc185430063"/>
      <w:bookmarkStart w:id="48" w:name="_Toc185430202"/>
      <w:bookmarkStart w:id="49" w:name="_Toc185495123"/>
      <w:bookmarkStart w:id="50" w:name="_Toc185495391"/>
      <w:r>
        <w:rPr>
          <w:rStyle w:val="CharDivNo"/>
        </w:rPr>
        <w:t>Division 2</w:t>
      </w:r>
      <w:r>
        <w:t> — </w:t>
      </w:r>
      <w:r>
        <w:rPr>
          <w:rStyle w:val="CharDivText"/>
        </w:rPr>
        <w:t>Requirements and restrictions</w:t>
      </w:r>
      <w:bookmarkEnd w:id="44"/>
      <w:bookmarkEnd w:id="45"/>
      <w:bookmarkEnd w:id="46"/>
      <w:bookmarkEnd w:id="47"/>
      <w:bookmarkEnd w:id="48"/>
      <w:bookmarkEnd w:id="49"/>
      <w:bookmarkEnd w:id="50"/>
    </w:p>
    <w:p>
      <w:pPr>
        <w:pStyle w:val="Footnoteheading"/>
      </w:pPr>
      <w:r>
        <w:tab/>
        <w:t>[Heading inserted: No. 13 of 2022 s. 14.]</w:t>
      </w:r>
    </w:p>
    <w:p>
      <w:pPr>
        <w:pStyle w:val="Heading5"/>
        <w:rPr>
          <w:snapToGrid w:val="0"/>
        </w:rPr>
      </w:pPr>
      <w:bookmarkStart w:id="51" w:name="_Toc192578428"/>
      <w:bookmarkStart w:id="52" w:name="_Toc185495392"/>
      <w:r>
        <w:rPr>
          <w:rStyle w:val="CharSectno"/>
        </w:rPr>
        <w:t>10</w:t>
      </w:r>
      <w:r>
        <w:rPr>
          <w:snapToGrid w:val="0"/>
        </w:rPr>
        <w:t>.</w:t>
      </w:r>
      <w:r>
        <w:rPr>
          <w:snapToGrid w:val="0"/>
        </w:rPr>
        <w:tab/>
        <w:t>Minimum age of licensee or permit holder</w:t>
      </w:r>
      <w:bookmarkEnd w:id="51"/>
      <w:bookmarkEnd w:id="52"/>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53" w:name="_Toc192578429"/>
      <w:bookmarkStart w:id="54" w:name="_Toc185495393"/>
      <w:r>
        <w:rPr>
          <w:rStyle w:val="CharSectno"/>
        </w:rPr>
        <w:t>10A</w:t>
      </w:r>
      <w:r>
        <w:rPr>
          <w:snapToGrid w:val="0"/>
        </w:rPr>
        <w:t>.</w:t>
      </w:r>
      <w:r>
        <w:rPr>
          <w:snapToGrid w:val="0"/>
        </w:rPr>
        <w:tab/>
        <w:t>Training courses</w:t>
      </w:r>
      <w:bookmarkEnd w:id="53"/>
      <w:bookmarkEnd w:id="54"/>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55" w:name="_Toc192578430"/>
      <w:bookmarkStart w:id="56" w:name="_Toc185495394"/>
      <w:r>
        <w:rPr>
          <w:rStyle w:val="CharSectno"/>
        </w:rPr>
        <w:t>11</w:t>
      </w:r>
      <w:r>
        <w:rPr>
          <w:snapToGrid w:val="0"/>
        </w:rPr>
        <w:t>.</w:t>
      </w:r>
      <w:r>
        <w:rPr>
          <w:snapToGrid w:val="0"/>
        </w:rPr>
        <w:tab/>
        <w:t>Exercise of Commissioner’s discretion</w:t>
      </w:r>
      <w:bookmarkEnd w:id="55"/>
      <w:bookmarkEnd w:id="56"/>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57" w:name="_Toc192578431"/>
      <w:bookmarkStart w:id="58" w:name="_Toc185495395"/>
      <w:r>
        <w:rPr>
          <w:rStyle w:val="CharSectno"/>
        </w:rPr>
        <w:t>11A</w:t>
      </w:r>
      <w:r>
        <w:rPr>
          <w:snapToGrid w:val="0"/>
        </w:rPr>
        <w:t>.</w:t>
      </w:r>
      <w:r>
        <w:rPr>
          <w:snapToGrid w:val="0"/>
        </w:rPr>
        <w:tab/>
        <w:t>Genuine reason required in all cases</w:t>
      </w:r>
      <w:bookmarkEnd w:id="57"/>
      <w:bookmarkEnd w:id="58"/>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59" w:name="_Toc192578432"/>
      <w:bookmarkStart w:id="60" w:name="_Toc185495396"/>
      <w:r>
        <w:rPr>
          <w:rStyle w:val="CharSectno"/>
        </w:rPr>
        <w:t>11B</w:t>
      </w:r>
      <w:r>
        <w:rPr>
          <w:snapToGrid w:val="0"/>
        </w:rPr>
        <w:t>.</w:t>
      </w:r>
      <w:r>
        <w:rPr>
          <w:snapToGrid w:val="0"/>
        </w:rPr>
        <w:tab/>
        <w:t>Genuine need required in some cases</w:t>
      </w:r>
      <w:bookmarkEnd w:id="59"/>
      <w:bookmarkEnd w:id="60"/>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61" w:name="_Toc192578433"/>
      <w:bookmarkStart w:id="62" w:name="_Toc185495397"/>
      <w:r>
        <w:rPr>
          <w:rStyle w:val="CharSectno"/>
        </w:rPr>
        <w:t>11C</w:t>
      </w:r>
      <w:r>
        <w:rPr>
          <w:snapToGrid w:val="0"/>
        </w:rPr>
        <w:t>.</w:t>
      </w:r>
      <w:r>
        <w:rPr>
          <w:snapToGrid w:val="0"/>
        </w:rPr>
        <w:tab/>
        <w:t>Other restrictions</w:t>
      </w:r>
      <w:bookmarkEnd w:id="61"/>
      <w:bookmarkEnd w:id="62"/>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63" w:name="_Toc192578434"/>
      <w:bookmarkStart w:id="64" w:name="_Toc185495398"/>
      <w:r>
        <w:rPr>
          <w:rStyle w:val="CharSectno"/>
        </w:rPr>
        <w:t>12</w:t>
      </w:r>
      <w:r>
        <w:rPr>
          <w:snapToGrid w:val="0"/>
        </w:rPr>
        <w:t>.</w:t>
      </w:r>
      <w:r>
        <w:rPr>
          <w:snapToGrid w:val="0"/>
        </w:rPr>
        <w:tab/>
        <w:t>Unsafe or unserviceable firearms or major firearm parts</w:t>
      </w:r>
      <w:bookmarkEnd w:id="63"/>
      <w:bookmarkEnd w:id="64"/>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65" w:name="_Toc192514246"/>
      <w:bookmarkStart w:id="66" w:name="_Toc192515053"/>
      <w:bookmarkStart w:id="67" w:name="_Toc192578435"/>
      <w:bookmarkStart w:id="68" w:name="_Toc185430071"/>
      <w:bookmarkStart w:id="69" w:name="_Toc185430210"/>
      <w:bookmarkStart w:id="70" w:name="_Toc185495131"/>
      <w:bookmarkStart w:id="71" w:name="_Toc185495399"/>
      <w:r>
        <w:rPr>
          <w:rStyle w:val="CharDivNo"/>
        </w:rPr>
        <w:t>Division 3</w:t>
      </w:r>
      <w:r>
        <w:t> — </w:t>
      </w:r>
      <w:r>
        <w:rPr>
          <w:rStyle w:val="CharDivText"/>
        </w:rPr>
        <w:t>Firearm collections and accredited societies of collectors</w:t>
      </w:r>
      <w:bookmarkEnd w:id="65"/>
      <w:bookmarkEnd w:id="66"/>
      <w:bookmarkEnd w:id="67"/>
      <w:bookmarkEnd w:id="68"/>
      <w:bookmarkEnd w:id="69"/>
      <w:bookmarkEnd w:id="70"/>
      <w:bookmarkEnd w:id="71"/>
    </w:p>
    <w:p>
      <w:pPr>
        <w:pStyle w:val="Footnoteheading"/>
        <w:keepNext/>
      </w:pPr>
      <w:r>
        <w:tab/>
        <w:t>[Heading inserted: No. 13 of 2022 s. 18.]</w:t>
      </w:r>
    </w:p>
    <w:p>
      <w:pPr>
        <w:pStyle w:val="Heading5"/>
        <w:rPr>
          <w:snapToGrid w:val="0"/>
        </w:rPr>
      </w:pPr>
      <w:bookmarkStart w:id="72" w:name="_Toc192578436"/>
      <w:bookmarkStart w:id="73" w:name="_Toc185495400"/>
      <w:r>
        <w:rPr>
          <w:rStyle w:val="CharSectno"/>
        </w:rPr>
        <w:t>15</w:t>
      </w:r>
      <w:r>
        <w:rPr>
          <w:snapToGrid w:val="0"/>
        </w:rPr>
        <w:t>.</w:t>
      </w:r>
      <w:r>
        <w:rPr>
          <w:snapToGrid w:val="0"/>
        </w:rPr>
        <w:tab/>
        <w:t>Firearm collections</w:t>
      </w:r>
      <w:bookmarkEnd w:id="72"/>
      <w:bookmarkEnd w:id="73"/>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74" w:name="_Toc192578437"/>
      <w:bookmarkStart w:id="75" w:name="_Toc185495401"/>
      <w:r>
        <w:rPr>
          <w:rStyle w:val="CharSectno"/>
        </w:rPr>
        <w:t>15A</w:t>
      </w:r>
      <w:r>
        <w:t>.</w:t>
      </w:r>
      <w:r>
        <w:tab/>
        <w:t>Accredited societies of collectors</w:t>
      </w:r>
      <w:bookmarkEnd w:id="74"/>
      <w:bookmarkEnd w:id="7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76" w:name="_Toc192578438"/>
      <w:bookmarkStart w:id="77" w:name="_Toc185495402"/>
      <w:r>
        <w:rPr>
          <w:rStyle w:val="CharSectno"/>
        </w:rPr>
        <w:t>15B</w:t>
      </w:r>
      <w:r>
        <w:t>.</w:t>
      </w:r>
      <w:r>
        <w:tab/>
        <w:t>Information from accredited society of collectors</w:t>
      </w:r>
      <w:bookmarkEnd w:id="76"/>
      <w:bookmarkEnd w:id="77"/>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78" w:name="_Toc192514250"/>
      <w:bookmarkStart w:id="79" w:name="_Toc192515057"/>
      <w:bookmarkStart w:id="80" w:name="_Toc192578439"/>
      <w:bookmarkStart w:id="81" w:name="_Toc185430075"/>
      <w:bookmarkStart w:id="82" w:name="_Toc185430214"/>
      <w:bookmarkStart w:id="83" w:name="_Toc185495135"/>
      <w:bookmarkStart w:id="84" w:name="_Toc185495403"/>
      <w:r>
        <w:rPr>
          <w:rStyle w:val="CharDivNo"/>
        </w:rPr>
        <w:t>Division 4</w:t>
      </w:r>
      <w:r>
        <w:t> — </w:t>
      </w:r>
      <w:r>
        <w:rPr>
          <w:rStyle w:val="CharDivText"/>
        </w:rPr>
        <w:t>Categories of licences</w:t>
      </w:r>
      <w:bookmarkEnd w:id="78"/>
      <w:bookmarkEnd w:id="79"/>
      <w:bookmarkEnd w:id="80"/>
      <w:bookmarkEnd w:id="81"/>
      <w:bookmarkEnd w:id="82"/>
      <w:bookmarkEnd w:id="83"/>
      <w:bookmarkEnd w:id="84"/>
    </w:p>
    <w:p>
      <w:pPr>
        <w:pStyle w:val="Footnoteheading"/>
        <w:keepNext/>
      </w:pPr>
      <w:r>
        <w:tab/>
        <w:t>[Heading inserted: No. 13 of 2022 s. 21.]</w:t>
      </w:r>
    </w:p>
    <w:p>
      <w:pPr>
        <w:pStyle w:val="Heading5"/>
      </w:pPr>
      <w:bookmarkStart w:id="85" w:name="_Toc192578440"/>
      <w:bookmarkStart w:id="86" w:name="_Toc185495404"/>
      <w:r>
        <w:rPr>
          <w:rStyle w:val="CharSectno"/>
        </w:rPr>
        <w:t>16</w:t>
      </w:r>
      <w:r>
        <w:t>.</w:t>
      </w:r>
      <w:r>
        <w:tab/>
        <w:t>Overview of Division</w:t>
      </w:r>
      <w:bookmarkEnd w:id="85"/>
      <w:bookmarkEnd w:id="86"/>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87" w:name="_Toc192578441"/>
      <w:bookmarkStart w:id="88" w:name="_Toc185495405"/>
      <w:r>
        <w:rPr>
          <w:rStyle w:val="CharSectno"/>
        </w:rPr>
        <w:t>16A</w:t>
      </w:r>
      <w:r>
        <w:t>.</w:t>
      </w:r>
      <w:r>
        <w:tab/>
        <w:t>Firearm Licence</w:t>
      </w:r>
      <w:bookmarkEnd w:id="87"/>
      <w:bookmarkEnd w:id="88"/>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89" w:name="_Toc192578442"/>
      <w:bookmarkStart w:id="90" w:name="_Toc185495406"/>
      <w:r>
        <w:rPr>
          <w:rStyle w:val="CharSectno"/>
        </w:rPr>
        <w:t>16B</w:t>
      </w:r>
      <w:r>
        <w:t>.</w:t>
      </w:r>
      <w:r>
        <w:tab/>
        <w:t>Approval in relation to replacement or additional major firearm parts</w:t>
      </w:r>
      <w:bookmarkEnd w:id="89"/>
      <w:bookmarkEnd w:id="90"/>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91" w:name="_Toc192578443"/>
      <w:bookmarkStart w:id="92" w:name="_Toc185495407"/>
      <w:r>
        <w:rPr>
          <w:rStyle w:val="CharSectno"/>
        </w:rPr>
        <w:t>16C</w:t>
      </w:r>
      <w:r>
        <w:t>.</w:t>
      </w:r>
      <w:r>
        <w:tab/>
        <w:t>Firearm Collector’s Licence</w:t>
      </w:r>
      <w:bookmarkEnd w:id="91"/>
      <w:bookmarkEnd w:id="92"/>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93" w:name="_Toc192578444"/>
      <w:bookmarkStart w:id="94" w:name="_Toc185495408"/>
      <w:r>
        <w:rPr>
          <w:rStyle w:val="CharSectno"/>
        </w:rPr>
        <w:t>16D</w:t>
      </w:r>
      <w:r>
        <w:t>.</w:t>
      </w:r>
      <w:r>
        <w:tab/>
        <w:t>Corporate Licence</w:t>
      </w:r>
      <w:bookmarkEnd w:id="93"/>
      <w:bookmarkEnd w:id="94"/>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95" w:name="_Toc192578445"/>
      <w:bookmarkStart w:id="96" w:name="_Toc185495409"/>
      <w:r>
        <w:rPr>
          <w:rStyle w:val="CharSectno"/>
        </w:rPr>
        <w:t>16E</w:t>
      </w:r>
      <w:r>
        <w:t>.</w:t>
      </w:r>
      <w:r>
        <w:tab/>
        <w:t>Approval for holder of Corporate Licence to possess replacement or additional major firearm parts</w:t>
      </w:r>
      <w:bookmarkEnd w:id="95"/>
      <w:bookmarkEnd w:id="9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97" w:name="_Toc192578446"/>
      <w:bookmarkStart w:id="98" w:name="_Toc185495410"/>
      <w:r>
        <w:rPr>
          <w:rStyle w:val="CharSectno"/>
        </w:rPr>
        <w:t>16F</w:t>
      </w:r>
      <w:r>
        <w:t>.</w:t>
      </w:r>
      <w:r>
        <w:tab/>
        <w:t>Dealer’s Licence</w:t>
      </w:r>
      <w:bookmarkEnd w:id="97"/>
      <w:bookmarkEnd w:id="98"/>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99" w:name="_Toc192578447"/>
      <w:bookmarkStart w:id="100" w:name="_Toc185495411"/>
      <w:r>
        <w:rPr>
          <w:rStyle w:val="CharSectno"/>
        </w:rPr>
        <w:t>16G</w:t>
      </w:r>
      <w:r>
        <w:t>.</w:t>
      </w:r>
      <w:r>
        <w:tab/>
        <w:t>Repairer’s Licence</w:t>
      </w:r>
      <w:bookmarkEnd w:id="99"/>
      <w:bookmarkEnd w:id="100"/>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101" w:name="_Toc192578448"/>
      <w:bookmarkStart w:id="102" w:name="_Toc185495412"/>
      <w:r>
        <w:rPr>
          <w:rStyle w:val="CharSectno"/>
        </w:rPr>
        <w:t>16H</w:t>
      </w:r>
      <w:r>
        <w:t>.</w:t>
      </w:r>
      <w:r>
        <w:tab/>
        <w:t>Manufacturer’s Licence</w:t>
      </w:r>
      <w:bookmarkEnd w:id="101"/>
      <w:bookmarkEnd w:id="102"/>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103" w:name="_Toc192578449"/>
      <w:bookmarkStart w:id="104" w:name="_Toc185495413"/>
      <w:r>
        <w:rPr>
          <w:rStyle w:val="CharSectno"/>
        </w:rPr>
        <w:t>16I</w:t>
      </w:r>
      <w:r>
        <w:t>.</w:t>
      </w:r>
      <w:r>
        <w:tab/>
        <w:t>Approval for certain licence holders to deal in, repair or manufacture prohibited firearm accessory</w:t>
      </w:r>
      <w:bookmarkEnd w:id="103"/>
      <w:bookmarkEnd w:id="104"/>
    </w:p>
    <w:p>
      <w:pPr>
        <w:pStyle w:val="Subsection"/>
      </w:pPr>
      <w:r>
        <w:tab/>
        <w:t>(1)</w:t>
      </w:r>
      <w:r>
        <w:tab/>
        <w:t>The Commissioner may grant the holder of a Dealer’s Licence approval to deal in a prohibited firearm accessory.</w:t>
      </w:r>
    </w:p>
    <w:p>
      <w:pPr>
        <w:pStyle w:val="Subsection"/>
      </w:pPr>
      <w:r>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105" w:name="_Toc192578450"/>
      <w:bookmarkStart w:id="106" w:name="_Toc185495414"/>
      <w:r>
        <w:rPr>
          <w:rStyle w:val="CharSectno"/>
        </w:rPr>
        <w:t>16J</w:t>
      </w:r>
      <w:r>
        <w:t>.</w:t>
      </w:r>
      <w:r>
        <w:tab/>
        <w:t>Approval for certain licence holders and other persons to create, develop and be in possession of firearms technology</w:t>
      </w:r>
      <w:bookmarkEnd w:id="105"/>
      <w:bookmarkEnd w:id="106"/>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107" w:name="_Toc192578451"/>
      <w:bookmarkStart w:id="108" w:name="_Toc185495415"/>
      <w:r>
        <w:rPr>
          <w:rStyle w:val="CharSectno"/>
        </w:rPr>
        <w:t>16K</w:t>
      </w:r>
      <w:r>
        <w:t>.</w:t>
      </w:r>
      <w:r>
        <w:tab/>
        <w:t>Shooting Gallery Licence</w:t>
      </w:r>
      <w:bookmarkEnd w:id="107"/>
      <w:bookmarkEnd w:id="108"/>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109" w:name="_Toc192578452"/>
      <w:bookmarkStart w:id="110" w:name="_Toc185495416"/>
      <w:r>
        <w:rPr>
          <w:rStyle w:val="CharSectno"/>
        </w:rPr>
        <w:t>16L</w:t>
      </w:r>
      <w:r>
        <w:t>.</w:t>
      </w:r>
      <w:r>
        <w:tab/>
        <w:t>Ammunition Collector’s Licence</w:t>
      </w:r>
      <w:bookmarkEnd w:id="109"/>
      <w:bookmarkEnd w:id="110"/>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11" w:name="_Toc192514264"/>
      <w:bookmarkStart w:id="112" w:name="_Toc192515071"/>
      <w:bookmarkStart w:id="113" w:name="_Toc192578453"/>
      <w:bookmarkStart w:id="114" w:name="_Toc185430089"/>
      <w:bookmarkStart w:id="115" w:name="_Toc185430228"/>
      <w:bookmarkStart w:id="116" w:name="_Toc185495149"/>
      <w:bookmarkStart w:id="117" w:name="_Toc185495417"/>
      <w:r>
        <w:rPr>
          <w:rStyle w:val="CharDivNo"/>
        </w:rPr>
        <w:t>Division 5</w:t>
      </w:r>
      <w:r>
        <w:t> — </w:t>
      </w:r>
      <w:r>
        <w:rPr>
          <w:rStyle w:val="CharDivText"/>
        </w:rPr>
        <w:t>Categories of permits and other approvals</w:t>
      </w:r>
      <w:bookmarkEnd w:id="111"/>
      <w:bookmarkEnd w:id="112"/>
      <w:bookmarkEnd w:id="113"/>
      <w:bookmarkEnd w:id="114"/>
      <w:bookmarkEnd w:id="115"/>
      <w:bookmarkEnd w:id="116"/>
      <w:bookmarkEnd w:id="117"/>
    </w:p>
    <w:p>
      <w:pPr>
        <w:pStyle w:val="Footnoteheading"/>
        <w:keepNext/>
      </w:pPr>
      <w:r>
        <w:tab/>
        <w:t>[Heading inserted: No. 13 of 2022 s. 23.]</w:t>
      </w:r>
    </w:p>
    <w:p>
      <w:pPr>
        <w:pStyle w:val="Heading5"/>
        <w:rPr>
          <w:snapToGrid w:val="0"/>
        </w:rPr>
      </w:pPr>
      <w:bookmarkStart w:id="118" w:name="_Toc192578454"/>
      <w:bookmarkStart w:id="119" w:name="_Toc185495418"/>
      <w:r>
        <w:rPr>
          <w:rStyle w:val="CharSectno"/>
        </w:rPr>
        <w:t>17</w:t>
      </w:r>
      <w:r>
        <w:rPr>
          <w:snapToGrid w:val="0"/>
        </w:rPr>
        <w:t>.</w:t>
      </w:r>
      <w:r>
        <w:rPr>
          <w:snapToGrid w:val="0"/>
        </w:rPr>
        <w:tab/>
        <w:t>Temporary permits</w:t>
      </w:r>
      <w:bookmarkEnd w:id="118"/>
      <w:bookmarkEnd w:id="119"/>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20" w:name="_Toc192578455"/>
      <w:bookmarkStart w:id="121" w:name="_Toc185495419"/>
      <w:r>
        <w:rPr>
          <w:rStyle w:val="CharSectno"/>
        </w:rPr>
        <w:t>17A</w:t>
      </w:r>
      <w:r>
        <w:rPr>
          <w:snapToGrid w:val="0"/>
        </w:rPr>
        <w:t>.</w:t>
      </w:r>
      <w:r>
        <w:rPr>
          <w:snapToGrid w:val="0"/>
        </w:rPr>
        <w:tab/>
        <w:t>Interstate group permits</w:t>
      </w:r>
      <w:bookmarkEnd w:id="120"/>
      <w:bookmarkEnd w:id="121"/>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22" w:name="_Toc192578456"/>
      <w:bookmarkStart w:id="123" w:name="_Toc185495420"/>
      <w:r>
        <w:rPr>
          <w:rStyle w:val="CharSectno"/>
        </w:rPr>
        <w:t>17B</w:t>
      </w:r>
      <w:r>
        <w:rPr>
          <w:snapToGrid w:val="0"/>
        </w:rPr>
        <w:t>.</w:t>
      </w:r>
      <w:r>
        <w:rPr>
          <w:snapToGrid w:val="0"/>
        </w:rPr>
        <w:tab/>
        <w:t>Minister may authorise agriculture inspector to possess, carry and use sound suppressors</w:t>
      </w:r>
      <w:bookmarkEnd w:id="122"/>
      <w:bookmarkEnd w:id="123"/>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24" w:name="_Toc192514268"/>
      <w:bookmarkStart w:id="125" w:name="_Toc192515075"/>
      <w:bookmarkStart w:id="126" w:name="_Toc192578457"/>
      <w:bookmarkStart w:id="127" w:name="_Toc185430093"/>
      <w:bookmarkStart w:id="128" w:name="_Toc185430232"/>
      <w:bookmarkStart w:id="129" w:name="_Toc185495153"/>
      <w:bookmarkStart w:id="130" w:name="_Toc185495421"/>
      <w:r>
        <w:rPr>
          <w:rStyle w:val="CharDivNo"/>
        </w:rPr>
        <w:t>Division 6</w:t>
      </w:r>
      <w:r>
        <w:t> — </w:t>
      </w:r>
      <w:r>
        <w:rPr>
          <w:rStyle w:val="CharDivText"/>
        </w:rPr>
        <w:t>Licensing procedure</w:t>
      </w:r>
      <w:bookmarkEnd w:id="124"/>
      <w:bookmarkEnd w:id="125"/>
      <w:bookmarkEnd w:id="126"/>
      <w:bookmarkEnd w:id="127"/>
      <w:bookmarkEnd w:id="128"/>
      <w:bookmarkEnd w:id="129"/>
      <w:bookmarkEnd w:id="130"/>
    </w:p>
    <w:p>
      <w:pPr>
        <w:pStyle w:val="Footnoteheading"/>
        <w:keepNext/>
      </w:pPr>
      <w:r>
        <w:tab/>
        <w:t>[Heading inserted: No. 13 of 2022 s. 26.]</w:t>
      </w:r>
    </w:p>
    <w:p>
      <w:pPr>
        <w:pStyle w:val="Heading5"/>
        <w:spacing w:before="240"/>
        <w:rPr>
          <w:snapToGrid w:val="0"/>
        </w:rPr>
      </w:pPr>
      <w:bookmarkStart w:id="131" w:name="_Toc192578458"/>
      <w:bookmarkStart w:id="132" w:name="_Toc185495422"/>
      <w:r>
        <w:rPr>
          <w:rStyle w:val="CharSectno"/>
        </w:rPr>
        <w:t>18</w:t>
      </w:r>
      <w:r>
        <w:rPr>
          <w:snapToGrid w:val="0"/>
        </w:rPr>
        <w:t>.</w:t>
      </w:r>
      <w:r>
        <w:rPr>
          <w:snapToGrid w:val="0"/>
        </w:rPr>
        <w:tab/>
        <w:t>Licensing procedure</w:t>
      </w:r>
      <w:bookmarkEnd w:id="131"/>
      <w:bookmarkEnd w:id="132"/>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33" w:name="_Toc192514270"/>
      <w:bookmarkStart w:id="134" w:name="_Toc192515077"/>
      <w:bookmarkStart w:id="135" w:name="_Toc192578459"/>
      <w:bookmarkStart w:id="136" w:name="_Toc185430095"/>
      <w:bookmarkStart w:id="137" w:name="_Toc185430234"/>
      <w:bookmarkStart w:id="138" w:name="_Toc185495155"/>
      <w:bookmarkStart w:id="139" w:name="_Toc185495423"/>
      <w:r>
        <w:rPr>
          <w:rStyle w:val="CharDivNo"/>
        </w:rPr>
        <w:t>Division 7</w:t>
      </w:r>
      <w:r>
        <w:t> — </w:t>
      </w:r>
      <w:r>
        <w:rPr>
          <w:rStyle w:val="CharDivText"/>
        </w:rPr>
        <w:t>Offences in relation to licences, permits and approvals</w:t>
      </w:r>
      <w:bookmarkEnd w:id="133"/>
      <w:bookmarkEnd w:id="134"/>
      <w:bookmarkEnd w:id="135"/>
      <w:bookmarkEnd w:id="136"/>
      <w:bookmarkEnd w:id="137"/>
      <w:bookmarkEnd w:id="138"/>
      <w:bookmarkEnd w:id="139"/>
    </w:p>
    <w:p>
      <w:pPr>
        <w:pStyle w:val="Footnoteheading"/>
        <w:keepNext/>
      </w:pPr>
      <w:r>
        <w:tab/>
        <w:t>[Heading inserted: No. 13 of 2022 s. 28.]</w:t>
      </w:r>
    </w:p>
    <w:p>
      <w:pPr>
        <w:pStyle w:val="Heading5"/>
        <w:rPr>
          <w:snapToGrid w:val="0"/>
        </w:rPr>
      </w:pPr>
      <w:bookmarkStart w:id="140" w:name="_Toc192578460"/>
      <w:bookmarkStart w:id="141" w:name="_Toc185495424"/>
      <w:r>
        <w:rPr>
          <w:rStyle w:val="CharSectno"/>
        </w:rPr>
        <w:t>19</w:t>
      </w:r>
      <w:r>
        <w:rPr>
          <w:snapToGrid w:val="0"/>
        </w:rPr>
        <w:t>.</w:t>
      </w:r>
      <w:r>
        <w:rPr>
          <w:snapToGrid w:val="0"/>
        </w:rPr>
        <w:tab/>
        <w:t>Licensing offences</w:t>
      </w:r>
      <w:bookmarkEnd w:id="140"/>
      <w:bookmarkEnd w:id="14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42" w:name="_Toc192578461"/>
      <w:bookmarkStart w:id="143" w:name="_Toc185495425"/>
      <w:r>
        <w:rPr>
          <w:rStyle w:val="CharSectno"/>
        </w:rPr>
        <w:t>19AA</w:t>
      </w:r>
      <w:r>
        <w:t>.</w:t>
      </w:r>
      <w:r>
        <w:tab/>
        <w:t>Certain offences of lesser severity</w:t>
      </w:r>
      <w:bookmarkEnd w:id="142"/>
      <w:bookmarkEnd w:id="143"/>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44" w:name="_Toc192578462"/>
      <w:bookmarkStart w:id="145" w:name="_Toc185495426"/>
      <w:r>
        <w:rPr>
          <w:rStyle w:val="CharSectno"/>
        </w:rPr>
        <w:t>19A</w:t>
      </w:r>
      <w:r>
        <w:rPr>
          <w:snapToGrid w:val="0"/>
        </w:rPr>
        <w:t>.</w:t>
      </w:r>
      <w:r>
        <w:rPr>
          <w:snapToGrid w:val="0"/>
        </w:rPr>
        <w:tab/>
        <w:t>Infringement notice</w:t>
      </w:r>
      <w:bookmarkEnd w:id="144"/>
      <w:bookmarkEnd w:id="145"/>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46" w:name="_Toc192514274"/>
      <w:bookmarkStart w:id="147" w:name="_Toc192515081"/>
      <w:bookmarkStart w:id="148" w:name="_Toc192578463"/>
      <w:bookmarkStart w:id="149" w:name="_Toc185430099"/>
      <w:bookmarkStart w:id="150" w:name="_Toc185430238"/>
      <w:bookmarkStart w:id="151" w:name="_Toc185495159"/>
      <w:bookmarkStart w:id="152" w:name="_Toc185495427"/>
      <w:r>
        <w:rPr>
          <w:rStyle w:val="CharDivNo"/>
        </w:rPr>
        <w:t>Division 8</w:t>
      </w:r>
      <w:r>
        <w:t> — </w:t>
      </w:r>
      <w:r>
        <w:rPr>
          <w:rStyle w:val="CharDivText"/>
        </w:rPr>
        <w:t>Revocation, cancellation and other matters</w:t>
      </w:r>
      <w:bookmarkEnd w:id="146"/>
      <w:bookmarkEnd w:id="147"/>
      <w:bookmarkEnd w:id="148"/>
      <w:bookmarkEnd w:id="149"/>
      <w:bookmarkEnd w:id="150"/>
      <w:bookmarkEnd w:id="151"/>
      <w:bookmarkEnd w:id="152"/>
    </w:p>
    <w:p>
      <w:pPr>
        <w:pStyle w:val="Footnoteheading"/>
        <w:keepNext/>
      </w:pPr>
      <w:r>
        <w:tab/>
        <w:t>[Heading inserted: No. 13 of 2022 s. 31.]</w:t>
      </w:r>
    </w:p>
    <w:p>
      <w:pPr>
        <w:pStyle w:val="Heading5"/>
        <w:rPr>
          <w:snapToGrid w:val="0"/>
        </w:rPr>
      </w:pPr>
      <w:bookmarkStart w:id="153" w:name="_Toc192578464"/>
      <w:bookmarkStart w:id="154" w:name="_Toc185495428"/>
      <w:r>
        <w:rPr>
          <w:rStyle w:val="CharSectno"/>
        </w:rPr>
        <w:t>20</w:t>
      </w:r>
      <w:r>
        <w:rPr>
          <w:snapToGrid w:val="0"/>
        </w:rPr>
        <w:t>.</w:t>
      </w:r>
      <w:r>
        <w:rPr>
          <w:snapToGrid w:val="0"/>
        </w:rPr>
        <w:tab/>
        <w:t>Revocation, cancellation, refusal to renew and variation</w:t>
      </w:r>
      <w:bookmarkEnd w:id="153"/>
      <w:bookmarkEnd w:id="154"/>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155" w:name="_Toc192578465"/>
      <w:bookmarkStart w:id="156" w:name="_Toc185495429"/>
      <w:r>
        <w:rPr>
          <w:rStyle w:val="CharSectno"/>
        </w:rPr>
        <w:t>21</w:t>
      </w:r>
      <w:r>
        <w:rPr>
          <w:snapToGrid w:val="0"/>
        </w:rPr>
        <w:t>.</w:t>
      </w:r>
      <w:r>
        <w:rPr>
          <w:snapToGrid w:val="0"/>
        </w:rPr>
        <w:tab/>
        <w:t>Restrictions, limitations and conditions</w:t>
      </w:r>
      <w:bookmarkEnd w:id="155"/>
      <w:bookmarkEnd w:id="156"/>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157" w:name="_Toc192514277"/>
      <w:bookmarkStart w:id="158" w:name="_Toc192515084"/>
      <w:bookmarkStart w:id="159" w:name="_Toc192578466"/>
      <w:bookmarkStart w:id="160" w:name="_Toc185430102"/>
      <w:bookmarkStart w:id="161" w:name="_Toc185430241"/>
      <w:bookmarkStart w:id="162" w:name="_Toc185495162"/>
      <w:bookmarkStart w:id="163" w:name="_Toc185495430"/>
      <w:r>
        <w:rPr>
          <w:rStyle w:val="CharDivNo"/>
        </w:rPr>
        <w:t>Division 9</w:t>
      </w:r>
      <w:r>
        <w:t> — </w:t>
      </w:r>
      <w:r>
        <w:rPr>
          <w:rStyle w:val="CharDivText"/>
        </w:rPr>
        <w:t>Conduct of business</w:t>
      </w:r>
      <w:bookmarkEnd w:id="157"/>
      <w:bookmarkEnd w:id="158"/>
      <w:bookmarkEnd w:id="159"/>
      <w:bookmarkEnd w:id="160"/>
      <w:bookmarkEnd w:id="161"/>
      <w:bookmarkEnd w:id="162"/>
      <w:bookmarkEnd w:id="163"/>
    </w:p>
    <w:p>
      <w:pPr>
        <w:pStyle w:val="Footnoteheading"/>
        <w:keepNext/>
      </w:pPr>
      <w:r>
        <w:tab/>
        <w:t>[Heading inserted: No. 13 of 2022 s. 33.]</w:t>
      </w:r>
    </w:p>
    <w:p>
      <w:pPr>
        <w:pStyle w:val="Heading5"/>
        <w:spacing w:before="180"/>
        <w:rPr>
          <w:snapToGrid w:val="0"/>
        </w:rPr>
      </w:pPr>
      <w:bookmarkStart w:id="164" w:name="_Toc192578467"/>
      <w:bookmarkStart w:id="165" w:name="_Toc185495431"/>
      <w:r>
        <w:rPr>
          <w:rStyle w:val="CharSectno"/>
        </w:rPr>
        <w:t>21A</w:t>
      </w:r>
      <w:r>
        <w:rPr>
          <w:snapToGrid w:val="0"/>
        </w:rPr>
        <w:t>.</w:t>
      </w:r>
      <w:r>
        <w:rPr>
          <w:snapToGrid w:val="0"/>
        </w:rPr>
        <w:tab/>
        <w:t>Supervision and management</w:t>
      </w:r>
      <w:bookmarkEnd w:id="164"/>
      <w:bookmarkEnd w:id="165"/>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66" w:name="_Toc192578468"/>
      <w:bookmarkStart w:id="167" w:name="_Toc185495432"/>
      <w:r>
        <w:rPr>
          <w:rStyle w:val="CharSectno"/>
        </w:rPr>
        <w:t>21B</w:t>
      </w:r>
      <w:r>
        <w:rPr>
          <w:snapToGrid w:val="0"/>
        </w:rPr>
        <w:t>.</w:t>
      </w:r>
      <w:r>
        <w:rPr>
          <w:snapToGrid w:val="0"/>
        </w:rPr>
        <w:tab/>
      </w:r>
      <w:r>
        <w:t>Liability for certain offences</w:t>
      </w:r>
      <w:bookmarkEnd w:id="166"/>
      <w:bookmarkEnd w:id="167"/>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168" w:name="_Toc192578469"/>
      <w:bookmarkStart w:id="169" w:name="_Toc185495433"/>
      <w:r>
        <w:rPr>
          <w:rStyle w:val="CharSectno"/>
        </w:rPr>
        <w:t>21C</w:t>
      </w:r>
      <w:r>
        <w:t>.</w:t>
      </w:r>
      <w:r>
        <w:tab/>
        <w:t>Liability of officers for offence by body corporate</w:t>
      </w:r>
      <w:bookmarkEnd w:id="168"/>
      <w:bookmarkEnd w:id="169"/>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170" w:name="_Toc192514281"/>
      <w:bookmarkStart w:id="171" w:name="_Toc192515088"/>
      <w:bookmarkStart w:id="172" w:name="_Toc192578470"/>
      <w:bookmarkStart w:id="173" w:name="_Toc185430106"/>
      <w:bookmarkStart w:id="174" w:name="_Toc185430245"/>
      <w:bookmarkStart w:id="175" w:name="_Toc185495166"/>
      <w:bookmarkStart w:id="176" w:name="_Toc185495434"/>
      <w:r>
        <w:rPr>
          <w:rStyle w:val="CharPartNo"/>
        </w:rPr>
        <w:t>Part 3</w:t>
      </w:r>
      <w:r>
        <w:rPr>
          <w:rStyle w:val="CharDivNo"/>
        </w:rPr>
        <w:t> </w:t>
      </w:r>
      <w:r>
        <w:t>—</w:t>
      </w:r>
      <w:r>
        <w:rPr>
          <w:rStyle w:val="CharDivText"/>
        </w:rPr>
        <w:t xml:space="preserve"> </w:t>
      </w:r>
      <w:r>
        <w:rPr>
          <w:rStyle w:val="CharPartText"/>
        </w:rPr>
        <w:t>Review of decisions</w:t>
      </w:r>
      <w:bookmarkEnd w:id="170"/>
      <w:bookmarkEnd w:id="171"/>
      <w:bookmarkEnd w:id="172"/>
      <w:bookmarkEnd w:id="173"/>
      <w:bookmarkEnd w:id="174"/>
      <w:bookmarkEnd w:id="175"/>
      <w:bookmarkEnd w:id="176"/>
    </w:p>
    <w:p>
      <w:pPr>
        <w:pStyle w:val="Footnoteheading"/>
        <w:keepNext/>
      </w:pPr>
      <w:r>
        <w:tab/>
        <w:t>[Heading inserted: No. 13 of 2022 s. 34.]</w:t>
      </w:r>
    </w:p>
    <w:p>
      <w:pPr>
        <w:pStyle w:val="Heading5"/>
        <w:keepNext w:val="0"/>
        <w:keepLines w:val="0"/>
        <w:rPr>
          <w:snapToGrid w:val="0"/>
        </w:rPr>
      </w:pPr>
      <w:bookmarkStart w:id="177" w:name="_Toc192578471"/>
      <w:bookmarkStart w:id="178" w:name="_Toc185495435"/>
      <w:r>
        <w:rPr>
          <w:rStyle w:val="CharSectno"/>
        </w:rPr>
        <w:t>22</w:t>
      </w:r>
      <w:r>
        <w:rPr>
          <w:snapToGrid w:val="0"/>
        </w:rPr>
        <w:t>.</w:t>
      </w:r>
      <w:r>
        <w:rPr>
          <w:snapToGrid w:val="0"/>
        </w:rPr>
        <w:tab/>
      </w:r>
      <w:r>
        <w:t>Reviews by State Administrative Tribunal</w:t>
      </w:r>
      <w:bookmarkEnd w:id="177"/>
      <w:bookmarkEnd w:id="178"/>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179" w:name="_Toc192578472"/>
      <w:bookmarkStart w:id="180" w:name="_Toc185495436"/>
      <w:r>
        <w:rPr>
          <w:rStyle w:val="CharSectno"/>
        </w:rPr>
        <w:t>22AA</w:t>
      </w:r>
      <w:r>
        <w:t>.</w:t>
      </w:r>
      <w:r>
        <w:tab/>
        <w:t xml:space="preserve">Appeals and references to Supreme Court under </w:t>
      </w:r>
      <w:r>
        <w:rPr>
          <w:i/>
        </w:rPr>
        <w:t>State Administrative Tribunal Act 2004</w:t>
      </w:r>
      <w:bookmarkEnd w:id="179"/>
      <w:bookmarkEnd w:id="180"/>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181" w:name="_Toc192514284"/>
      <w:bookmarkStart w:id="182" w:name="_Toc192515091"/>
      <w:bookmarkStart w:id="183" w:name="_Toc192578473"/>
      <w:bookmarkStart w:id="184" w:name="_Toc185430109"/>
      <w:bookmarkStart w:id="185" w:name="_Toc185430248"/>
      <w:bookmarkStart w:id="186" w:name="_Toc185495169"/>
      <w:bookmarkStart w:id="187" w:name="_Toc185495437"/>
      <w:r>
        <w:rPr>
          <w:rStyle w:val="CharPartNo"/>
        </w:rPr>
        <w:t>Part 4</w:t>
      </w:r>
      <w:r>
        <w:t> — </w:t>
      </w:r>
      <w:r>
        <w:rPr>
          <w:rStyle w:val="CharPartText"/>
        </w:rPr>
        <w:t>Extracts of Licences</w:t>
      </w:r>
      <w:bookmarkEnd w:id="181"/>
      <w:bookmarkEnd w:id="182"/>
      <w:bookmarkEnd w:id="183"/>
      <w:bookmarkEnd w:id="184"/>
      <w:bookmarkEnd w:id="185"/>
      <w:bookmarkEnd w:id="186"/>
      <w:bookmarkEnd w:id="187"/>
    </w:p>
    <w:p>
      <w:pPr>
        <w:pStyle w:val="Footnoteheading"/>
        <w:keepNext/>
      </w:pPr>
      <w:r>
        <w:tab/>
        <w:t>[Heading inserted: No. 13 of 2022 s. 37.]</w:t>
      </w:r>
    </w:p>
    <w:p>
      <w:pPr>
        <w:pStyle w:val="Heading5"/>
        <w:rPr>
          <w:snapToGrid w:val="0"/>
        </w:rPr>
      </w:pPr>
      <w:bookmarkStart w:id="188" w:name="_Toc192578474"/>
      <w:bookmarkStart w:id="189" w:name="_Toc185495438"/>
      <w:r>
        <w:rPr>
          <w:rStyle w:val="CharSectno"/>
        </w:rPr>
        <w:t>22A</w:t>
      </w:r>
      <w:r>
        <w:rPr>
          <w:snapToGrid w:val="0"/>
        </w:rPr>
        <w:t>.</w:t>
      </w:r>
      <w:r>
        <w:rPr>
          <w:snapToGrid w:val="0"/>
        </w:rPr>
        <w:tab/>
        <w:t>Firearms Act Extract of Licence</w:t>
      </w:r>
      <w:bookmarkEnd w:id="188"/>
      <w:bookmarkEnd w:id="189"/>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keepNext/>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190" w:name="_Toc192578475"/>
      <w:bookmarkStart w:id="191" w:name="_Toc185495439"/>
      <w:r>
        <w:rPr>
          <w:rStyle w:val="CharSectno"/>
        </w:rPr>
        <w:t>22B</w:t>
      </w:r>
      <w:r>
        <w:rPr>
          <w:snapToGrid w:val="0"/>
        </w:rPr>
        <w:t>.</w:t>
      </w:r>
      <w:r>
        <w:rPr>
          <w:snapToGrid w:val="0"/>
        </w:rPr>
        <w:tab/>
        <w:t>Return of Extract of Licence</w:t>
      </w:r>
      <w:bookmarkEnd w:id="190"/>
      <w:bookmarkEnd w:id="191"/>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192" w:name="_Toc192578476"/>
      <w:bookmarkStart w:id="193" w:name="_Toc185495440"/>
      <w:r>
        <w:rPr>
          <w:rStyle w:val="CharSectno"/>
        </w:rPr>
        <w:t>22C</w:t>
      </w:r>
      <w:r>
        <w:rPr>
          <w:snapToGrid w:val="0"/>
        </w:rPr>
        <w:t>.</w:t>
      </w:r>
      <w:r>
        <w:rPr>
          <w:snapToGrid w:val="0"/>
        </w:rPr>
        <w:tab/>
        <w:t>Offences relating to Extract of Licence, licences, permits, approvals or authorisations</w:t>
      </w:r>
      <w:bookmarkEnd w:id="192"/>
      <w:bookmarkEnd w:id="193"/>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194" w:name="_Toc192514288"/>
      <w:bookmarkStart w:id="195" w:name="_Toc192515095"/>
      <w:bookmarkStart w:id="196" w:name="_Toc192578477"/>
      <w:bookmarkStart w:id="197" w:name="_Toc185430113"/>
      <w:bookmarkStart w:id="198" w:name="_Toc185430252"/>
      <w:bookmarkStart w:id="199" w:name="_Toc185495173"/>
      <w:bookmarkStart w:id="200" w:name="_Toc185495441"/>
      <w:r>
        <w:rPr>
          <w:rStyle w:val="CharPartNo"/>
        </w:rPr>
        <w:t>Part 5</w:t>
      </w:r>
      <w:r>
        <w:t> — </w:t>
      </w:r>
      <w:r>
        <w:rPr>
          <w:rStyle w:val="CharPartText"/>
        </w:rPr>
        <w:t>Offences</w:t>
      </w:r>
      <w:bookmarkEnd w:id="194"/>
      <w:bookmarkEnd w:id="195"/>
      <w:bookmarkEnd w:id="196"/>
      <w:bookmarkEnd w:id="197"/>
      <w:bookmarkEnd w:id="198"/>
      <w:bookmarkEnd w:id="199"/>
      <w:bookmarkEnd w:id="200"/>
    </w:p>
    <w:p>
      <w:pPr>
        <w:pStyle w:val="Footnoteheading"/>
        <w:keepNext/>
      </w:pPr>
      <w:r>
        <w:tab/>
        <w:t>[Heading inserted: No. 13 of 2022 s. 41.]</w:t>
      </w:r>
    </w:p>
    <w:p>
      <w:pPr>
        <w:pStyle w:val="Heading3"/>
      </w:pPr>
      <w:bookmarkStart w:id="201" w:name="_Toc192514289"/>
      <w:bookmarkStart w:id="202" w:name="_Toc192515096"/>
      <w:bookmarkStart w:id="203" w:name="_Toc192578478"/>
      <w:bookmarkStart w:id="204" w:name="_Toc185430114"/>
      <w:bookmarkStart w:id="205" w:name="_Toc185430253"/>
      <w:bookmarkStart w:id="206" w:name="_Toc185495174"/>
      <w:bookmarkStart w:id="207" w:name="_Toc185495442"/>
      <w:r>
        <w:rPr>
          <w:rStyle w:val="CharDivNo"/>
        </w:rPr>
        <w:t>Division 1</w:t>
      </w:r>
      <w:r>
        <w:t> — </w:t>
      </w:r>
      <w:r>
        <w:rPr>
          <w:rStyle w:val="CharDivText"/>
        </w:rPr>
        <w:t>General offences</w:t>
      </w:r>
      <w:bookmarkEnd w:id="201"/>
      <w:bookmarkEnd w:id="202"/>
      <w:bookmarkEnd w:id="203"/>
      <w:bookmarkEnd w:id="204"/>
      <w:bookmarkEnd w:id="205"/>
      <w:bookmarkEnd w:id="206"/>
      <w:bookmarkEnd w:id="207"/>
    </w:p>
    <w:p>
      <w:pPr>
        <w:pStyle w:val="Footnoteheading"/>
        <w:keepNext/>
      </w:pPr>
      <w:r>
        <w:tab/>
        <w:t>[Heading inserted: No. 13 of 2022 s. 41.]</w:t>
      </w:r>
    </w:p>
    <w:p>
      <w:pPr>
        <w:pStyle w:val="Heading5"/>
        <w:spacing w:before="180"/>
        <w:rPr>
          <w:snapToGrid w:val="0"/>
        </w:rPr>
      </w:pPr>
      <w:bookmarkStart w:id="208" w:name="_Toc192578479"/>
      <w:bookmarkStart w:id="209" w:name="_Toc185495443"/>
      <w:r>
        <w:rPr>
          <w:rStyle w:val="CharSectno"/>
        </w:rPr>
        <w:t>23</w:t>
      </w:r>
      <w:r>
        <w:rPr>
          <w:snapToGrid w:val="0"/>
        </w:rPr>
        <w:t>.</w:t>
      </w:r>
      <w:r>
        <w:rPr>
          <w:snapToGrid w:val="0"/>
        </w:rPr>
        <w:tab/>
        <w:t>General offences</w:t>
      </w:r>
      <w:bookmarkEnd w:id="208"/>
      <w:bookmarkEnd w:id="209"/>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210" w:name="_Toc192514291"/>
      <w:bookmarkStart w:id="211" w:name="_Toc192515098"/>
      <w:bookmarkStart w:id="212" w:name="_Toc192578480"/>
      <w:bookmarkStart w:id="213" w:name="_Toc185430116"/>
      <w:bookmarkStart w:id="214" w:name="_Toc185430255"/>
      <w:bookmarkStart w:id="215" w:name="_Toc185495176"/>
      <w:bookmarkStart w:id="216" w:name="_Toc185495444"/>
      <w:r>
        <w:rPr>
          <w:rStyle w:val="CharDivNo"/>
        </w:rPr>
        <w:t>Division 2</w:t>
      </w:r>
      <w:r>
        <w:t> — </w:t>
      </w:r>
      <w:r>
        <w:rPr>
          <w:rStyle w:val="CharDivText"/>
        </w:rPr>
        <w:t>Offences relating to prohibited firearm accessories</w:t>
      </w:r>
      <w:bookmarkEnd w:id="210"/>
      <w:bookmarkEnd w:id="211"/>
      <w:bookmarkEnd w:id="212"/>
      <w:bookmarkEnd w:id="213"/>
      <w:bookmarkEnd w:id="214"/>
      <w:bookmarkEnd w:id="215"/>
      <w:bookmarkEnd w:id="216"/>
    </w:p>
    <w:p>
      <w:pPr>
        <w:pStyle w:val="Footnoteheading"/>
        <w:keepNext/>
      </w:pPr>
      <w:r>
        <w:tab/>
        <w:t>[Heading inserted: No. 13 of 2022 s. 43.]</w:t>
      </w:r>
    </w:p>
    <w:p>
      <w:pPr>
        <w:pStyle w:val="Heading5"/>
      </w:pPr>
      <w:bookmarkStart w:id="217" w:name="_Toc192578481"/>
      <w:bookmarkStart w:id="218" w:name="_Toc185495445"/>
      <w:r>
        <w:rPr>
          <w:rStyle w:val="CharSectno"/>
        </w:rPr>
        <w:t>23AA</w:t>
      </w:r>
      <w:r>
        <w:t>.</w:t>
      </w:r>
      <w:r>
        <w:tab/>
        <w:t>Acquisition, sale, possession or use of prohibited firearm accessories</w:t>
      </w:r>
      <w:bookmarkEnd w:id="217"/>
      <w:bookmarkEnd w:id="218"/>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219" w:name="_Toc192578482"/>
      <w:bookmarkStart w:id="220" w:name="_Toc185495446"/>
      <w:r>
        <w:rPr>
          <w:rStyle w:val="CharSectno"/>
        </w:rPr>
        <w:t>23AB</w:t>
      </w:r>
      <w:r>
        <w:t>.</w:t>
      </w:r>
      <w:r>
        <w:tab/>
        <w:t>Approval to acquire, sell, possess or use prohibited firearm accessories</w:t>
      </w:r>
      <w:bookmarkEnd w:id="219"/>
      <w:bookmarkEnd w:id="220"/>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221" w:name="_Toc192514294"/>
      <w:bookmarkStart w:id="222" w:name="_Toc192515101"/>
      <w:bookmarkStart w:id="223" w:name="_Toc192578483"/>
      <w:bookmarkStart w:id="224" w:name="_Toc185430119"/>
      <w:bookmarkStart w:id="225" w:name="_Toc185430258"/>
      <w:bookmarkStart w:id="226" w:name="_Toc185495179"/>
      <w:bookmarkStart w:id="227" w:name="_Toc185495447"/>
      <w:r>
        <w:rPr>
          <w:rStyle w:val="CharDivNo"/>
        </w:rPr>
        <w:t>Division 3</w:t>
      </w:r>
      <w:r>
        <w:t> — </w:t>
      </w:r>
      <w:r>
        <w:rPr>
          <w:rStyle w:val="CharDivText"/>
        </w:rPr>
        <w:t>Offences relating to manufacture, repair and dealing in firearms and other things</w:t>
      </w:r>
      <w:bookmarkEnd w:id="221"/>
      <w:bookmarkEnd w:id="222"/>
      <w:bookmarkEnd w:id="223"/>
      <w:bookmarkEnd w:id="224"/>
      <w:bookmarkEnd w:id="225"/>
      <w:bookmarkEnd w:id="226"/>
      <w:bookmarkEnd w:id="227"/>
    </w:p>
    <w:p>
      <w:pPr>
        <w:pStyle w:val="Footnoteheading"/>
        <w:keepNext/>
      </w:pPr>
      <w:r>
        <w:tab/>
        <w:t>[Heading inserted: No. 13 of 2022 s. 43.]</w:t>
      </w:r>
    </w:p>
    <w:p>
      <w:pPr>
        <w:pStyle w:val="Heading5"/>
      </w:pPr>
      <w:bookmarkStart w:id="228" w:name="_Toc192578484"/>
      <w:bookmarkStart w:id="229" w:name="_Toc185495448"/>
      <w:r>
        <w:rPr>
          <w:rStyle w:val="CharSectno"/>
        </w:rPr>
        <w:t>23AC</w:t>
      </w:r>
      <w:r>
        <w:t>.</w:t>
      </w:r>
      <w:r>
        <w:tab/>
        <w:t>Unauthorised manufacture of firearms and other things</w:t>
      </w:r>
      <w:bookmarkEnd w:id="228"/>
      <w:bookmarkEnd w:id="229"/>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230" w:name="_Toc192578485"/>
      <w:bookmarkStart w:id="231" w:name="_Toc185495449"/>
      <w:r>
        <w:rPr>
          <w:rStyle w:val="CharSectno"/>
        </w:rPr>
        <w:t>23AD</w:t>
      </w:r>
      <w:r>
        <w:t>.</w:t>
      </w:r>
      <w:r>
        <w:tab/>
        <w:t>Unauthorised repair of firearms and other things</w:t>
      </w:r>
      <w:bookmarkEnd w:id="230"/>
      <w:bookmarkEnd w:id="231"/>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232" w:name="_Toc192578486"/>
      <w:bookmarkStart w:id="233" w:name="_Toc185495450"/>
      <w:r>
        <w:rPr>
          <w:rStyle w:val="CharSectno"/>
        </w:rPr>
        <w:t>23AE</w:t>
      </w:r>
      <w:r>
        <w:t>.</w:t>
      </w:r>
      <w:r>
        <w:tab/>
        <w:t>Unauthorised dealing in firearms and other things</w:t>
      </w:r>
      <w:bookmarkEnd w:id="232"/>
      <w:bookmarkEnd w:id="233"/>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234" w:name="_Toc192578487"/>
      <w:bookmarkStart w:id="235" w:name="_Toc185495451"/>
      <w:r>
        <w:rPr>
          <w:rStyle w:val="CharSectno"/>
        </w:rPr>
        <w:t>23AF</w:t>
      </w:r>
      <w:r>
        <w:t>.</w:t>
      </w:r>
      <w:r>
        <w:tab/>
        <w:t>Participating in unauthorised manufacture, repair or dealing in firearms and other things</w:t>
      </w:r>
      <w:bookmarkEnd w:id="234"/>
      <w:bookmarkEnd w:id="235"/>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236" w:name="_Toc192514299"/>
      <w:bookmarkStart w:id="237" w:name="_Toc192515106"/>
      <w:bookmarkStart w:id="238" w:name="_Toc192578488"/>
      <w:bookmarkStart w:id="239" w:name="_Toc185430124"/>
      <w:bookmarkStart w:id="240" w:name="_Toc185430263"/>
      <w:bookmarkStart w:id="241" w:name="_Toc185495184"/>
      <w:bookmarkStart w:id="242" w:name="_Toc185495452"/>
      <w:r>
        <w:rPr>
          <w:rStyle w:val="CharDivNo"/>
        </w:rPr>
        <w:t>Division 4</w:t>
      </w:r>
      <w:r>
        <w:t> — </w:t>
      </w:r>
      <w:r>
        <w:rPr>
          <w:rStyle w:val="CharDivText"/>
        </w:rPr>
        <w:t>Offences relating to firearms technology</w:t>
      </w:r>
      <w:bookmarkEnd w:id="236"/>
      <w:bookmarkEnd w:id="237"/>
      <w:bookmarkEnd w:id="238"/>
      <w:bookmarkEnd w:id="239"/>
      <w:bookmarkEnd w:id="240"/>
      <w:bookmarkEnd w:id="241"/>
      <w:bookmarkEnd w:id="242"/>
    </w:p>
    <w:p>
      <w:pPr>
        <w:pStyle w:val="Footnoteheading"/>
        <w:keepNext/>
      </w:pPr>
      <w:r>
        <w:tab/>
        <w:t>[Heading inserted: No. 13 of 2022 s. 43.]</w:t>
      </w:r>
    </w:p>
    <w:p>
      <w:pPr>
        <w:pStyle w:val="Heading5"/>
      </w:pPr>
      <w:bookmarkStart w:id="243" w:name="_Toc192578489"/>
      <w:bookmarkStart w:id="244" w:name="_Toc185495453"/>
      <w:r>
        <w:rPr>
          <w:rStyle w:val="CharSectno"/>
        </w:rPr>
        <w:t>23AG</w:t>
      </w:r>
      <w:r>
        <w:t>.</w:t>
      </w:r>
      <w:r>
        <w:tab/>
        <w:t>Firearms technology</w:t>
      </w:r>
      <w:bookmarkEnd w:id="243"/>
      <w:bookmarkEnd w:id="244"/>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245" w:name="_Toc192578490"/>
      <w:bookmarkStart w:id="246" w:name="_Toc185495454"/>
      <w:r>
        <w:rPr>
          <w:rStyle w:val="CharSectno"/>
        </w:rPr>
        <w:t>23AH</w:t>
      </w:r>
      <w:r>
        <w:t>.</w:t>
      </w:r>
      <w:r>
        <w:tab/>
        <w:t>Unauthorised possession of firearms technology</w:t>
      </w:r>
      <w:bookmarkEnd w:id="245"/>
      <w:bookmarkEnd w:id="246"/>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247" w:name="_Toc192578491"/>
      <w:bookmarkStart w:id="248" w:name="_Toc185495455"/>
      <w:r>
        <w:rPr>
          <w:rStyle w:val="CharSectno"/>
        </w:rPr>
        <w:t>23AI</w:t>
      </w:r>
      <w:r>
        <w:t>.</w:t>
      </w:r>
      <w:r>
        <w:tab/>
        <w:t>Unauthorised creation or development of firearms technology</w:t>
      </w:r>
      <w:bookmarkEnd w:id="247"/>
      <w:bookmarkEnd w:id="248"/>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249" w:name="_Toc192578492"/>
      <w:bookmarkStart w:id="250" w:name="_Toc185495456"/>
      <w:r>
        <w:rPr>
          <w:rStyle w:val="CharSectno"/>
        </w:rPr>
        <w:t>23AJ</w:t>
      </w:r>
      <w:r>
        <w:t>.</w:t>
      </w:r>
      <w:r>
        <w:tab/>
        <w:t>Unauthorised dissemination of firearms technology</w:t>
      </w:r>
      <w:bookmarkEnd w:id="249"/>
      <w:bookmarkEnd w:id="250"/>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251" w:name="_Toc192578493"/>
      <w:bookmarkStart w:id="252" w:name="_Toc185495457"/>
      <w:r>
        <w:rPr>
          <w:rStyle w:val="CharSectno"/>
        </w:rPr>
        <w:t>23AK</w:t>
      </w:r>
      <w:r>
        <w:t>.</w:t>
      </w:r>
      <w:r>
        <w:tab/>
        <w:t>Exceptions to s. 23AH, 23AI and 23AJ</w:t>
      </w:r>
      <w:bookmarkEnd w:id="251"/>
      <w:bookmarkEnd w:id="252"/>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253" w:name="_Toc192514305"/>
      <w:bookmarkStart w:id="254" w:name="_Toc192515112"/>
      <w:bookmarkStart w:id="255" w:name="_Toc192578494"/>
      <w:bookmarkStart w:id="256" w:name="_Toc185430130"/>
      <w:bookmarkStart w:id="257" w:name="_Toc185430269"/>
      <w:bookmarkStart w:id="258" w:name="_Toc185495190"/>
      <w:bookmarkStart w:id="259" w:name="_Toc185495458"/>
      <w:r>
        <w:rPr>
          <w:rStyle w:val="CharDivNo"/>
        </w:rPr>
        <w:t>Division 5</w:t>
      </w:r>
      <w:r>
        <w:t> — </w:t>
      </w:r>
      <w:r>
        <w:rPr>
          <w:rStyle w:val="CharDivText"/>
        </w:rPr>
        <w:t>Limitation periods</w:t>
      </w:r>
      <w:bookmarkEnd w:id="253"/>
      <w:bookmarkEnd w:id="254"/>
      <w:bookmarkEnd w:id="255"/>
      <w:bookmarkEnd w:id="256"/>
      <w:bookmarkEnd w:id="257"/>
      <w:bookmarkEnd w:id="258"/>
      <w:bookmarkEnd w:id="259"/>
    </w:p>
    <w:p>
      <w:pPr>
        <w:pStyle w:val="Footnoteheading"/>
        <w:keepNext/>
      </w:pPr>
      <w:r>
        <w:tab/>
        <w:t>[Heading inserted: No. 13 of 2022 s. 44.]</w:t>
      </w:r>
    </w:p>
    <w:p>
      <w:pPr>
        <w:pStyle w:val="Heading5"/>
        <w:spacing w:before="180"/>
        <w:rPr>
          <w:snapToGrid w:val="0"/>
        </w:rPr>
      </w:pPr>
      <w:bookmarkStart w:id="260" w:name="_Toc192578495"/>
      <w:bookmarkStart w:id="261" w:name="_Toc185495459"/>
      <w:r>
        <w:rPr>
          <w:rStyle w:val="CharSectno"/>
        </w:rPr>
        <w:t>23A</w:t>
      </w:r>
      <w:r>
        <w:rPr>
          <w:snapToGrid w:val="0"/>
        </w:rPr>
        <w:t>.</w:t>
      </w:r>
      <w:r>
        <w:rPr>
          <w:snapToGrid w:val="0"/>
        </w:rPr>
        <w:tab/>
        <w:t>Limitation periods</w:t>
      </w:r>
      <w:bookmarkEnd w:id="260"/>
      <w:bookmarkEnd w:id="261"/>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262" w:name="_Toc192514307"/>
      <w:bookmarkStart w:id="263" w:name="_Toc192515114"/>
      <w:bookmarkStart w:id="264" w:name="_Toc192578496"/>
      <w:bookmarkStart w:id="265" w:name="_Toc185430132"/>
      <w:bookmarkStart w:id="266" w:name="_Toc185430271"/>
      <w:bookmarkStart w:id="267" w:name="_Toc185495192"/>
      <w:bookmarkStart w:id="268" w:name="_Toc185495460"/>
      <w:r>
        <w:rPr>
          <w:rStyle w:val="CharPartNo"/>
        </w:rPr>
        <w:t>Part 6</w:t>
      </w:r>
      <w:r>
        <w:rPr>
          <w:rStyle w:val="CharDivNo"/>
        </w:rPr>
        <w:t> </w:t>
      </w:r>
      <w:r>
        <w:t>—</w:t>
      </w:r>
      <w:r>
        <w:rPr>
          <w:rStyle w:val="CharDivText"/>
        </w:rPr>
        <w:t> </w:t>
      </w:r>
      <w:r>
        <w:rPr>
          <w:rStyle w:val="CharPartText"/>
        </w:rPr>
        <w:t>Disclosure of information under this Act and other matters</w:t>
      </w:r>
      <w:bookmarkEnd w:id="262"/>
      <w:bookmarkEnd w:id="263"/>
      <w:bookmarkEnd w:id="264"/>
      <w:bookmarkEnd w:id="265"/>
      <w:bookmarkEnd w:id="266"/>
      <w:bookmarkEnd w:id="267"/>
      <w:bookmarkEnd w:id="268"/>
    </w:p>
    <w:p>
      <w:pPr>
        <w:pStyle w:val="Footnoteheading"/>
        <w:keepNext/>
      </w:pPr>
      <w:r>
        <w:tab/>
        <w:t>[Heading inserted: No. 13 of 2022 s. 45.]</w:t>
      </w:r>
    </w:p>
    <w:p>
      <w:pPr>
        <w:pStyle w:val="Heading5"/>
        <w:spacing w:before="180"/>
        <w:rPr>
          <w:snapToGrid w:val="0"/>
        </w:rPr>
      </w:pPr>
      <w:bookmarkStart w:id="269" w:name="_Toc192578497"/>
      <w:bookmarkStart w:id="270" w:name="_Toc185495461"/>
      <w:r>
        <w:rPr>
          <w:rStyle w:val="CharSectno"/>
        </w:rPr>
        <w:t>23B</w:t>
      </w:r>
      <w:r>
        <w:rPr>
          <w:snapToGrid w:val="0"/>
        </w:rPr>
        <w:t>.</w:t>
      </w:r>
      <w:r>
        <w:rPr>
          <w:snapToGrid w:val="0"/>
        </w:rPr>
        <w:tab/>
        <w:t>Disclosure by health professionals of certain information</w:t>
      </w:r>
      <w:bookmarkEnd w:id="269"/>
      <w:bookmarkEnd w:id="270"/>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271" w:name="_Toc192578498"/>
      <w:bookmarkStart w:id="272" w:name="_Toc185495462"/>
      <w:r>
        <w:rPr>
          <w:rStyle w:val="CharSectno"/>
        </w:rPr>
        <w:t>23BA</w:t>
      </w:r>
      <w:r>
        <w:t>.</w:t>
      </w:r>
      <w:r>
        <w:tab/>
        <w:t>Disclosure of certain information by approved club and organisation members</w:t>
      </w:r>
      <w:bookmarkEnd w:id="271"/>
      <w:bookmarkEnd w:id="272"/>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273" w:name="_Toc192578499"/>
      <w:bookmarkStart w:id="274" w:name="_Toc185495463"/>
      <w:r>
        <w:rPr>
          <w:rStyle w:val="CharSectno"/>
        </w:rPr>
        <w:t>23C</w:t>
      </w:r>
      <w:r>
        <w:rPr>
          <w:snapToGrid w:val="0"/>
        </w:rPr>
        <w:t>.</w:t>
      </w:r>
      <w:r>
        <w:rPr>
          <w:snapToGrid w:val="0"/>
        </w:rPr>
        <w:tab/>
        <w:t>Persons concerned in commission of offences</w:t>
      </w:r>
      <w:bookmarkEnd w:id="273"/>
      <w:bookmarkEnd w:id="27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275" w:name="_Toc192514311"/>
      <w:bookmarkStart w:id="276" w:name="_Toc192515118"/>
      <w:bookmarkStart w:id="277" w:name="_Toc192578500"/>
      <w:bookmarkStart w:id="278" w:name="_Toc185430136"/>
      <w:bookmarkStart w:id="279" w:name="_Toc185430275"/>
      <w:bookmarkStart w:id="280" w:name="_Toc185495196"/>
      <w:bookmarkStart w:id="281" w:name="_Toc185495464"/>
      <w:r>
        <w:rPr>
          <w:rStyle w:val="CharPartNo"/>
        </w:rPr>
        <w:t>Part 7</w:t>
      </w:r>
      <w:r>
        <w:t> — </w:t>
      </w:r>
      <w:r>
        <w:rPr>
          <w:rStyle w:val="CharPartText"/>
        </w:rPr>
        <w:t>Enforcement</w:t>
      </w:r>
      <w:bookmarkEnd w:id="275"/>
      <w:bookmarkEnd w:id="276"/>
      <w:bookmarkEnd w:id="277"/>
      <w:bookmarkEnd w:id="278"/>
      <w:bookmarkEnd w:id="279"/>
      <w:bookmarkEnd w:id="280"/>
      <w:bookmarkEnd w:id="281"/>
    </w:p>
    <w:p>
      <w:pPr>
        <w:pStyle w:val="Footnoteheading"/>
        <w:keepNext/>
      </w:pPr>
      <w:r>
        <w:tab/>
        <w:t>[Heading inserted: No. 13 of 2022 s. 46.]</w:t>
      </w:r>
    </w:p>
    <w:p>
      <w:pPr>
        <w:pStyle w:val="Heading3"/>
      </w:pPr>
      <w:bookmarkStart w:id="282" w:name="_Toc192514312"/>
      <w:bookmarkStart w:id="283" w:name="_Toc192515119"/>
      <w:bookmarkStart w:id="284" w:name="_Toc192578501"/>
      <w:bookmarkStart w:id="285" w:name="_Toc185430137"/>
      <w:bookmarkStart w:id="286" w:name="_Toc185430276"/>
      <w:bookmarkStart w:id="287" w:name="_Toc185495197"/>
      <w:bookmarkStart w:id="288" w:name="_Toc185495465"/>
      <w:r>
        <w:rPr>
          <w:rStyle w:val="CharDivNo"/>
        </w:rPr>
        <w:t>Division 1</w:t>
      </w:r>
      <w:r>
        <w:t> — </w:t>
      </w:r>
      <w:r>
        <w:rPr>
          <w:rStyle w:val="CharDivText"/>
        </w:rPr>
        <w:t>General enforcement matters</w:t>
      </w:r>
      <w:bookmarkEnd w:id="282"/>
      <w:bookmarkEnd w:id="283"/>
      <w:bookmarkEnd w:id="284"/>
      <w:bookmarkEnd w:id="285"/>
      <w:bookmarkEnd w:id="286"/>
      <w:bookmarkEnd w:id="287"/>
      <w:bookmarkEnd w:id="288"/>
    </w:p>
    <w:p>
      <w:pPr>
        <w:pStyle w:val="Footnoteheading"/>
        <w:keepNext/>
      </w:pPr>
      <w:r>
        <w:tab/>
        <w:t>[Heading inserted: No. 13 of 2022 s. 46.]</w:t>
      </w:r>
    </w:p>
    <w:p>
      <w:pPr>
        <w:pStyle w:val="Heading5"/>
        <w:rPr>
          <w:snapToGrid w:val="0"/>
        </w:rPr>
      </w:pPr>
      <w:bookmarkStart w:id="289" w:name="_Toc192578502"/>
      <w:bookmarkStart w:id="290" w:name="_Toc185495466"/>
      <w:r>
        <w:rPr>
          <w:rStyle w:val="CharSectno"/>
        </w:rPr>
        <w:t>24</w:t>
      </w:r>
      <w:r>
        <w:rPr>
          <w:snapToGrid w:val="0"/>
        </w:rPr>
        <w:t>.</w:t>
      </w:r>
      <w:r>
        <w:rPr>
          <w:snapToGrid w:val="0"/>
        </w:rPr>
        <w:tab/>
        <w:t>Powers of police</w:t>
      </w:r>
      <w:bookmarkEnd w:id="289"/>
      <w:bookmarkEnd w:id="290"/>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keepNext/>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291" w:name="_Toc192578503"/>
      <w:bookmarkStart w:id="292" w:name="_Toc185495467"/>
      <w:r>
        <w:rPr>
          <w:rStyle w:val="CharSectno"/>
        </w:rPr>
        <w:t>25</w:t>
      </w:r>
      <w:r>
        <w:rPr>
          <w:snapToGrid w:val="0"/>
        </w:rPr>
        <w:t>.</w:t>
      </w:r>
      <w:r>
        <w:rPr>
          <w:snapToGrid w:val="0"/>
        </w:rPr>
        <w:tab/>
        <w:t>Constructive possession</w:t>
      </w:r>
      <w:bookmarkEnd w:id="291"/>
      <w:bookmarkEnd w:id="292"/>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293" w:name="_Toc192578504"/>
      <w:bookmarkStart w:id="294" w:name="_Toc185495468"/>
      <w:r>
        <w:rPr>
          <w:rStyle w:val="CharSectno"/>
        </w:rPr>
        <w:t>26</w:t>
      </w:r>
      <w:r>
        <w:rPr>
          <w:snapToGrid w:val="0"/>
        </w:rPr>
        <w:t>.</w:t>
      </w:r>
      <w:r>
        <w:rPr>
          <w:snapToGrid w:val="0"/>
        </w:rPr>
        <w:tab/>
        <w:t>Search warrant</w:t>
      </w:r>
      <w:bookmarkEnd w:id="293"/>
      <w:bookmarkEnd w:id="294"/>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295" w:name="_Toc192514316"/>
      <w:bookmarkStart w:id="296" w:name="_Toc192515123"/>
      <w:bookmarkStart w:id="297" w:name="_Toc192578505"/>
      <w:bookmarkStart w:id="298" w:name="_Toc185430141"/>
      <w:bookmarkStart w:id="299" w:name="_Toc185430280"/>
      <w:bookmarkStart w:id="300" w:name="_Toc185495201"/>
      <w:bookmarkStart w:id="301" w:name="_Toc185495469"/>
      <w:r>
        <w:rPr>
          <w:rStyle w:val="CharDivNo"/>
        </w:rPr>
        <w:t>Division 2</w:t>
      </w:r>
      <w:r>
        <w:t> — </w:t>
      </w:r>
      <w:r>
        <w:rPr>
          <w:rStyle w:val="CharDivText"/>
        </w:rPr>
        <w:t>Enforcement powers relating to firearms prohibition orders</w:t>
      </w:r>
      <w:bookmarkEnd w:id="295"/>
      <w:bookmarkEnd w:id="296"/>
      <w:bookmarkEnd w:id="297"/>
      <w:bookmarkEnd w:id="298"/>
      <w:bookmarkEnd w:id="299"/>
      <w:bookmarkEnd w:id="300"/>
      <w:bookmarkEnd w:id="301"/>
    </w:p>
    <w:p>
      <w:pPr>
        <w:pStyle w:val="Footnoteheading"/>
        <w:keepNext/>
      </w:pPr>
      <w:r>
        <w:tab/>
        <w:t>[Heading inserted: No. 13 of 2022 s. 50.]</w:t>
      </w:r>
    </w:p>
    <w:p>
      <w:pPr>
        <w:pStyle w:val="Heading5"/>
      </w:pPr>
      <w:bookmarkStart w:id="302" w:name="_Toc192578506"/>
      <w:bookmarkStart w:id="303" w:name="_Toc185495470"/>
      <w:r>
        <w:rPr>
          <w:rStyle w:val="CharSectno"/>
        </w:rPr>
        <w:t>26A</w:t>
      </w:r>
      <w:r>
        <w:t>.</w:t>
      </w:r>
      <w:r>
        <w:tab/>
        <w:t>Additional police powers in relation to firearms prohibition orders</w:t>
      </w:r>
      <w:bookmarkEnd w:id="302"/>
      <w:bookmarkEnd w:id="303"/>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304" w:name="_Toc192578507"/>
      <w:bookmarkStart w:id="305" w:name="_Toc185495471"/>
      <w:r>
        <w:rPr>
          <w:rStyle w:val="CharSectno"/>
        </w:rPr>
        <w:t>26B</w:t>
      </w:r>
      <w:r>
        <w:t>.</w:t>
      </w:r>
      <w:r>
        <w:tab/>
        <w:t>Use of force when exercising powers under this Division</w:t>
      </w:r>
      <w:bookmarkEnd w:id="304"/>
      <w:bookmarkEnd w:id="305"/>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306" w:name="_Toc192578508"/>
      <w:bookmarkStart w:id="307" w:name="_Toc185495472"/>
      <w:r>
        <w:rPr>
          <w:rStyle w:val="CharSectno"/>
        </w:rPr>
        <w:t>26C</w:t>
      </w:r>
      <w:r>
        <w:t>.</w:t>
      </w:r>
      <w:r>
        <w:tab/>
        <w:t>Entry to and search of places and vehicles in relation to firearms prohibition orders</w:t>
      </w:r>
      <w:bookmarkEnd w:id="306"/>
      <w:bookmarkEnd w:id="307"/>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308" w:name="_Toc192578509"/>
      <w:bookmarkStart w:id="309" w:name="_Toc185495473"/>
      <w:r>
        <w:rPr>
          <w:rStyle w:val="CharSectno"/>
        </w:rPr>
        <w:t>26D</w:t>
      </w:r>
      <w:r>
        <w:t>.</w:t>
      </w:r>
      <w:r>
        <w:tab/>
        <w:t>Search of persons subject to firearms prohibition orders and certain other persons</w:t>
      </w:r>
      <w:bookmarkEnd w:id="308"/>
      <w:bookmarkEnd w:id="309"/>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310" w:name="_Toc192578510"/>
      <w:bookmarkStart w:id="311" w:name="_Toc185495474"/>
      <w:r>
        <w:rPr>
          <w:rStyle w:val="CharSectno"/>
        </w:rPr>
        <w:t>26E</w:t>
      </w:r>
      <w:r>
        <w:t>.</w:t>
      </w:r>
      <w:r>
        <w:tab/>
        <w:t>Seizure of things not immediately surrendered under s. 29I</w:t>
      </w:r>
      <w:bookmarkEnd w:id="310"/>
      <w:bookmarkEnd w:id="311"/>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312" w:name="_Toc192514322"/>
      <w:bookmarkStart w:id="313" w:name="_Toc192515129"/>
      <w:bookmarkStart w:id="314" w:name="_Toc192578511"/>
      <w:bookmarkStart w:id="315" w:name="_Toc185430147"/>
      <w:bookmarkStart w:id="316" w:name="_Toc185430286"/>
      <w:bookmarkStart w:id="317" w:name="_Toc185495207"/>
      <w:bookmarkStart w:id="318" w:name="_Toc185495475"/>
      <w:r>
        <w:rPr>
          <w:rStyle w:val="CharDivNo"/>
        </w:rPr>
        <w:t>Division 3</w:t>
      </w:r>
      <w:r>
        <w:t> — </w:t>
      </w:r>
      <w:r>
        <w:rPr>
          <w:rStyle w:val="CharDivText"/>
        </w:rPr>
        <w:t>Powers of the court and other matters</w:t>
      </w:r>
      <w:bookmarkEnd w:id="312"/>
      <w:bookmarkEnd w:id="313"/>
      <w:bookmarkEnd w:id="314"/>
      <w:bookmarkEnd w:id="315"/>
      <w:bookmarkEnd w:id="316"/>
      <w:bookmarkEnd w:id="317"/>
      <w:bookmarkEnd w:id="318"/>
    </w:p>
    <w:p>
      <w:pPr>
        <w:pStyle w:val="Footnoteheading"/>
        <w:keepNext/>
      </w:pPr>
      <w:r>
        <w:tab/>
        <w:t>[Heading inserted: No. 13 of 2022 s. 51.]</w:t>
      </w:r>
    </w:p>
    <w:p>
      <w:pPr>
        <w:pStyle w:val="Heading5"/>
        <w:rPr>
          <w:snapToGrid w:val="0"/>
        </w:rPr>
      </w:pPr>
      <w:bookmarkStart w:id="319" w:name="_Toc192578512"/>
      <w:bookmarkStart w:id="320" w:name="_Toc185495476"/>
      <w:r>
        <w:rPr>
          <w:rStyle w:val="CharSectno"/>
        </w:rPr>
        <w:t>27A</w:t>
      </w:r>
      <w:r>
        <w:rPr>
          <w:snapToGrid w:val="0"/>
        </w:rPr>
        <w:t>.</w:t>
      </w:r>
      <w:r>
        <w:rPr>
          <w:snapToGrid w:val="0"/>
        </w:rPr>
        <w:tab/>
        <w:t>Disqualification by court imposing violence restraining order</w:t>
      </w:r>
      <w:bookmarkEnd w:id="319"/>
      <w:bookmarkEnd w:id="320"/>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321" w:name="_Toc192578513"/>
      <w:bookmarkStart w:id="322" w:name="_Toc185495477"/>
      <w:r>
        <w:rPr>
          <w:rStyle w:val="CharSectno"/>
        </w:rPr>
        <w:t>28</w:t>
      </w:r>
      <w:r>
        <w:rPr>
          <w:snapToGrid w:val="0"/>
        </w:rPr>
        <w:t>.</w:t>
      </w:r>
      <w:r>
        <w:rPr>
          <w:snapToGrid w:val="0"/>
        </w:rPr>
        <w:tab/>
        <w:t>Court may order forfeiture on conviction of offender</w:t>
      </w:r>
      <w:bookmarkEnd w:id="321"/>
      <w:bookmarkEnd w:id="322"/>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323" w:name="_Toc192578514"/>
      <w:bookmarkStart w:id="324" w:name="_Toc185495478"/>
      <w:r>
        <w:rPr>
          <w:rStyle w:val="CharSectno"/>
        </w:rPr>
        <w:t>29</w:t>
      </w:r>
      <w:r>
        <w:rPr>
          <w:snapToGrid w:val="0"/>
        </w:rPr>
        <w:t>.</w:t>
      </w:r>
      <w:r>
        <w:rPr>
          <w:snapToGrid w:val="0"/>
        </w:rPr>
        <w:tab/>
        <w:t>Evidence</w:t>
      </w:r>
      <w:bookmarkEnd w:id="323"/>
      <w:bookmarkEnd w:id="324"/>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325" w:name="_Toc192514326"/>
      <w:bookmarkStart w:id="326" w:name="_Toc192515133"/>
      <w:bookmarkStart w:id="327" w:name="_Toc192578515"/>
      <w:bookmarkStart w:id="328" w:name="_Toc185430151"/>
      <w:bookmarkStart w:id="329" w:name="_Toc185430290"/>
      <w:bookmarkStart w:id="330" w:name="_Toc185495211"/>
      <w:bookmarkStart w:id="331" w:name="_Toc185495479"/>
      <w:r>
        <w:rPr>
          <w:rStyle w:val="CharPartNo"/>
        </w:rPr>
        <w:t>Part 8</w:t>
      </w:r>
      <w:r>
        <w:t> — </w:t>
      </w:r>
      <w:r>
        <w:rPr>
          <w:rStyle w:val="CharPartText"/>
        </w:rPr>
        <w:t>Firearms prohibition orders</w:t>
      </w:r>
      <w:bookmarkEnd w:id="325"/>
      <w:bookmarkEnd w:id="326"/>
      <w:bookmarkEnd w:id="327"/>
      <w:bookmarkEnd w:id="328"/>
      <w:bookmarkEnd w:id="329"/>
      <w:bookmarkEnd w:id="330"/>
      <w:bookmarkEnd w:id="331"/>
    </w:p>
    <w:p>
      <w:pPr>
        <w:pStyle w:val="Footnoteheading"/>
        <w:keepNext/>
      </w:pPr>
      <w:r>
        <w:tab/>
        <w:t>[Heading inserted: No. 13 of 2022 s. 53.]</w:t>
      </w:r>
    </w:p>
    <w:p>
      <w:pPr>
        <w:pStyle w:val="Heading3"/>
      </w:pPr>
      <w:bookmarkStart w:id="332" w:name="_Toc192514327"/>
      <w:bookmarkStart w:id="333" w:name="_Toc192515134"/>
      <w:bookmarkStart w:id="334" w:name="_Toc192578516"/>
      <w:bookmarkStart w:id="335" w:name="_Toc185430152"/>
      <w:bookmarkStart w:id="336" w:name="_Toc185430291"/>
      <w:bookmarkStart w:id="337" w:name="_Toc185495212"/>
      <w:bookmarkStart w:id="338" w:name="_Toc185495480"/>
      <w:r>
        <w:rPr>
          <w:rStyle w:val="CharDivNo"/>
        </w:rPr>
        <w:t>Division 1</w:t>
      </w:r>
      <w:r>
        <w:t> — </w:t>
      </w:r>
      <w:r>
        <w:rPr>
          <w:rStyle w:val="CharDivText"/>
        </w:rPr>
        <w:t>Making of firearms prohibition order and other matters</w:t>
      </w:r>
      <w:bookmarkEnd w:id="332"/>
      <w:bookmarkEnd w:id="333"/>
      <w:bookmarkEnd w:id="334"/>
      <w:bookmarkEnd w:id="335"/>
      <w:bookmarkEnd w:id="336"/>
      <w:bookmarkEnd w:id="337"/>
      <w:bookmarkEnd w:id="338"/>
    </w:p>
    <w:p>
      <w:pPr>
        <w:pStyle w:val="Footnoteheading"/>
        <w:keepNext/>
      </w:pPr>
      <w:r>
        <w:tab/>
        <w:t>[Heading inserted: No. 13 of 2022 s. 53.]</w:t>
      </w:r>
    </w:p>
    <w:p>
      <w:pPr>
        <w:pStyle w:val="Heading5"/>
      </w:pPr>
      <w:bookmarkStart w:id="339" w:name="_Toc192578517"/>
      <w:bookmarkStart w:id="340" w:name="_Toc185495481"/>
      <w:r>
        <w:rPr>
          <w:rStyle w:val="CharSectno"/>
        </w:rPr>
        <w:t>29A</w:t>
      </w:r>
      <w:r>
        <w:t>.</w:t>
      </w:r>
      <w:r>
        <w:tab/>
        <w:t>Commissioner may make firearms prohibition order</w:t>
      </w:r>
      <w:bookmarkEnd w:id="339"/>
      <w:bookmarkEnd w:id="340"/>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tab/>
        <w:t>(d)</w:t>
      </w:r>
      <w:r>
        <w:tab/>
        <w:t>was the subject of a previous firearms prohibition order that has expired or been revoked.</w:t>
      </w:r>
    </w:p>
    <w:p>
      <w:pPr>
        <w:pStyle w:val="Footnotesection"/>
      </w:pPr>
      <w:r>
        <w:tab/>
        <w:t>[Section 29A inserted: No. 13 of 2022 s. 53.]</w:t>
      </w:r>
    </w:p>
    <w:p>
      <w:pPr>
        <w:pStyle w:val="Heading5"/>
      </w:pPr>
      <w:bookmarkStart w:id="341" w:name="_Toc192578518"/>
      <w:bookmarkStart w:id="342" w:name="_Toc185495482"/>
      <w:r>
        <w:rPr>
          <w:rStyle w:val="CharSectno"/>
        </w:rPr>
        <w:t>29B</w:t>
      </w:r>
      <w:r>
        <w:t>.</w:t>
      </w:r>
      <w:r>
        <w:tab/>
        <w:t>Form and content of firearms prohibition order</w:t>
      </w:r>
      <w:bookmarkEnd w:id="341"/>
      <w:bookmarkEnd w:id="342"/>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343" w:name="_Toc192578519"/>
      <w:bookmarkStart w:id="344" w:name="_Toc185495483"/>
      <w:r>
        <w:rPr>
          <w:rStyle w:val="CharSectno"/>
        </w:rPr>
        <w:t>29C</w:t>
      </w:r>
      <w:r>
        <w:t>.</w:t>
      </w:r>
      <w:r>
        <w:tab/>
        <w:t>Service of firearms prohibition order</w:t>
      </w:r>
      <w:bookmarkEnd w:id="343"/>
      <w:bookmarkEnd w:id="344"/>
    </w:p>
    <w:p>
      <w:pPr>
        <w:pStyle w:val="Subsection"/>
      </w:pPr>
      <w:r>
        <w:tab/>
        <w:t>(1)</w:t>
      </w:r>
      <w:r>
        <w:tab/>
        <w:t>The Commissioner must ensure a firearms prohibition order is served on the person against whom the order is made in accordance with subsection (2).</w:t>
      </w:r>
    </w:p>
    <w:p>
      <w:pPr>
        <w:pStyle w:val="Subsection"/>
      </w:pPr>
      <w:r>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345" w:name="_Toc192578520"/>
      <w:bookmarkStart w:id="346" w:name="_Toc185495484"/>
      <w:r>
        <w:rPr>
          <w:rStyle w:val="CharSectno"/>
        </w:rPr>
        <w:t>29D</w:t>
      </w:r>
      <w:r>
        <w:t>.</w:t>
      </w:r>
      <w:r>
        <w:tab/>
        <w:t>Powers to request particulars and detain for purposes of service</w:t>
      </w:r>
      <w:bookmarkEnd w:id="345"/>
      <w:bookmarkEnd w:id="346"/>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347" w:name="_Toc192578521"/>
      <w:bookmarkStart w:id="348" w:name="_Toc185495485"/>
      <w:r>
        <w:rPr>
          <w:rStyle w:val="CharSectno"/>
        </w:rPr>
        <w:t>29E</w:t>
      </w:r>
      <w:r>
        <w:t>.</w:t>
      </w:r>
      <w:r>
        <w:tab/>
        <w:t>Offences for failing to comply with directions under s. 29D</w:t>
      </w:r>
      <w:bookmarkEnd w:id="347"/>
      <w:bookmarkEnd w:id="348"/>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keepNext/>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349" w:name="_Toc192578522"/>
      <w:bookmarkStart w:id="350" w:name="_Toc185495486"/>
      <w:r>
        <w:rPr>
          <w:rStyle w:val="CharSectno"/>
        </w:rPr>
        <w:t>29F</w:t>
      </w:r>
      <w:r>
        <w:t>.</w:t>
      </w:r>
      <w:r>
        <w:tab/>
        <w:t>Proof of service of firearms prohibition order</w:t>
      </w:r>
      <w:bookmarkEnd w:id="349"/>
      <w:bookmarkEnd w:id="350"/>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keepNext/>
      </w:pPr>
      <w:r>
        <w:tab/>
        <w:t>(4)</w:t>
      </w:r>
      <w:r>
        <w:tab/>
        <w:t>A certificate under this section is, in the absence of evidence to the contrary, sufficient proof of service of the firearms prohibition order on the person stated to have been served.</w:t>
      </w:r>
    </w:p>
    <w:p>
      <w:pPr>
        <w:pStyle w:val="Footnotesection"/>
        <w:keepNext/>
      </w:pPr>
      <w:r>
        <w:tab/>
        <w:t>[Section 29F inserted: No. 13 of 2022 s. 53.]</w:t>
      </w:r>
    </w:p>
    <w:p>
      <w:pPr>
        <w:pStyle w:val="Heading5"/>
      </w:pPr>
      <w:bookmarkStart w:id="351" w:name="_Toc192578523"/>
      <w:bookmarkStart w:id="352" w:name="_Toc185495487"/>
      <w:r>
        <w:rPr>
          <w:rStyle w:val="CharSectno"/>
        </w:rPr>
        <w:t>29G</w:t>
      </w:r>
      <w:r>
        <w:t>.</w:t>
      </w:r>
      <w:r>
        <w:tab/>
        <w:t>Commencement and duration of firearms prohibition order</w:t>
      </w:r>
      <w:bookmarkEnd w:id="351"/>
      <w:bookmarkEnd w:id="352"/>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353" w:name="_Toc192578524"/>
      <w:bookmarkStart w:id="354" w:name="_Toc185495488"/>
      <w:r>
        <w:rPr>
          <w:rStyle w:val="CharSectno"/>
        </w:rPr>
        <w:t>29H</w:t>
      </w:r>
      <w:r>
        <w:t>.</w:t>
      </w:r>
      <w:r>
        <w:tab/>
        <w:t>Revocation of licences, permits, approvals and authorisations of prohibited persons</w:t>
      </w:r>
      <w:bookmarkEnd w:id="353"/>
      <w:bookmarkEnd w:id="354"/>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355" w:name="_Toc192514336"/>
      <w:bookmarkStart w:id="356" w:name="_Toc192515143"/>
      <w:bookmarkStart w:id="357" w:name="_Toc192578525"/>
      <w:bookmarkStart w:id="358" w:name="_Toc185430161"/>
      <w:bookmarkStart w:id="359" w:name="_Toc185430300"/>
      <w:bookmarkStart w:id="360" w:name="_Toc185495221"/>
      <w:bookmarkStart w:id="361" w:name="_Toc185495489"/>
      <w:r>
        <w:rPr>
          <w:rStyle w:val="CharDivNo"/>
        </w:rPr>
        <w:t>Division 2</w:t>
      </w:r>
      <w:r>
        <w:t> — </w:t>
      </w:r>
      <w:r>
        <w:rPr>
          <w:rStyle w:val="CharDivText"/>
        </w:rPr>
        <w:t>Offences relating to firearms prohibition orders</w:t>
      </w:r>
      <w:bookmarkEnd w:id="355"/>
      <w:bookmarkEnd w:id="356"/>
      <w:bookmarkEnd w:id="357"/>
      <w:bookmarkEnd w:id="358"/>
      <w:bookmarkEnd w:id="359"/>
      <w:bookmarkEnd w:id="360"/>
      <w:bookmarkEnd w:id="361"/>
    </w:p>
    <w:p>
      <w:pPr>
        <w:pStyle w:val="Footnoteheading"/>
        <w:keepNext/>
      </w:pPr>
      <w:r>
        <w:tab/>
        <w:t>[Heading inserted: No. 13 of 2022 s. 53.]</w:t>
      </w:r>
    </w:p>
    <w:p>
      <w:pPr>
        <w:pStyle w:val="Heading5"/>
      </w:pPr>
      <w:bookmarkStart w:id="362" w:name="_Toc192578526"/>
      <w:bookmarkStart w:id="363" w:name="_Toc185495490"/>
      <w:r>
        <w:rPr>
          <w:rStyle w:val="CharSectno"/>
        </w:rPr>
        <w:t>29I</w:t>
      </w:r>
      <w:r>
        <w:t>.</w:t>
      </w:r>
      <w:r>
        <w:tab/>
        <w:t>Failure to surrender firearms and other things when firearms prohibition order served</w:t>
      </w:r>
      <w:bookmarkEnd w:id="362"/>
      <w:bookmarkEnd w:id="363"/>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364" w:name="_Toc192578527"/>
      <w:bookmarkStart w:id="365" w:name="_Toc185495491"/>
      <w:r>
        <w:rPr>
          <w:rStyle w:val="CharSectno"/>
        </w:rPr>
        <w:t>29J</w:t>
      </w:r>
      <w:r>
        <w:t>.</w:t>
      </w:r>
      <w:r>
        <w:tab/>
        <w:t>Prohibition on prohibited persons acquiring, possessing or using firearms and other things</w:t>
      </w:r>
      <w:bookmarkEnd w:id="364"/>
      <w:bookmarkEnd w:id="365"/>
    </w:p>
    <w:p>
      <w:pPr>
        <w:pStyle w:val="Subsection"/>
        <w:keepNext/>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keepNex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366" w:name="_Toc192578528"/>
      <w:bookmarkStart w:id="367" w:name="_Toc185495492"/>
      <w:r>
        <w:rPr>
          <w:rStyle w:val="CharSectno"/>
        </w:rPr>
        <w:t>29K</w:t>
      </w:r>
      <w:r>
        <w:t>.</w:t>
      </w:r>
      <w:r>
        <w:tab/>
        <w:t>Prohibition on prohibited persons entering, or remaining or residing at, certain places</w:t>
      </w:r>
      <w:bookmarkEnd w:id="366"/>
      <w:bookmarkEnd w:id="367"/>
    </w:p>
    <w:p>
      <w:pPr>
        <w:pStyle w:val="Subsection"/>
        <w:keepNext/>
      </w:pPr>
      <w:r>
        <w:tab/>
        <w:t>(1)</w:t>
      </w:r>
      <w:r>
        <w:tab/>
        <w:t xml:space="preserve">In this section — </w:t>
      </w:r>
    </w:p>
    <w:p>
      <w:pPr>
        <w:pStyle w:val="Defstart"/>
        <w:keepNex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368" w:name="_Toc192578529"/>
      <w:bookmarkStart w:id="369" w:name="_Toc185495493"/>
      <w:r>
        <w:rPr>
          <w:rStyle w:val="CharSectno"/>
        </w:rPr>
        <w:t>29L</w:t>
      </w:r>
      <w:r>
        <w:t>.</w:t>
      </w:r>
      <w:r>
        <w:tab/>
        <w:t>Prohibition on prohibited persons associating with persons in possession of firearms and other things</w:t>
      </w:r>
      <w:bookmarkEnd w:id="368"/>
      <w:bookmarkEnd w:id="369"/>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370" w:name="_Toc192578530"/>
      <w:bookmarkStart w:id="371" w:name="_Toc185495494"/>
      <w:r>
        <w:rPr>
          <w:rStyle w:val="CharSectno"/>
        </w:rPr>
        <w:t>29M</w:t>
      </w:r>
      <w:r>
        <w:t>.</w:t>
      </w:r>
      <w:r>
        <w:tab/>
        <w:t>Prohibition on giving possession of firearms and other things to prohibited persons</w:t>
      </w:r>
      <w:bookmarkEnd w:id="370"/>
      <w:bookmarkEnd w:id="371"/>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372" w:name="_Toc192578531"/>
      <w:bookmarkStart w:id="373" w:name="_Toc185495495"/>
      <w:r>
        <w:rPr>
          <w:rStyle w:val="CharSectno"/>
        </w:rPr>
        <w:t>29N</w:t>
      </w:r>
      <w:r>
        <w:t>.</w:t>
      </w:r>
      <w:r>
        <w:tab/>
        <w:t>Prohibited person to notify change of address</w:t>
      </w:r>
      <w:bookmarkEnd w:id="372"/>
      <w:bookmarkEnd w:id="373"/>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374" w:name="_Toc192578532"/>
      <w:bookmarkStart w:id="375" w:name="_Toc185495496"/>
      <w:r>
        <w:rPr>
          <w:rStyle w:val="CharSectno"/>
        </w:rPr>
        <w:t>29O</w:t>
      </w:r>
      <w:r>
        <w:t>.</w:t>
      </w:r>
      <w:r>
        <w:tab/>
        <w:t>Recognition of firearms prohibition orders of other jurisdictions</w:t>
      </w:r>
      <w:bookmarkEnd w:id="374"/>
      <w:bookmarkEnd w:id="375"/>
    </w:p>
    <w:p>
      <w:pPr>
        <w:pStyle w:val="Subsection"/>
        <w:keepNext/>
      </w:pPr>
      <w:r>
        <w:tab/>
        <w:t>(1)</w:t>
      </w:r>
      <w:r>
        <w:tab/>
        <w:t xml:space="preserve">In this section — </w:t>
      </w:r>
    </w:p>
    <w:p>
      <w:pPr>
        <w:pStyle w:val="Defstart"/>
        <w:keepNex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376" w:name="_Toc192514344"/>
      <w:bookmarkStart w:id="377" w:name="_Toc192515151"/>
      <w:bookmarkStart w:id="378" w:name="_Toc192578533"/>
      <w:bookmarkStart w:id="379" w:name="_Toc185430169"/>
      <w:bookmarkStart w:id="380" w:name="_Toc185430308"/>
      <w:bookmarkStart w:id="381" w:name="_Toc185495229"/>
      <w:bookmarkStart w:id="382" w:name="_Toc185495497"/>
      <w:r>
        <w:rPr>
          <w:rStyle w:val="CharPartNo"/>
        </w:rPr>
        <w:t>Part 9</w:t>
      </w:r>
      <w:r>
        <w:rPr>
          <w:rStyle w:val="CharDivNo"/>
        </w:rPr>
        <w:t> </w:t>
      </w:r>
      <w:r>
        <w:t>—</w:t>
      </w:r>
      <w:r>
        <w:rPr>
          <w:rStyle w:val="CharDivText"/>
        </w:rPr>
        <w:t> </w:t>
      </w:r>
      <w:r>
        <w:rPr>
          <w:rStyle w:val="CharPartText"/>
        </w:rPr>
        <w:t>Sale, destruction of firearms and other matters</w:t>
      </w:r>
      <w:bookmarkEnd w:id="376"/>
      <w:bookmarkEnd w:id="377"/>
      <w:bookmarkEnd w:id="378"/>
      <w:bookmarkEnd w:id="379"/>
      <w:bookmarkEnd w:id="380"/>
      <w:bookmarkEnd w:id="381"/>
      <w:bookmarkEnd w:id="382"/>
    </w:p>
    <w:p>
      <w:pPr>
        <w:pStyle w:val="Footnoteheading"/>
        <w:keepNext/>
      </w:pPr>
      <w:r>
        <w:tab/>
        <w:t>[Heading inserted: No. 13 of 2022 s. 54.]</w:t>
      </w:r>
    </w:p>
    <w:p>
      <w:pPr>
        <w:pStyle w:val="Heading5"/>
        <w:spacing w:before="180"/>
        <w:rPr>
          <w:snapToGrid w:val="0"/>
        </w:rPr>
      </w:pPr>
      <w:bookmarkStart w:id="383" w:name="_Toc192578534"/>
      <w:bookmarkStart w:id="384" w:name="_Toc185495498"/>
      <w:r>
        <w:rPr>
          <w:rStyle w:val="CharSectno"/>
        </w:rPr>
        <w:t>30</w:t>
      </w:r>
      <w:r>
        <w:rPr>
          <w:snapToGrid w:val="0"/>
        </w:rPr>
        <w:t>.</w:t>
      </w:r>
      <w:r>
        <w:rPr>
          <w:snapToGrid w:val="0"/>
        </w:rPr>
        <w:tab/>
        <w:t>Ammunition sales</w:t>
      </w:r>
      <w:bookmarkEnd w:id="383"/>
      <w:bookmarkEnd w:id="384"/>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385" w:name="_Toc192578535"/>
      <w:bookmarkStart w:id="386" w:name="_Toc185495499"/>
      <w:r>
        <w:rPr>
          <w:rStyle w:val="CharSectno"/>
        </w:rPr>
        <w:t>30A</w:t>
      </w:r>
      <w:r>
        <w:rPr>
          <w:snapToGrid w:val="0"/>
        </w:rPr>
        <w:t>.</w:t>
      </w:r>
      <w:r>
        <w:rPr>
          <w:snapToGrid w:val="0"/>
        </w:rPr>
        <w:tab/>
        <w:t>Sale and disposal of firearms and major firearm parts</w:t>
      </w:r>
      <w:bookmarkEnd w:id="385"/>
      <w:bookmarkEnd w:id="386"/>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387" w:name="_Toc192578536"/>
      <w:bookmarkStart w:id="388" w:name="_Toc185495500"/>
      <w:r>
        <w:rPr>
          <w:rStyle w:val="CharSectno"/>
        </w:rPr>
        <w:t>30B</w:t>
      </w:r>
      <w:r>
        <w:rPr>
          <w:snapToGrid w:val="0"/>
        </w:rPr>
        <w:t>.</w:t>
      </w:r>
      <w:r>
        <w:rPr>
          <w:snapToGrid w:val="0"/>
        </w:rPr>
        <w:tab/>
        <w:t>Loss, theft, destruction, or disposal out of State, to be reported</w:t>
      </w:r>
      <w:bookmarkEnd w:id="387"/>
      <w:bookmarkEnd w:id="388"/>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389" w:name="_Toc192578537"/>
      <w:bookmarkStart w:id="390" w:name="_Toc185495501"/>
      <w:r>
        <w:rPr>
          <w:rStyle w:val="CharSectno"/>
        </w:rPr>
        <w:t>31</w:t>
      </w:r>
      <w:r>
        <w:rPr>
          <w:snapToGrid w:val="0"/>
        </w:rPr>
        <w:t>.</w:t>
      </w:r>
      <w:r>
        <w:rPr>
          <w:snapToGrid w:val="0"/>
        </w:rPr>
        <w:tab/>
        <w:t>Records</w:t>
      </w:r>
      <w:bookmarkEnd w:id="389"/>
      <w:bookmarkEnd w:id="390"/>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391" w:name="_Toc192578538"/>
      <w:bookmarkStart w:id="392" w:name="_Toc185495502"/>
      <w:r>
        <w:rPr>
          <w:rStyle w:val="CharSectno"/>
        </w:rPr>
        <w:t>32</w:t>
      </w:r>
      <w:r>
        <w:rPr>
          <w:snapToGrid w:val="0"/>
        </w:rPr>
        <w:t>.</w:t>
      </w:r>
      <w:r>
        <w:rPr>
          <w:snapToGrid w:val="0"/>
        </w:rPr>
        <w:tab/>
        <w:t>Safe keeping by traders</w:t>
      </w:r>
      <w:bookmarkEnd w:id="391"/>
      <w:bookmarkEnd w:id="392"/>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393" w:name="_Toc192578539"/>
      <w:bookmarkStart w:id="394" w:name="_Toc185495503"/>
      <w:r>
        <w:rPr>
          <w:rStyle w:val="CharSectno"/>
        </w:rPr>
        <w:t>33</w:t>
      </w:r>
      <w:r>
        <w:rPr>
          <w:snapToGrid w:val="0"/>
        </w:rPr>
        <w:t>.</w:t>
      </w:r>
      <w:r>
        <w:rPr>
          <w:snapToGrid w:val="0"/>
        </w:rPr>
        <w:tab/>
        <w:t>Dealing with things in possession of Police Force under this Act</w:t>
      </w:r>
      <w:bookmarkEnd w:id="393"/>
      <w:bookmarkEnd w:id="394"/>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395" w:name="_Toc192578540"/>
      <w:bookmarkStart w:id="396" w:name="_Toc185495504"/>
      <w:r>
        <w:rPr>
          <w:rStyle w:val="CharSectno"/>
        </w:rPr>
        <w:t>33A</w:t>
      </w:r>
      <w:r>
        <w:t>.</w:t>
      </w:r>
      <w:r>
        <w:tab/>
        <w:t>Surrender of things to Commissioner</w:t>
      </w:r>
      <w:bookmarkEnd w:id="395"/>
      <w:bookmarkEnd w:id="396"/>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397" w:name="_Toc192578541"/>
      <w:bookmarkStart w:id="398" w:name="_Toc185495505"/>
      <w:r>
        <w:rPr>
          <w:rStyle w:val="CharSectno"/>
        </w:rPr>
        <w:t>33B</w:t>
      </w:r>
      <w:r>
        <w:t>.</w:t>
      </w:r>
      <w:r>
        <w:tab/>
        <w:t>Amnesty for things surrendered to Commissioner</w:t>
      </w:r>
      <w:bookmarkEnd w:id="397"/>
      <w:bookmarkEnd w:id="398"/>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399" w:name="_Toc192578542"/>
      <w:bookmarkStart w:id="400" w:name="_Toc185495506"/>
      <w:r>
        <w:rPr>
          <w:rStyle w:val="CharSectno"/>
        </w:rPr>
        <w:t>33C</w:t>
      </w:r>
      <w:r>
        <w:t>.</w:t>
      </w:r>
      <w:r>
        <w:tab/>
        <w:t>Licensing, sale and disposal of surrendered firearms, major firearm parts and ammunition</w:t>
      </w:r>
      <w:bookmarkEnd w:id="399"/>
      <w:bookmarkEnd w:id="400"/>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401" w:name="_Toc192578543"/>
      <w:bookmarkStart w:id="402" w:name="_Toc185495507"/>
      <w:r>
        <w:rPr>
          <w:rStyle w:val="CharSectno"/>
        </w:rPr>
        <w:t>34</w:t>
      </w:r>
      <w:r>
        <w:rPr>
          <w:snapToGrid w:val="0"/>
        </w:rPr>
        <w:t>.</w:t>
      </w:r>
      <w:r>
        <w:rPr>
          <w:snapToGrid w:val="0"/>
        </w:rPr>
        <w:tab/>
        <w:t>Regulations</w:t>
      </w:r>
      <w:bookmarkEnd w:id="401"/>
      <w:bookmarkEnd w:id="402"/>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403" w:name="_Toc192578544"/>
      <w:bookmarkStart w:id="404" w:name="_Toc185495508"/>
      <w:r>
        <w:rPr>
          <w:rStyle w:val="CharSectno"/>
        </w:rPr>
        <w:t>35</w:t>
      </w:r>
      <w:r>
        <w:t>.</w:t>
      </w:r>
      <w:r>
        <w:tab/>
        <w:t>Review by Minister</w:t>
      </w:r>
      <w:bookmarkEnd w:id="403"/>
      <w:bookmarkEnd w:id="404"/>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405" w:name="_Toc192514356"/>
      <w:bookmarkStart w:id="406" w:name="_Toc192515163"/>
      <w:bookmarkStart w:id="407" w:name="_Toc192578545"/>
      <w:bookmarkStart w:id="408" w:name="_Toc185430181"/>
      <w:bookmarkStart w:id="409" w:name="_Toc185430320"/>
      <w:bookmarkStart w:id="410" w:name="_Toc185495241"/>
      <w:bookmarkStart w:id="411" w:name="_Toc185495509"/>
      <w:r>
        <w:rPr>
          <w:rStyle w:val="CharPartNo"/>
        </w:rPr>
        <w:t>Part 10</w:t>
      </w:r>
      <w:r>
        <w:t xml:space="preserve"> — </w:t>
      </w:r>
      <w:r>
        <w:rPr>
          <w:rStyle w:val="CharPartText"/>
        </w:rPr>
        <w:t xml:space="preserve">Transitional provisions for </w:t>
      </w:r>
      <w:r>
        <w:rPr>
          <w:rStyle w:val="CharPartText"/>
          <w:i/>
        </w:rPr>
        <w:t>Firearms Amendment Act 2022</w:t>
      </w:r>
      <w:bookmarkEnd w:id="405"/>
      <w:bookmarkEnd w:id="406"/>
      <w:bookmarkEnd w:id="407"/>
      <w:bookmarkEnd w:id="408"/>
      <w:bookmarkEnd w:id="409"/>
      <w:bookmarkEnd w:id="410"/>
      <w:bookmarkEnd w:id="411"/>
    </w:p>
    <w:p>
      <w:pPr>
        <w:pStyle w:val="Footnoteheading"/>
      </w:pPr>
      <w:r>
        <w:tab/>
        <w:t>[Heading inserted: No. 13 of 2022 s. 63.]</w:t>
      </w:r>
    </w:p>
    <w:p>
      <w:pPr>
        <w:pStyle w:val="Heading5"/>
      </w:pPr>
      <w:bookmarkStart w:id="412" w:name="_Toc192578546"/>
      <w:bookmarkStart w:id="413" w:name="_Toc185495510"/>
      <w:r>
        <w:rPr>
          <w:rStyle w:val="CharSectno"/>
        </w:rPr>
        <w:t>36</w:t>
      </w:r>
      <w:r>
        <w:t>.</w:t>
      </w:r>
      <w:r>
        <w:tab/>
        <w:t>Licences under repealed s. 16</w:t>
      </w:r>
      <w:bookmarkEnd w:id="412"/>
      <w:bookmarkEnd w:id="41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14" w:name="_Toc192514358"/>
      <w:bookmarkStart w:id="415" w:name="_Toc192515165"/>
      <w:bookmarkStart w:id="416" w:name="_Toc192578547"/>
      <w:bookmarkStart w:id="417" w:name="_Toc185430183"/>
      <w:bookmarkStart w:id="418" w:name="_Toc185430322"/>
      <w:bookmarkStart w:id="419" w:name="_Toc185495243"/>
      <w:bookmarkStart w:id="420" w:name="_Toc185495511"/>
      <w:r>
        <w:t>Notes</w:t>
      </w:r>
      <w:bookmarkEnd w:id="414"/>
      <w:bookmarkEnd w:id="415"/>
      <w:bookmarkEnd w:id="416"/>
      <w:bookmarkEnd w:id="417"/>
      <w:bookmarkEnd w:id="418"/>
      <w:bookmarkEnd w:id="419"/>
      <w:bookmarkEnd w:id="420"/>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w:t>
      </w:r>
      <w:del w:id="421" w:author="Master Repository Process" w:date="2025-06-09T12:54:00Z">
        <w:r>
          <w:delText xml:space="preserve"> For provisions that have not yet come into operation see the uncommenced provisions table.</w:delText>
        </w:r>
      </w:del>
    </w:p>
    <w:p>
      <w:pPr>
        <w:pStyle w:val="nHeading3"/>
      </w:pPr>
      <w:bookmarkStart w:id="422" w:name="_Toc192578548"/>
      <w:bookmarkStart w:id="423" w:name="_Toc185495512"/>
      <w:r>
        <w:t>Compilation table</w:t>
      </w:r>
      <w:bookmarkEnd w:id="422"/>
      <w:bookmarkEnd w:id="42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27</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2(g)(i) and (j))</w:t>
            </w:r>
          </w:p>
        </w:tc>
      </w:tr>
      <w:tr>
        <w:tc>
          <w:tcPr>
            <w:tcW w:w="2268" w:type="dxa"/>
            <w:tcBorders>
              <w:top w:val="nil"/>
              <w:bottom w:val="nil"/>
            </w:tcBorders>
            <w:shd w:val="clear" w:color="auto" w:fill="auto"/>
          </w:tcPr>
          <w:p>
            <w:pPr>
              <w:pStyle w:val="nTable"/>
              <w:spacing w:after="40"/>
              <w:rPr>
                <w:i/>
              </w:rPr>
            </w:pPr>
            <w:r>
              <w:rPr>
                <w:i/>
              </w:rPr>
              <w:t xml:space="preserve">Police Legislation Amendment Act 2024 </w:t>
            </w:r>
            <w:r>
              <w:rPr>
                <w:iCs/>
              </w:rPr>
              <w:t>Pt. 5 Div. 2</w:t>
            </w:r>
          </w:p>
        </w:tc>
        <w:tc>
          <w:tcPr>
            <w:tcW w:w="1134" w:type="dxa"/>
            <w:tcBorders>
              <w:top w:val="nil"/>
              <w:bottom w:val="nil"/>
            </w:tcBorders>
            <w:shd w:val="clear" w:color="auto" w:fill="auto"/>
          </w:tcPr>
          <w:p>
            <w:pPr>
              <w:pStyle w:val="nTable"/>
              <w:spacing w:after="40"/>
            </w:pPr>
            <w:r>
              <w:t>33 of 2024</w:t>
            </w:r>
          </w:p>
        </w:tc>
        <w:tc>
          <w:tcPr>
            <w:tcW w:w="1134"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pPr>
            <w:r>
              <w:t>20 Dec 2024 (see s. 2(1)(b) and SL 2024/277 cl. 2)</w:t>
            </w:r>
          </w:p>
        </w:tc>
      </w:tr>
    </w:tbl>
    <w:p>
      <w:pPr>
        <w:pStyle w:val="nHeading3"/>
        <w:rPr>
          <w:del w:id="424" w:author="Master Repository Process" w:date="2025-06-09T12:54:00Z"/>
        </w:rPr>
      </w:pPr>
      <w:bookmarkStart w:id="425" w:name="_Toc185495513"/>
      <w:del w:id="426" w:author="Master Repository Process" w:date="2025-06-09T12:54:00Z">
        <w:r>
          <w:delText>Uncommenced provisions table</w:delText>
        </w:r>
        <w:bookmarkEnd w:id="425"/>
      </w:del>
    </w:p>
    <w:p>
      <w:pPr>
        <w:pStyle w:val="nStatement"/>
        <w:keepNext/>
        <w:spacing w:after="240"/>
        <w:rPr>
          <w:del w:id="427" w:author="Master Repository Process" w:date="2025-06-09T12:54:00Z"/>
        </w:rPr>
      </w:pPr>
      <w:del w:id="428" w:author="Master Repository Process" w:date="2025-06-09T12:5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75"/>
        <w:gridCol w:w="714"/>
        <w:gridCol w:w="714"/>
        <w:gridCol w:w="714"/>
        <w:gridCol w:w="714"/>
        <w:gridCol w:w="2857"/>
      </w:tblGrid>
      <w:tr>
        <w:trPr>
          <w:tblHeader/>
          <w:del w:id="429" w:author="Master Repository Process" w:date="2025-06-09T12:54:00Z"/>
        </w:trPr>
        <w:tc>
          <w:tcPr>
            <w:tcW w:w="2268" w:type="dxa"/>
            <w:gridSpan w:val="3"/>
            <w:tcBorders>
              <w:bottom w:val="single" w:sz="8" w:space="0" w:color="auto"/>
            </w:tcBorders>
          </w:tcPr>
          <w:p>
            <w:pPr>
              <w:pStyle w:val="nTable"/>
              <w:spacing w:after="40"/>
              <w:rPr>
                <w:del w:id="430" w:author="Master Repository Process" w:date="2025-06-09T12:54:00Z"/>
                <w:b/>
              </w:rPr>
            </w:pPr>
            <w:del w:id="431" w:author="Master Repository Process" w:date="2025-06-09T12:54:00Z">
              <w:r>
                <w:rPr>
                  <w:b/>
                </w:rPr>
                <w:delText>Short title</w:delText>
              </w:r>
            </w:del>
          </w:p>
        </w:tc>
        <w:tc>
          <w:tcPr>
            <w:tcW w:w="1134" w:type="dxa"/>
            <w:tcBorders>
              <w:bottom w:val="single" w:sz="8" w:space="0" w:color="auto"/>
            </w:tcBorders>
          </w:tcPr>
          <w:p>
            <w:pPr>
              <w:pStyle w:val="nTable"/>
              <w:spacing w:after="40"/>
              <w:rPr>
                <w:del w:id="432" w:author="Master Repository Process" w:date="2025-06-09T12:54:00Z"/>
                <w:b/>
              </w:rPr>
            </w:pPr>
            <w:del w:id="433" w:author="Master Repository Process" w:date="2025-06-09T12:54:00Z">
              <w:r>
                <w:rPr>
                  <w:b/>
                </w:rPr>
                <w:delText>Number and year</w:delText>
              </w:r>
            </w:del>
          </w:p>
        </w:tc>
        <w:tc>
          <w:tcPr>
            <w:tcW w:w="1134" w:type="dxa"/>
            <w:tcBorders>
              <w:bottom w:val="single" w:sz="8" w:space="0" w:color="auto"/>
            </w:tcBorders>
          </w:tcPr>
          <w:p>
            <w:pPr>
              <w:pStyle w:val="nTable"/>
              <w:spacing w:after="40"/>
              <w:rPr>
                <w:del w:id="434" w:author="Master Repository Process" w:date="2025-06-09T12:54:00Z"/>
                <w:b/>
              </w:rPr>
            </w:pPr>
            <w:del w:id="435" w:author="Master Repository Process" w:date="2025-06-09T12:54:00Z">
              <w:r>
                <w:rPr>
                  <w:b/>
                </w:rPr>
                <w:delText>Assent</w:delText>
              </w:r>
            </w:del>
          </w:p>
        </w:tc>
        <w:tc>
          <w:tcPr>
            <w:tcW w:w="2552" w:type="dxa"/>
            <w:tcBorders>
              <w:bottom w:val="single" w:sz="8" w:space="0" w:color="auto"/>
            </w:tcBorders>
          </w:tcPr>
          <w:p>
            <w:pPr>
              <w:pStyle w:val="nTable"/>
              <w:spacing w:after="40"/>
              <w:rPr>
                <w:del w:id="436" w:author="Master Repository Process" w:date="2025-06-09T12:54:00Z"/>
                <w:b/>
              </w:rPr>
            </w:pPr>
            <w:del w:id="437" w:author="Master Repository Process" w:date="2025-06-09T12:54:00Z">
              <w:r>
                <w:rPr>
                  <w:b/>
                </w:rPr>
                <w:delText>Commencement</w:delText>
              </w:r>
            </w:del>
          </w:p>
        </w:tc>
      </w:tr>
      <w:tr>
        <w:tc>
          <w:tcPr>
            <w:tcW w:w="2268" w:type="dxa"/>
            <w:tcBorders>
              <w:bottom w:val="single" w:sz="4" w:space="0" w:color="auto"/>
            </w:tcBorders>
            <w:cellDel w:id="438" w:author="Master Repository Process" w:date="2025-06-09T12:54:00Z"/>
          </w:tcPr>
          <w:p>
            <w:pPr>
              <w:pStyle w:val="nTable"/>
              <w:spacing w:after="40"/>
              <w:rPr>
                <w:i/>
              </w:rPr>
            </w:pPr>
            <w:del w:id="439" w:author="Master Repository Process" w:date="2025-06-09T12:54:00Z">
              <w:r>
                <w:rPr>
                  <w:i/>
                </w:rPr>
                <w:delText>Firearms Act 2024</w:delText>
              </w:r>
              <w:r>
                <w:rPr>
                  <w:iCs/>
                </w:rPr>
                <w:delText xml:space="preserve"> s. 440</w:delText>
              </w:r>
            </w:del>
          </w:p>
        </w:tc>
        <w:tc>
          <w:tcPr>
            <w:tcW w:w="1134" w:type="dxa"/>
            <w:tcBorders>
              <w:bottom w:val="single" w:sz="4" w:space="0" w:color="auto"/>
            </w:tcBorders>
            <w:cellDel w:id="440" w:author="Master Repository Process" w:date="2025-06-09T12:54:00Z"/>
          </w:tcPr>
          <w:p>
            <w:pPr>
              <w:pStyle w:val="nTable"/>
              <w:spacing w:after="40"/>
            </w:pPr>
            <w:del w:id="441" w:author="Master Repository Process" w:date="2025-06-09T12:54:00Z">
              <w:r>
                <w:delText>23 of 2024</w:delText>
              </w:r>
            </w:del>
          </w:p>
        </w:tc>
        <w:tc>
          <w:tcPr>
            <w:tcW w:w="1134" w:type="dxa"/>
            <w:tcBorders>
              <w:bottom w:val="single" w:sz="4" w:space="0" w:color="auto"/>
            </w:tcBorders>
            <w:cellDel w:id="442" w:author="Master Repository Process" w:date="2025-06-09T12:54:00Z"/>
          </w:tcPr>
          <w:p>
            <w:pPr>
              <w:pStyle w:val="nTable"/>
              <w:spacing w:after="40"/>
            </w:pPr>
            <w:del w:id="443" w:author="Master Repository Process" w:date="2025-06-09T12:54:00Z">
              <w:r>
                <w:delText>27 Jun 2024</w:delText>
              </w:r>
            </w:del>
          </w:p>
        </w:tc>
        <w:tc>
          <w:tcPr>
            <w:tcW w:w="7088" w:type="dxa"/>
            <w:gridSpan w:val="3"/>
            <w:tcBorders>
              <w:top w:val="nil"/>
              <w:bottom w:val="single" w:sz="8" w:space="0" w:color="auto"/>
            </w:tcBorders>
            <w:shd w:val="clear" w:color="auto" w:fill="auto"/>
          </w:tcPr>
          <w:p>
            <w:pPr>
              <w:pStyle w:val="nTable"/>
              <w:spacing w:after="40"/>
              <w:rPr>
                <w:b/>
                <w:bCs/>
              </w:rPr>
            </w:pPr>
            <w:ins w:id="444" w:author="Master Repository Process" w:date="2025-06-09T12:54:00Z">
              <w:r>
                <w:rPr>
                  <w:b/>
                  <w:bCs/>
                  <w:color w:val="FF0000"/>
                </w:rPr>
                <w:t xml:space="preserve">This Act was repealed by the </w:t>
              </w:r>
              <w:r>
                <w:rPr>
                  <w:b/>
                  <w:bCs/>
                  <w:i/>
                  <w:iCs/>
                  <w:color w:val="FF0000"/>
                </w:rPr>
                <w:t>Firearms Act 2024</w:t>
              </w:r>
              <w:r>
                <w:rPr>
                  <w:b/>
                  <w:bCs/>
                  <w:color w:val="FF0000"/>
                </w:rPr>
                <w:t xml:space="preserve"> s. 440 (No. 23 of 2024) on </w:t>
              </w:r>
            </w:ins>
            <w:r>
              <w:rPr>
                <w:b/>
                <w:bCs/>
                <w:color w:val="FF0000"/>
              </w:rPr>
              <w:t>31 Mar 2025 (see s. 2(d) and SL 2024/289 cl. 2</w:t>
            </w:r>
            <w:del w:id="445" w:author="Master Repository Process" w:date="2025-06-09T12:54:00Z">
              <w:r>
                <w:delText>)</w:delText>
              </w:r>
            </w:del>
            <w:ins w:id="446" w:author="Master Repository Process" w:date="2025-06-09T12:54:00Z">
              <w:r>
                <w:rPr>
                  <w:b/>
                  <w:bCs/>
                  <w:color w:val="FF0000"/>
                </w:rPr>
                <w:t>).</w:t>
              </w:r>
            </w:ins>
          </w:p>
        </w:tc>
      </w:tr>
    </w:tbl>
    <w:p>
      <w:pPr>
        <w:pStyle w:val="nHeading3"/>
      </w:pPr>
      <w:bookmarkStart w:id="447" w:name="_Toc192578549"/>
      <w:bookmarkStart w:id="448" w:name="_Toc185495514"/>
      <w:r>
        <w:t>Other notes</w:t>
      </w:r>
      <w:bookmarkEnd w:id="447"/>
      <w:bookmarkEnd w:id="44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0" w:author="Master Repository Process" w:date="2025-06-09T12:54:00Z">
                              <w:r>
                                <w:rPr>
                                  <w:sz w:val="16"/>
                                </w:rPr>
                                <w:delText>2024</w:delText>
                              </w:r>
                            </w:del>
                            <w:ins w:id="451" w:author="Master Repository Process" w:date="2025-06-09T12: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2" w:author="Master Repository Process" w:date="2025-06-09T12:54:00Z">
                              <w:r>
                                <w:rPr>
                                  <w:sz w:val="16"/>
                                </w:rPr>
                                <w:delText>2024</w:delText>
                              </w:r>
                            </w:del>
                            <w:ins w:id="453" w:author="Master Repository Process" w:date="2025-06-09T12: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4" w:author="Master Repository Process" w:date="2025-06-09T12:54:00Z">
                        <w:r>
                          <w:rPr>
                            <w:sz w:val="16"/>
                          </w:rPr>
                          <w:delText>2024</w:delText>
                        </w:r>
                      </w:del>
                      <w:ins w:id="455" w:author="Master Repository Process" w:date="2025-06-09T12: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6" w:author="Master Repository Process" w:date="2025-06-09T12:54:00Z">
                        <w:r>
                          <w:rPr>
                            <w:sz w:val="16"/>
                          </w:rPr>
                          <w:delText>2024</w:delText>
                        </w:r>
                      </w:del>
                      <w:ins w:id="457" w:author="Master Repository Process" w:date="2025-06-09T12: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4831"/>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 w:name="WAFER_20241213135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35310_GUID" w:val="ddcdde95-8deb-4a63-9b4a-d276a5e97186"/>
    <w:docVar w:name="WAFER_20241218155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26_GUID" w:val="d7fc3b1c-1322-4199-bc03-873ebf3185e1"/>
    <w:docVar w:name="WAFER_2024121815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57_GUID" w:val="480e11cc-2e04-450f-a721-2c7ef0a6df3f"/>
    <w:docVar w:name="WAFER_2025031015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4831_GUID" w:val="e8543400-85ed-431d-a531-04d83d4aa7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31915</Words>
  <Characters>152236</Characters>
  <Application>Microsoft Office Word</Application>
  <DocSecurity>0</DocSecurity>
  <Lines>4006</Lines>
  <Paragraphs>2001</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06-l0-01 - 06-m0-00</dc:title>
  <dc:subject/>
  <dc:creator/>
  <cp:keywords/>
  <dc:description/>
  <cp:lastModifiedBy>Master Repository Process</cp:lastModifiedBy>
  <cp:revision>2</cp:revision>
  <cp:lastPrinted>2022-11-15T06:54:00Z</cp:lastPrinted>
  <dcterms:created xsi:type="dcterms:W3CDTF">2025-06-09T04:54:00Z</dcterms:created>
  <dcterms:modified xsi:type="dcterms:W3CDTF">2025-06-09T04:55:00Z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Official">
    <vt:lpwstr/>
  </property>
  <property fmtid="{D5CDD505-2E9C-101B-9397-08002B2CF9AE}" pid="8" name="Status">
    <vt:lpwstr>NIF</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y fmtid="{D5CDD505-2E9C-101B-9397-08002B2CF9AE}" pid="12" name="FromSuffix">
    <vt:lpwstr>06-l0-01</vt:lpwstr>
  </property>
  <property fmtid="{D5CDD505-2E9C-101B-9397-08002B2CF9AE}" pid="13" name="FromAsAtDate">
    <vt:lpwstr>20 Dec 2024</vt:lpwstr>
  </property>
  <property fmtid="{D5CDD505-2E9C-101B-9397-08002B2CF9AE}" pid="14" name="ToSuffix">
    <vt:lpwstr>06-m0-00</vt:lpwstr>
  </property>
  <property fmtid="{D5CDD505-2E9C-101B-9397-08002B2CF9AE}" pid="15" name="ToAsAtDate">
    <vt:lpwstr>31 Mar 2025</vt:lpwstr>
  </property>
</Properties>
</file>