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Dec 2024</w:t>
      </w:r>
      <w:r>
        <w:fldChar w:fldCharType="end"/>
      </w:r>
      <w:r>
        <w:t xml:space="preserve">, </w:t>
      </w:r>
      <w:r>
        <w:fldChar w:fldCharType="begin"/>
      </w:r>
      <w:r>
        <w:instrText xml:space="preserve"> DocProperty FromSuffix </w:instrText>
      </w:r>
      <w:r>
        <w:fldChar w:fldCharType="separate"/>
      </w:r>
      <w:r>
        <w:t>01-g0-01</w:t>
      </w:r>
      <w:r>
        <w:fldChar w:fldCharType="end"/>
      </w:r>
      <w:r>
        <w:t>] and [</w:t>
      </w:r>
      <w:r>
        <w:fldChar w:fldCharType="begin"/>
      </w:r>
      <w:r>
        <w:instrText xml:space="preserve"> DocProperty ToAsAtDate</w:instrText>
      </w:r>
      <w:r>
        <w:fldChar w:fldCharType="separate"/>
      </w:r>
      <w:r>
        <w:t>31 Mar 2025</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1</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1</w:t>
      </w:r>
      <w:r>
        <w:rPr>
          <w:snapToGrid w:val="0"/>
        </w:rPr>
        <w:t>,</w:t>
      </w:r>
    </w:p>
    <w:p>
      <w:pPr>
        <w:pStyle w:val="LongTitle"/>
        <w:suppressLineNumbers/>
        <w:rPr>
          <w:snapToGrid w:val="0"/>
        </w:rPr>
      </w:pPr>
      <w:r>
        <w:rPr>
          <w:snapToGrid w:val="0"/>
        </w:rPr>
        <w:t>and for related purposes.</w:t>
      </w:r>
    </w:p>
    <w:p>
      <w:pPr>
        <w:pStyle w:val="Heading2"/>
      </w:pPr>
      <w:bookmarkStart w:id="1" w:name="_Toc192505923"/>
      <w:bookmarkStart w:id="2" w:name="_Toc192506190"/>
      <w:bookmarkStart w:id="3" w:name="_Toc192511045"/>
      <w:bookmarkStart w:id="4" w:name="_Toc185489653"/>
      <w:bookmarkStart w:id="5" w:name="_Toc185490196"/>
      <w:bookmarkStart w:id="6" w:name="_Toc185505841"/>
      <w:r>
        <w:rPr>
          <w:rStyle w:val="CharPartNo"/>
        </w:rPr>
        <w:lastRenderedPageBreak/>
        <w:t>Part 1</w:t>
      </w:r>
      <w:r>
        <w:t xml:space="preserve"> — </w:t>
      </w:r>
      <w:r>
        <w:rPr>
          <w:rStyle w:val="CharPartText"/>
        </w:rPr>
        <w:t>Preliminary</w:t>
      </w:r>
      <w:bookmarkEnd w:id="1"/>
      <w:bookmarkEnd w:id="2"/>
      <w:bookmarkEnd w:id="3"/>
      <w:bookmarkEnd w:id="4"/>
      <w:bookmarkEnd w:id="5"/>
      <w:bookmarkEnd w:id="6"/>
    </w:p>
    <w:p>
      <w:pPr>
        <w:pStyle w:val="Heading5"/>
        <w:rPr>
          <w:snapToGrid w:val="0"/>
        </w:rPr>
      </w:pPr>
      <w:bookmarkStart w:id="7" w:name="_Toc192511046"/>
      <w:bookmarkStart w:id="8" w:name="_Toc185505842"/>
      <w:r>
        <w:rPr>
          <w:rStyle w:val="CharSectno"/>
        </w:rPr>
        <w:t>1</w:t>
      </w:r>
      <w:r>
        <w:rPr>
          <w:snapToGrid w:val="0"/>
        </w:rPr>
        <w:t>.</w:t>
      </w:r>
      <w:r>
        <w:rPr>
          <w:snapToGrid w:val="0"/>
        </w:rPr>
        <w:tab/>
        <w:t>Short title</w:t>
      </w:r>
      <w:bookmarkEnd w:id="7"/>
      <w:bookmarkEnd w:id="8"/>
    </w:p>
    <w:p>
      <w:pPr>
        <w:pStyle w:val="Subsection"/>
      </w:pPr>
      <w:r>
        <w:rPr>
          <w:snapToGrid w:val="0"/>
        </w:rPr>
        <w:tab/>
      </w:r>
      <w:r>
        <w:rPr>
          <w:snapToGrid w:val="0"/>
        </w:rPr>
        <w:tab/>
        <w:t>This Act may be cited as the</w:t>
      </w:r>
      <w:r>
        <w:rPr>
          <w:i/>
          <w:snapToGrid w:val="0"/>
        </w:rPr>
        <w:t xml:space="preserve"> Weapons Act 1999.</w:t>
      </w:r>
    </w:p>
    <w:p>
      <w:pPr>
        <w:pStyle w:val="Heading5"/>
        <w:rPr>
          <w:snapToGrid w:val="0"/>
        </w:rPr>
      </w:pPr>
      <w:bookmarkStart w:id="9" w:name="_Toc192511047"/>
      <w:bookmarkStart w:id="10" w:name="_Toc185505843"/>
      <w:r>
        <w:rPr>
          <w:rStyle w:val="CharSectno"/>
        </w:rPr>
        <w:t>2</w:t>
      </w:r>
      <w:r>
        <w:rPr>
          <w:snapToGrid w:val="0"/>
        </w:rPr>
        <w:t>.</w:t>
      </w:r>
      <w:r>
        <w:rPr>
          <w:snapToGrid w:val="0"/>
        </w:rPr>
        <w:tab/>
        <w:t>Commencement</w:t>
      </w:r>
      <w:bookmarkEnd w:id="9"/>
      <w:bookmarkEnd w:id="10"/>
    </w:p>
    <w:p>
      <w:pPr>
        <w:pStyle w:val="Subsection"/>
      </w:pPr>
      <w:r>
        <w:tab/>
        <w:t>(1)</w:t>
      </w:r>
      <w:r>
        <w:tab/>
        <w:t>Subject to subsection (2), this Act comes into operation on such day as is fixed by proclamation.</w:t>
      </w:r>
    </w:p>
    <w:p>
      <w:pPr>
        <w:pStyle w:val="Subsection"/>
      </w:pPr>
      <w:r>
        <w:tab/>
        <w:t>(2)</w:t>
      </w:r>
      <w:r>
        <w:tab/>
        <w:t>Sections 6, 7 and 8 and item 2 of Schedule 1 come into operation on the day 6 months after the day fixed under subsection (1).</w:t>
      </w:r>
    </w:p>
    <w:p>
      <w:pPr>
        <w:pStyle w:val="Heading5"/>
      </w:pPr>
      <w:bookmarkStart w:id="11" w:name="_Toc192511048"/>
      <w:bookmarkStart w:id="12" w:name="_Toc185505844"/>
      <w:r>
        <w:rPr>
          <w:rStyle w:val="CharSectno"/>
        </w:rPr>
        <w:t>3</w:t>
      </w:r>
      <w:r>
        <w:t>.</w:t>
      </w:r>
      <w:r>
        <w:tab/>
        <w:t>Terms used</w:t>
      </w:r>
      <w:bookmarkEnd w:id="11"/>
      <w:bookmarkEnd w:id="12"/>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pPr>
      <w:r>
        <w:tab/>
      </w:r>
      <w:r>
        <w:rPr>
          <w:rStyle w:val="CharDefText"/>
        </w:rPr>
        <w:t>child</w:t>
      </w:r>
      <w:r>
        <w:t xml:space="preserve"> means a person who is under 18 years of age;</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a prohibited weapon or an edged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edged weapon</w:t>
      </w:r>
      <w:r>
        <w:t xml:space="preserve"> has the meaning given in section 3A;</w:t>
      </w:r>
    </w:p>
    <w:p>
      <w:pPr>
        <w:pStyle w:val="Defstart"/>
      </w:pPr>
      <w:r>
        <w:tab/>
      </w:r>
      <w:r>
        <w:rPr>
          <w:rStyle w:val="CharDefText"/>
        </w:rPr>
        <w:t>firearm</w:t>
      </w:r>
      <w:r>
        <w:t xml:space="preserve"> has the </w:t>
      </w:r>
      <w:del w:id="13" w:author="Master Repository Process" w:date="2025-06-04T13:38:00Z">
        <w:r>
          <w:delText xml:space="preserve">same </w:delText>
        </w:r>
      </w:del>
      <w:r>
        <w:t xml:space="preserve">meaning </w:t>
      </w:r>
      <w:del w:id="14" w:author="Master Repository Process" w:date="2025-06-04T13:38:00Z">
        <w:r>
          <w:delText>as</w:delText>
        </w:r>
      </w:del>
      <w:ins w:id="15" w:author="Master Repository Process" w:date="2025-06-04T13:38:00Z">
        <w:r>
          <w:t>given</w:t>
        </w:r>
      </w:ins>
      <w:r>
        <w:t xml:space="preserve"> in </w:t>
      </w:r>
      <w:del w:id="16" w:author="Master Repository Process" w:date="2025-06-04T13:38:00Z">
        <w:r>
          <w:delText xml:space="preserve">section 4 of </w:delText>
        </w:r>
      </w:del>
      <w:r>
        <w:t xml:space="preserve">the </w:t>
      </w:r>
      <w:r>
        <w:rPr>
          <w:i/>
          <w:szCs w:val="22"/>
        </w:rPr>
        <w:t>Firearms Act </w:t>
      </w:r>
      <w:del w:id="17" w:author="Master Repository Process" w:date="2025-06-04T13:38:00Z">
        <w:r>
          <w:rPr>
            <w:i/>
          </w:rPr>
          <w:delText>1973</w:delText>
        </w:r>
      </w:del>
      <w:ins w:id="18" w:author="Master Repository Process" w:date="2025-06-04T13:38:00Z">
        <w:r>
          <w:rPr>
            <w:i/>
            <w:szCs w:val="22"/>
          </w:rPr>
          <w:t>2024</w:t>
        </w:r>
        <w:r>
          <w:t xml:space="preserve"> section 6</w:t>
        </w:r>
      </w:ins>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an edged weapon, a controlled weapon or an article to which section 8 applies.</w:t>
      </w:r>
    </w:p>
    <w:p>
      <w:pPr>
        <w:pStyle w:val="Footnotesection"/>
      </w:pPr>
      <w:r>
        <w:tab/>
        <w:t>[Section 3 amended: No.</w:t>
      </w:r>
      <w:ins w:id="19" w:author="Master Repository Process" w:date="2025-06-04T13:38:00Z">
        <w:r>
          <w:t> 23 of 2024 s. 495; No.</w:t>
        </w:r>
      </w:ins>
      <w:r>
        <w:t> 33 of 2024 s. 11.]</w:t>
      </w:r>
    </w:p>
    <w:p>
      <w:pPr>
        <w:pStyle w:val="Heading5"/>
      </w:pPr>
      <w:bookmarkStart w:id="20" w:name="_Toc192511049"/>
      <w:bookmarkStart w:id="21" w:name="_Toc185505845"/>
      <w:r>
        <w:rPr>
          <w:rStyle w:val="CharSectno"/>
        </w:rPr>
        <w:t>3A</w:t>
      </w:r>
      <w:r>
        <w:t>.</w:t>
      </w:r>
      <w:r>
        <w:tab/>
        <w:t>Meaning of edged weapon</w:t>
      </w:r>
      <w:bookmarkEnd w:id="20"/>
      <w:bookmarkEnd w:id="21"/>
    </w:p>
    <w:p>
      <w:pPr>
        <w:pStyle w:val="Subsection"/>
      </w:pPr>
      <w:r>
        <w:tab/>
        <w:t>(1)</w:t>
      </w:r>
      <w:r>
        <w:tab/>
        <w:t xml:space="preserve">An </w:t>
      </w:r>
      <w:r>
        <w:rPr>
          <w:rStyle w:val="CharDefText"/>
        </w:rPr>
        <w:t>edged weapon</w:t>
      </w:r>
      <w:r>
        <w:t xml:space="preserve"> means the following — </w:t>
      </w:r>
    </w:p>
    <w:p>
      <w:pPr>
        <w:pStyle w:val="Indenta"/>
      </w:pPr>
      <w:r>
        <w:tab/>
        <w:t>(a)</w:t>
      </w:r>
      <w:r>
        <w:tab/>
        <w:t>a knife, a machete, a sickle or a scythe;</w:t>
      </w:r>
    </w:p>
    <w:p>
      <w:pPr>
        <w:pStyle w:val="Indenta"/>
      </w:pPr>
      <w:r>
        <w:tab/>
        <w:t>(b)</w:t>
      </w:r>
      <w:r>
        <w:tab/>
        <w:t>a blade of an article referred to in paragraph (a);</w:t>
      </w:r>
    </w:p>
    <w:p>
      <w:pPr>
        <w:pStyle w:val="Indenta"/>
      </w:pPr>
      <w:r>
        <w:tab/>
        <w:t>(c)</w:t>
      </w:r>
      <w:r>
        <w:tab/>
        <w:t>an axe or an axe head;</w:t>
      </w:r>
    </w:p>
    <w:p>
      <w:pPr>
        <w:pStyle w:val="Indenta"/>
      </w:pPr>
      <w:r>
        <w:tab/>
        <w:t>(d)</w:t>
      </w:r>
      <w:r>
        <w:tab/>
        <w:t xml:space="preserve">an article with a sharpened edge, that is reasonably capable of being held in 1 or both hands, and that is made or modified to be used — </w:t>
      </w:r>
    </w:p>
    <w:p>
      <w:pPr>
        <w:pStyle w:val="Indenti"/>
      </w:pPr>
      <w:r>
        <w:tab/>
        <w:t>(i)</w:t>
      </w:r>
      <w:r>
        <w:tab/>
        <w:t>to injure or disable a person; or</w:t>
      </w:r>
    </w:p>
    <w:p>
      <w:pPr>
        <w:pStyle w:val="Indenti"/>
      </w:pPr>
      <w:r>
        <w:tab/>
        <w:t>(ii)</w:t>
      </w:r>
      <w:r>
        <w:tab/>
        <w:t>to cause a person to fear that someone will be injured or disabled by that use; or</w:t>
      </w:r>
    </w:p>
    <w:p>
      <w:pPr>
        <w:pStyle w:val="Indenti"/>
      </w:pPr>
      <w:r>
        <w:tab/>
        <w:t>(iii)</w:t>
      </w:r>
      <w:r>
        <w:tab/>
        <w:t>for attack or defence in the practice of a martial sport, art or similar discipline;</w:t>
      </w:r>
    </w:p>
    <w:p>
      <w:pPr>
        <w:pStyle w:val="Indenta"/>
      </w:pPr>
      <w:r>
        <w:tab/>
        <w:t>(e)</w:t>
      </w:r>
      <w:r>
        <w:tab/>
        <w:t>an article prescribed by the regulations to be an edged weapon.</w:t>
      </w:r>
    </w:p>
    <w:p>
      <w:pPr>
        <w:pStyle w:val="Subsection"/>
        <w:keepNext/>
      </w:pPr>
      <w:r>
        <w:tab/>
        <w:t>(2)</w:t>
      </w:r>
      <w:r>
        <w:tab/>
        <w:t xml:space="preserve">Despite subsection (1), an </w:t>
      </w:r>
      <w:r>
        <w:rPr>
          <w:rStyle w:val="CharDefText"/>
        </w:rPr>
        <w:t>edged weapon</w:t>
      </w:r>
      <w:r>
        <w:t xml:space="preserve"> does not include the following — </w:t>
      </w:r>
    </w:p>
    <w:p>
      <w:pPr>
        <w:pStyle w:val="Indenta"/>
      </w:pPr>
      <w:r>
        <w:tab/>
        <w:t>(a)</w:t>
      </w:r>
      <w:r>
        <w:tab/>
        <w:t>a firearm, an article prescribed by the regulations to be a controlled weapon or a prohibited weapon;</w:t>
      </w:r>
    </w:p>
    <w:p>
      <w:pPr>
        <w:pStyle w:val="Indenta"/>
      </w:pPr>
      <w:r>
        <w:tab/>
        <w:t>(b)</w:t>
      </w:r>
      <w:r>
        <w:tab/>
        <w:t>a plastic or wooden knife designed to be used for eating;</w:t>
      </w:r>
    </w:p>
    <w:p>
      <w:pPr>
        <w:pStyle w:val="Indenta"/>
      </w:pPr>
      <w:r>
        <w:tab/>
        <w:t>(c)</w:t>
      </w:r>
      <w:r>
        <w:tab/>
        <w:t>a knife with a rounded tip and dull edge;</w:t>
      </w:r>
    </w:p>
    <w:p>
      <w:pPr>
        <w:pStyle w:val="Indenta"/>
      </w:pPr>
      <w:r>
        <w:tab/>
        <w:t>(d)</w:t>
      </w:r>
      <w:r>
        <w:tab/>
        <w:t>an article prescribed by the regulations not to be an edged weapon.</w:t>
      </w:r>
    </w:p>
    <w:p>
      <w:pPr>
        <w:pStyle w:val="Footnotesection"/>
      </w:pPr>
      <w:r>
        <w:tab/>
        <w:t>[Section 3A inserted: No. 33 of 2024 s. 12.]</w:t>
      </w:r>
    </w:p>
    <w:p>
      <w:pPr>
        <w:pStyle w:val="Heading5"/>
      </w:pPr>
      <w:bookmarkStart w:id="22" w:name="_Toc192511050"/>
      <w:bookmarkStart w:id="23" w:name="_Toc185505846"/>
      <w:r>
        <w:rPr>
          <w:rStyle w:val="CharSectno"/>
        </w:rPr>
        <w:t>4</w:t>
      </w:r>
      <w:r>
        <w:t>.</w:t>
      </w:r>
      <w:r>
        <w:tab/>
        <w:t>Relationship to other laws</w:t>
      </w:r>
      <w:bookmarkEnd w:id="22"/>
      <w:bookmarkEnd w:id="23"/>
    </w:p>
    <w:p>
      <w:pPr>
        <w:pStyle w:val="Subsection"/>
        <w:rPr>
          <w:spacing w:val="-2"/>
        </w:rPr>
      </w:pPr>
      <w:r>
        <w:tab/>
      </w:r>
      <w:r>
        <w:tab/>
      </w:r>
      <w:r>
        <w:rPr>
          <w:spacing w:val="-2"/>
        </w:rPr>
        <w:t>This Act is in addition to and not instead of any other written law relating to weapons.</w:t>
      </w:r>
    </w:p>
    <w:p>
      <w:pPr>
        <w:pStyle w:val="Heading5"/>
      </w:pPr>
      <w:bookmarkStart w:id="24" w:name="_Toc192511051"/>
      <w:bookmarkStart w:id="25" w:name="_Toc185505847"/>
      <w:r>
        <w:rPr>
          <w:rStyle w:val="CharSectno"/>
        </w:rPr>
        <w:t>5</w:t>
      </w:r>
      <w:r>
        <w:t>.</w:t>
      </w:r>
      <w:r>
        <w:tab/>
        <w:t>Crown bound</w:t>
      </w:r>
      <w:bookmarkEnd w:id="24"/>
      <w:bookmarkEnd w:id="25"/>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26" w:name="_Toc192505930"/>
      <w:bookmarkStart w:id="27" w:name="_Toc192506197"/>
      <w:bookmarkStart w:id="28" w:name="_Toc192511052"/>
      <w:bookmarkStart w:id="29" w:name="_Toc185489660"/>
      <w:bookmarkStart w:id="30" w:name="_Toc185490203"/>
      <w:bookmarkStart w:id="31" w:name="_Toc185505848"/>
      <w:r>
        <w:rPr>
          <w:rStyle w:val="CharPartNo"/>
        </w:rPr>
        <w:t>Part 2</w:t>
      </w:r>
      <w:r>
        <w:t xml:space="preserve"> — </w:t>
      </w:r>
      <w:r>
        <w:rPr>
          <w:rStyle w:val="CharPartText"/>
        </w:rPr>
        <w:t>Offences</w:t>
      </w:r>
      <w:bookmarkEnd w:id="26"/>
      <w:bookmarkEnd w:id="27"/>
      <w:bookmarkEnd w:id="28"/>
      <w:bookmarkEnd w:id="29"/>
      <w:bookmarkEnd w:id="30"/>
      <w:bookmarkEnd w:id="31"/>
    </w:p>
    <w:p>
      <w:pPr>
        <w:pStyle w:val="Heading5"/>
      </w:pPr>
      <w:bookmarkStart w:id="32" w:name="_Toc192511053"/>
      <w:bookmarkStart w:id="33" w:name="_Toc185505849"/>
      <w:r>
        <w:rPr>
          <w:rStyle w:val="CharSectno"/>
        </w:rPr>
        <w:t>5A</w:t>
      </w:r>
      <w:r>
        <w:t>.</w:t>
      </w:r>
      <w:r>
        <w:tab/>
        <w:t>Lawful excuse</w:t>
      </w:r>
      <w:bookmarkEnd w:id="32"/>
      <w:bookmarkEnd w:id="33"/>
    </w:p>
    <w:p>
      <w:pPr>
        <w:pStyle w:val="Subsection"/>
      </w:pPr>
      <w:r>
        <w:tab/>
        <w:t>(1)</w:t>
      </w:r>
      <w:r>
        <w:tab/>
        <w:t xml:space="preserve">In this Part — </w:t>
      </w:r>
    </w:p>
    <w:p>
      <w:pPr>
        <w:pStyle w:val="Defstart"/>
      </w:pPr>
      <w:r>
        <w:tab/>
      </w:r>
      <w:r>
        <w:rPr>
          <w:rStyle w:val="CharDefText"/>
        </w:rPr>
        <w:t>lawful excuse</w:t>
      </w:r>
      <w:r>
        <w:t xml:space="preserve">, in relation to carrying or possessing a weapon — </w:t>
      </w:r>
    </w:p>
    <w:p>
      <w:pPr>
        <w:pStyle w:val="Defpara"/>
      </w:pPr>
      <w:r>
        <w:tab/>
        <w:t>(a)</w:t>
      </w:r>
      <w:r>
        <w:tab/>
        <w:t xml:space="preserve">includes carrying or possessing the weapon for the purposes of any of the following — </w:t>
      </w:r>
    </w:p>
    <w:p>
      <w:pPr>
        <w:pStyle w:val="Defsubpara"/>
      </w:pPr>
      <w:r>
        <w:tab/>
        <w:t>(i)</w:t>
      </w:r>
      <w:r>
        <w:tab/>
        <w:t xml:space="preserve">a lawful employment, duty or activity; </w:t>
      </w:r>
    </w:p>
    <w:p>
      <w:pPr>
        <w:pStyle w:val="Defsubpara"/>
      </w:pPr>
      <w:r>
        <w:tab/>
        <w:t>(ii)</w:t>
      </w:r>
      <w:r>
        <w:tab/>
        <w:t xml:space="preserve">a lawful sport, recreation or entertainment; </w:t>
      </w:r>
    </w:p>
    <w:p>
      <w:pPr>
        <w:pStyle w:val="Defsubpara"/>
      </w:pPr>
      <w:r>
        <w:tab/>
        <w:t>(iii)</w:t>
      </w:r>
      <w:r>
        <w:tab/>
        <w:t>a lawful collection, display or exhibition of weapons;</w:t>
      </w:r>
    </w:p>
    <w:p>
      <w:pPr>
        <w:pStyle w:val="Defpara"/>
      </w:pPr>
      <w:r>
        <w:tab/>
      </w:r>
      <w:r>
        <w:tab/>
        <w:t>but</w:t>
      </w:r>
    </w:p>
    <w:p>
      <w:pPr>
        <w:pStyle w:val="Defpara"/>
      </w:pPr>
      <w:r>
        <w:tab/>
        <w:t>(b)</w:t>
      </w:r>
      <w:r>
        <w:tab/>
        <w:t>does not include carrying or possessing the weapon for defence unless subsection (2) applies.</w:t>
      </w:r>
    </w:p>
    <w:p>
      <w:pPr>
        <w:pStyle w:val="Subsection"/>
      </w:pPr>
      <w:r>
        <w:tab/>
        <w:t>(2)</w:t>
      </w:r>
      <w:r>
        <w:tab/>
        <w:t>A controlled weapon of a kind prescribed by the regulations may be carried or possessed for defence if it is carried or possessed in the circumstances, if any, prescribed by the regulations.</w:t>
      </w:r>
    </w:p>
    <w:p>
      <w:pPr>
        <w:pStyle w:val="Subsection"/>
      </w:pPr>
      <w:r>
        <w:tab/>
        <w:t>(3)</w:t>
      </w:r>
      <w:r>
        <w:tab/>
        <w:t>Regulations under subsection (2) may apply generally or to a particular person or class of persons.</w:t>
      </w:r>
    </w:p>
    <w:p>
      <w:pPr>
        <w:pStyle w:val="Footnotesection"/>
      </w:pPr>
      <w:r>
        <w:tab/>
        <w:t>[Section 5A inserted: No. 33 of 2024 s. 13.]</w:t>
      </w:r>
    </w:p>
    <w:p>
      <w:pPr>
        <w:pStyle w:val="Heading5"/>
      </w:pPr>
      <w:bookmarkStart w:id="34" w:name="_Toc192511054"/>
      <w:bookmarkStart w:id="35" w:name="_Toc185505850"/>
      <w:r>
        <w:rPr>
          <w:rStyle w:val="CharSectno"/>
        </w:rPr>
        <w:t>6</w:t>
      </w:r>
      <w:r>
        <w:t>.</w:t>
      </w:r>
      <w:r>
        <w:tab/>
        <w:t>Prohibited weapons</w:t>
      </w:r>
      <w:bookmarkEnd w:id="34"/>
      <w:bookmarkEnd w:id="35"/>
    </w:p>
    <w:p>
      <w:pPr>
        <w:pStyle w:val="Subsection"/>
      </w:pPr>
      <w:r>
        <w:tab/>
        <w:t>(1)</w:t>
      </w:r>
      <w:r>
        <w:tab/>
        <w:t xml:space="preserve">Except as provided in subsections (2) and (3) and section 10, a person who does or attempts to do any of the following commits a crime —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w:t>
      </w:r>
    </w:p>
    <w:p>
      <w:pPr>
        <w:pStyle w:val="Indenta"/>
        <w:keepNext/>
      </w:pPr>
      <w:r>
        <w:tab/>
        <w:t>(d)</w:t>
      </w:r>
      <w:r>
        <w:tab/>
        <w:t>manufactures a prohibited weapon.</w:t>
      </w:r>
    </w:p>
    <w:p>
      <w:pPr>
        <w:pStyle w:val="Penstart"/>
      </w:pPr>
      <w:r>
        <w:tab/>
        <w:t>Penalty for this subsection: imprisonment for 5 years and a fine of $60 000.</w:t>
      </w:r>
    </w:p>
    <w:p>
      <w:pPr>
        <w:pStyle w:val="Penstart"/>
      </w:pPr>
      <w:r>
        <w:tab/>
        <w:t>Summary conviction penalty for this subsection: imprisonment for 3 years and a fine of $36 000.</w:t>
      </w:r>
    </w:p>
    <w:p>
      <w:pPr>
        <w:pStyle w:val="Subsection"/>
      </w:pPr>
      <w:r>
        <w:tab/>
        <w:t>(2)</w:t>
      </w:r>
      <w:r>
        <w:tab/>
        <w:t>A person does not commit a crime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 crime against that subsection if it is for the purpose of fulfilling a contract for the provision of a prohibited weapon to a person who may lawfully possess it.</w:t>
      </w:r>
    </w:p>
    <w:p>
      <w:pPr>
        <w:pStyle w:val="PermNoteHeading"/>
      </w:pPr>
      <w:r>
        <w:tab/>
        <w:t xml:space="preserve">Note for this section: </w:t>
      </w:r>
    </w:p>
    <w:p>
      <w:pPr>
        <w:pStyle w:val="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 crime under this section.</w:t>
      </w:r>
    </w:p>
    <w:p>
      <w:pPr>
        <w:pStyle w:val="Footnotesection"/>
        <w:rPr>
          <w:spacing w:val="-2"/>
        </w:rPr>
      </w:pPr>
      <w:r>
        <w:tab/>
        <w:t>[Section 6 amended: No. 34 of 2009 s. 6; No. 33 of 2024 s. 14.]</w:t>
      </w:r>
    </w:p>
    <w:p>
      <w:pPr>
        <w:pStyle w:val="Heading5"/>
      </w:pPr>
      <w:bookmarkStart w:id="36" w:name="_Toc192511055"/>
      <w:bookmarkStart w:id="37" w:name="_Toc185505851"/>
      <w:r>
        <w:rPr>
          <w:rStyle w:val="CharSectno"/>
        </w:rPr>
        <w:t>6A</w:t>
      </w:r>
      <w:r>
        <w:t>.</w:t>
      </w:r>
      <w:r>
        <w:tab/>
        <w:t>Edged weapons</w:t>
      </w:r>
      <w:bookmarkEnd w:id="36"/>
      <w:bookmarkEnd w:id="37"/>
    </w:p>
    <w:p>
      <w:pPr>
        <w:pStyle w:val="Subsection"/>
      </w:pPr>
      <w:r>
        <w:tab/>
        <w:t>(1)</w:t>
      </w:r>
      <w:r>
        <w:tab/>
        <w:t>Except as provided in section 10, a person who, without a lawful excuse, carries or possesses an edged weapon commits an offence.</w:t>
      </w:r>
    </w:p>
    <w:p>
      <w:pPr>
        <w:pStyle w:val="Penstart"/>
      </w:pPr>
      <w:r>
        <w:tab/>
        <w:t>Penalty for this subsection: imprisonment for 3 years and a fine of $36 000.</w:t>
      </w:r>
    </w:p>
    <w:p>
      <w:pPr>
        <w:pStyle w:val="Subsection"/>
      </w:pPr>
      <w:r>
        <w:tab/>
        <w:t>(2)</w:t>
      </w:r>
      <w:r>
        <w:tab/>
        <w:t xml:space="preserve">Except as provided in section 10, a person who has a lawful excuse to carry or possess an edged weapon commits an offence if the person carries or possesses it in a manner that could reasonably be expected to cause someone — </w:t>
      </w:r>
    </w:p>
    <w:p>
      <w:pPr>
        <w:pStyle w:val="Indenta"/>
      </w:pPr>
      <w:r>
        <w:tab/>
        <w:t>(a)</w:t>
      </w:r>
      <w:r>
        <w:tab/>
        <w:t>to be injured or disabled; or</w:t>
      </w:r>
    </w:p>
    <w:p>
      <w:pPr>
        <w:pStyle w:val="Indenta"/>
      </w:pPr>
      <w:r>
        <w:tab/>
        <w:t>(b)</w:t>
      </w:r>
      <w:r>
        <w:tab/>
        <w:t>to fear that someone will be injured or disabled.</w:t>
      </w:r>
    </w:p>
    <w:p>
      <w:pPr>
        <w:pStyle w:val="Penstart"/>
      </w:pPr>
      <w:r>
        <w:tab/>
        <w:t>Penalty for this subsection: imprisonment for 3 years and a fine of $36 000.</w:t>
      </w:r>
    </w:p>
    <w:p>
      <w:pPr>
        <w:pStyle w:val="PermNoteHeading"/>
      </w:pPr>
      <w:r>
        <w:tab/>
        <w:t xml:space="preserve">Note for this section: </w:t>
      </w:r>
    </w:p>
    <w:p>
      <w:pPr>
        <w:pStyle w:val="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p>
    <w:p>
      <w:pPr>
        <w:pStyle w:val="Footnotesection"/>
      </w:pPr>
      <w:r>
        <w:tab/>
        <w:t>[Section 6A inserted: No. 33 of 2024 s. 15.]</w:t>
      </w:r>
    </w:p>
    <w:p>
      <w:pPr>
        <w:pStyle w:val="Heading5"/>
      </w:pPr>
      <w:bookmarkStart w:id="38" w:name="_Toc192511056"/>
      <w:bookmarkStart w:id="39" w:name="_Toc185505852"/>
      <w:r>
        <w:rPr>
          <w:rStyle w:val="CharSectno"/>
        </w:rPr>
        <w:t>6B</w:t>
      </w:r>
      <w:r>
        <w:t>.</w:t>
      </w:r>
      <w:r>
        <w:tab/>
        <w:t>Selling or supplying edged weapons to children</w:t>
      </w:r>
      <w:bookmarkEnd w:id="38"/>
      <w:bookmarkEnd w:id="39"/>
    </w:p>
    <w:p>
      <w:pPr>
        <w:pStyle w:val="Subsection"/>
      </w:pPr>
      <w:r>
        <w:tab/>
        <w:t>(1)</w:t>
      </w:r>
      <w:r>
        <w:tab/>
        <w:t>A person who sells an edged weapon to a child commits an offence.</w:t>
      </w:r>
    </w:p>
    <w:p>
      <w:pPr>
        <w:pStyle w:val="Penstart"/>
      </w:pPr>
      <w:r>
        <w:tab/>
        <w:t>Penalty for this subsection: imprisonment for 3 years and a fine of $36 000.</w:t>
      </w:r>
    </w:p>
    <w:p>
      <w:pPr>
        <w:pStyle w:val="Subsection"/>
      </w:pPr>
      <w:r>
        <w:tab/>
        <w:t>(2)</w:t>
      </w:r>
      <w:r>
        <w:tab/>
        <w:t>A person who supplies an edged weapon to a child commits an offence.</w:t>
      </w:r>
    </w:p>
    <w:p>
      <w:pPr>
        <w:pStyle w:val="Penstart"/>
      </w:pPr>
      <w:r>
        <w:tab/>
        <w:t>Penalty for this subsection: imprisonment for 3 years and a fine of $36 000.</w:t>
      </w:r>
    </w:p>
    <w:p>
      <w:pPr>
        <w:pStyle w:val="Subsection"/>
      </w:pPr>
      <w:r>
        <w:tab/>
        <w:t>(3)</w:t>
      </w:r>
      <w:r>
        <w:tab/>
        <w:t>It is a defence to a charge of an offence under subsection (2) to prove the accused believed on reasonable grounds that, at the time the edged weapon was supplied, the child had a lawful excuse to carry or possess the weapon.</w:t>
      </w:r>
    </w:p>
    <w:p>
      <w:pPr>
        <w:pStyle w:val="PermNoteHeading"/>
      </w:pPr>
      <w:r>
        <w:tab/>
        <w:t xml:space="preserve">Note for this section: </w:t>
      </w:r>
    </w:p>
    <w:p>
      <w:pPr>
        <w:pStyle w:val="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p>
    <w:p>
      <w:pPr>
        <w:pStyle w:val="Footnotesection"/>
      </w:pPr>
      <w:r>
        <w:tab/>
        <w:t>[Section 6B inserted: No. 33 of 2024 s. 15.]</w:t>
      </w:r>
    </w:p>
    <w:p>
      <w:pPr>
        <w:pStyle w:val="Heading5"/>
        <w:spacing w:before="240"/>
      </w:pPr>
      <w:bookmarkStart w:id="40" w:name="_Toc192511057"/>
      <w:bookmarkStart w:id="41" w:name="_Toc185505853"/>
      <w:r>
        <w:rPr>
          <w:rStyle w:val="CharSectno"/>
        </w:rPr>
        <w:t>7</w:t>
      </w:r>
      <w:r>
        <w:t>.</w:t>
      </w:r>
      <w:r>
        <w:tab/>
        <w:t>Controlled weapons</w:t>
      </w:r>
      <w:bookmarkEnd w:id="40"/>
      <w:bookmarkEnd w:id="41"/>
    </w:p>
    <w:p>
      <w:pPr>
        <w:pStyle w:val="Subsection"/>
        <w:keepNext/>
      </w:pPr>
      <w:r>
        <w:tab/>
        <w:t>(1)</w:t>
      </w:r>
      <w:r>
        <w:tab/>
        <w:t>Except as provided in section 10, a person who, without a lawful excuse, carries or possesses a controlled weapon commits an offence.</w:t>
      </w:r>
    </w:p>
    <w:p>
      <w:pPr>
        <w:pStyle w:val="Penstart"/>
      </w:pPr>
      <w:r>
        <w:tab/>
        <w:t>Penalty for this subsection: imprisonment for 2 years and a fine of $24 000.</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for this subsection: imprisonment for 2 years and a fine of $24 000.</w:t>
      </w:r>
    </w:p>
    <w:p>
      <w:pPr>
        <w:pStyle w:val="Ednotesubsection"/>
        <w:spacing w:before="120"/>
      </w:pPr>
      <w:r>
        <w:tab/>
        <w:t>[(3</w:t>
      </w:r>
      <w:r>
        <w:noBreakHyphen/>
        <w:t>5)</w:t>
      </w:r>
      <w:r>
        <w:tab/>
        <w:t>deleted]</w:t>
      </w:r>
    </w:p>
    <w:p>
      <w:pPr>
        <w:pStyle w:val="Footnotesection"/>
        <w:rPr>
          <w:spacing w:val="-2"/>
        </w:rPr>
      </w:pPr>
      <w:r>
        <w:tab/>
        <w:t>[Section 7 amended: No. 34 of 2009 s. 7; No. 33 of 2024 s. 16.]</w:t>
      </w:r>
    </w:p>
    <w:p>
      <w:pPr>
        <w:pStyle w:val="Heading5"/>
      </w:pPr>
      <w:bookmarkStart w:id="42" w:name="_Toc192511058"/>
      <w:bookmarkStart w:id="43" w:name="_Toc185505854"/>
      <w:r>
        <w:rPr>
          <w:rStyle w:val="CharSectno"/>
        </w:rPr>
        <w:t>8A</w:t>
      </w:r>
      <w:r>
        <w:t>.</w:t>
      </w:r>
      <w:r>
        <w:tab/>
        <w:t>Selling or supplying controlled weapons to children</w:t>
      </w:r>
      <w:bookmarkEnd w:id="42"/>
      <w:bookmarkEnd w:id="43"/>
    </w:p>
    <w:p>
      <w:pPr>
        <w:pStyle w:val="Ednotesubsection"/>
        <w:spacing w:before="120"/>
      </w:pPr>
      <w:r>
        <w:tab/>
        <w:t>[(1)</w:t>
      </w:r>
      <w:r>
        <w:tab/>
        <w:t>deleted]</w:t>
      </w:r>
    </w:p>
    <w:p>
      <w:pPr>
        <w:pStyle w:val="Subsection"/>
      </w:pPr>
      <w:r>
        <w:tab/>
        <w:t>(2)</w:t>
      </w:r>
      <w:r>
        <w:tab/>
        <w:t>A person who sells a controlled weapon to a child commits an offence.</w:t>
      </w:r>
    </w:p>
    <w:p>
      <w:pPr>
        <w:pStyle w:val="Penstart"/>
      </w:pPr>
      <w:r>
        <w:tab/>
        <w:t>Penalty for this subsection: imprisonment for 2 years and a fine of $24 000.</w:t>
      </w:r>
    </w:p>
    <w:p>
      <w:pPr>
        <w:pStyle w:val="Subsection"/>
      </w:pPr>
      <w:r>
        <w:tab/>
        <w:t>(3)</w:t>
      </w:r>
      <w:r>
        <w:tab/>
        <w:t>A person who supplies a controlled weapon to a child commits an offence.</w:t>
      </w:r>
    </w:p>
    <w:p>
      <w:pPr>
        <w:pStyle w:val="Penstart"/>
      </w:pPr>
      <w:r>
        <w:tab/>
        <w:t>Penalty for this subsection: imprisonment for 2 years and a fine of $24 000.</w:t>
      </w:r>
    </w:p>
    <w:p>
      <w:pPr>
        <w:pStyle w:val="Subsection"/>
        <w:keepNext/>
      </w:pPr>
      <w:r>
        <w:tab/>
        <w:t>(4)</w:t>
      </w:r>
      <w:r>
        <w:tab/>
        <w:t>It is a defence to a charge of an offence under subsection (3) to prove the accused believed on reasonable grounds that, at the time the controlled weapon was supplied, the child had a lawful excuse to carry or possess the weapon.</w:t>
      </w:r>
    </w:p>
    <w:p>
      <w:pPr>
        <w:pStyle w:val="Footnotesection"/>
      </w:pPr>
      <w:r>
        <w:tab/>
        <w:t>[Section 8A inserted: No. 34 of 2009 s. 8; amended: No. 33 of 2024 s. 17.]</w:t>
      </w:r>
    </w:p>
    <w:p>
      <w:pPr>
        <w:pStyle w:val="Heading5"/>
        <w:spacing w:before="240"/>
      </w:pPr>
      <w:bookmarkStart w:id="44" w:name="_Toc192511059"/>
      <w:bookmarkStart w:id="45" w:name="_Toc185505855"/>
      <w:r>
        <w:rPr>
          <w:rStyle w:val="CharSectno"/>
        </w:rPr>
        <w:t>8</w:t>
      </w:r>
      <w:r>
        <w:t>.</w:t>
      </w:r>
      <w:r>
        <w:tab/>
        <w:t>Other articles carried or possessed as weapons</w:t>
      </w:r>
      <w:bookmarkEnd w:id="44"/>
      <w:bookmarkEnd w:id="45"/>
    </w:p>
    <w:p>
      <w:pPr>
        <w:pStyle w:val="Subsection"/>
      </w:pPr>
      <w:r>
        <w:tab/>
        <w:t>(1)</w:t>
      </w:r>
      <w:r>
        <w:tab/>
        <w:t xml:space="preserve">Except as provided in subsections (3) and (5) and section 10, a person commits an offence if the person carries or possesses an article, not being a firearm, a prohibited weapon, an edged weapon or a controlled weapon, with the intention of using it, whether or not for defence — </w:t>
      </w:r>
    </w:p>
    <w:p>
      <w:pPr>
        <w:pStyle w:val="Indenta"/>
      </w:pPr>
      <w:r>
        <w:tab/>
        <w:t>(a)</w:t>
      </w:r>
      <w:r>
        <w:tab/>
        <w:t>to injure or disable any person; or</w:t>
      </w:r>
    </w:p>
    <w:p>
      <w:pPr>
        <w:pStyle w:val="Indenta"/>
      </w:pPr>
      <w:r>
        <w:tab/>
        <w:t>(b)</w:t>
      </w:r>
      <w:r>
        <w:tab/>
        <w:t>to cause any person to fear that someone will be injured or disabled by that use.</w:t>
      </w:r>
    </w:p>
    <w:p>
      <w:pPr>
        <w:pStyle w:val="Penstart"/>
      </w:pPr>
      <w:r>
        <w:tab/>
        <w:t>Penalty for this subsection: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 No. 33 of 2024 s. 18.]</w:t>
      </w:r>
    </w:p>
    <w:p>
      <w:pPr>
        <w:pStyle w:val="Heading5"/>
      </w:pPr>
      <w:bookmarkStart w:id="46" w:name="_Toc192511060"/>
      <w:bookmarkStart w:id="47" w:name="_Toc185505856"/>
      <w:r>
        <w:rPr>
          <w:rStyle w:val="CharSectno"/>
        </w:rPr>
        <w:t>9</w:t>
      </w:r>
      <w:r>
        <w:t>.</w:t>
      </w:r>
      <w:r>
        <w:tab/>
      </w:r>
      <w:r>
        <w:rPr>
          <w:i/>
        </w:rPr>
        <w:t>The Criminal Code</w:t>
      </w:r>
      <w:r>
        <w:t xml:space="preserve"> s. 25 and 31 not affected</w:t>
      </w:r>
      <w:bookmarkEnd w:id="46"/>
      <w:bookmarkEnd w:id="47"/>
    </w:p>
    <w:p>
      <w:pPr>
        <w:pStyle w:val="Subsection"/>
      </w:pPr>
      <w:r>
        <w:tab/>
      </w:r>
      <w:r>
        <w:tab/>
        <w:t xml:space="preserve">The following provisions of this Act do not affect the operation of </w:t>
      </w:r>
      <w:r>
        <w:rPr>
          <w:i/>
          <w:iCs/>
        </w:rPr>
        <w:t>The Criminal Code</w:t>
      </w:r>
      <w:r>
        <w:t xml:space="preserve"> sections 25 and 31 — </w:t>
      </w:r>
    </w:p>
    <w:p>
      <w:pPr>
        <w:pStyle w:val="Indenta"/>
      </w:pPr>
      <w:r>
        <w:tab/>
        <w:t>(a)</w:t>
      </w:r>
      <w:r>
        <w:tab/>
        <w:t xml:space="preserve">paragraph (b) of the definition of </w:t>
      </w:r>
      <w:r>
        <w:rPr>
          <w:b/>
          <w:i/>
        </w:rPr>
        <w:t>lawful excuse</w:t>
      </w:r>
      <w:r>
        <w:t xml:space="preserve"> in section 5A(1);</w:t>
      </w:r>
    </w:p>
    <w:p>
      <w:pPr>
        <w:pStyle w:val="Indenta"/>
      </w:pPr>
      <w:r>
        <w:tab/>
        <w:t>(b)</w:t>
      </w:r>
      <w:r>
        <w:tab/>
        <w:t>section 8(1).</w:t>
      </w:r>
    </w:p>
    <w:p>
      <w:pPr>
        <w:pStyle w:val="Footnotesection"/>
        <w:rPr>
          <w:spacing w:val="-2"/>
        </w:rPr>
      </w:pPr>
      <w:r>
        <w:tab/>
        <w:t>[Section 9 inserted: No. 33 of 2024 s. 19.]</w:t>
      </w:r>
    </w:p>
    <w:p>
      <w:pPr>
        <w:pStyle w:val="Heading5"/>
      </w:pPr>
      <w:bookmarkStart w:id="48" w:name="_Toc192511061"/>
      <w:bookmarkStart w:id="49" w:name="_Toc185505857"/>
      <w:r>
        <w:rPr>
          <w:rStyle w:val="CharSectno"/>
        </w:rPr>
        <w:t>10</w:t>
      </w:r>
      <w:r>
        <w:t>.</w:t>
      </w:r>
      <w:r>
        <w:tab/>
        <w:t>Exceptions</w:t>
      </w:r>
      <w:bookmarkEnd w:id="48"/>
      <w:bookmarkEnd w:id="49"/>
    </w:p>
    <w:p>
      <w:pPr>
        <w:pStyle w:val="Subsection"/>
        <w:keepNext/>
        <w:rPr>
          <w:spacing w:val="-2"/>
        </w:rPr>
      </w:pPr>
      <w:r>
        <w:tab/>
        <w:t>(1)</w:t>
      </w:r>
      <w:r>
        <w:tab/>
        <w:t xml:space="preserve">A person does not commit an offence under section 6, 6A,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pPr>
      <w:r>
        <w:tab/>
        <w:t>(i)</w:t>
      </w:r>
      <w:r>
        <w:tab/>
      </w:r>
      <w:r>
        <w:rPr>
          <w:spacing w:val="-2"/>
        </w:rPr>
        <w:t>engaged to provide a service to the Police Force; or</w:t>
      </w:r>
    </w:p>
    <w:p>
      <w:pPr>
        <w:pStyle w:val="Indenti"/>
        <w:keepNext/>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6A(1)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6A, 6B,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 No. 33 of 2024 s. 20.]</w:t>
      </w:r>
    </w:p>
    <w:p>
      <w:pPr>
        <w:pStyle w:val="Heading5"/>
      </w:pPr>
      <w:bookmarkStart w:id="50" w:name="_Toc192511062"/>
      <w:bookmarkStart w:id="51" w:name="_Toc185505858"/>
      <w:r>
        <w:rPr>
          <w:rStyle w:val="CharSectno"/>
        </w:rPr>
        <w:t>11</w:t>
      </w:r>
      <w:r>
        <w:t>.</w:t>
      </w:r>
      <w:r>
        <w:tab/>
        <w:t>Proof of exceptions or lawful excuses</w:t>
      </w:r>
      <w:bookmarkEnd w:id="50"/>
      <w:bookmarkEnd w:id="51"/>
    </w:p>
    <w:p>
      <w:pPr>
        <w:pStyle w:val="Subsection"/>
        <w:keepNext/>
      </w:pPr>
      <w:r>
        <w:tab/>
      </w:r>
      <w:r>
        <w:tab/>
        <w:t>In any proceedings against a person for an offence under section 6, 6A, 6B, 7, 8A or 8 the person has the burden of proving any exception under that section or section 10 or any lawful excuse on which the person seeks to rely.</w:t>
      </w:r>
    </w:p>
    <w:p>
      <w:pPr>
        <w:pStyle w:val="Footnotesection"/>
      </w:pPr>
      <w:r>
        <w:tab/>
        <w:t>[Section 11 amended: No. 34 of 2009 s. 11; No. 33 of 2024 s. 21.]</w:t>
      </w:r>
    </w:p>
    <w:p>
      <w:pPr>
        <w:pStyle w:val="Heading2"/>
      </w:pPr>
      <w:bookmarkStart w:id="52" w:name="_Toc192505941"/>
      <w:bookmarkStart w:id="53" w:name="_Toc192506208"/>
      <w:bookmarkStart w:id="54" w:name="_Toc192511063"/>
      <w:bookmarkStart w:id="55" w:name="_Toc185489671"/>
      <w:bookmarkStart w:id="56" w:name="_Toc185490214"/>
      <w:bookmarkStart w:id="57" w:name="_Toc185505859"/>
      <w:r>
        <w:rPr>
          <w:rStyle w:val="CharPartNo"/>
        </w:rPr>
        <w:t>Part 3</w:t>
      </w:r>
      <w:r>
        <w:t xml:space="preserve"> — </w:t>
      </w:r>
      <w:r>
        <w:rPr>
          <w:rStyle w:val="CharPartText"/>
        </w:rPr>
        <w:t>Enforcement</w:t>
      </w:r>
      <w:bookmarkEnd w:id="52"/>
      <w:bookmarkEnd w:id="53"/>
      <w:bookmarkEnd w:id="54"/>
      <w:bookmarkEnd w:id="55"/>
      <w:bookmarkEnd w:id="56"/>
      <w:bookmarkEnd w:id="57"/>
    </w:p>
    <w:p>
      <w:pPr>
        <w:pStyle w:val="Heading5"/>
      </w:pPr>
      <w:bookmarkStart w:id="58" w:name="_Toc192511064"/>
      <w:bookmarkStart w:id="59" w:name="_Toc185505860"/>
      <w:r>
        <w:rPr>
          <w:rStyle w:val="CharSectno"/>
        </w:rPr>
        <w:t>12</w:t>
      </w:r>
      <w:r>
        <w:t>.</w:t>
      </w:r>
      <w:r>
        <w:tab/>
        <w:t>Interpretation</w:t>
      </w:r>
      <w:bookmarkEnd w:id="58"/>
      <w:bookmarkEnd w:id="59"/>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6A, 6B, 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 No. 33 of 2024 s. 22.]</w:t>
      </w:r>
    </w:p>
    <w:p>
      <w:pPr>
        <w:pStyle w:val="Heading5"/>
      </w:pPr>
      <w:bookmarkStart w:id="60" w:name="_Toc192511065"/>
      <w:bookmarkStart w:id="61" w:name="_Toc185505861"/>
      <w:r>
        <w:rPr>
          <w:rStyle w:val="CharSectno"/>
        </w:rPr>
        <w:t>13</w:t>
      </w:r>
      <w:r>
        <w:t>.</w:t>
      </w:r>
      <w:r>
        <w:tab/>
        <w:t>Search and seizure without a warrant</w:t>
      </w:r>
      <w:bookmarkEnd w:id="60"/>
      <w:bookmarkEnd w:id="61"/>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62" w:name="_Toc192511066"/>
      <w:bookmarkStart w:id="63" w:name="_Toc185505862"/>
      <w:r>
        <w:rPr>
          <w:rStyle w:val="CharSectno"/>
        </w:rPr>
        <w:t>14</w:t>
      </w:r>
      <w:r>
        <w:t>.</w:t>
      </w:r>
      <w:r>
        <w:tab/>
        <w:t>Search and seizure with a warrant</w:t>
      </w:r>
      <w:bookmarkEnd w:id="62"/>
      <w:bookmarkEnd w:id="63"/>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64" w:name="_Toc192511067"/>
      <w:bookmarkStart w:id="65" w:name="_Toc185505863"/>
      <w:r>
        <w:rPr>
          <w:rStyle w:val="CharSectno"/>
        </w:rPr>
        <w:t>15</w:t>
      </w:r>
      <w:r>
        <w:t>.</w:t>
      </w:r>
      <w:r>
        <w:tab/>
        <w:t>Retaining something seized but not forfeited</w:t>
      </w:r>
      <w:bookmarkEnd w:id="64"/>
      <w:bookmarkEnd w:id="65"/>
    </w:p>
    <w:p>
      <w:pPr>
        <w:pStyle w:val="Subsection"/>
        <w:keepNext/>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66" w:name="_Toc192511068"/>
      <w:bookmarkStart w:id="67" w:name="_Toc185505864"/>
      <w:r>
        <w:rPr>
          <w:rStyle w:val="CharSectno"/>
        </w:rPr>
        <w:t>16</w:t>
      </w:r>
      <w:r>
        <w:t>.</w:t>
      </w:r>
      <w:r>
        <w:tab/>
        <w:t>Forfeiture and delivery of a weapon on conviction</w:t>
      </w:r>
      <w:bookmarkEnd w:id="66"/>
      <w:bookmarkEnd w:id="67"/>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68" w:name="_Toc192511069"/>
      <w:bookmarkStart w:id="69" w:name="_Toc185505865"/>
      <w:r>
        <w:rPr>
          <w:rStyle w:val="CharSectno"/>
        </w:rPr>
        <w:t>17</w:t>
      </w:r>
      <w:r>
        <w:t>.</w:t>
      </w:r>
      <w:r>
        <w:tab/>
        <w:t>Forfeiture and delivery of a weapon other than on conviction</w:t>
      </w:r>
      <w:bookmarkEnd w:id="68"/>
      <w:bookmarkEnd w:id="69"/>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70" w:name="_Toc192511070"/>
      <w:bookmarkStart w:id="71" w:name="_Toc185505866"/>
      <w:r>
        <w:rPr>
          <w:rStyle w:val="CharSectno"/>
        </w:rPr>
        <w:t>18</w:t>
      </w:r>
      <w:r>
        <w:t>.</w:t>
      </w:r>
      <w:r>
        <w:tab/>
        <w:t>Disposal of a forfeited weapon</w:t>
      </w:r>
      <w:bookmarkEnd w:id="70"/>
      <w:bookmarkEnd w:id="71"/>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72" w:name="_Toc192511071"/>
      <w:bookmarkStart w:id="73" w:name="_Toc185505867"/>
      <w:r>
        <w:rPr>
          <w:rStyle w:val="CharSectno"/>
        </w:rPr>
        <w:t>19</w:t>
      </w:r>
      <w:r>
        <w:t>.</w:t>
      </w:r>
      <w:r>
        <w:tab/>
        <w:t>Commissioner may delegate a function</w:t>
      </w:r>
      <w:bookmarkEnd w:id="72"/>
      <w:bookmarkEnd w:id="73"/>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74" w:name="_Toc192505950"/>
      <w:bookmarkStart w:id="75" w:name="_Toc192506217"/>
      <w:bookmarkStart w:id="76" w:name="_Toc192511072"/>
      <w:bookmarkStart w:id="77" w:name="_Toc185489680"/>
      <w:bookmarkStart w:id="78" w:name="_Toc185490223"/>
      <w:bookmarkStart w:id="79" w:name="_Toc185505868"/>
      <w:r>
        <w:rPr>
          <w:rStyle w:val="CharPartNo"/>
        </w:rPr>
        <w:t>Part 4</w:t>
      </w:r>
      <w:r>
        <w:t xml:space="preserve"> — </w:t>
      </w:r>
      <w:r>
        <w:rPr>
          <w:rStyle w:val="CharPartText"/>
        </w:rPr>
        <w:t>Miscellaneous</w:t>
      </w:r>
      <w:bookmarkEnd w:id="74"/>
      <w:bookmarkEnd w:id="75"/>
      <w:bookmarkEnd w:id="76"/>
      <w:bookmarkEnd w:id="77"/>
      <w:bookmarkEnd w:id="78"/>
      <w:bookmarkEnd w:id="79"/>
    </w:p>
    <w:p>
      <w:pPr>
        <w:pStyle w:val="Heading5"/>
      </w:pPr>
      <w:bookmarkStart w:id="80" w:name="_Toc192511073"/>
      <w:bookmarkStart w:id="81" w:name="_Toc185505869"/>
      <w:r>
        <w:rPr>
          <w:rStyle w:val="CharSectno"/>
        </w:rPr>
        <w:t>20</w:t>
      </w:r>
      <w:r>
        <w:t>.</w:t>
      </w:r>
      <w:r>
        <w:tab/>
        <w:t>Regulations</w:t>
      </w:r>
      <w:bookmarkEnd w:id="80"/>
      <w:bookmarkEnd w:id="81"/>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544" w:gutter="0"/>
          <w:pgNumType w:start="1"/>
          <w:cols w:space="720"/>
          <w:titlePg/>
          <w:docGrid w:linePitch="326"/>
        </w:sectPr>
      </w:pPr>
    </w:p>
    <w:p>
      <w:pPr>
        <w:pStyle w:val="nHeading2"/>
      </w:pPr>
      <w:bookmarkStart w:id="82" w:name="_Toc192505952"/>
      <w:bookmarkStart w:id="83" w:name="_Toc192506219"/>
      <w:bookmarkStart w:id="84" w:name="_Toc192511074"/>
      <w:bookmarkStart w:id="85" w:name="_Toc185489682"/>
      <w:bookmarkStart w:id="86" w:name="_Toc185490225"/>
      <w:bookmarkStart w:id="87" w:name="_Toc185505870"/>
      <w:r>
        <w:t>Notes</w:t>
      </w:r>
      <w:bookmarkEnd w:id="82"/>
      <w:bookmarkEnd w:id="83"/>
      <w:bookmarkEnd w:id="84"/>
      <w:bookmarkEnd w:id="85"/>
      <w:bookmarkEnd w:id="86"/>
      <w:bookmarkEnd w:id="87"/>
    </w:p>
    <w:p>
      <w:pPr>
        <w:pStyle w:val="nStatement"/>
      </w:pPr>
      <w:r>
        <w:t xml:space="preserve">This is a compilation of the </w:t>
      </w:r>
      <w:r>
        <w:rPr>
          <w:i/>
          <w:noProof/>
        </w:rPr>
        <w:t>Weapons Act 1999</w:t>
      </w:r>
      <w:r>
        <w:t xml:space="preserve"> and includes amendments made by other written laws. For provisions that have come into operation, and for information about any reprints, see the compilation table. </w:t>
      </w:r>
      <w:del w:id="88" w:author="Master Repository Process" w:date="2025-06-04T13:38:00Z">
        <w:r>
          <w:delText>For provisions that have not yet come into operation see the uncommenced provisions table.</w:delText>
        </w:r>
      </w:del>
    </w:p>
    <w:p>
      <w:pPr>
        <w:pStyle w:val="nHeading3"/>
        <w:rPr>
          <w:snapToGrid w:val="0"/>
        </w:rPr>
      </w:pPr>
      <w:bookmarkStart w:id="89" w:name="_Toc192511075"/>
      <w:bookmarkStart w:id="90" w:name="_Toc185505871"/>
      <w:r>
        <w:t>Compilation table</w:t>
      </w:r>
      <w:bookmarkEnd w:id="89"/>
      <w:bookmarkEnd w:id="90"/>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rPr>
          <w:cantSplit/>
        </w:trPr>
        <w:tc>
          <w:tcPr>
            <w:tcW w:w="2268" w:type="dxa"/>
            <w:tcBorders>
              <w:top w:val="nil"/>
              <w:bottom w:val="nil"/>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top w:val="nil"/>
              <w:bottom w:val="nil"/>
            </w:tcBorders>
          </w:tcPr>
          <w:p>
            <w:pPr>
              <w:pStyle w:val="nTable"/>
              <w:spacing w:after="40"/>
            </w:pPr>
            <w:r>
              <w:t>34 of 2009</w:t>
            </w:r>
          </w:p>
        </w:tc>
        <w:tc>
          <w:tcPr>
            <w:tcW w:w="1134" w:type="dxa"/>
            <w:tcBorders>
              <w:top w:val="nil"/>
              <w:bottom w:val="nil"/>
            </w:tcBorders>
          </w:tcPr>
          <w:p>
            <w:pPr>
              <w:pStyle w:val="nTable"/>
              <w:spacing w:after="40"/>
            </w:pPr>
            <w:r>
              <w:t xml:space="preserve">3 Dec 2009 </w:t>
            </w:r>
          </w:p>
        </w:tc>
        <w:tc>
          <w:tcPr>
            <w:tcW w:w="2551" w:type="dxa"/>
            <w:tcBorders>
              <w:top w:val="nil"/>
              <w:bottom w:val="nil"/>
            </w:tcBorders>
          </w:tcPr>
          <w:p>
            <w:pPr>
              <w:pStyle w:val="nTable"/>
              <w:spacing w:after="40"/>
            </w:pPr>
            <w:r>
              <w:rPr>
                <w:iCs/>
                <w:snapToGrid w:val="0"/>
              </w:rPr>
              <w:t xml:space="preserve">s. 5-7 and 9-12: </w:t>
            </w:r>
            <w:r>
              <w:t>4 Dec 2009 (see s. 2(c));</w:t>
            </w:r>
            <w:r>
              <w:br/>
              <w:t>s. 8: 31 Dec 2009 (see s. 2(b))</w:t>
            </w:r>
          </w:p>
        </w:tc>
      </w:tr>
      <w:tr>
        <w:trPr>
          <w:cantSplit/>
          <w:ins w:id="91" w:author="Master Repository Process" w:date="2025-06-04T13:38:00Z"/>
        </w:trPr>
        <w:tc>
          <w:tcPr>
            <w:tcW w:w="2268" w:type="dxa"/>
            <w:tcBorders>
              <w:top w:val="nil"/>
              <w:bottom w:val="nil"/>
            </w:tcBorders>
          </w:tcPr>
          <w:p>
            <w:pPr>
              <w:pStyle w:val="nTable"/>
              <w:spacing w:after="40"/>
              <w:rPr>
                <w:ins w:id="92" w:author="Master Repository Process" w:date="2025-06-04T13:38:00Z"/>
                <w:i/>
                <w:snapToGrid w:val="0"/>
              </w:rPr>
            </w:pPr>
            <w:ins w:id="93" w:author="Master Repository Process" w:date="2025-06-04T13:38:00Z">
              <w:r>
                <w:rPr>
                  <w:i/>
                </w:rPr>
                <w:t>Firearms Act 2024</w:t>
              </w:r>
              <w:r>
                <w:rPr>
                  <w:iCs/>
                </w:rPr>
                <w:t xml:space="preserve"> Pt. 17 Div. 3 Subdiv. 20</w:t>
              </w:r>
            </w:ins>
          </w:p>
        </w:tc>
        <w:tc>
          <w:tcPr>
            <w:tcW w:w="1134" w:type="dxa"/>
            <w:tcBorders>
              <w:top w:val="nil"/>
              <w:bottom w:val="nil"/>
            </w:tcBorders>
          </w:tcPr>
          <w:p>
            <w:pPr>
              <w:pStyle w:val="nTable"/>
              <w:spacing w:after="40"/>
              <w:rPr>
                <w:ins w:id="94" w:author="Master Repository Process" w:date="2025-06-04T13:38:00Z"/>
              </w:rPr>
            </w:pPr>
            <w:ins w:id="95" w:author="Master Repository Process" w:date="2025-06-04T13:38:00Z">
              <w:r>
                <w:t>23 of 2024</w:t>
              </w:r>
            </w:ins>
          </w:p>
        </w:tc>
        <w:tc>
          <w:tcPr>
            <w:tcW w:w="1134" w:type="dxa"/>
            <w:tcBorders>
              <w:top w:val="nil"/>
              <w:bottom w:val="nil"/>
            </w:tcBorders>
          </w:tcPr>
          <w:p>
            <w:pPr>
              <w:pStyle w:val="nTable"/>
              <w:spacing w:after="40"/>
              <w:rPr>
                <w:ins w:id="96" w:author="Master Repository Process" w:date="2025-06-04T13:38:00Z"/>
              </w:rPr>
            </w:pPr>
            <w:ins w:id="97" w:author="Master Repository Process" w:date="2025-06-04T13:38:00Z">
              <w:r>
                <w:t>27 Jun 2024</w:t>
              </w:r>
            </w:ins>
          </w:p>
        </w:tc>
        <w:tc>
          <w:tcPr>
            <w:tcW w:w="2551" w:type="dxa"/>
            <w:tcBorders>
              <w:top w:val="nil"/>
              <w:bottom w:val="nil"/>
            </w:tcBorders>
          </w:tcPr>
          <w:p>
            <w:pPr>
              <w:pStyle w:val="nTable"/>
              <w:spacing w:after="40"/>
              <w:rPr>
                <w:ins w:id="98" w:author="Master Repository Process" w:date="2025-06-04T13:38:00Z"/>
                <w:iCs/>
                <w:snapToGrid w:val="0"/>
              </w:rPr>
            </w:pPr>
            <w:ins w:id="99" w:author="Master Repository Process" w:date="2025-06-04T13:38:00Z">
              <w:r>
                <w:t>31 Mar 2025 (see s. 2(d) and SL 2024/289 cl. 2)</w:t>
              </w:r>
            </w:ins>
          </w:p>
        </w:tc>
      </w:tr>
      <w:tr>
        <w:trPr>
          <w:cantSplit/>
        </w:trPr>
        <w:tc>
          <w:tcPr>
            <w:tcW w:w="2268" w:type="dxa"/>
            <w:tcBorders>
              <w:top w:val="nil"/>
            </w:tcBorders>
          </w:tcPr>
          <w:p>
            <w:pPr>
              <w:pStyle w:val="nTable"/>
              <w:spacing w:after="40"/>
              <w:rPr>
                <w:i/>
                <w:snapToGrid w:val="0"/>
              </w:rPr>
            </w:pPr>
            <w:r>
              <w:rPr>
                <w:i/>
              </w:rPr>
              <w:t xml:space="preserve">Police Legislation Amendment Act 2024 </w:t>
            </w:r>
            <w:r>
              <w:rPr>
                <w:iCs/>
              </w:rPr>
              <w:t>Pt. 3</w:t>
            </w:r>
          </w:p>
        </w:tc>
        <w:tc>
          <w:tcPr>
            <w:tcW w:w="1134" w:type="dxa"/>
            <w:tcBorders>
              <w:top w:val="nil"/>
            </w:tcBorders>
          </w:tcPr>
          <w:p>
            <w:pPr>
              <w:pStyle w:val="nTable"/>
              <w:spacing w:after="40"/>
            </w:pPr>
            <w:r>
              <w:t>33 of 2024</w:t>
            </w:r>
          </w:p>
        </w:tc>
        <w:tc>
          <w:tcPr>
            <w:tcW w:w="1134" w:type="dxa"/>
            <w:tcBorders>
              <w:top w:val="nil"/>
            </w:tcBorders>
          </w:tcPr>
          <w:p>
            <w:pPr>
              <w:pStyle w:val="nTable"/>
              <w:spacing w:after="40"/>
            </w:pPr>
            <w:r>
              <w:t>26 Sep 2024</w:t>
            </w:r>
          </w:p>
        </w:tc>
        <w:tc>
          <w:tcPr>
            <w:tcW w:w="2551" w:type="dxa"/>
            <w:tcBorders>
              <w:top w:val="nil"/>
            </w:tcBorders>
          </w:tcPr>
          <w:p>
            <w:pPr>
              <w:pStyle w:val="nTable"/>
              <w:spacing w:after="40"/>
              <w:rPr>
                <w:iCs/>
                <w:snapToGrid w:val="0"/>
              </w:rPr>
            </w:pPr>
            <w:r>
              <w:rPr>
                <w:iCs/>
                <w:snapToGrid w:val="0"/>
              </w:rPr>
              <w:t>20 Dec 2024 (see s. 2(1)(b) and SL 2024/277 cl. 2)</w:t>
            </w:r>
          </w:p>
        </w:tc>
      </w:tr>
    </w:tbl>
    <w:p>
      <w:pPr>
        <w:pStyle w:val="nHeading3"/>
        <w:rPr>
          <w:del w:id="100" w:author="Master Repository Process" w:date="2025-06-04T13:38:00Z"/>
        </w:rPr>
      </w:pPr>
      <w:bookmarkStart w:id="101" w:name="_Toc185505872"/>
      <w:del w:id="102" w:author="Master Repository Process" w:date="2025-06-04T13:38:00Z">
        <w:r>
          <w:delText>Uncommenced provisions table</w:delText>
        </w:r>
        <w:bookmarkEnd w:id="101"/>
      </w:del>
    </w:p>
    <w:p>
      <w:pPr>
        <w:pStyle w:val="nStatement"/>
        <w:keepNext/>
        <w:spacing w:after="240"/>
        <w:rPr>
          <w:del w:id="103" w:author="Master Repository Process" w:date="2025-06-04T13:38:00Z"/>
        </w:rPr>
      </w:pPr>
      <w:del w:id="104" w:author="Master Repository Process" w:date="2025-06-04T13:38: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05" w:author="Master Repository Process" w:date="2025-06-04T13:38:00Z"/>
        </w:trPr>
        <w:tc>
          <w:tcPr>
            <w:tcW w:w="2268" w:type="dxa"/>
            <w:tcBorders>
              <w:bottom w:val="single" w:sz="8" w:space="0" w:color="auto"/>
            </w:tcBorders>
          </w:tcPr>
          <w:p>
            <w:pPr>
              <w:pStyle w:val="nTable"/>
              <w:spacing w:after="40"/>
              <w:rPr>
                <w:del w:id="106" w:author="Master Repository Process" w:date="2025-06-04T13:38:00Z"/>
                <w:b/>
              </w:rPr>
            </w:pPr>
            <w:del w:id="107" w:author="Master Repository Process" w:date="2025-06-04T13:38:00Z">
              <w:r>
                <w:rPr>
                  <w:b/>
                </w:rPr>
                <w:delText>Short title</w:delText>
              </w:r>
            </w:del>
          </w:p>
        </w:tc>
        <w:tc>
          <w:tcPr>
            <w:tcW w:w="1134" w:type="dxa"/>
            <w:tcBorders>
              <w:bottom w:val="single" w:sz="8" w:space="0" w:color="auto"/>
            </w:tcBorders>
          </w:tcPr>
          <w:p>
            <w:pPr>
              <w:pStyle w:val="nTable"/>
              <w:spacing w:after="40"/>
              <w:rPr>
                <w:del w:id="108" w:author="Master Repository Process" w:date="2025-06-04T13:38:00Z"/>
                <w:b/>
              </w:rPr>
            </w:pPr>
            <w:del w:id="109" w:author="Master Repository Process" w:date="2025-06-04T13:38:00Z">
              <w:r>
                <w:rPr>
                  <w:b/>
                </w:rPr>
                <w:delText>Number and year</w:delText>
              </w:r>
            </w:del>
          </w:p>
        </w:tc>
        <w:tc>
          <w:tcPr>
            <w:tcW w:w="1134" w:type="dxa"/>
            <w:tcBorders>
              <w:bottom w:val="single" w:sz="8" w:space="0" w:color="auto"/>
            </w:tcBorders>
          </w:tcPr>
          <w:p>
            <w:pPr>
              <w:pStyle w:val="nTable"/>
              <w:spacing w:after="40"/>
              <w:rPr>
                <w:del w:id="110" w:author="Master Repository Process" w:date="2025-06-04T13:38:00Z"/>
                <w:b/>
              </w:rPr>
            </w:pPr>
            <w:del w:id="111" w:author="Master Repository Process" w:date="2025-06-04T13:38:00Z">
              <w:r>
                <w:rPr>
                  <w:b/>
                </w:rPr>
                <w:delText>Assent</w:delText>
              </w:r>
            </w:del>
          </w:p>
        </w:tc>
        <w:tc>
          <w:tcPr>
            <w:tcW w:w="2552" w:type="dxa"/>
            <w:tcBorders>
              <w:bottom w:val="single" w:sz="8" w:space="0" w:color="auto"/>
            </w:tcBorders>
          </w:tcPr>
          <w:p>
            <w:pPr>
              <w:pStyle w:val="nTable"/>
              <w:spacing w:after="40"/>
              <w:rPr>
                <w:del w:id="112" w:author="Master Repository Process" w:date="2025-06-04T13:38:00Z"/>
                <w:b/>
              </w:rPr>
            </w:pPr>
            <w:del w:id="113" w:author="Master Repository Process" w:date="2025-06-04T13:38:00Z">
              <w:r>
                <w:rPr>
                  <w:b/>
                </w:rPr>
                <w:delText>Commencement</w:delText>
              </w:r>
            </w:del>
          </w:p>
        </w:tc>
      </w:tr>
      <w:tr>
        <w:trPr>
          <w:del w:id="114" w:author="Master Repository Process" w:date="2025-06-04T13:38:00Z"/>
        </w:trPr>
        <w:tc>
          <w:tcPr>
            <w:tcW w:w="2268" w:type="dxa"/>
            <w:tcBorders>
              <w:bottom w:val="single" w:sz="4" w:space="0" w:color="auto"/>
            </w:tcBorders>
          </w:tcPr>
          <w:p>
            <w:pPr>
              <w:pStyle w:val="nTable"/>
              <w:spacing w:after="40"/>
              <w:rPr>
                <w:del w:id="115" w:author="Master Repository Process" w:date="2025-06-04T13:38:00Z"/>
                <w:iCs/>
              </w:rPr>
            </w:pPr>
            <w:del w:id="116" w:author="Master Repository Process" w:date="2025-06-04T13:38:00Z">
              <w:r>
                <w:rPr>
                  <w:i/>
                </w:rPr>
                <w:delText>Firearms Act 2024</w:delText>
              </w:r>
              <w:r>
                <w:rPr>
                  <w:iCs/>
                </w:rPr>
                <w:delText xml:space="preserve"> Pt. 17 Div. 3 Subdiv. 20</w:delText>
              </w:r>
            </w:del>
          </w:p>
        </w:tc>
        <w:tc>
          <w:tcPr>
            <w:tcW w:w="1134" w:type="dxa"/>
            <w:tcBorders>
              <w:bottom w:val="single" w:sz="4" w:space="0" w:color="auto"/>
            </w:tcBorders>
          </w:tcPr>
          <w:p>
            <w:pPr>
              <w:pStyle w:val="nTable"/>
              <w:spacing w:after="40"/>
              <w:rPr>
                <w:del w:id="117" w:author="Master Repository Process" w:date="2025-06-04T13:38:00Z"/>
              </w:rPr>
            </w:pPr>
            <w:del w:id="118" w:author="Master Repository Process" w:date="2025-06-04T13:38:00Z">
              <w:r>
                <w:delText>23 of 2024</w:delText>
              </w:r>
            </w:del>
          </w:p>
        </w:tc>
        <w:tc>
          <w:tcPr>
            <w:tcW w:w="1134" w:type="dxa"/>
            <w:tcBorders>
              <w:bottom w:val="single" w:sz="4" w:space="0" w:color="auto"/>
            </w:tcBorders>
          </w:tcPr>
          <w:p>
            <w:pPr>
              <w:pStyle w:val="nTable"/>
              <w:spacing w:after="40"/>
              <w:rPr>
                <w:del w:id="119" w:author="Master Repository Process" w:date="2025-06-04T13:38:00Z"/>
              </w:rPr>
            </w:pPr>
            <w:del w:id="120" w:author="Master Repository Process" w:date="2025-06-04T13:38:00Z">
              <w:r>
                <w:delText>27 Jun 2024</w:delText>
              </w:r>
            </w:del>
          </w:p>
        </w:tc>
        <w:tc>
          <w:tcPr>
            <w:tcW w:w="2552" w:type="dxa"/>
            <w:tcBorders>
              <w:bottom w:val="single" w:sz="4" w:space="0" w:color="auto"/>
            </w:tcBorders>
          </w:tcPr>
          <w:p>
            <w:pPr>
              <w:pStyle w:val="nTable"/>
              <w:spacing w:after="40"/>
              <w:rPr>
                <w:del w:id="121" w:author="Master Repository Process" w:date="2025-06-04T13:38:00Z"/>
              </w:rPr>
            </w:pPr>
            <w:del w:id="122" w:author="Master Repository Process" w:date="2025-06-04T13:38:00Z">
              <w:r>
                <w:delText>31 Mar 2025 (see s. 2(d) and SL 2024/289 cl. 2)</w:delText>
              </w:r>
            </w:del>
          </w:p>
        </w:tc>
      </w:tr>
    </w:tbl>
    <w:p>
      <w:pPr>
        <w:pStyle w:val="nHeading3"/>
      </w:pPr>
      <w:bookmarkStart w:id="123" w:name="_Toc192511076"/>
      <w:bookmarkStart w:id="124" w:name="_Toc185505873"/>
      <w:r>
        <w:t>Other notes</w:t>
      </w:r>
      <w:bookmarkEnd w:id="123"/>
      <w:bookmarkEnd w:id="124"/>
    </w:p>
    <w:p>
      <w:pPr>
        <w:pStyle w:val="nNote"/>
        <w:spacing w:before="160"/>
      </w:pPr>
      <w:r>
        <w:rPr>
          <w:vertAlign w:val="superscript"/>
        </w:rPr>
        <w:t>1</w:t>
      </w:r>
      <w:r>
        <w:tab/>
        <w:t xml:space="preserve">The provision in this Act amending these Acts has been omitted under the </w:t>
      </w:r>
      <w:r>
        <w:rPr>
          <w:i/>
        </w:rPr>
        <w:t>Reprints Act 1984</w:t>
      </w:r>
      <w:r>
        <w:t xml:space="preserve"> s. 7(4)(e).</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6" w:author="Master Repository Process" w:date="2025-06-04T13:38:00Z">
                              <w:r>
                                <w:rPr>
                                  <w:sz w:val="16"/>
                                </w:rPr>
                                <w:delText>2024</w:delText>
                              </w:r>
                            </w:del>
                            <w:ins w:id="127" w:author="Master Repository Process" w:date="2025-06-04T13: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8" w:author="Master Repository Process" w:date="2025-06-04T13:38:00Z">
                              <w:r>
                                <w:rPr>
                                  <w:sz w:val="16"/>
                                </w:rPr>
                                <w:delText>2024</w:delText>
                              </w:r>
                            </w:del>
                            <w:ins w:id="129" w:author="Master Repository Process" w:date="2025-06-04T13: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30" w:author="Master Repository Process" w:date="2025-06-04T13:38:00Z">
                        <w:r>
                          <w:rPr>
                            <w:sz w:val="16"/>
                          </w:rPr>
                          <w:delText>2024</w:delText>
                        </w:r>
                      </w:del>
                      <w:ins w:id="131" w:author="Master Repository Process" w:date="2025-06-04T13: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32" w:author="Master Repository Process" w:date="2025-06-04T13:38:00Z">
                        <w:r>
                          <w:rPr>
                            <w:sz w:val="16"/>
                          </w:rPr>
                          <w:delText>2024</w:delText>
                        </w:r>
                      </w:del>
                      <w:ins w:id="133" w:author="Master Repository Process" w:date="2025-06-04T13: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4" w:name="Coversheet"/>
    <w:bookmarkEnd w:id="1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12"/>
    </w:tblGrid>
    <w:tr>
      <w:trPr>
        <w:cantSplit/>
        <w:jc w:val="center"/>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612" w:type="dxa"/>
        </w:tcPr>
        <w:p>
          <w:pPr>
            <w:pStyle w:val="Header"/>
            <w:spacing w:before="40"/>
          </w:pPr>
        </w:p>
      </w:tc>
    </w:tr>
    <w:tr>
      <w:trPr>
        <w:cantSplit/>
        <w:jc w:val="center"/>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400"/>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400" w:type="dxa"/>
        </w:tcPr>
        <w:p>
          <w:pPr>
            <w:pStyle w:val="Header"/>
            <w:spacing w:before="40"/>
            <w:ind w:right="17"/>
            <w:jc w:val="right"/>
          </w:pPr>
        </w:p>
      </w:tc>
    </w:tr>
    <w:tr>
      <w:trPr>
        <w:cantSplit/>
        <w:jc w:val="center"/>
      </w:trPr>
      <w:tc>
        <w:tcPr>
          <w:tcW w:w="7160"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0133023"/>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 w:name="WAFER_202409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25111326_GUID" w:val="25ba0723-9f0c-46ef-9474-d4676597d288"/>
    <w:docVar w:name="WAFER_202412131438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3143806_GUID" w:val="97c25502-5270-4d5c-80ab-badb7de060d7"/>
    <w:docVar w:name="WAFER_20241219083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9083138_GUID" w:val="4cc1ca7d-a7b5-4cae-8ac6-814bba2a69c0"/>
    <w:docVar w:name="WAFER_20250310133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3023_GUID" w:val="fff98af7-6cb0-41cd-9214-3edd4c63ea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4065</Words>
  <Characters>18176</Characters>
  <Application>Microsoft Office Word</Application>
  <DocSecurity>0</DocSecurity>
  <Lines>550</Lines>
  <Paragraphs>342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01-g0-01 - 01-h0-00</dc:title>
  <dc:subject/>
  <dc:creator/>
  <cp:keywords/>
  <dc:description/>
  <cp:lastModifiedBy>Master Repository Process</cp:lastModifiedBy>
  <cp:revision>2</cp:revision>
  <cp:lastPrinted>2005-10-31T04:24:00Z</cp:lastPrinted>
  <dcterms:created xsi:type="dcterms:W3CDTF">2025-06-04T05:38:00Z</dcterms:created>
  <dcterms:modified xsi:type="dcterms:W3CDTF">2025-06-04T05:39:00Z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Official">
    <vt:lpwstr/>
  </property>
  <property fmtid="{D5CDD505-2E9C-101B-9397-08002B2CF9AE}" pid="7" name="CommencementDate">
    <vt:lpwstr>20250331</vt:lpwstr>
  </property>
  <property fmtid="{D5CDD505-2E9C-101B-9397-08002B2CF9AE}" pid="8" name="CommencementAsAt">
    <vt:filetime>2025-03-30T16:00:00Z</vt:filetime>
  </property>
  <property fmtid="{D5CDD505-2E9C-101B-9397-08002B2CF9AE}" pid="9" name="CommencementYear">
    <vt:lpwstr>2025</vt:lpwstr>
  </property>
  <property fmtid="{D5CDD505-2E9C-101B-9397-08002B2CF9AE}" pid="10" name="FromSuffix">
    <vt:lpwstr>01-g0-01</vt:lpwstr>
  </property>
  <property fmtid="{D5CDD505-2E9C-101B-9397-08002B2CF9AE}" pid="11" name="FromAsAtDate">
    <vt:lpwstr>20 Dec 2024</vt:lpwstr>
  </property>
  <property fmtid="{D5CDD505-2E9C-101B-9397-08002B2CF9AE}" pid="12" name="ToSuffix">
    <vt:lpwstr>01-h0-00</vt:lpwstr>
  </property>
  <property fmtid="{D5CDD505-2E9C-101B-9397-08002B2CF9AE}" pid="13" name="ToAsAtDate">
    <vt:lpwstr>31 Mar 2025</vt:lpwstr>
  </property>
</Properties>
</file>