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2025</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01 May 2025</w:t>
      </w:r>
      <w:r>
        <w:fldChar w:fldCharType="end"/>
      </w:r>
      <w:r>
        <w:t xml:space="preserve">, </w:t>
      </w:r>
      <w:r>
        <w:fldChar w:fldCharType="begin"/>
      </w:r>
      <w:r>
        <w:instrText xml:space="preserve"> DocProperty ToSuffix</w:instrText>
      </w:r>
      <w:r>
        <w:fldChar w:fldCharType="separate"/>
      </w:r>
      <w:r>
        <w:t>03-m0-00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Family Court Act 1997</w:t>
      </w:r>
    </w:p>
    <w:p>
      <w:pPr>
        <w:pStyle w:val="NameofActReg"/>
        <w:spacing w:before="600" w:after="720"/>
      </w:pPr>
      <w:r>
        <w:t>Family Court Regulations 1998</w:t>
      </w:r>
    </w:p>
    <w:p>
      <w:pPr>
        <w:pStyle w:val="Heading2"/>
        <w:pageBreakBefore w:val="0"/>
      </w:pPr>
      <w:bookmarkStart w:id="1" w:name="_Toc196394692"/>
      <w:bookmarkStart w:id="2" w:name="_Toc196395639"/>
      <w:bookmarkStart w:id="3" w:name="_Toc196398787"/>
      <w:bookmarkStart w:id="4" w:name="_Toc189554047"/>
      <w:bookmarkStart w:id="5" w:name="_Toc189554822"/>
      <w:bookmarkStart w:id="6" w:name="_Toc18955643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Gazette 13 May 2011 p. 1738.]</w:t>
      </w:r>
    </w:p>
    <w:p>
      <w:pPr>
        <w:pStyle w:val="Heading5"/>
        <w:spacing w:before="240"/>
      </w:pPr>
      <w:bookmarkStart w:id="7" w:name="_Toc196398788"/>
      <w:bookmarkStart w:id="8" w:name="_Toc189556437"/>
      <w:r>
        <w:rPr>
          <w:rStyle w:val="CharSectno"/>
        </w:rPr>
        <w:t>1</w:t>
      </w:r>
      <w:r>
        <w:t>.</w:t>
      </w:r>
      <w:r>
        <w:tab/>
        <w:t>Citation</w:t>
      </w:r>
      <w:bookmarkEnd w:id="7"/>
      <w:bookmarkEnd w:id="8"/>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p>
    <w:p>
      <w:pPr>
        <w:pStyle w:val="Heading5"/>
        <w:rPr>
          <w:spacing w:val="-2"/>
        </w:rPr>
      </w:pPr>
      <w:bookmarkStart w:id="9" w:name="_Toc196398789"/>
      <w:bookmarkStart w:id="10" w:name="_Toc189556438"/>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bookmarkStart w:id="11" w:name="Start_Cursor"/>
      <w:bookmarkEnd w:id="11"/>
      <w:r>
        <w:rPr>
          <w:spacing w:val="-2"/>
        </w:rPr>
        <w:t xml:space="preserve">These regulations come into operation on the day on which the </w:t>
      </w:r>
      <w:r>
        <w:rPr>
          <w:i/>
          <w:spacing w:val="-2"/>
        </w:rPr>
        <w:t>Family Court Act 1997</w:t>
      </w:r>
      <w:r>
        <w:rPr>
          <w:spacing w:val="-2"/>
        </w:rPr>
        <w:t xml:space="preserve"> comes into operation</w:t>
      </w:r>
      <w:r>
        <w:t>.</w:t>
      </w:r>
    </w:p>
    <w:p>
      <w:pPr>
        <w:pStyle w:val="Heading5"/>
        <w:rPr>
          <w:snapToGrid w:val="0"/>
        </w:rPr>
      </w:pPr>
      <w:bookmarkStart w:id="12" w:name="_Toc196398790"/>
      <w:bookmarkStart w:id="13" w:name="_Toc189556439"/>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iCs/>
        </w:rPr>
        <w:t>Family Law Regulations </w:t>
      </w:r>
      <w:del w:id="14" w:author="Master Repository Process" w:date="2025-07-03T12:24:00Z">
        <w:r>
          <w:rPr>
            <w:i/>
          </w:rPr>
          <w:delText>1984</w:delText>
        </w:r>
        <w:r>
          <w:delText xml:space="preserve"> of the </w:delText>
        </w:r>
      </w:del>
      <w:ins w:id="15" w:author="Master Repository Process" w:date="2025-07-03T12:24:00Z">
        <w:r>
          <w:rPr>
            <w:i/>
            <w:iCs/>
          </w:rPr>
          <w:t>2024</w:t>
        </w:r>
        <w:r>
          <w:t xml:space="preserve"> (</w:t>
        </w:r>
      </w:ins>
      <w:r>
        <w:t>Commonwealth</w:t>
      </w:r>
      <w:del w:id="16" w:author="Master Repository Process" w:date="2025-07-03T12:24:00Z">
        <w:r>
          <w:delText>;</w:delText>
        </w:r>
      </w:del>
      <w:ins w:id="17" w:author="Master Repository Process" w:date="2025-07-03T12:24:00Z">
        <w:r>
          <w:t>);</w:t>
        </w:r>
      </w:ins>
    </w:p>
    <w:p>
      <w:pPr>
        <w:pStyle w:val="Defstart"/>
      </w:pPr>
      <w:r>
        <w:lastRenderedPageBreak/>
        <w:tab/>
      </w:r>
      <w:r>
        <w:rPr>
          <w:rStyle w:val="CharDefText"/>
        </w:rPr>
        <w:t>section</w:t>
      </w:r>
      <w:r>
        <w:t xml:space="preserve"> means section of the Act.</w:t>
      </w:r>
    </w:p>
    <w:p>
      <w:pPr>
        <w:pStyle w:val="Subsection"/>
        <w:keepNext/>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Gazette 29 Nov 2002 p. 5663-4; 14 Jul 2006 p. 2561; 13 May 2011 p. 1738; 14 Dec 2012 p. 6235-6; SL 2022/45 r. </w:t>
      </w:r>
      <w:ins w:id="18" w:author="Master Repository Process" w:date="2025-07-03T12:24:00Z">
        <w:r>
          <w:t>4; SL 2025/63 r. </w:t>
        </w:r>
      </w:ins>
      <w:r>
        <w:t>4.]</w:t>
      </w:r>
    </w:p>
    <w:p>
      <w:pPr>
        <w:pStyle w:val="Heading2"/>
        <w:rPr>
          <w:snapToGrid/>
        </w:rPr>
      </w:pPr>
      <w:bookmarkStart w:id="19" w:name="_Toc196394696"/>
      <w:bookmarkStart w:id="20" w:name="_Toc196395643"/>
      <w:bookmarkStart w:id="21" w:name="_Toc196398791"/>
      <w:bookmarkStart w:id="22" w:name="_Toc189554051"/>
      <w:bookmarkStart w:id="23" w:name="_Toc189554826"/>
      <w:bookmarkStart w:id="24" w:name="_Toc189556440"/>
      <w:r>
        <w:rPr>
          <w:rStyle w:val="CharPartNo"/>
        </w:rPr>
        <w:lastRenderedPageBreak/>
        <w:t>Part 2</w:t>
      </w:r>
      <w:r>
        <w:rPr>
          <w:rStyle w:val="CharDivNo"/>
        </w:rPr>
        <w:t> </w:t>
      </w:r>
      <w:r>
        <w:t>—</w:t>
      </w:r>
      <w:r>
        <w:rPr>
          <w:rStyle w:val="CharDivText"/>
        </w:rPr>
        <w:t> </w:t>
      </w:r>
      <w:r>
        <w:rPr>
          <w:rStyle w:val="CharPartText"/>
        </w:rPr>
        <w:t>General</w:t>
      </w:r>
      <w:bookmarkEnd w:id="19"/>
      <w:bookmarkEnd w:id="20"/>
      <w:bookmarkEnd w:id="21"/>
      <w:bookmarkEnd w:id="22"/>
      <w:bookmarkEnd w:id="23"/>
      <w:bookmarkEnd w:id="24"/>
    </w:p>
    <w:p>
      <w:pPr>
        <w:pStyle w:val="Footnoteheading"/>
      </w:pPr>
      <w:r>
        <w:tab/>
        <w:t>[Heading inserted: Gazette 13 May 2011 p. 1738.]</w:t>
      </w:r>
    </w:p>
    <w:p>
      <w:pPr>
        <w:pStyle w:val="Heading5"/>
        <w:rPr>
          <w:snapToGrid w:val="0"/>
        </w:rPr>
      </w:pPr>
      <w:bookmarkStart w:id="25" w:name="_Toc196398792"/>
      <w:bookmarkStart w:id="26" w:name="_Toc189556441"/>
      <w:r>
        <w:rPr>
          <w:rStyle w:val="CharSectno"/>
        </w:rPr>
        <w:t>4</w:t>
      </w:r>
      <w:r>
        <w:rPr>
          <w:snapToGrid w:val="0"/>
        </w:rPr>
        <w:t>.</w:t>
      </w:r>
      <w:r>
        <w:rPr>
          <w:snapToGrid w:val="0"/>
        </w:rPr>
        <w:tab/>
        <w:t>Dispensing with compliance with these regulations</w:t>
      </w:r>
      <w:bookmarkEnd w:id="25"/>
      <w:bookmarkEnd w:id="26"/>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27" w:name="_Toc196398793"/>
      <w:bookmarkStart w:id="28" w:name="_Toc189556442"/>
      <w:r>
        <w:rPr>
          <w:rStyle w:val="CharSectno"/>
        </w:rPr>
        <w:t>5</w:t>
      </w:r>
      <w:r>
        <w:rPr>
          <w:snapToGrid w:val="0"/>
        </w:rPr>
        <w:t>.</w:t>
      </w:r>
      <w:r>
        <w:rPr>
          <w:snapToGrid w:val="0"/>
        </w:rPr>
        <w:tab/>
        <w:t>Court registry</w:t>
      </w:r>
      <w:bookmarkEnd w:id="27"/>
      <w:bookmarkEnd w:id="28"/>
      <w:r>
        <w:rPr>
          <w:snapToGrid w:val="0"/>
        </w:rPr>
        <w:t xml:space="preserve"> </w:t>
      </w:r>
    </w:p>
    <w:p>
      <w:pPr>
        <w:pStyle w:val="Subsection"/>
        <w:rPr>
          <w:snapToGrid w:val="0"/>
        </w:rPr>
      </w:pPr>
      <w:r>
        <w:rPr>
          <w:snapToGrid w:val="0"/>
        </w:rPr>
        <w:tab/>
      </w:r>
      <w:r>
        <w:rPr>
          <w:snapToGrid w:val="0"/>
        </w:rPr>
        <w:tab/>
        <w:t>The registry of the Family Court is to be in Perth.</w:t>
      </w:r>
    </w:p>
    <w:p>
      <w:pPr>
        <w:pStyle w:val="Heading5"/>
      </w:pPr>
      <w:bookmarkStart w:id="29" w:name="_Toc196398794"/>
      <w:bookmarkStart w:id="30" w:name="_Toc189556443"/>
      <w:r>
        <w:rPr>
          <w:rStyle w:val="CharSectno"/>
        </w:rPr>
        <w:t>6</w:t>
      </w:r>
      <w:r>
        <w:t>.</w:t>
      </w:r>
      <w:r>
        <w:tab/>
        <w:t>Fees of Marshal</w:t>
      </w:r>
      <w:bookmarkEnd w:id="29"/>
      <w:bookmarkEnd w:id="30"/>
    </w:p>
    <w:p>
      <w:pPr>
        <w:pStyle w:val="Subsection"/>
      </w:pPr>
      <w:r>
        <w:tab/>
        <w:t>(1)</w:t>
      </w:r>
      <w:r>
        <w:tab/>
        <w:t xml:space="preserve">The fee payable to the Marshal in relation to an action that is the same as an action (an </w:t>
      </w:r>
      <w:r>
        <w:rPr>
          <w:rStyle w:val="CharDefText"/>
        </w:rPr>
        <w:t>equivalent action</w:t>
      </w:r>
      <w:r>
        <w:t xml:space="preserve">) listed in the </w:t>
      </w:r>
      <w:r>
        <w:rPr>
          <w:i/>
        </w:rPr>
        <w:t>Civil Judgments Enforcement Regulations 2005</w:t>
      </w:r>
      <w:r>
        <w:t xml:space="preserve"> Schedule 2 is the fee payable to the Sheriff under that Schedule in relation to the equivalent action.</w:t>
      </w:r>
    </w:p>
    <w:p>
      <w:pPr>
        <w:pStyle w:val="Subsection"/>
      </w:pPr>
      <w:r>
        <w:tab/>
        <w:t>(2)</w:t>
      </w:r>
      <w:r>
        <w:tab/>
        <w:t xml:space="preserve">For the purposes of subregulation (1) — </w:t>
      </w:r>
    </w:p>
    <w:p>
      <w:pPr>
        <w:pStyle w:val="Indenta"/>
      </w:pPr>
      <w:r>
        <w:tab/>
        <w:t>(a)</w:t>
      </w:r>
      <w:r>
        <w:tab/>
        <w:t xml:space="preserve">a reference to the Act in the Schedule is taken to be a reference to the </w:t>
      </w:r>
      <w:r>
        <w:rPr>
          <w:i/>
        </w:rPr>
        <w:t>Family Court Act 1997</w:t>
      </w:r>
      <w:r>
        <w:t>; and</w:t>
      </w:r>
    </w:p>
    <w:p>
      <w:pPr>
        <w:pStyle w:val="Indenta"/>
      </w:pPr>
      <w:r>
        <w:tab/>
        <w:t>(b)</w:t>
      </w:r>
      <w:r>
        <w:tab/>
        <w:t xml:space="preserve">an action is not prevented from being the same as an equivalent action merely because the description of the action is not the same as the description of the equivalent action. </w:t>
      </w:r>
    </w:p>
    <w:p>
      <w:pPr>
        <w:pStyle w:val="Footnotesection"/>
      </w:pPr>
      <w:r>
        <w:tab/>
        <w:t>[Regulation 6 inserted: SL 2021/19 r. 4.]</w:t>
      </w:r>
    </w:p>
    <w:p>
      <w:pPr>
        <w:pStyle w:val="Heading5"/>
        <w:rPr>
          <w:snapToGrid w:val="0"/>
        </w:rPr>
      </w:pPr>
      <w:bookmarkStart w:id="31" w:name="_Toc196398795"/>
      <w:bookmarkStart w:id="32" w:name="_Toc189556444"/>
      <w:r>
        <w:rPr>
          <w:rStyle w:val="CharSectno"/>
        </w:rPr>
        <w:t>7</w:t>
      </w:r>
      <w:r>
        <w:rPr>
          <w:snapToGrid w:val="0"/>
        </w:rPr>
        <w:t>.</w:t>
      </w:r>
      <w:r>
        <w:rPr>
          <w:snapToGrid w:val="0"/>
        </w:rPr>
        <w:tab/>
        <w:t>Recording and transcripts of proceedings</w:t>
      </w:r>
      <w:bookmarkEnd w:id="31"/>
      <w:bookmarkEnd w:id="32"/>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Gazette 13 May 2011 p. 1738.]</w:t>
      </w:r>
    </w:p>
    <w:p>
      <w:pPr>
        <w:pStyle w:val="Heading5"/>
      </w:pPr>
      <w:bookmarkStart w:id="33" w:name="_Toc196398796"/>
      <w:bookmarkStart w:id="34" w:name="_Toc189556445"/>
      <w:r>
        <w:rPr>
          <w:rStyle w:val="CharSectno"/>
        </w:rPr>
        <w:t>7A</w:t>
      </w:r>
      <w:r>
        <w:t>.</w:t>
      </w:r>
      <w:r>
        <w:tab/>
        <w:t>Child welfare officer (Act s. 5(1))</w:t>
      </w:r>
      <w:bookmarkEnd w:id="33"/>
      <w:bookmarkEnd w:id="34"/>
    </w:p>
    <w:p>
      <w:pPr>
        <w:pStyle w:val="Subsection"/>
      </w:pPr>
      <w:r>
        <w:tab/>
      </w:r>
      <w:r>
        <w:tab/>
        <w:t xml:space="preserve">For the purposes of paragraph (a) of the definition of </w:t>
      </w:r>
      <w:r>
        <w:rPr>
          <w:b/>
          <w:i/>
        </w:rPr>
        <w:t>child welfare officer</w:t>
      </w:r>
      <w:r>
        <w:t xml:space="preserve"> in section 5(1) each of the following is a prescribed office —</w:t>
      </w:r>
    </w:p>
    <w:p>
      <w:pPr>
        <w:pStyle w:val="Indenta"/>
      </w:pPr>
      <w:r>
        <w:tab/>
        <w:t>(a)</w:t>
      </w:r>
      <w:r>
        <w:tab/>
        <w:t>for New South Wales — the offices of —</w:t>
      </w:r>
    </w:p>
    <w:p>
      <w:pPr>
        <w:pStyle w:val="Indenti"/>
      </w:pPr>
      <w:r>
        <w:tab/>
        <w:t>(i)</w:t>
      </w:r>
      <w:r>
        <w:tab/>
        <w:t xml:space="preserve">Minister for Families and Communities, in relation to the </w:t>
      </w:r>
      <w:r>
        <w:rPr>
          <w:i/>
        </w:rPr>
        <w:t>Adoption Act 2000</w:t>
      </w:r>
      <w:r>
        <w:t xml:space="preserve"> (New South Wales) and the </w:t>
      </w:r>
      <w:r>
        <w:rPr>
          <w:i/>
        </w:rPr>
        <w:t>Children and Young Persons (Care and Protection) Act 1998</w:t>
      </w:r>
      <w:r>
        <w:t xml:space="preserve"> (New South Wales); and</w:t>
      </w:r>
    </w:p>
    <w:p>
      <w:pPr>
        <w:pStyle w:val="Indenti"/>
      </w:pPr>
      <w:r>
        <w:tab/>
        <w:t>(ii)</w:t>
      </w:r>
      <w:r>
        <w:tab/>
        <w:t>Attorney General, in relation to the </w:t>
      </w:r>
      <w:r>
        <w:rPr>
          <w:i/>
          <w:iCs/>
        </w:rPr>
        <w:t>Guardianship Act 1987</w:t>
      </w:r>
      <w:r>
        <w:t> (New South Wales);</w:t>
      </w:r>
    </w:p>
    <w:p>
      <w:pPr>
        <w:pStyle w:val="Indenta"/>
      </w:pPr>
      <w:r>
        <w:tab/>
        <w:t>(b)</w:t>
      </w:r>
      <w:r>
        <w:tab/>
        <w:t>for Tasmania — the office of Secretary of the Department of Communities Tasmania;</w:t>
      </w:r>
    </w:p>
    <w:p>
      <w:pPr>
        <w:pStyle w:val="Indenta"/>
      </w:pPr>
      <w:r>
        <w:tab/>
        <w:t>(c)</w:t>
      </w:r>
      <w:r>
        <w:tab/>
        <w:t>for Victoria — the office of Secretary of the Department of Families, Fairness and Housing;</w:t>
      </w:r>
    </w:p>
    <w:p>
      <w:pPr>
        <w:pStyle w:val="Indenta"/>
      </w:pPr>
      <w:r>
        <w:tab/>
        <w:t>(d)</w:t>
      </w:r>
      <w:r>
        <w:tab/>
        <w:t>for Queensland — the office of Director</w:t>
      </w:r>
      <w:r>
        <w:noBreakHyphen/>
        <w:t>General of the Department of Children, Youth Justice and Multicultural Affairs;</w:t>
      </w:r>
    </w:p>
    <w:p>
      <w:pPr>
        <w:pStyle w:val="Indenta"/>
      </w:pPr>
      <w:r>
        <w:tab/>
        <w:t>(e)</w:t>
      </w:r>
      <w:r>
        <w:tab/>
        <w:t>for the Australian Capital Territory — the offices of —</w:t>
      </w:r>
    </w:p>
    <w:p>
      <w:pPr>
        <w:pStyle w:val="Indenti"/>
      </w:pPr>
      <w:r>
        <w:tab/>
        <w:t>(i)</w:t>
      </w:r>
      <w:r>
        <w:tab/>
        <w:t>Director</w:t>
      </w:r>
      <w:r>
        <w:noBreakHyphen/>
        <w:t>General of the Community Services Directorate; and</w:t>
      </w:r>
    </w:p>
    <w:p>
      <w:pPr>
        <w:pStyle w:val="Indenti"/>
      </w:pPr>
      <w:r>
        <w:tab/>
        <w:t>(ii)</w:t>
      </w:r>
      <w:r>
        <w:tab/>
        <w:t xml:space="preserve">Chief Psychiatrist appointed under the </w:t>
      </w:r>
      <w:r>
        <w:rPr>
          <w:i/>
        </w:rPr>
        <w:t>Mental Health Act 2015</w:t>
      </w:r>
      <w:r>
        <w:t xml:space="preserve"> (Australian Capital Territory) section 196(1);</w:t>
      </w:r>
    </w:p>
    <w:p>
      <w:pPr>
        <w:pStyle w:val="Indenta"/>
      </w:pPr>
      <w:r>
        <w:tab/>
        <w:t>(f)</w:t>
      </w:r>
      <w:r>
        <w:tab/>
        <w:t>for the Northern Territory — the office of Chief Executive Officer of the Department of Territory Families, Housing and Communities;</w:t>
      </w:r>
    </w:p>
    <w:p>
      <w:pPr>
        <w:pStyle w:val="Indenta"/>
      </w:pPr>
      <w:r>
        <w:tab/>
        <w:t>(g)</w:t>
      </w:r>
      <w:r>
        <w:tab/>
        <w:t>for South Australia — the office of Chief Executive of the Department for Child Protection;</w:t>
      </w:r>
    </w:p>
    <w:p>
      <w:pPr>
        <w:pStyle w:val="Indenta"/>
      </w:pPr>
      <w:r>
        <w:tab/>
        <w:t>(h)</w:t>
      </w:r>
      <w:r>
        <w:tab/>
        <w:t>for Western Australia — the office of CEO.</w:t>
      </w:r>
    </w:p>
    <w:p>
      <w:pPr>
        <w:pStyle w:val="Footnotesection"/>
      </w:pPr>
      <w:r>
        <w:tab/>
        <w:t>[Regulation 7A inserted: SL 2022/45 r. 5.]</w:t>
      </w:r>
    </w:p>
    <w:p>
      <w:pPr>
        <w:pStyle w:val="Heading5"/>
      </w:pPr>
      <w:bookmarkStart w:id="35" w:name="_Toc196398797"/>
      <w:bookmarkStart w:id="36" w:name="_Toc189556446"/>
      <w:r>
        <w:rPr>
          <w:rStyle w:val="CharSectno"/>
        </w:rPr>
        <w:t>8</w:t>
      </w:r>
      <w:r>
        <w:t>.</w:t>
      </w:r>
      <w:r>
        <w:tab/>
        <w:t>Family Law Regulations Part </w:t>
      </w:r>
      <w:del w:id="37" w:author="Master Repository Process" w:date="2025-07-03T12:24:00Z">
        <w:r>
          <w:delText>5</w:delText>
        </w:r>
      </w:del>
      <w:ins w:id="38" w:author="Master Repository Process" w:date="2025-07-03T12:24:00Z">
        <w:r>
          <w:t>3</w:t>
        </w:r>
      </w:ins>
      <w:r>
        <w:t xml:space="preserve"> adopted</w:t>
      </w:r>
      <w:bookmarkEnd w:id="35"/>
      <w:bookmarkEnd w:id="36"/>
    </w:p>
    <w:p>
      <w:pPr>
        <w:pStyle w:val="Subsection"/>
      </w:pPr>
      <w:r>
        <w:tab/>
      </w:r>
      <w:r>
        <w:tab/>
        <w:t>Part </w:t>
      </w:r>
      <w:del w:id="39" w:author="Master Repository Process" w:date="2025-07-03T12:24:00Z">
        <w:r>
          <w:delText>5</w:delText>
        </w:r>
      </w:del>
      <w:ins w:id="40" w:author="Master Repository Process" w:date="2025-07-03T12:24:00Z">
        <w:r>
          <w:t>3</w:t>
        </w:r>
      </w:ins>
      <w:r>
        <w:t xml:space="preserve"> of the Family Law Regulations is adopted.</w:t>
      </w:r>
    </w:p>
    <w:p>
      <w:pPr>
        <w:pStyle w:val="Footnotesection"/>
      </w:pPr>
      <w:r>
        <w:tab/>
        <w:t>[Regulation 8 inserted: Gazette 14 Jul 2006 p. 2561</w:t>
      </w:r>
      <w:ins w:id="41" w:author="Master Repository Process" w:date="2025-07-03T12:24:00Z">
        <w:r>
          <w:t>; amended: SL 2025/63 r. 5</w:t>
        </w:r>
      </w:ins>
      <w:r>
        <w:t>.]</w:t>
      </w:r>
    </w:p>
    <w:p>
      <w:pPr>
        <w:pStyle w:val="Ednotesection"/>
      </w:pPr>
      <w:r>
        <w:t>[</w:t>
      </w:r>
      <w:r>
        <w:rPr>
          <w:b/>
          <w:bCs/>
        </w:rPr>
        <w:t>8A.</w:t>
      </w:r>
      <w:r>
        <w:tab/>
        <w:t>Deleted: Gazette 14 Jul 2006 p. 2561.]</w:t>
      </w:r>
    </w:p>
    <w:p>
      <w:pPr>
        <w:pStyle w:val="Heading5"/>
      </w:pPr>
      <w:bookmarkStart w:id="42" w:name="_Toc196398798"/>
      <w:bookmarkStart w:id="43" w:name="_Toc189556447"/>
      <w:r>
        <w:rPr>
          <w:rStyle w:val="CharSectno"/>
        </w:rPr>
        <w:t>9</w:t>
      </w:r>
      <w:r>
        <w:t>.</w:t>
      </w:r>
      <w:r>
        <w:tab/>
        <w:t>Family Law Regulation</w:t>
      </w:r>
      <w:del w:id="44" w:author="Master Repository Process" w:date="2025-07-03T12:24:00Z">
        <w:r>
          <w:delText xml:space="preserve"> 8A</w:delText>
        </w:r>
      </w:del>
      <w:ins w:id="45" w:author="Master Repository Process" w:date="2025-07-03T12:24:00Z">
        <w:r>
          <w:t> 42</w:t>
        </w:r>
      </w:ins>
      <w:r>
        <w:t xml:space="preserve"> adopted (Act s.</w:t>
      </w:r>
      <w:del w:id="46" w:author="Master Repository Process" w:date="2025-07-03T12:24:00Z">
        <w:r>
          <w:delText xml:space="preserve"> </w:delText>
        </w:r>
      </w:del>
      <w:ins w:id="47" w:author="Master Repository Process" w:date="2025-07-03T12:24:00Z">
        <w:r>
          <w:t> </w:t>
        </w:r>
      </w:ins>
      <w:r>
        <w:t>65D)</w:t>
      </w:r>
      <w:bookmarkEnd w:id="42"/>
      <w:bookmarkEnd w:id="43"/>
    </w:p>
    <w:p>
      <w:pPr>
        <w:pStyle w:val="Subsection"/>
      </w:pPr>
      <w:r>
        <w:tab/>
      </w:r>
      <w:r>
        <w:tab/>
        <w:t>Family Law Regulation </w:t>
      </w:r>
      <w:del w:id="48" w:author="Master Repository Process" w:date="2025-07-03T12:24:00Z">
        <w:r>
          <w:delText>8A</w:delText>
        </w:r>
      </w:del>
      <w:ins w:id="49" w:author="Master Repository Process" w:date="2025-07-03T12:24:00Z">
        <w:r>
          <w:t>42</w:t>
        </w:r>
      </w:ins>
      <w:r>
        <w:t xml:space="preserve"> is adopted for the purposes of section 65D.</w:t>
      </w:r>
    </w:p>
    <w:p>
      <w:pPr>
        <w:pStyle w:val="Footnotesection"/>
      </w:pPr>
      <w:r>
        <w:tab/>
        <w:t>[Regulation 9 inserted: Gazette 14 Jul 2006 p. 2561; amended: Gazette 10 Jul 2015 p. 2780</w:t>
      </w:r>
      <w:ins w:id="50" w:author="Master Repository Process" w:date="2025-07-03T12:24:00Z">
        <w:r>
          <w:t>; SL 2025/63 r. 6</w:t>
        </w:r>
      </w:ins>
      <w:r>
        <w:t>.]</w:t>
      </w:r>
    </w:p>
    <w:p>
      <w:pPr>
        <w:pStyle w:val="Heading5"/>
      </w:pPr>
      <w:bookmarkStart w:id="51" w:name="_Toc196398799"/>
      <w:bookmarkStart w:id="52" w:name="_Toc189556448"/>
      <w:r>
        <w:rPr>
          <w:rStyle w:val="CharSectno"/>
        </w:rPr>
        <w:t>10</w:t>
      </w:r>
      <w:r>
        <w:t>.</w:t>
      </w:r>
      <w:r>
        <w:tab/>
        <w:t>Matters prescribed (Act s. 66H(7)(b) and (e))</w:t>
      </w:r>
      <w:bookmarkEnd w:id="51"/>
      <w:bookmarkEnd w:id="52"/>
    </w:p>
    <w:p>
      <w:pPr>
        <w:pStyle w:val="Subsection"/>
      </w:pPr>
      <w:r>
        <w:tab/>
      </w:r>
      <w:r>
        <w:tab/>
        <w:t xml:space="preserve">Before giving a certificate under section 66H(7)(b) or (e) a family law dispute resolution practitioner must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Gazette 14 Jul 2006 p. 2562; amended: SL 2025/16 r. 4.]</w:t>
      </w:r>
    </w:p>
    <w:p>
      <w:pPr>
        <w:pStyle w:val="Heading5"/>
      </w:pPr>
      <w:bookmarkStart w:id="53" w:name="_Toc196398800"/>
      <w:bookmarkStart w:id="54" w:name="_Toc187929179"/>
      <w:bookmarkStart w:id="55" w:name="_Toc187929395"/>
      <w:bookmarkStart w:id="56" w:name="_Toc189556449"/>
      <w:r>
        <w:rPr>
          <w:rStyle w:val="CharSectno"/>
        </w:rPr>
        <w:t>10A</w:t>
      </w:r>
      <w:r>
        <w:t>.</w:t>
      </w:r>
      <w:r>
        <w:tab/>
        <w:t>Authentication of consent in writing</w:t>
      </w:r>
      <w:bookmarkEnd w:id="53"/>
      <w:bookmarkEnd w:id="54"/>
      <w:bookmarkEnd w:id="55"/>
      <w:bookmarkEnd w:id="56"/>
    </w:p>
    <w:p>
      <w:pPr>
        <w:pStyle w:val="Subsection"/>
      </w:pPr>
      <w:r>
        <w:tab/>
      </w:r>
      <w:r>
        <w:tab/>
        <w:t xml:space="preserve">For the purposes of sections 107(1)(c)(i), 107A(1)(b)(i), 108(1)(c)(i), 108A(1)(b)(i), 109(1)(g)(i) and 110(1)(g)(i), a consent in writing must be authenticated by a person who is an authorised witness under the </w:t>
      </w:r>
      <w:r>
        <w:rPr>
          <w:i/>
        </w:rPr>
        <w:t>Oaths, Affidavits and Statutory Declarations Act </w:t>
      </w:r>
      <w:r>
        <w:rPr>
          <w:i/>
          <w:iCs/>
        </w:rPr>
        <w:t>2005</w:t>
      </w:r>
      <w:r>
        <w:t xml:space="preserve"> section 12(6) endorsing on the consent a statement that —</w:t>
      </w:r>
    </w:p>
    <w:p>
      <w:pPr>
        <w:pStyle w:val="Indenta"/>
      </w:pPr>
      <w:r>
        <w:tab/>
        <w:t>(a)</w:t>
      </w:r>
      <w:r>
        <w:tab/>
        <w:t>the person is satisfied about the identity of the person signing the consent; and</w:t>
      </w:r>
    </w:p>
    <w:p>
      <w:pPr>
        <w:pStyle w:val="Indenta"/>
      </w:pPr>
      <w:r>
        <w:tab/>
        <w:t>(b)</w:t>
      </w:r>
      <w:r>
        <w:tab/>
        <w:t>the consent was signed in the person’s presence.</w:t>
      </w:r>
    </w:p>
    <w:p>
      <w:pPr>
        <w:pStyle w:val="Footnotesection"/>
      </w:pPr>
      <w:bookmarkStart w:id="57" w:name="_Toc187929180"/>
      <w:bookmarkStart w:id="58" w:name="_Toc187929396"/>
      <w:r>
        <w:tab/>
        <w:t>[Regulation 10A inserted: SL 2025/16 r. 5.]</w:t>
      </w:r>
    </w:p>
    <w:p>
      <w:pPr>
        <w:pStyle w:val="Heading5"/>
      </w:pPr>
      <w:bookmarkStart w:id="59" w:name="_Toc196398801"/>
      <w:bookmarkStart w:id="60" w:name="_Toc189556450"/>
      <w:r>
        <w:rPr>
          <w:rStyle w:val="CharSectno"/>
        </w:rPr>
        <w:t>10B</w:t>
      </w:r>
      <w:r>
        <w:t>.</w:t>
      </w:r>
      <w:r>
        <w:tab/>
        <w:t>Information sharing agencies (Act s. 162C)</w:t>
      </w:r>
      <w:bookmarkEnd w:id="59"/>
      <w:bookmarkEnd w:id="57"/>
      <w:bookmarkEnd w:id="58"/>
      <w:bookmarkEnd w:id="60"/>
    </w:p>
    <w:p>
      <w:pPr>
        <w:pStyle w:val="Subsection"/>
      </w:pPr>
      <w:r>
        <w:tab/>
      </w:r>
      <w:r>
        <w:tab/>
        <w:t xml:space="preserve">For the purposes of section 162C, each of the following is prescribed as an information sharing agency — </w:t>
      </w:r>
    </w:p>
    <w:p>
      <w:pPr>
        <w:pStyle w:val="Indenta"/>
      </w:pPr>
      <w:r>
        <w:tab/>
        <w:t>(a)</w:t>
      </w:r>
      <w:r>
        <w:tab/>
        <w:t>the police force or police service of a State or Territory;</w:t>
      </w:r>
    </w:p>
    <w:p>
      <w:pPr>
        <w:pStyle w:val="Indenta"/>
      </w:pPr>
      <w:r>
        <w:tab/>
        <w:t>(b)</w:t>
      </w:r>
      <w:r>
        <w:tab/>
        <w:t>the part of the police force or police service of a State or Territory that has primary responsibility for firearms licensing;</w:t>
      </w:r>
    </w:p>
    <w:p>
      <w:pPr>
        <w:pStyle w:val="Indenta"/>
      </w:pPr>
      <w:r>
        <w:tab/>
        <w:t>(c)</w:t>
      </w:r>
      <w:r>
        <w:tab/>
        <w:t>the part of the Australian Federal Police that provides police services in relation to the Australian Capital Territory;</w:t>
      </w:r>
    </w:p>
    <w:p>
      <w:pPr>
        <w:pStyle w:val="Indenta"/>
      </w:pPr>
      <w:r>
        <w:tab/>
        <w:t>(d)</w:t>
      </w:r>
      <w:r>
        <w:tab/>
        <w:t>the part of the Australian Federal Police that has primary responsibility for firearms licensing in relation to the Australian Capital Territory;</w:t>
      </w:r>
    </w:p>
    <w:p>
      <w:pPr>
        <w:pStyle w:val="Indenta"/>
        <w:keepNext/>
      </w:pPr>
      <w:r>
        <w:tab/>
        <w:t>(e)</w:t>
      </w:r>
      <w:r>
        <w:tab/>
        <w:t>either —</w:t>
      </w:r>
    </w:p>
    <w:p>
      <w:pPr>
        <w:pStyle w:val="Indenti"/>
      </w:pPr>
      <w:r>
        <w:tab/>
        <w:t>(i)</w:t>
      </w:r>
      <w:r>
        <w:tab/>
        <w:t>the department of a State or Territory that has primary responsibility for child protection in that State or Territory; or</w:t>
      </w:r>
    </w:p>
    <w:p>
      <w:pPr>
        <w:pStyle w:val="Indenti"/>
      </w:pPr>
      <w:r>
        <w:tab/>
        <w:t>(ii)</w:t>
      </w:r>
      <w:r>
        <w:tab/>
        <w:t>if, in a State or Territory, only a part of a department has primary responsibility for child protection — that part of the department.</w:t>
      </w:r>
    </w:p>
    <w:p>
      <w:pPr>
        <w:pStyle w:val="Footnotesection"/>
      </w:pPr>
      <w:bookmarkStart w:id="61" w:name="_Toc187929181"/>
      <w:bookmarkStart w:id="62" w:name="_Toc187929397"/>
      <w:r>
        <w:tab/>
        <w:t>[Regulation 10B inserted: SL 2025/16 r. 5.]</w:t>
      </w:r>
    </w:p>
    <w:p>
      <w:pPr>
        <w:pStyle w:val="Heading5"/>
      </w:pPr>
      <w:bookmarkStart w:id="63" w:name="_Toc196398802"/>
      <w:bookmarkStart w:id="64" w:name="_Toc189556451"/>
      <w:r>
        <w:rPr>
          <w:rStyle w:val="CharSectno"/>
        </w:rPr>
        <w:t>10C</w:t>
      </w:r>
      <w:r>
        <w:t>.</w:t>
      </w:r>
      <w:r>
        <w:tab/>
        <w:t>Information sharing safeguards (Act s. 162I(1))</w:t>
      </w:r>
      <w:bookmarkEnd w:id="63"/>
      <w:bookmarkEnd w:id="61"/>
      <w:bookmarkEnd w:id="62"/>
      <w:bookmarkEnd w:id="64"/>
    </w:p>
    <w:p>
      <w:pPr>
        <w:pStyle w:val="Subsection"/>
      </w:pPr>
      <w:r>
        <w:tab/>
        <w:t>(1)</w:t>
      </w:r>
      <w:r>
        <w:tab/>
        <w:t>For the purposes of section 162I(1), this regulation prescribes information sharing safeguards that —</w:t>
      </w:r>
    </w:p>
    <w:p>
      <w:pPr>
        <w:pStyle w:val="Indenta"/>
      </w:pPr>
      <w:r>
        <w:tab/>
        <w:t>(a)</w:t>
      </w:r>
      <w:r>
        <w:tab/>
        <w:t xml:space="preserve">an information sharing agency must have regard to when providing particulars, documents or information (the </w:t>
      </w:r>
      <w:r>
        <w:rPr>
          <w:rStyle w:val="CharDefText"/>
        </w:rPr>
        <w:t>shared material</w:t>
      </w:r>
      <w:r>
        <w:t>) under an order made under section 162D or 162E, or under section 162D(6) or 162E(6); and</w:t>
      </w:r>
    </w:p>
    <w:p>
      <w:pPr>
        <w:pStyle w:val="Indenta"/>
      </w:pPr>
      <w:r>
        <w:tab/>
        <w:t>(b)</w:t>
      </w:r>
      <w:r>
        <w:tab/>
        <w:t xml:space="preserve">the court must have regard to when using particulars, documents or information (the </w:t>
      </w:r>
      <w:r>
        <w:rPr>
          <w:rStyle w:val="CharDefText"/>
        </w:rPr>
        <w:t>shared material</w:t>
      </w:r>
      <w:r>
        <w:t>) provided by an information sharing agency under an order made under section 162D or 162E, or under section 162D(6) or 162E(6).</w:t>
      </w:r>
    </w:p>
    <w:p>
      <w:pPr>
        <w:pStyle w:val="Subsection"/>
      </w:pPr>
      <w:r>
        <w:tab/>
        <w:t>(2)</w:t>
      </w:r>
      <w:r>
        <w:tab/>
        <w:t>Particulars and documents are, and information is, only to be provided, and shared material is only to be stored and used, to the extent —</w:t>
      </w:r>
    </w:p>
    <w:p>
      <w:pPr>
        <w:pStyle w:val="Indenta"/>
      </w:pPr>
      <w:r>
        <w:tab/>
        <w:t>(a)</w:t>
      </w:r>
      <w:r>
        <w:tab/>
        <w:t>that the material relates to a matter mentioned in section 162D(2) or 162E(2); or</w:t>
      </w:r>
    </w:p>
    <w:p>
      <w:pPr>
        <w:pStyle w:val="Indenta"/>
      </w:pPr>
      <w:r>
        <w:tab/>
        <w:t>(b)</w:t>
      </w:r>
      <w:r>
        <w:tab/>
        <w:t>required or authorised by a law of the Commonwealth, State or Territory or a court order (including an order made under section 162D or 162E).</w:t>
      </w:r>
    </w:p>
    <w:p>
      <w:pPr>
        <w:pStyle w:val="Subsection"/>
      </w:pPr>
      <w:r>
        <w:tab/>
        <w:t>(3)</w:t>
      </w:r>
      <w:r>
        <w:tab/>
        <w:t>The shared material is to be provided, stored and used in good faith and with reasonable care to protect persons who are involved in, or could be affected by, the provision, storage or use of the shared material from physical and psychological harm.</w:t>
      </w:r>
    </w:p>
    <w:p>
      <w:pPr>
        <w:pStyle w:val="Subsection"/>
      </w:pPr>
      <w:r>
        <w:tab/>
        <w:t>(4)</w:t>
      </w:r>
      <w:r>
        <w:tab/>
        <w:t>The shared material is to be provided, stored and used in a manner that prevents improper access to or disclosure of the shared material.</w:t>
      </w:r>
    </w:p>
    <w:p>
      <w:pPr>
        <w:pStyle w:val="Subsection"/>
      </w:pPr>
      <w:r>
        <w:tab/>
        <w:t>(5)</w:t>
      </w:r>
      <w:r>
        <w:tab/>
        <w:t>Reasonable steps are to be taken to prevent the shared material being accessed by or disclosed to a person who poses, or potentially poses, a risk of subjecting or exposing any of the following to abuse, neglect or family violence —</w:t>
      </w:r>
    </w:p>
    <w:p>
      <w:pPr>
        <w:pStyle w:val="Indenta"/>
      </w:pPr>
      <w:r>
        <w:tab/>
        <w:t>(a)</w:t>
      </w:r>
      <w:r>
        <w:tab/>
        <w:t>a party to the proceedings;</w:t>
      </w:r>
    </w:p>
    <w:p>
      <w:pPr>
        <w:pStyle w:val="Indenta"/>
      </w:pPr>
      <w:r>
        <w:tab/>
        <w:t>(b)</w:t>
      </w:r>
      <w:r>
        <w:tab/>
        <w:t>a child to whom the proceedings relate;</w:t>
      </w:r>
    </w:p>
    <w:p>
      <w:pPr>
        <w:pStyle w:val="Indenta"/>
      </w:pPr>
      <w:r>
        <w:tab/>
        <w:t>(c)</w:t>
      </w:r>
      <w:r>
        <w:tab/>
        <w:t>another person to whom the shared material relates.</w:t>
      </w:r>
    </w:p>
    <w:p>
      <w:pPr>
        <w:pStyle w:val="Subsection"/>
      </w:pPr>
      <w:r>
        <w:tab/>
        <w:t>(6)</w:t>
      </w:r>
      <w:r>
        <w:tab/>
        <w:t>Subregulation (5) does not apply if the access or disclosure is in accordance with an order of a court (whether of a kind referred to in section 8(a) or (b) or otherwise).</w:t>
      </w:r>
    </w:p>
    <w:p>
      <w:pPr>
        <w:pStyle w:val="Subsection"/>
      </w:pPr>
      <w:r>
        <w:tab/>
        <w:t>(7)</w:t>
      </w:r>
      <w:r>
        <w:tab/>
        <w:t>The shared material is not to be provided by or used by a person who has a personal relationship with or has any other actual or potential conflict of interest in relation to —</w:t>
      </w:r>
    </w:p>
    <w:p>
      <w:pPr>
        <w:pStyle w:val="Indenta"/>
      </w:pPr>
      <w:r>
        <w:tab/>
        <w:t>(a)</w:t>
      </w:r>
      <w:r>
        <w:tab/>
        <w:t>a party to the proceedings; or</w:t>
      </w:r>
    </w:p>
    <w:p>
      <w:pPr>
        <w:pStyle w:val="Indenta"/>
      </w:pPr>
      <w:r>
        <w:tab/>
        <w:t>(b)</w:t>
      </w:r>
      <w:r>
        <w:tab/>
        <w:t>a child to whom the proceedings relate; or</w:t>
      </w:r>
    </w:p>
    <w:p>
      <w:pPr>
        <w:pStyle w:val="Indenta"/>
      </w:pPr>
      <w:r>
        <w:tab/>
        <w:t>(c)</w:t>
      </w:r>
      <w:r>
        <w:tab/>
        <w:t>another person to whom the shared material relates.</w:t>
      </w:r>
    </w:p>
    <w:p>
      <w:pPr>
        <w:pStyle w:val="Subsection"/>
      </w:pPr>
      <w:r>
        <w:tab/>
        <w:t>(8)</w:t>
      </w:r>
      <w:r>
        <w:tab/>
        <w:t>If the information sharing agency becomes aware that the shared material is incorrect, then as soon as possible —</w:t>
      </w:r>
    </w:p>
    <w:p>
      <w:pPr>
        <w:pStyle w:val="Indenta"/>
      </w:pPr>
      <w:r>
        <w:tab/>
        <w:t>(a)</w:t>
      </w:r>
      <w:r>
        <w:tab/>
        <w:t>the information sharing agency is to notify the court of the correction; and</w:t>
      </w:r>
    </w:p>
    <w:p>
      <w:pPr>
        <w:pStyle w:val="Indenta"/>
      </w:pPr>
      <w:r>
        <w:tab/>
        <w:t>(b)</w:t>
      </w:r>
      <w:r>
        <w:tab/>
        <w:t>subject to subregulation (11), the court is to correct its records accordingly.</w:t>
      </w:r>
    </w:p>
    <w:p>
      <w:pPr>
        <w:pStyle w:val="Subsection"/>
      </w:pPr>
      <w:r>
        <w:tab/>
        <w:t>(9)</w:t>
      </w:r>
      <w:r>
        <w:tab/>
        <w:t>If an information sharing agency receives an order under section 162D or 162E relating to a matter and the information sharing agency does not have in its possession or control any documents or information relating to the matter then, subject to subregulation (11), the information sharing agency is to destroy or redact its records relating to the order after responding to the order.</w:t>
      </w:r>
    </w:p>
    <w:p>
      <w:pPr>
        <w:pStyle w:val="Subsection"/>
      </w:pPr>
      <w:r>
        <w:tab/>
        <w:t>(10)</w:t>
      </w:r>
      <w:r>
        <w:tab/>
        <w:t>If a person requests access to the shared material or to material that is purported to be shared material provided to the court and the court does not have the requested material in its possession or control then, subject to subregulation (11), the court is to destroy or redact its records relating to the request.</w:t>
      </w:r>
    </w:p>
    <w:p>
      <w:pPr>
        <w:pStyle w:val="Subsection"/>
      </w:pPr>
      <w:r>
        <w:tab/>
        <w:t>(11)</w:t>
      </w:r>
      <w:r>
        <w:tab/>
        <w:t>Subregulations (8), (9) and (10) are subject to any record</w:t>
      </w:r>
      <w:r>
        <w:noBreakHyphen/>
        <w:t>keeping obligations imposed on the information sharing agency or the court by a law of the Commonwealth, a State or a Territory or an order of a court (whether of a kind referred to in section 8(a) or (b) or otherwise).</w:t>
      </w:r>
    </w:p>
    <w:p>
      <w:pPr>
        <w:pStyle w:val="Footnotesection"/>
      </w:pPr>
      <w:r>
        <w:tab/>
        <w:t>[Regulation 10C inserted: SL 2025/16 r. 5.]</w:t>
      </w:r>
    </w:p>
    <w:p>
      <w:pPr>
        <w:pStyle w:val="Heading5"/>
      </w:pPr>
      <w:bookmarkStart w:id="65" w:name="_Toc196398803"/>
      <w:bookmarkStart w:id="66" w:name="_Toc189556452"/>
      <w:r>
        <w:rPr>
          <w:rStyle w:val="CharSectno"/>
        </w:rPr>
        <w:t>11</w:t>
      </w:r>
      <w:r>
        <w:t>.</w:t>
      </w:r>
      <w:r>
        <w:tab/>
        <w:t>Registration of court decision (Act s. 176(6))</w:t>
      </w:r>
      <w:bookmarkEnd w:id="65"/>
      <w:bookmarkEnd w:id="66"/>
    </w:p>
    <w:p>
      <w:pPr>
        <w:pStyle w:val="Subsection"/>
      </w:pPr>
      <w:r>
        <w:tab/>
      </w:r>
      <w:r>
        <w:tab/>
        <w:t>Family Law Regulation </w:t>
      </w:r>
      <w:del w:id="67" w:author="Master Repository Process" w:date="2025-07-03T12:24:00Z">
        <w:r>
          <w:delText>12CC</w:delText>
        </w:r>
      </w:del>
      <w:ins w:id="68" w:author="Master Repository Process" w:date="2025-07-03T12:24:00Z">
        <w:r>
          <w:t>55</w:t>
        </w:r>
      </w:ins>
      <w:r>
        <w:t xml:space="preserve"> is adopted for the purposes of section 176(6).</w:t>
      </w:r>
    </w:p>
    <w:p>
      <w:pPr>
        <w:pStyle w:val="Footnotesection"/>
      </w:pPr>
      <w:r>
        <w:tab/>
        <w:t>[Regulation 11 inserted: Gazette 14 Jul 2006 p. 2562</w:t>
      </w:r>
      <w:ins w:id="69" w:author="Master Repository Process" w:date="2025-07-03T12:24:00Z">
        <w:r>
          <w:t>; amended: SL 2025/63 r. 7</w:t>
        </w:r>
      </w:ins>
      <w:r>
        <w:t>.]</w:t>
      </w:r>
    </w:p>
    <w:p>
      <w:pPr>
        <w:pStyle w:val="Ednotesection"/>
      </w:pPr>
      <w:r>
        <w:t>[</w:t>
      </w:r>
      <w:r>
        <w:rPr>
          <w:b/>
        </w:rPr>
        <w:t>12.</w:t>
      </w:r>
      <w:r>
        <w:tab/>
        <w:t>Deleted: SL 2025/16 r. 6.]</w:t>
      </w:r>
    </w:p>
    <w:p>
      <w:pPr>
        <w:pStyle w:val="Heading5"/>
      </w:pPr>
      <w:bookmarkStart w:id="70" w:name="_Toc196398804"/>
      <w:bookmarkStart w:id="71" w:name="_Toc189556453"/>
      <w:r>
        <w:rPr>
          <w:rStyle w:val="CharSectno"/>
        </w:rPr>
        <w:t>13</w:t>
      </w:r>
      <w:r>
        <w:t>.</w:t>
      </w:r>
      <w:r>
        <w:tab/>
        <w:t>Third party expenses (Act s. 205ZLK)</w:t>
      </w:r>
      <w:bookmarkEnd w:id="70"/>
      <w:bookmarkEnd w:id="71"/>
    </w:p>
    <w:p>
      <w:pPr>
        <w:pStyle w:val="Subsection"/>
      </w:pPr>
      <w:r>
        <w:tab/>
      </w:r>
      <w:r>
        <w:tab/>
        <w:t>Family Law Regulation </w:t>
      </w:r>
      <w:del w:id="72" w:author="Master Repository Process" w:date="2025-07-03T12:24:00Z">
        <w:r>
          <w:delText>15AA</w:delText>
        </w:r>
      </w:del>
      <w:ins w:id="73" w:author="Master Repository Process" w:date="2025-07-03T12:24:00Z">
        <w:r>
          <w:t>74</w:t>
        </w:r>
      </w:ins>
      <w:r>
        <w:t xml:space="preserve"> is adopted for the purposes of section 205ZLK.</w:t>
      </w:r>
    </w:p>
    <w:p>
      <w:pPr>
        <w:pStyle w:val="Footnotesection"/>
      </w:pPr>
      <w:r>
        <w:tab/>
        <w:t>[Regulation 13 inserted: Gazette 14 Jul 2006 p. 2562</w:t>
      </w:r>
      <w:ins w:id="74" w:author="Master Repository Process" w:date="2025-07-03T12:24:00Z">
        <w:r>
          <w:t>; amended: SL 2025/63 r. 8</w:t>
        </w:r>
      </w:ins>
      <w:r>
        <w:t>.]</w:t>
      </w:r>
    </w:p>
    <w:p>
      <w:pPr>
        <w:pStyle w:val="Ednotesection"/>
        <w:tabs>
          <w:tab w:val="clear" w:pos="893"/>
          <w:tab w:val="left" w:pos="1560"/>
        </w:tabs>
      </w:pPr>
      <w:r>
        <w:t>[</w:t>
      </w:r>
      <w:r>
        <w:rPr>
          <w:b/>
          <w:bCs/>
        </w:rPr>
        <w:t>14, 14A</w:t>
      </w:r>
      <w:r>
        <w:rPr>
          <w:b/>
          <w:bCs/>
        </w:rPr>
        <w:noBreakHyphen/>
        <w:t>14E.</w:t>
      </w:r>
      <w:r>
        <w:tab/>
        <w:t>Deleted: Gazette 14 Jul 2006 p. 2561.]</w:t>
      </w:r>
    </w:p>
    <w:p>
      <w:pPr>
        <w:pStyle w:val="Heading5"/>
      </w:pPr>
      <w:bookmarkStart w:id="75" w:name="_Toc196398805"/>
      <w:bookmarkStart w:id="76" w:name="_Toc189556454"/>
      <w:r>
        <w:rPr>
          <w:rStyle w:val="CharSectno"/>
        </w:rPr>
        <w:t>14F</w:t>
      </w:r>
      <w:r>
        <w:t>.</w:t>
      </w:r>
      <w:r>
        <w:tab/>
        <w:t>Pensions, allowances, benefits prescribed (Act s. 205T)</w:t>
      </w:r>
      <w:bookmarkEnd w:id="75"/>
      <w:bookmarkEnd w:id="76"/>
    </w:p>
    <w:p>
      <w:pPr>
        <w:pStyle w:val="Subsection"/>
        <w:keepNext/>
      </w:pPr>
      <w:r>
        <w:tab/>
      </w:r>
      <w:r>
        <w:tab/>
        <w:t>Family Law Regulation </w:t>
      </w:r>
      <w:del w:id="77" w:author="Master Repository Process" w:date="2025-07-03T12:24:00Z">
        <w:r>
          <w:delText>12A</w:delText>
        </w:r>
      </w:del>
      <w:ins w:id="78" w:author="Master Repository Process" w:date="2025-07-03T12:24:00Z">
        <w:r>
          <w:t>9</w:t>
        </w:r>
      </w:ins>
      <w:r>
        <w:t xml:space="preserve"> is adopted and applies for the purposes of the definition of </w:t>
      </w:r>
      <w:r>
        <w:rPr>
          <w:b/>
          <w:i/>
        </w:rPr>
        <w:t>income tested pension, allowance or benefit</w:t>
      </w:r>
      <w:r>
        <w:t xml:space="preserve"> in section 205T.</w:t>
      </w:r>
    </w:p>
    <w:p>
      <w:pPr>
        <w:pStyle w:val="Footnotesection"/>
      </w:pPr>
      <w:r>
        <w:tab/>
        <w:t>[Regulation 14F inserted: Gazette 29 Nov 2002 p. 5665</w:t>
      </w:r>
      <w:ins w:id="79" w:author="Master Repository Process" w:date="2025-07-03T12:24:00Z">
        <w:r>
          <w:t>; amended: SL 2025/63 r. 9</w:t>
        </w:r>
      </w:ins>
      <w:r>
        <w:t>.]</w:t>
      </w:r>
    </w:p>
    <w:p>
      <w:pPr>
        <w:pStyle w:val="Heading5"/>
        <w:rPr>
          <w:snapToGrid w:val="0"/>
        </w:rPr>
      </w:pPr>
      <w:bookmarkStart w:id="80" w:name="_Toc196398806"/>
      <w:bookmarkStart w:id="81" w:name="_Toc189556455"/>
      <w:r>
        <w:rPr>
          <w:rStyle w:val="CharSectno"/>
        </w:rPr>
        <w:t>15</w:t>
      </w:r>
      <w:r>
        <w:rPr>
          <w:snapToGrid w:val="0"/>
        </w:rPr>
        <w:t>.</w:t>
      </w:r>
      <w:r>
        <w:rPr>
          <w:snapToGrid w:val="0"/>
        </w:rPr>
        <w:tab/>
        <w:t>Parentage testing procedures</w:t>
      </w:r>
      <w:bookmarkEnd w:id="80"/>
      <w:bookmarkEnd w:id="81"/>
      <w:r>
        <w:rPr>
          <w:snapToGrid w:val="0"/>
        </w:rPr>
        <w:t xml:space="preserve"> </w:t>
      </w:r>
    </w:p>
    <w:p>
      <w:pPr>
        <w:pStyle w:val="Subsection"/>
        <w:rPr>
          <w:snapToGrid w:val="0"/>
        </w:rPr>
      </w:pPr>
      <w:r>
        <w:rPr>
          <w:snapToGrid w:val="0"/>
        </w:rPr>
        <w:tab/>
        <w:t>(1)</w:t>
      </w:r>
      <w:r>
        <w:rPr>
          <w:snapToGrid w:val="0"/>
        </w:rPr>
        <w:tab/>
        <w:t>Family Law Regulation </w:t>
      </w:r>
      <w:del w:id="82" w:author="Master Repository Process" w:date="2025-07-03T12:24:00Z">
        <w:r>
          <w:rPr>
            <w:snapToGrid w:val="0"/>
          </w:rPr>
          <w:delText>21C</w:delText>
        </w:r>
      </w:del>
      <w:ins w:id="83" w:author="Master Repository Process" w:date="2025-07-03T12:24:00Z">
        <w:r>
          <w:rPr>
            <w:snapToGrid w:val="0"/>
          </w:rPr>
          <w:t>59</w:t>
        </w:r>
      </w:ins>
      <w:r>
        <w:rPr>
          <w:snapToGrid w:val="0"/>
        </w:rPr>
        <w:t xml:space="preserve">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w:t>
      </w:r>
      <w:del w:id="84" w:author="Master Repository Process" w:date="2025-07-03T12:24:00Z">
        <w:r>
          <w:rPr>
            <w:snapToGrid w:val="0"/>
          </w:rPr>
          <w:delText>21B, 21D, 21E, 21F, 21G, 21H, 21I, 21J, 21K and 21L</w:delText>
        </w:r>
      </w:del>
      <w:ins w:id="85" w:author="Master Repository Process" w:date="2025-07-03T12:24:00Z">
        <w:r>
          <w:t>58 and 60 to 67</w:t>
        </w:r>
      </w:ins>
      <w:r>
        <w:rPr>
          <w:snapToGrid w:val="0"/>
        </w:rPr>
        <w:t xml:space="preserve"> are adopted and apply to a parentage testing procedure that is required to be carried out on a person under a parentage testing order made by a court under section 195.</w:t>
      </w:r>
    </w:p>
    <w:p>
      <w:pPr>
        <w:pStyle w:val="Footnotesection"/>
        <w:rPr>
          <w:ins w:id="86" w:author="Master Repository Process" w:date="2025-07-03T12:24:00Z"/>
        </w:rPr>
      </w:pPr>
      <w:ins w:id="87" w:author="Master Repository Process" w:date="2025-07-03T12:24:00Z">
        <w:r>
          <w:tab/>
          <w:t>[Regulation 15 amended: SL 2025/63 r. 10.]</w:t>
        </w:r>
      </w:ins>
    </w:p>
    <w:p>
      <w:pPr>
        <w:pStyle w:val="Heading5"/>
        <w:rPr>
          <w:snapToGrid w:val="0"/>
        </w:rPr>
      </w:pPr>
      <w:bookmarkStart w:id="88" w:name="_Toc196398807"/>
      <w:bookmarkStart w:id="89" w:name="_Toc189556456"/>
      <w:r>
        <w:rPr>
          <w:rStyle w:val="CharSectno"/>
        </w:rPr>
        <w:t>16</w:t>
      </w:r>
      <w:r>
        <w:rPr>
          <w:snapToGrid w:val="0"/>
        </w:rPr>
        <w:t>.</w:t>
      </w:r>
      <w:r>
        <w:rPr>
          <w:snapToGrid w:val="0"/>
        </w:rPr>
        <w:tab/>
        <w:t>Parentage testing reports</w:t>
      </w:r>
      <w:bookmarkEnd w:id="88"/>
      <w:bookmarkEnd w:id="89"/>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w:t>
      </w:r>
      <w:del w:id="90" w:author="Master Repository Process" w:date="2025-07-03T12:24:00Z">
        <w:r>
          <w:rPr>
            <w:snapToGrid w:val="0"/>
          </w:rPr>
          <w:delText>21M</w:delText>
        </w:r>
      </w:del>
      <w:ins w:id="91" w:author="Master Repository Process" w:date="2025-07-03T12:24:00Z">
        <w:r>
          <w:rPr>
            <w:snapToGrid w:val="0"/>
          </w:rPr>
          <w:t>68</w:t>
        </w:r>
      </w:ins>
      <w:r>
        <w:rPr>
          <w:snapToGrid w:val="0"/>
        </w:rPr>
        <w:t xml:space="preserve"> is adopted and applies for the purposes of section 200(b).</w:t>
      </w:r>
    </w:p>
    <w:p>
      <w:pPr>
        <w:pStyle w:val="Footnotesection"/>
        <w:rPr>
          <w:ins w:id="92" w:author="Master Repository Process" w:date="2025-07-03T12:24:00Z"/>
        </w:rPr>
      </w:pPr>
      <w:ins w:id="93" w:author="Master Repository Process" w:date="2025-07-03T12:24:00Z">
        <w:r>
          <w:tab/>
          <w:t>[Regulation 16 amended: SL 2025/63 r. 11.]</w:t>
        </w:r>
      </w:ins>
    </w:p>
    <w:p>
      <w:pPr>
        <w:pStyle w:val="Heading5"/>
        <w:rPr>
          <w:snapToGrid w:val="0"/>
        </w:rPr>
      </w:pPr>
      <w:bookmarkStart w:id="94" w:name="_Toc196398808"/>
      <w:bookmarkStart w:id="95" w:name="_Toc189556457"/>
      <w:r>
        <w:rPr>
          <w:rStyle w:val="CharSectno"/>
        </w:rPr>
        <w:t>17</w:t>
      </w:r>
      <w:r>
        <w:rPr>
          <w:snapToGrid w:val="0"/>
        </w:rPr>
        <w:t>.</w:t>
      </w:r>
      <w:r>
        <w:rPr>
          <w:snapToGrid w:val="0"/>
        </w:rPr>
        <w:tab/>
        <w:t>Registration in a court of orders etc. made by another court</w:t>
      </w:r>
      <w:bookmarkEnd w:id="94"/>
      <w:bookmarkEnd w:id="95"/>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Gazette 29 Nov 2002 p. 5665; 14 Jul 2006 p. 2562.]</w:t>
      </w:r>
    </w:p>
    <w:p>
      <w:pPr>
        <w:pStyle w:val="Heading5"/>
      </w:pPr>
      <w:bookmarkStart w:id="96" w:name="_Toc196398809"/>
      <w:bookmarkStart w:id="97" w:name="_Toc187929184"/>
      <w:bookmarkStart w:id="98" w:name="_Toc187929400"/>
      <w:bookmarkStart w:id="99" w:name="_Toc189556458"/>
      <w:r>
        <w:rPr>
          <w:rStyle w:val="CharSectno"/>
        </w:rPr>
        <w:t>17A</w:t>
      </w:r>
      <w:r>
        <w:t>.</w:t>
      </w:r>
      <w:r>
        <w:tab/>
        <w:t>Authorities prescribed (Act s. 236D(2)(c))</w:t>
      </w:r>
      <w:bookmarkEnd w:id="96"/>
      <w:bookmarkEnd w:id="97"/>
      <w:bookmarkEnd w:id="98"/>
      <w:bookmarkEnd w:id="99"/>
    </w:p>
    <w:p>
      <w:pPr>
        <w:pStyle w:val="Subsection"/>
      </w:pPr>
      <w:r>
        <w:tab/>
      </w:r>
      <w:r>
        <w:tab/>
        <w:t>For the purposes of section 236D(2)(c), each of the following authorities of a State or Territory that has responsibilities relating to the welfare of children is prescribed —</w:t>
      </w:r>
    </w:p>
    <w:p>
      <w:pPr>
        <w:pStyle w:val="Indenta"/>
      </w:pPr>
      <w:r>
        <w:tab/>
        <w:t>(a)</w:t>
      </w:r>
      <w:r>
        <w:tab/>
        <w:t>for New South Wales — the Department of Communities and Justice;</w:t>
      </w:r>
    </w:p>
    <w:p>
      <w:pPr>
        <w:pStyle w:val="Indenta"/>
      </w:pPr>
      <w:r>
        <w:tab/>
        <w:t>(b)</w:t>
      </w:r>
      <w:r>
        <w:tab/>
        <w:t>for Victoria — the Department of Families, Fairness and Housing;</w:t>
      </w:r>
    </w:p>
    <w:p>
      <w:pPr>
        <w:pStyle w:val="Indenta"/>
      </w:pPr>
      <w:r>
        <w:tab/>
        <w:t>(c)</w:t>
      </w:r>
      <w:r>
        <w:tab/>
        <w:t>for Queensland — the Department of Families, Seniors, Disability Services and Child Safety;</w:t>
      </w:r>
    </w:p>
    <w:p>
      <w:pPr>
        <w:pStyle w:val="Indenta"/>
      </w:pPr>
      <w:r>
        <w:tab/>
        <w:t>(d)</w:t>
      </w:r>
      <w:r>
        <w:tab/>
        <w:t xml:space="preserve">for Western Australia — the department of the Public Service principally assisting in the administration of the </w:t>
      </w:r>
      <w:r>
        <w:rPr>
          <w:i/>
        </w:rPr>
        <w:t>Children and Community Services Act </w:t>
      </w:r>
      <w:r>
        <w:rPr>
          <w:i/>
          <w:iCs/>
        </w:rPr>
        <w:t>2004</w:t>
      </w:r>
      <w:r>
        <w:t>;</w:t>
      </w:r>
    </w:p>
    <w:p>
      <w:pPr>
        <w:pStyle w:val="Indenta"/>
      </w:pPr>
      <w:r>
        <w:tab/>
        <w:t>(e)</w:t>
      </w:r>
      <w:r>
        <w:tab/>
        <w:t>for South Australia — the Department for Child Protection;</w:t>
      </w:r>
    </w:p>
    <w:p>
      <w:pPr>
        <w:pStyle w:val="Indenta"/>
      </w:pPr>
      <w:r>
        <w:tab/>
        <w:t>(f)</w:t>
      </w:r>
      <w:r>
        <w:tab/>
        <w:t>for Tasmania — the Department for Education, Children and Young People;</w:t>
      </w:r>
    </w:p>
    <w:p>
      <w:pPr>
        <w:pStyle w:val="Indenta"/>
      </w:pPr>
      <w:r>
        <w:tab/>
        <w:t>(g)</w:t>
      </w:r>
      <w:r>
        <w:tab/>
        <w:t>for the Australian Capital Territory — the Community Services Directorate;</w:t>
      </w:r>
    </w:p>
    <w:p>
      <w:pPr>
        <w:pStyle w:val="Indenta"/>
      </w:pPr>
      <w:r>
        <w:tab/>
        <w:t>(h)</w:t>
      </w:r>
      <w:r>
        <w:tab/>
        <w:t>for the Northern Territory — the Department of Territory Families, Housing and Communities.</w:t>
      </w:r>
    </w:p>
    <w:p>
      <w:pPr>
        <w:pStyle w:val="Footnotesection"/>
      </w:pPr>
      <w:r>
        <w:tab/>
        <w:t>[Regulation 17A inserted: SL 2025/16 r. 7.]</w:t>
      </w:r>
    </w:p>
    <w:p>
      <w:pPr>
        <w:pStyle w:val="Heading2"/>
      </w:pPr>
      <w:bookmarkStart w:id="100" w:name="_Toc196394715"/>
      <w:bookmarkStart w:id="101" w:name="_Toc196395662"/>
      <w:bookmarkStart w:id="102" w:name="_Toc196398810"/>
      <w:bookmarkStart w:id="103" w:name="_Toc189554068"/>
      <w:bookmarkStart w:id="104" w:name="_Toc189554845"/>
      <w:bookmarkStart w:id="105" w:name="_Toc189556459"/>
      <w:r>
        <w:rPr>
          <w:rStyle w:val="CharPartNo"/>
        </w:rPr>
        <w:t>Part 3</w:t>
      </w:r>
      <w:r>
        <w:rPr>
          <w:b w:val="0"/>
        </w:rPr>
        <w:t> </w:t>
      </w:r>
      <w:r>
        <w:t>—</w:t>
      </w:r>
      <w:r>
        <w:rPr>
          <w:b w:val="0"/>
        </w:rPr>
        <w:t> </w:t>
      </w:r>
      <w:r>
        <w:rPr>
          <w:rStyle w:val="CharPartText"/>
        </w:rPr>
        <w:t>Court fees</w:t>
      </w:r>
      <w:bookmarkEnd w:id="100"/>
      <w:bookmarkEnd w:id="101"/>
      <w:bookmarkEnd w:id="102"/>
      <w:bookmarkEnd w:id="103"/>
      <w:bookmarkEnd w:id="104"/>
      <w:bookmarkEnd w:id="105"/>
    </w:p>
    <w:p>
      <w:pPr>
        <w:pStyle w:val="Footnoteheading"/>
      </w:pPr>
      <w:r>
        <w:tab/>
        <w:t>[Heading inserted: Gazette 14 Dec 2012 p. 6236.]</w:t>
      </w:r>
    </w:p>
    <w:p>
      <w:pPr>
        <w:pStyle w:val="Heading3"/>
      </w:pPr>
      <w:bookmarkStart w:id="106" w:name="_Toc196394716"/>
      <w:bookmarkStart w:id="107" w:name="_Toc196395663"/>
      <w:bookmarkStart w:id="108" w:name="_Toc196398811"/>
      <w:bookmarkStart w:id="109" w:name="_Toc189554069"/>
      <w:bookmarkStart w:id="110" w:name="_Toc189554846"/>
      <w:bookmarkStart w:id="111" w:name="_Toc189556460"/>
      <w:r>
        <w:rPr>
          <w:rStyle w:val="CharDivNo"/>
        </w:rPr>
        <w:t>Division 1</w:t>
      </w:r>
      <w:r>
        <w:t> — </w:t>
      </w:r>
      <w:r>
        <w:rPr>
          <w:rStyle w:val="CharDivText"/>
        </w:rPr>
        <w:t>Preliminary</w:t>
      </w:r>
      <w:bookmarkEnd w:id="106"/>
      <w:bookmarkEnd w:id="107"/>
      <w:bookmarkEnd w:id="108"/>
      <w:bookmarkEnd w:id="109"/>
      <w:bookmarkEnd w:id="110"/>
      <w:bookmarkEnd w:id="111"/>
    </w:p>
    <w:p>
      <w:pPr>
        <w:pStyle w:val="Footnoteheading"/>
      </w:pPr>
      <w:r>
        <w:tab/>
        <w:t>[Heading inserted: Gazette 14 Dec 2012 p. 6236.]</w:t>
      </w:r>
    </w:p>
    <w:p>
      <w:pPr>
        <w:pStyle w:val="Heading5"/>
      </w:pPr>
      <w:bookmarkStart w:id="112" w:name="_Toc196398812"/>
      <w:bookmarkStart w:id="113" w:name="_Toc189556461"/>
      <w:r>
        <w:rPr>
          <w:rStyle w:val="CharSectno"/>
        </w:rPr>
        <w:t>18</w:t>
      </w:r>
      <w:r>
        <w:t>.</w:t>
      </w:r>
      <w:r>
        <w:tab/>
        <w:t>Terms used</w:t>
      </w:r>
      <w:bookmarkEnd w:id="112"/>
      <w:bookmarkEnd w:id="113"/>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Gazette 14 Dec 2012 p. 6236-7; amended: Gazette 10 Jul 2015 p. 2780; 18 Aug 2015 p. 3299.]</w:t>
      </w:r>
    </w:p>
    <w:p>
      <w:pPr>
        <w:pStyle w:val="Heading3"/>
      </w:pPr>
      <w:bookmarkStart w:id="114" w:name="_Toc196394718"/>
      <w:bookmarkStart w:id="115" w:name="_Toc196395665"/>
      <w:bookmarkStart w:id="116" w:name="_Toc196398813"/>
      <w:bookmarkStart w:id="117" w:name="_Toc189554071"/>
      <w:bookmarkStart w:id="118" w:name="_Toc189554848"/>
      <w:bookmarkStart w:id="119" w:name="_Toc189556462"/>
      <w:r>
        <w:rPr>
          <w:rStyle w:val="CharDivNo"/>
        </w:rPr>
        <w:t>Division 2</w:t>
      </w:r>
      <w:r>
        <w:t> — </w:t>
      </w:r>
      <w:r>
        <w:rPr>
          <w:rStyle w:val="CharDivText"/>
        </w:rPr>
        <w:t>Fees — general</w:t>
      </w:r>
      <w:bookmarkEnd w:id="114"/>
      <w:bookmarkEnd w:id="115"/>
      <w:bookmarkEnd w:id="116"/>
      <w:bookmarkEnd w:id="117"/>
      <w:bookmarkEnd w:id="118"/>
      <w:bookmarkEnd w:id="119"/>
    </w:p>
    <w:p>
      <w:pPr>
        <w:pStyle w:val="Footnoteheading"/>
      </w:pPr>
      <w:r>
        <w:tab/>
        <w:t>[Heading inserted: Gazette 14 Dec 2012 p. 6237.]</w:t>
      </w:r>
    </w:p>
    <w:p>
      <w:pPr>
        <w:pStyle w:val="Heading5"/>
      </w:pPr>
      <w:bookmarkStart w:id="120" w:name="_Toc196398814"/>
      <w:bookmarkStart w:id="121" w:name="_Toc189556463"/>
      <w:r>
        <w:rPr>
          <w:rStyle w:val="CharSectno"/>
        </w:rPr>
        <w:t>19</w:t>
      </w:r>
      <w:r>
        <w:t>.</w:t>
      </w:r>
      <w:r>
        <w:tab/>
        <w:t>Fees (Sch. 1)</w:t>
      </w:r>
      <w:bookmarkEnd w:id="120"/>
      <w:bookmarkEnd w:id="121"/>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Gazette 14 Dec 2012 p. 6237-8.]</w:t>
      </w:r>
    </w:p>
    <w:p>
      <w:pPr>
        <w:pStyle w:val="Heading3"/>
      </w:pPr>
      <w:bookmarkStart w:id="122" w:name="_Toc196394720"/>
      <w:bookmarkStart w:id="123" w:name="_Toc196395667"/>
      <w:bookmarkStart w:id="124" w:name="_Toc196398815"/>
      <w:bookmarkStart w:id="125" w:name="_Toc189554073"/>
      <w:bookmarkStart w:id="126" w:name="_Toc189554850"/>
      <w:bookmarkStart w:id="127" w:name="_Toc189556464"/>
      <w:r>
        <w:rPr>
          <w:rStyle w:val="CharDivNo"/>
        </w:rPr>
        <w:t>Division 3</w:t>
      </w:r>
      <w:r>
        <w:t> — </w:t>
      </w:r>
      <w:r>
        <w:rPr>
          <w:rStyle w:val="CharDivText"/>
        </w:rPr>
        <w:t>Liability to pay fee</w:t>
      </w:r>
      <w:bookmarkEnd w:id="122"/>
      <w:bookmarkEnd w:id="123"/>
      <w:bookmarkEnd w:id="124"/>
      <w:bookmarkEnd w:id="125"/>
      <w:bookmarkEnd w:id="126"/>
      <w:bookmarkEnd w:id="127"/>
    </w:p>
    <w:p>
      <w:pPr>
        <w:pStyle w:val="Footnoteheading"/>
      </w:pPr>
      <w:r>
        <w:tab/>
        <w:t>[Heading inserted: Gazette 14 Dec 2012 p. 6238.]</w:t>
      </w:r>
    </w:p>
    <w:p>
      <w:pPr>
        <w:pStyle w:val="Heading5"/>
      </w:pPr>
      <w:bookmarkStart w:id="128" w:name="_Toc196398816"/>
      <w:bookmarkStart w:id="129" w:name="_Toc189556465"/>
      <w:r>
        <w:rPr>
          <w:rStyle w:val="CharSectno"/>
        </w:rPr>
        <w:t>20</w:t>
      </w:r>
      <w:r>
        <w:t>.</w:t>
      </w:r>
      <w:r>
        <w:tab/>
        <w:t>Persons liable to pay fee</w:t>
      </w:r>
      <w:bookmarkEnd w:id="128"/>
      <w:bookmarkEnd w:id="129"/>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Gazette 14 Dec 2012 p. 6238-9.]</w:t>
      </w:r>
    </w:p>
    <w:p>
      <w:pPr>
        <w:pStyle w:val="Heading3"/>
        <w:keepLines/>
      </w:pPr>
      <w:bookmarkStart w:id="130" w:name="_Toc196394722"/>
      <w:bookmarkStart w:id="131" w:name="_Toc196395669"/>
      <w:bookmarkStart w:id="132" w:name="_Toc196398817"/>
      <w:bookmarkStart w:id="133" w:name="_Toc189554075"/>
      <w:bookmarkStart w:id="134" w:name="_Toc189554852"/>
      <w:bookmarkStart w:id="135" w:name="_Toc189556466"/>
      <w:r>
        <w:rPr>
          <w:rStyle w:val="CharDivNo"/>
        </w:rPr>
        <w:t>Division 4</w:t>
      </w:r>
      <w:r>
        <w:t> — </w:t>
      </w:r>
      <w:r>
        <w:rPr>
          <w:rStyle w:val="CharDivText"/>
        </w:rPr>
        <w:t>Exemptions from liability to pay fee</w:t>
      </w:r>
      <w:bookmarkEnd w:id="130"/>
      <w:bookmarkEnd w:id="131"/>
      <w:bookmarkEnd w:id="132"/>
      <w:bookmarkEnd w:id="133"/>
      <w:bookmarkEnd w:id="134"/>
      <w:bookmarkEnd w:id="135"/>
    </w:p>
    <w:p>
      <w:pPr>
        <w:pStyle w:val="Footnoteheading"/>
        <w:keepNext/>
        <w:keepLines/>
      </w:pPr>
      <w:r>
        <w:tab/>
        <w:t>[Heading inserted: Gazette 14 Dec 2012 p. 6239.]</w:t>
      </w:r>
    </w:p>
    <w:p>
      <w:pPr>
        <w:pStyle w:val="Heading5"/>
      </w:pPr>
      <w:bookmarkStart w:id="136" w:name="_Toc196398818"/>
      <w:bookmarkStart w:id="137" w:name="_Toc189556467"/>
      <w:r>
        <w:rPr>
          <w:rStyle w:val="CharSectno"/>
        </w:rPr>
        <w:t>21A</w:t>
      </w:r>
      <w:r>
        <w:t>.</w:t>
      </w:r>
      <w:r>
        <w:tab/>
        <w:t>Persons exempt from paying fee: general</w:t>
      </w:r>
      <w:bookmarkEnd w:id="136"/>
      <w:bookmarkEnd w:id="137"/>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Gazette 14 Dec 2012 p. 6239-40.]</w:t>
      </w:r>
    </w:p>
    <w:p>
      <w:pPr>
        <w:pStyle w:val="Heading5"/>
      </w:pPr>
      <w:bookmarkStart w:id="138" w:name="_Toc196398819"/>
      <w:bookmarkStart w:id="139" w:name="_Toc189556468"/>
      <w:r>
        <w:rPr>
          <w:rStyle w:val="CharSectno"/>
        </w:rPr>
        <w:t>21B</w:t>
      </w:r>
      <w:r>
        <w:t>.</w:t>
      </w:r>
      <w:r>
        <w:tab/>
        <w:t>Persons exempt from paying fee: financial hardship</w:t>
      </w:r>
      <w:bookmarkEnd w:id="138"/>
      <w:bookmarkEnd w:id="139"/>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Gazette 14 Dec 2012 p. 6240.]</w:t>
      </w:r>
    </w:p>
    <w:p>
      <w:pPr>
        <w:pStyle w:val="Heading3"/>
      </w:pPr>
      <w:bookmarkStart w:id="140" w:name="_Toc196394725"/>
      <w:bookmarkStart w:id="141" w:name="_Toc196395672"/>
      <w:bookmarkStart w:id="142" w:name="_Toc196398820"/>
      <w:bookmarkStart w:id="143" w:name="_Toc189554078"/>
      <w:bookmarkStart w:id="144" w:name="_Toc189554855"/>
      <w:bookmarkStart w:id="145" w:name="_Toc189556469"/>
      <w:r>
        <w:rPr>
          <w:rStyle w:val="CharDivNo"/>
        </w:rPr>
        <w:t>Division 5</w:t>
      </w:r>
      <w:r>
        <w:t> — </w:t>
      </w:r>
      <w:r>
        <w:rPr>
          <w:rStyle w:val="CharDivText"/>
        </w:rPr>
        <w:t>When fee is not payable</w:t>
      </w:r>
      <w:bookmarkEnd w:id="140"/>
      <w:bookmarkEnd w:id="141"/>
      <w:bookmarkEnd w:id="142"/>
      <w:bookmarkEnd w:id="143"/>
      <w:bookmarkEnd w:id="144"/>
      <w:bookmarkEnd w:id="145"/>
    </w:p>
    <w:p>
      <w:pPr>
        <w:pStyle w:val="Footnoteheading"/>
      </w:pPr>
      <w:r>
        <w:tab/>
        <w:t>[Heading inserted: Gazette 14 Dec 2012 p. 6241.]</w:t>
      </w:r>
    </w:p>
    <w:p>
      <w:pPr>
        <w:pStyle w:val="Heading5"/>
      </w:pPr>
      <w:bookmarkStart w:id="146" w:name="_Toc196398821"/>
      <w:bookmarkStart w:id="147" w:name="_Toc189556470"/>
      <w:r>
        <w:rPr>
          <w:rStyle w:val="CharSectno"/>
        </w:rPr>
        <w:t>21C</w:t>
      </w:r>
      <w:r>
        <w:t>.</w:t>
      </w:r>
      <w:r>
        <w:tab/>
        <w:t>Fee not payable by liable person if already paid</w:t>
      </w:r>
      <w:bookmarkEnd w:id="146"/>
      <w:bookmarkEnd w:id="147"/>
    </w:p>
    <w:p>
      <w:pPr>
        <w:pStyle w:val="Subsection"/>
      </w:pPr>
      <w:r>
        <w:tab/>
      </w:r>
      <w:r>
        <w:tab/>
        <w:t>A fee mentioned in Schedule 1 is not payable by the liable person if another person has paid the fee.</w:t>
      </w:r>
    </w:p>
    <w:p>
      <w:pPr>
        <w:pStyle w:val="Footnotesection"/>
      </w:pPr>
      <w:r>
        <w:tab/>
        <w:t>[Regulation 21C inserted: Gazette 14 Dec 2012 p. 6241.]</w:t>
      </w:r>
    </w:p>
    <w:p>
      <w:pPr>
        <w:pStyle w:val="Heading5"/>
        <w:keepNext w:val="0"/>
        <w:keepLines w:val="0"/>
        <w:pageBreakBefore/>
        <w:spacing w:before="0"/>
      </w:pPr>
      <w:bookmarkStart w:id="148" w:name="_Toc196398822"/>
      <w:bookmarkStart w:id="149" w:name="_Toc189556471"/>
      <w:r>
        <w:rPr>
          <w:rStyle w:val="CharSectno"/>
        </w:rPr>
        <w:t>21D</w:t>
      </w:r>
      <w:r>
        <w:t>.</w:t>
      </w:r>
      <w:r>
        <w:tab/>
        <w:t>Proceedings in which fee not payable</w:t>
      </w:r>
      <w:bookmarkEnd w:id="148"/>
      <w:bookmarkEnd w:id="149"/>
    </w:p>
    <w:p>
      <w:pPr>
        <w:pStyle w:val="Subsection"/>
      </w:pPr>
      <w:r>
        <w:tab/>
        <w:t>(1)</w:t>
      </w:r>
      <w:r>
        <w:tab/>
        <w:t xml:space="preserve">A fee mentioned in Schedule 1 is not payable in relation to the following proceedings — </w:t>
      </w:r>
    </w:p>
    <w:p>
      <w:pPr>
        <w:pStyle w:val="Indenta"/>
      </w:pPr>
      <w:r>
        <w:tab/>
        <w:t>(a)</w:t>
      </w:r>
      <w:r>
        <w:tab/>
        <w:t>a proceeding for which an international convention to which Australia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a custody order, residence order, or an order that a child lives with a person, made by a court in Australia and enforceable overseas;</w:t>
      </w:r>
    </w:p>
    <w:p>
      <w:pPr>
        <w:pStyle w:val="Indenta"/>
      </w:pPr>
      <w:r>
        <w:tab/>
        <w:t>(f)</w:t>
      </w:r>
      <w:r>
        <w:tab/>
        <w:t>a maintenance order made by an overseas court;</w:t>
      </w:r>
    </w:p>
    <w:p>
      <w:pPr>
        <w:pStyle w:val="Indenta"/>
      </w:pPr>
      <w:r>
        <w:tab/>
        <w:t>(g)</w:t>
      </w:r>
      <w:r>
        <w:tab/>
        <w:t>a maintenance order made by a court in Australia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Gazette 14 Dec 2012 p. 6241-2.]</w:t>
      </w:r>
    </w:p>
    <w:p>
      <w:pPr>
        <w:pStyle w:val="Heading3"/>
      </w:pPr>
      <w:bookmarkStart w:id="150" w:name="_Toc196394728"/>
      <w:bookmarkStart w:id="151" w:name="_Toc196395675"/>
      <w:bookmarkStart w:id="152" w:name="_Toc196398823"/>
      <w:bookmarkStart w:id="153" w:name="_Toc189554081"/>
      <w:bookmarkStart w:id="154" w:name="_Toc189554858"/>
      <w:bookmarkStart w:id="155" w:name="_Toc189556472"/>
      <w:r>
        <w:rPr>
          <w:rStyle w:val="CharDivNo"/>
        </w:rPr>
        <w:t>Division 6</w:t>
      </w:r>
      <w:r>
        <w:t> — </w:t>
      </w:r>
      <w:r>
        <w:rPr>
          <w:rStyle w:val="CharDivText"/>
        </w:rPr>
        <w:t>Payment of fees</w:t>
      </w:r>
      <w:bookmarkEnd w:id="150"/>
      <w:bookmarkEnd w:id="151"/>
      <w:bookmarkEnd w:id="152"/>
      <w:bookmarkEnd w:id="153"/>
      <w:bookmarkEnd w:id="154"/>
      <w:bookmarkEnd w:id="155"/>
    </w:p>
    <w:p>
      <w:pPr>
        <w:pStyle w:val="Footnoteheading"/>
      </w:pPr>
      <w:r>
        <w:tab/>
        <w:t>[Heading inserted: Gazette 14 Dec 2012 p. 6242.]</w:t>
      </w:r>
    </w:p>
    <w:p>
      <w:pPr>
        <w:pStyle w:val="Heading5"/>
      </w:pPr>
      <w:bookmarkStart w:id="156" w:name="_Toc196398824"/>
      <w:bookmarkStart w:id="157" w:name="_Toc189556473"/>
      <w:r>
        <w:rPr>
          <w:rStyle w:val="CharSectno"/>
        </w:rPr>
        <w:t>21E</w:t>
      </w:r>
      <w:r>
        <w:t>.</w:t>
      </w:r>
      <w:r>
        <w:tab/>
        <w:t>When fee must be paid</w:t>
      </w:r>
      <w:bookmarkEnd w:id="156"/>
      <w:bookmarkEnd w:id="157"/>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Gazette 14 Dec 2012 p. 6242-3.]</w:t>
      </w:r>
    </w:p>
    <w:p>
      <w:pPr>
        <w:pStyle w:val="Heading5"/>
      </w:pPr>
      <w:bookmarkStart w:id="158" w:name="_Toc196398825"/>
      <w:bookmarkStart w:id="159" w:name="_Toc189556474"/>
      <w:r>
        <w:rPr>
          <w:rStyle w:val="CharSectno"/>
        </w:rPr>
        <w:t>21F</w:t>
      </w:r>
      <w:r>
        <w:t>.</w:t>
      </w:r>
      <w:r>
        <w:tab/>
        <w:t>Deferral of payment of fees</w:t>
      </w:r>
      <w:bookmarkEnd w:id="158"/>
      <w:bookmarkEnd w:id="159"/>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keepNext/>
      </w:pPr>
      <w:r>
        <w:tab/>
        <w:t>(5)</w:t>
      </w:r>
      <w:r>
        <w:tab/>
        <w:t>The registrar or authorised officer may impose conditions on the deferral of the payment of a fee.</w:t>
      </w:r>
    </w:p>
    <w:p>
      <w:pPr>
        <w:pStyle w:val="Footnotesection"/>
      </w:pPr>
      <w:r>
        <w:tab/>
        <w:t>[Regulation 21F inserted: Gazette 14 Dec 2012 p. 6243-4.]</w:t>
      </w:r>
    </w:p>
    <w:p>
      <w:pPr>
        <w:pStyle w:val="Heading5"/>
      </w:pPr>
      <w:bookmarkStart w:id="160" w:name="_Toc196398826"/>
      <w:bookmarkStart w:id="161" w:name="_Toc189556475"/>
      <w:r>
        <w:rPr>
          <w:rStyle w:val="CharSectno"/>
        </w:rPr>
        <w:t>21G</w:t>
      </w:r>
      <w:r>
        <w:t>.</w:t>
      </w:r>
      <w:r>
        <w:tab/>
        <w:t>What happens if fee not paid</w:t>
      </w:r>
      <w:bookmarkEnd w:id="160"/>
      <w:bookmarkEnd w:id="161"/>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Gazette 14 Dec 2012 p. 6244-5.]</w:t>
      </w:r>
    </w:p>
    <w:p>
      <w:pPr>
        <w:pStyle w:val="Heading3"/>
        <w:keepNext w:val="0"/>
        <w:pageBreakBefore/>
        <w:spacing w:before="0"/>
      </w:pPr>
      <w:bookmarkStart w:id="162" w:name="_Toc196394732"/>
      <w:bookmarkStart w:id="163" w:name="_Toc196395679"/>
      <w:bookmarkStart w:id="164" w:name="_Toc196398827"/>
      <w:bookmarkStart w:id="165" w:name="_Toc189554085"/>
      <w:bookmarkStart w:id="166" w:name="_Toc189554862"/>
      <w:bookmarkStart w:id="167" w:name="_Toc189556476"/>
      <w:r>
        <w:rPr>
          <w:rStyle w:val="CharDivNo"/>
        </w:rPr>
        <w:t>Division 7</w:t>
      </w:r>
      <w:r>
        <w:t> — </w:t>
      </w:r>
      <w:r>
        <w:rPr>
          <w:rStyle w:val="CharDivText"/>
        </w:rPr>
        <w:t>Miscellaneous</w:t>
      </w:r>
      <w:bookmarkEnd w:id="162"/>
      <w:bookmarkEnd w:id="163"/>
      <w:bookmarkEnd w:id="164"/>
      <w:bookmarkEnd w:id="165"/>
      <w:bookmarkEnd w:id="166"/>
      <w:bookmarkEnd w:id="167"/>
    </w:p>
    <w:p>
      <w:pPr>
        <w:pStyle w:val="Footnoteheading"/>
      </w:pPr>
      <w:r>
        <w:tab/>
        <w:t>[Heading inserted: Gazette 14 Dec 2012 p. 6245.]</w:t>
      </w:r>
    </w:p>
    <w:p>
      <w:pPr>
        <w:pStyle w:val="Heading5"/>
      </w:pPr>
      <w:bookmarkStart w:id="168" w:name="_Toc196398828"/>
      <w:bookmarkStart w:id="169" w:name="_Toc189556477"/>
      <w:r>
        <w:rPr>
          <w:rStyle w:val="CharSectno"/>
        </w:rPr>
        <w:t>21H</w:t>
      </w:r>
      <w:r>
        <w:t>.</w:t>
      </w:r>
      <w:r>
        <w:tab/>
        <w:t>Refund of fee</w:t>
      </w:r>
      <w:bookmarkEnd w:id="168"/>
      <w:bookmarkEnd w:id="169"/>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Gazette 14 Dec 2012 p. 6245-7.]</w:t>
      </w:r>
    </w:p>
    <w:p>
      <w:pPr>
        <w:pStyle w:val="Ednotesection"/>
      </w:pPr>
      <w:r>
        <w:t>[</w:t>
      </w:r>
      <w:r>
        <w:rPr>
          <w:b/>
        </w:rPr>
        <w:t>21I.</w:t>
      </w:r>
      <w:r>
        <w:tab/>
        <w:t>Deleted: SL 2021/137 r. 4.]</w:t>
      </w:r>
    </w:p>
    <w:p>
      <w:pPr>
        <w:pStyle w:val="Heading5"/>
      </w:pPr>
      <w:bookmarkStart w:id="170" w:name="_Toc196398829"/>
      <w:bookmarkStart w:id="171" w:name="_Toc189556478"/>
      <w:r>
        <w:rPr>
          <w:rStyle w:val="CharSectno"/>
        </w:rPr>
        <w:t>21J</w:t>
      </w:r>
      <w:r>
        <w:t>.</w:t>
      </w:r>
      <w:r>
        <w:tab/>
        <w:t>Recovery of fees due</w:t>
      </w:r>
      <w:bookmarkEnd w:id="170"/>
      <w:bookmarkEnd w:id="171"/>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Gazette 14 Dec 2012 p. 6249.]</w:t>
      </w:r>
    </w:p>
    <w:p>
      <w:pPr>
        <w:pStyle w:val="Heading2"/>
        <w:rPr>
          <w:snapToGrid/>
        </w:rPr>
      </w:pPr>
      <w:bookmarkStart w:id="172" w:name="_Toc196394735"/>
      <w:bookmarkStart w:id="173" w:name="_Toc196395682"/>
      <w:bookmarkStart w:id="174" w:name="_Toc196398830"/>
      <w:bookmarkStart w:id="175" w:name="_Toc189554088"/>
      <w:bookmarkStart w:id="176" w:name="_Toc189554865"/>
      <w:bookmarkStart w:id="177" w:name="_Toc189556479"/>
      <w:r>
        <w:rPr>
          <w:rStyle w:val="CharPartNo"/>
        </w:rPr>
        <w:t>Part 4</w:t>
      </w:r>
      <w:r>
        <w:rPr>
          <w:rStyle w:val="CharDivNo"/>
        </w:rPr>
        <w:t> </w:t>
      </w:r>
      <w:r>
        <w:t>—</w:t>
      </w:r>
      <w:r>
        <w:rPr>
          <w:rStyle w:val="CharDivText"/>
        </w:rPr>
        <w:t> </w:t>
      </w:r>
      <w:r>
        <w:rPr>
          <w:rStyle w:val="CharPartText"/>
        </w:rPr>
        <w:t>Review</w:t>
      </w:r>
      <w:bookmarkEnd w:id="172"/>
      <w:bookmarkEnd w:id="173"/>
      <w:bookmarkEnd w:id="174"/>
      <w:bookmarkEnd w:id="175"/>
      <w:bookmarkEnd w:id="176"/>
      <w:bookmarkEnd w:id="177"/>
    </w:p>
    <w:p>
      <w:pPr>
        <w:pStyle w:val="Footnoteheading"/>
      </w:pPr>
      <w:r>
        <w:tab/>
        <w:t>[Heading inserted: Gazette 13 May 2011 p. 1746.]</w:t>
      </w:r>
    </w:p>
    <w:p>
      <w:pPr>
        <w:pStyle w:val="Heading5"/>
      </w:pPr>
      <w:bookmarkStart w:id="178" w:name="_Toc196398831"/>
      <w:bookmarkStart w:id="179" w:name="_Toc189556480"/>
      <w:r>
        <w:rPr>
          <w:rStyle w:val="CharSectno"/>
        </w:rPr>
        <w:t>21</w:t>
      </w:r>
      <w:r>
        <w:t>.</w:t>
      </w:r>
      <w:r>
        <w:tab/>
        <w:t>Review of decisions under these regulations</w:t>
      </w:r>
      <w:bookmarkEnd w:id="178"/>
      <w:bookmarkEnd w:id="179"/>
    </w:p>
    <w:p>
      <w:pPr>
        <w:pStyle w:val="Subsection"/>
      </w:pPr>
      <w:r>
        <w:tab/>
      </w:r>
      <w:r>
        <w:tab/>
        <w:t xml:space="preserve">A decision made by a registrar or authorised officer under these regulations is reviewable under the </w:t>
      </w:r>
      <w:r>
        <w:rPr>
          <w:i/>
        </w:rPr>
        <w:t xml:space="preserve">Family Court Rules 2021 </w:t>
      </w:r>
      <w:r>
        <w:t>rule 322 as if it were an order or direction made by the Principal Registrar, a registrar or a deputy registrar.</w:t>
      </w:r>
    </w:p>
    <w:p>
      <w:pPr>
        <w:pStyle w:val="Footnotesection"/>
      </w:pPr>
      <w:r>
        <w:tab/>
        <w:t>[Regulation 21 inserted: SL 2022/45 r. 7.]</w:t>
      </w:r>
    </w:p>
    <w:p>
      <w:pPr>
        <w:pStyle w:val="Heading2"/>
        <w:rPr>
          <w:snapToGrid/>
        </w:rPr>
      </w:pPr>
      <w:bookmarkStart w:id="180" w:name="_Toc196394737"/>
      <w:bookmarkStart w:id="181" w:name="_Toc196395684"/>
      <w:bookmarkStart w:id="182" w:name="_Toc196398832"/>
      <w:bookmarkStart w:id="183" w:name="_Toc189554090"/>
      <w:bookmarkStart w:id="184" w:name="_Toc189554867"/>
      <w:bookmarkStart w:id="185" w:name="_Toc189556481"/>
      <w:r>
        <w:rPr>
          <w:rStyle w:val="CharPartNo"/>
        </w:rPr>
        <w:t>Part 5</w:t>
      </w:r>
      <w:r>
        <w:rPr>
          <w:rStyle w:val="CharDivNo"/>
        </w:rPr>
        <w:t> </w:t>
      </w:r>
      <w:r>
        <w:t>—</w:t>
      </w:r>
      <w:r>
        <w:rPr>
          <w:rStyle w:val="CharDivText"/>
        </w:rPr>
        <w:t> </w:t>
      </w:r>
      <w:r>
        <w:rPr>
          <w:rStyle w:val="CharPartText"/>
        </w:rPr>
        <w:t>Transitional provisions</w:t>
      </w:r>
      <w:bookmarkEnd w:id="180"/>
      <w:bookmarkEnd w:id="181"/>
      <w:bookmarkEnd w:id="182"/>
      <w:bookmarkEnd w:id="183"/>
      <w:bookmarkEnd w:id="184"/>
      <w:bookmarkEnd w:id="185"/>
    </w:p>
    <w:p>
      <w:pPr>
        <w:pStyle w:val="Footnoteheading"/>
      </w:pPr>
      <w:r>
        <w:tab/>
        <w:t>[Heading inserted: Gazette 13 May 2011 p. 1746.]</w:t>
      </w:r>
    </w:p>
    <w:p>
      <w:pPr>
        <w:pStyle w:val="Heading5"/>
      </w:pPr>
      <w:bookmarkStart w:id="186" w:name="_Toc196398833"/>
      <w:bookmarkStart w:id="187" w:name="_Toc189556482"/>
      <w:r>
        <w:rPr>
          <w:rStyle w:val="CharSectno"/>
        </w:rPr>
        <w:t>22A</w:t>
      </w:r>
      <w:r>
        <w:t>.</w:t>
      </w:r>
      <w:r>
        <w:tab/>
        <w:t>Terms used</w:t>
      </w:r>
      <w:bookmarkEnd w:id="186"/>
      <w:bookmarkEnd w:id="187"/>
    </w:p>
    <w:p>
      <w:pPr>
        <w:pStyle w:val="Subsection"/>
      </w:pPr>
      <w:r>
        <w:tab/>
      </w:r>
      <w:r>
        <w:tab/>
        <w:t>A term has the same meaning in this Part as it has in regulation 18 unless the contrary intention appears.</w:t>
      </w:r>
    </w:p>
    <w:p>
      <w:pPr>
        <w:pStyle w:val="Footnotesection"/>
      </w:pPr>
      <w:r>
        <w:tab/>
        <w:t>[Regulation 22A inserted: Gazette 10 Jul 2015 p. 2780.]</w:t>
      </w:r>
    </w:p>
    <w:p>
      <w:pPr>
        <w:pStyle w:val="Heading5"/>
      </w:pPr>
      <w:bookmarkStart w:id="188" w:name="_Toc196398834"/>
      <w:bookmarkStart w:id="189" w:name="_Toc189556483"/>
      <w:r>
        <w:rPr>
          <w:rStyle w:val="CharSectno"/>
        </w:rPr>
        <w:t>22</w:t>
      </w:r>
      <w:r>
        <w:t>.</w:t>
      </w:r>
      <w:r>
        <w:tab/>
        <w:t xml:space="preserve">Transitional provisions relating to </w:t>
      </w:r>
      <w:r>
        <w:rPr>
          <w:i/>
        </w:rPr>
        <w:t>Family Court Amendment Regulations 2011</w:t>
      </w:r>
      <w:bookmarkEnd w:id="188"/>
      <w:bookmarkEnd w:id="189"/>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Gazette 13 May 2011 p. 1746-7; amended: Gazette 10 Jul 2015 p. 2781.]</w:t>
      </w:r>
    </w:p>
    <w:p>
      <w:pPr>
        <w:pStyle w:val="Heading5"/>
      </w:pPr>
      <w:bookmarkStart w:id="190" w:name="_Toc196398835"/>
      <w:bookmarkStart w:id="191" w:name="_Toc189556484"/>
      <w:r>
        <w:rPr>
          <w:rStyle w:val="CharSectno"/>
        </w:rPr>
        <w:t>23</w:t>
      </w:r>
      <w:r>
        <w:t>.</w:t>
      </w:r>
      <w:r>
        <w:tab/>
        <w:t xml:space="preserve">Transitional provisions relating to </w:t>
      </w:r>
      <w:r>
        <w:rPr>
          <w:i/>
        </w:rPr>
        <w:t>Family Court Amendment Regulations 2012</w:t>
      </w:r>
      <w:bookmarkEnd w:id="190"/>
      <w:bookmarkEnd w:id="191"/>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Gazette 14 Dec 2012 p. 6249-50.]</w:t>
      </w:r>
    </w:p>
    <w:p>
      <w:pPr>
        <w:pStyle w:val="Heading5"/>
      </w:pPr>
      <w:bookmarkStart w:id="192" w:name="_Toc196398836"/>
      <w:bookmarkStart w:id="193" w:name="_Toc189556485"/>
      <w:r>
        <w:rPr>
          <w:rStyle w:val="CharSectno"/>
        </w:rPr>
        <w:t>24</w:t>
      </w:r>
      <w:r>
        <w:rPr>
          <w:rStyle w:val="CharSClsNo"/>
        </w:rPr>
        <w:t>.</w:t>
      </w:r>
      <w:r>
        <w:rPr>
          <w:rStyle w:val="CharSClsNo"/>
        </w:rPr>
        <w:tab/>
        <w:t xml:space="preserve">Transitional provisions relating to </w:t>
      </w:r>
      <w:r>
        <w:rPr>
          <w:i/>
        </w:rPr>
        <w:t>Family Court Amendment Regulations (No. 3) 2015</w:t>
      </w:r>
      <w:bookmarkEnd w:id="192"/>
      <w:bookmarkEnd w:id="193"/>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Gazette 18 Aug 2015 p. 3300.]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94" w:name="_Toc196394742"/>
      <w:bookmarkStart w:id="195" w:name="_Toc196395689"/>
      <w:bookmarkStart w:id="196" w:name="_Toc196398837"/>
      <w:bookmarkStart w:id="197" w:name="_Toc189554095"/>
      <w:bookmarkStart w:id="198" w:name="_Toc189554872"/>
      <w:bookmarkStart w:id="199" w:name="_Toc189556486"/>
      <w:r>
        <w:rPr>
          <w:rStyle w:val="CharSchNo"/>
        </w:rPr>
        <w:t>Schedule 1</w:t>
      </w:r>
      <w:r>
        <w:t> — </w:t>
      </w:r>
      <w:r>
        <w:rPr>
          <w:rStyle w:val="CharSchText"/>
        </w:rPr>
        <w:t>Fees</w:t>
      </w:r>
      <w:bookmarkEnd w:id="194"/>
      <w:bookmarkEnd w:id="195"/>
      <w:bookmarkEnd w:id="196"/>
      <w:bookmarkEnd w:id="197"/>
      <w:bookmarkEnd w:id="198"/>
      <w:bookmarkEnd w:id="199"/>
    </w:p>
    <w:p>
      <w:pPr>
        <w:pStyle w:val="yShoulderClause"/>
      </w:pPr>
      <w:r>
        <w:t>[Pt. 3]</w:t>
      </w:r>
    </w:p>
    <w:p>
      <w:pPr>
        <w:pStyle w:val="yFootnoteheading"/>
        <w:spacing w:after="60"/>
      </w:pPr>
      <w:r>
        <w:tab/>
        <w:t>[Heading inserted: SL 2024/140 r. 4.]</w:t>
      </w:r>
    </w:p>
    <w:tbl>
      <w:tblPr>
        <w:tblW w:w="69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3"/>
        <w:gridCol w:w="5402"/>
        <w:gridCol w:w="879"/>
      </w:tblGrid>
      <w:tr>
        <w:trPr>
          <w:cantSplit/>
          <w:tblHeader/>
        </w:trPr>
        <w:tc>
          <w:tcPr>
            <w:tcW w:w="713" w:type="dxa"/>
            <w:noWrap/>
          </w:tcPr>
          <w:p>
            <w:pPr>
              <w:pStyle w:val="yTableNAm"/>
              <w:jc w:val="center"/>
              <w:rPr>
                <w:b/>
              </w:rPr>
            </w:pPr>
            <w:r>
              <w:rPr>
                <w:b/>
              </w:rPr>
              <w:t>Item</w:t>
            </w:r>
          </w:p>
        </w:tc>
        <w:tc>
          <w:tcPr>
            <w:tcW w:w="5402" w:type="dxa"/>
            <w:noWrap/>
          </w:tcPr>
          <w:p>
            <w:pPr>
              <w:pStyle w:val="yTableNAm"/>
              <w:jc w:val="center"/>
              <w:rPr>
                <w:b/>
              </w:rPr>
            </w:pPr>
            <w:r>
              <w:rPr>
                <w:b/>
              </w:rPr>
              <w:t>Document or service</w:t>
            </w:r>
          </w:p>
        </w:tc>
        <w:tc>
          <w:tcPr>
            <w:tcW w:w="879" w:type="dxa"/>
            <w:noWrap/>
          </w:tcPr>
          <w:p>
            <w:pPr>
              <w:pStyle w:val="yTableNAm"/>
              <w:jc w:val="center"/>
              <w:rPr>
                <w:b/>
              </w:rPr>
            </w:pPr>
            <w:r>
              <w:rPr>
                <w:b/>
              </w:rPr>
              <w:t>Fee</w:t>
            </w:r>
          </w:p>
        </w:tc>
      </w:tr>
      <w:tr>
        <w:trPr>
          <w:cantSplit/>
        </w:trPr>
        <w:tc>
          <w:tcPr>
            <w:tcW w:w="713" w:type="dxa"/>
            <w:noWrap/>
          </w:tcPr>
          <w:p>
            <w:pPr>
              <w:pStyle w:val="yTableNAm"/>
            </w:pPr>
            <w:r>
              <w:t>1.</w:t>
            </w:r>
          </w:p>
        </w:tc>
        <w:tc>
          <w:tcPr>
            <w:tcW w:w="5402" w:type="dxa"/>
            <w:noWrap/>
          </w:tcPr>
          <w:p>
            <w:pPr>
              <w:pStyle w:val="yTableNAm"/>
            </w:pPr>
            <w:r>
              <w:t>Filing an application for final orders in eligible financial or parenting proceedings</w:t>
            </w:r>
          </w:p>
        </w:tc>
        <w:tc>
          <w:tcPr>
            <w:tcW w:w="879" w:type="dxa"/>
            <w:noWrap/>
            <w:vAlign w:val="bottom"/>
          </w:tcPr>
          <w:p>
            <w:pPr>
              <w:pStyle w:val="yTableNAm"/>
              <w:jc w:val="right"/>
            </w:pPr>
            <w:r>
              <w:t>$425</w:t>
            </w:r>
          </w:p>
        </w:tc>
      </w:tr>
      <w:tr>
        <w:trPr>
          <w:cantSplit/>
          <w:trHeight w:val="467"/>
        </w:trPr>
        <w:tc>
          <w:tcPr>
            <w:tcW w:w="713" w:type="dxa"/>
            <w:vMerge w:val="restart"/>
            <w:noWrap/>
          </w:tcPr>
          <w:p>
            <w:pPr>
              <w:pStyle w:val="yTableNAm"/>
              <w:keepNext/>
            </w:pPr>
            <w:r>
              <w:t>2.</w:t>
            </w:r>
          </w:p>
        </w:tc>
        <w:tc>
          <w:tcPr>
            <w:tcW w:w="5402" w:type="dxa"/>
            <w:tcBorders>
              <w:bottom w:val="nil"/>
            </w:tcBorders>
            <w:noWrap/>
          </w:tcPr>
          <w:p>
            <w:pPr>
              <w:pStyle w:val="yTableNAm"/>
              <w:keepNext/>
            </w:pPr>
            <w:r>
              <w:t xml:space="preserve">Setting down for hearing in eligible financial or parenting proceedings, if defended, for final orders — </w:t>
            </w:r>
          </w:p>
        </w:tc>
        <w:tc>
          <w:tcPr>
            <w:tcW w:w="879" w:type="dxa"/>
            <w:tcBorders>
              <w:bottom w:val="nil"/>
            </w:tcBorders>
            <w:noWrap/>
            <w:vAlign w:val="bottom"/>
          </w:tcPr>
          <w:p>
            <w:pPr>
              <w:pStyle w:val="yTableNAm"/>
              <w:keepNext/>
              <w:jc w:val="right"/>
            </w:pPr>
          </w:p>
        </w:tc>
      </w:tr>
      <w:tr>
        <w:trPr>
          <w:cantSplit/>
          <w:trHeight w:val="227"/>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79" w:type="dxa"/>
            <w:tcBorders>
              <w:top w:val="nil"/>
              <w:bottom w:val="nil"/>
            </w:tcBorders>
            <w:noWrap/>
            <w:vAlign w:val="bottom"/>
          </w:tcPr>
          <w:p>
            <w:pPr>
              <w:pStyle w:val="yTableNAm"/>
              <w:jc w:val="right"/>
            </w:pPr>
            <w:r>
              <w:t>$1 045</w:t>
            </w:r>
          </w:p>
        </w:tc>
      </w:tr>
      <w:tr>
        <w:trPr>
          <w:cantSplit/>
          <w:trHeight w:val="283"/>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79" w:type="dxa"/>
            <w:tcBorders>
              <w:top w:val="nil"/>
            </w:tcBorders>
            <w:noWrap/>
            <w:vAlign w:val="bottom"/>
          </w:tcPr>
          <w:p>
            <w:pPr>
              <w:pStyle w:val="yTableNAm"/>
              <w:jc w:val="right"/>
            </w:pPr>
            <w:r>
              <w:t>$770</w:t>
            </w:r>
          </w:p>
        </w:tc>
      </w:tr>
      <w:tr>
        <w:trPr>
          <w:cantSplit/>
          <w:trHeight w:val="553"/>
        </w:trPr>
        <w:tc>
          <w:tcPr>
            <w:tcW w:w="713" w:type="dxa"/>
            <w:vMerge w:val="restart"/>
            <w:noWrap/>
          </w:tcPr>
          <w:p>
            <w:pPr>
              <w:pStyle w:val="yTableNAm"/>
            </w:pPr>
            <w:r>
              <w:t>3.</w:t>
            </w:r>
          </w:p>
        </w:tc>
        <w:tc>
          <w:tcPr>
            <w:tcW w:w="5402" w:type="dxa"/>
            <w:tcBorders>
              <w:bottom w:val="nil"/>
            </w:tcBorders>
            <w:noWrap/>
          </w:tcPr>
          <w:p>
            <w:pPr>
              <w:pStyle w:val="yTableNAm"/>
            </w:pPr>
            <w:r>
              <w:t xml:space="preserve">Hearing in eligible financial or parenting proceedings, if defended, for final orders — for each hearing day, or part of a hearing day, excluding the first hearing day — </w:t>
            </w:r>
          </w:p>
        </w:tc>
        <w:tc>
          <w:tcPr>
            <w:tcW w:w="879" w:type="dxa"/>
            <w:tcBorders>
              <w:bottom w:val="nil"/>
            </w:tcBorders>
            <w:noWrap/>
            <w:vAlign w:val="bottom"/>
          </w:tcPr>
          <w:p>
            <w:pPr>
              <w:pStyle w:val="yTableNAm"/>
              <w:jc w:val="right"/>
            </w:pPr>
          </w:p>
        </w:tc>
      </w:tr>
      <w:tr>
        <w:trPr>
          <w:cantSplit/>
          <w:trHeight w:val="340"/>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79" w:type="dxa"/>
            <w:tcBorders>
              <w:top w:val="nil"/>
              <w:bottom w:val="nil"/>
            </w:tcBorders>
            <w:noWrap/>
            <w:vAlign w:val="bottom"/>
          </w:tcPr>
          <w:p>
            <w:pPr>
              <w:pStyle w:val="yTableNAm"/>
              <w:jc w:val="right"/>
            </w:pPr>
            <w:r>
              <w:t>$1 045</w:t>
            </w:r>
          </w:p>
        </w:tc>
      </w:tr>
      <w:tr>
        <w:trPr>
          <w:cantSplit/>
          <w:trHeight w:val="397"/>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79" w:type="dxa"/>
            <w:tcBorders>
              <w:top w:val="nil"/>
            </w:tcBorders>
            <w:noWrap/>
            <w:vAlign w:val="bottom"/>
          </w:tcPr>
          <w:p>
            <w:pPr>
              <w:pStyle w:val="yTableNAm"/>
              <w:jc w:val="right"/>
            </w:pPr>
            <w:r>
              <w:t>$770</w:t>
            </w:r>
          </w:p>
        </w:tc>
      </w:tr>
      <w:tr>
        <w:trPr>
          <w:cantSplit/>
        </w:trPr>
        <w:tc>
          <w:tcPr>
            <w:tcW w:w="713" w:type="dxa"/>
            <w:noWrap/>
          </w:tcPr>
          <w:p>
            <w:pPr>
              <w:pStyle w:val="yTableNAm"/>
            </w:pPr>
            <w:r>
              <w:t>4.</w:t>
            </w:r>
          </w:p>
        </w:tc>
        <w:tc>
          <w:tcPr>
            <w:tcW w:w="5402" w:type="dxa"/>
            <w:noWrap/>
          </w:tcPr>
          <w:p>
            <w:pPr>
              <w:pStyle w:val="yTableNAm"/>
            </w:pPr>
            <w:r>
              <w:t>Filing a response to an application for final orders in eligible financial or parenting proceedings</w:t>
            </w:r>
          </w:p>
        </w:tc>
        <w:tc>
          <w:tcPr>
            <w:tcW w:w="879" w:type="dxa"/>
            <w:noWrap/>
            <w:vAlign w:val="bottom"/>
          </w:tcPr>
          <w:p>
            <w:pPr>
              <w:pStyle w:val="yTableNAm"/>
              <w:jc w:val="right"/>
            </w:pPr>
            <w:r>
              <w:t>$425</w:t>
            </w:r>
          </w:p>
        </w:tc>
      </w:tr>
      <w:tr>
        <w:trPr>
          <w:cantSplit/>
        </w:trPr>
        <w:tc>
          <w:tcPr>
            <w:tcW w:w="713" w:type="dxa"/>
            <w:noWrap/>
          </w:tcPr>
          <w:p>
            <w:pPr>
              <w:pStyle w:val="yTableNAm"/>
            </w:pPr>
            <w:r>
              <w:t>5.</w:t>
            </w:r>
          </w:p>
        </w:tc>
        <w:tc>
          <w:tcPr>
            <w:tcW w:w="5402" w:type="dxa"/>
            <w:noWrap/>
          </w:tcPr>
          <w:p>
            <w:pPr>
              <w:pStyle w:val="yTableNAm"/>
            </w:pPr>
            <w:r>
              <w:t>Setting down for hearing in an appeal under section 211 from a decree of a Magistrates Court, unless the fee mentioned in item 12 has been paid</w:t>
            </w:r>
          </w:p>
        </w:tc>
        <w:tc>
          <w:tcPr>
            <w:tcW w:w="879" w:type="dxa"/>
            <w:noWrap/>
            <w:vAlign w:val="bottom"/>
          </w:tcPr>
          <w:p>
            <w:pPr>
              <w:pStyle w:val="yTableNAm"/>
              <w:jc w:val="right"/>
            </w:pPr>
            <w:r>
              <w:t>$1 045</w:t>
            </w:r>
          </w:p>
        </w:tc>
      </w:tr>
      <w:tr>
        <w:trPr>
          <w:cantSplit/>
        </w:trPr>
        <w:tc>
          <w:tcPr>
            <w:tcW w:w="713" w:type="dxa"/>
            <w:noWrap/>
          </w:tcPr>
          <w:p>
            <w:pPr>
              <w:pStyle w:val="yTableNAm"/>
            </w:pPr>
            <w:r>
              <w:t>6.</w:t>
            </w:r>
          </w:p>
        </w:tc>
        <w:tc>
          <w:tcPr>
            <w:tcW w:w="5402" w:type="dxa"/>
            <w:noWrap/>
          </w:tcPr>
          <w:p>
            <w:pPr>
              <w:pStyle w:val="yTableNAm"/>
            </w:pPr>
            <w:r>
              <w:t>Hearing in an appeal under section 211 from a decree of a Magistrates Court — for each hearing day, or part of a hearing day, excluding the first hearing day</w:t>
            </w:r>
          </w:p>
        </w:tc>
        <w:tc>
          <w:tcPr>
            <w:tcW w:w="879" w:type="dxa"/>
            <w:noWrap/>
            <w:vAlign w:val="bottom"/>
          </w:tcPr>
          <w:p>
            <w:pPr>
              <w:pStyle w:val="yTableNAm"/>
              <w:jc w:val="right"/>
            </w:pPr>
            <w:r>
              <w:t>$1 045</w:t>
            </w:r>
          </w:p>
        </w:tc>
      </w:tr>
      <w:tr>
        <w:trPr>
          <w:cantSplit/>
        </w:trPr>
        <w:tc>
          <w:tcPr>
            <w:tcW w:w="713" w:type="dxa"/>
            <w:noWrap/>
          </w:tcPr>
          <w:p>
            <w:pPr>
              <w:pStyle w:val="yTableNAm"/>
            </w:pPr>
            <w:r>
              <w:t>7.</w:t>
            </w:r>
          </w:p>
        </w:tc>
        <w:tc>
          <w:tcPr>
            <w:tcW w:w="5402" w:type="dxa"/>
            <w:noWrap/>
          </w:tcPr>
          <w:p>
            <w:pPr>
              <w:pStyle w:val="yTableNAm"/>
            </w:pPr>
            <w:r>
              <w:t>Filing an application for a consent order</w:t>
            </w:r>
          </w:p>
        </w:tc>
        <w:tc>
          <w:tcPr>
            <w:tcW w:w="879" w:type="dxa"/>
            <w:noWrap/>
            <w:vAlign w:val="bottom"/>
          </w:tcPr>
          <w:p>
            <w:pPr>
              <w:pStyle w:val="yTableNAm"/>
              <w:jc w:val="right"/>
            </w:pPr>
            <w:r>
              <w:t>$200</w:t>
            </w:r>
          </w:p>
        </w:tc>
      </w:tr>
      <w:tr>
        <w:trPr>
          <w:cantSplit/>
        </w:trPr>
        <w:tc>
          <w:tcPr>
            <w:tcW w:w="713" w:type="dxa"/>
            <w:noWrap/>
          </w:tcPr>
          <w:p>
            <w:pPr>
              <w:pStyle w:val="yTableNAm"/>
            </w:pPr>
            <w:r>
              <w:t>8.</w:t>
            </w:r>
          </w:p>
        </w:tc>
        <w:tc>
          <w:tcPr>
            <w:tcW w:w="5402" w:type="dxa"/>
            <w:noWrap/>
          </w:tcPr>
          <w:p>
            <w:pPr>
              <w:pStyle w:val="yTableNAm"/>
            </w:pPr>
            <w:r>
              <w:t>Filing an interim order application</w:t>
            </w:r>
          </w:p>
        </w:tc>
        <w:tc>
          <w:tcPr>
            <w:tcW w:w="879" w:type="dxa"/>
            <w:noWrap/>
            <w:vAlign w:val="bottom"/>
          </w:tcPr>
          <w:p>
            <w:pPr>
              <w:pStyle w:val="yTableNAm"/>
              <w:jc w:val="right"/>
            </w:pPr>
            <w:r>
              <w:t>$145</w:t>
            </w:r>
          </w:p>
        </w:tc>
      </w:tr>
      <w:tr>
        <w:trPr>
          <w:cantSplit/>
        </w:trPr>
        <w:tc>
          <w:tcPr>
            <w:tcW w:w="713" w:type="dxa"/>
            <w:noWrap/>
          </w:tcPr>
          <w:p>
            <w:pPr>
              <w:pStyle w:val="yTableNAm"/>
            </w:pPr>
            <w:r>
              <w:t>9.</w:t>
            </w:r>
          </w:p>
        </w:tc>
        <w:tc>
          <w:tcPr>
            <w:tcW w:w="5402" w:type="dxa"/>
            <w:noWrap/>
          </w:tcPr>
          <w:p>
            <w:pPr>
              <w:pStyle w:val="yTableNAm"/>
            </w:pPr>
            <w:r>
              <w:t>Filing an application for both a final order under Part 5 of the Act and a final order under Part 5A Division 2 or 3 of the Act (other than for an order for the maintenance of a party to a de facto relationship)</w:t>
            </w:r>
          </w:p>
        </w:tc>
        <w:tc>
          <w:tcPr>
            <w:tcW w:w="879" w:type="dxa"/>
            <w:noWrap/>
            <w:vAlign w:val="bottom"/>
          </w:tcPr>
          <w:p>
            <w:pPr>
              <w:pStyle w:val="yTableNAm"/>
              <w:jc w:val="right"/>
            </w:pPr>
            <w:r>
              <w:t>$695</w:t>
            </w:r>
          </w:p>
        </w:tc>
      </w:tr>
      <w:tr>
        <w:trPr>
          <w:cantSplit/>
        </w:trPr>
        <w:tc>
          <w:tcPr>
            <w:tcW w:w="713" w:type="dxa"/>
            <w:noWrap/>
          </w:tcPr>
          <w:p>
            <w:pPr>
              <w:pStyle w:val="yTableNAm"/>
            </w:pPr>
            <w:r>
              <w:t>10.</w:t>
            </w:r>
          </w:p>
        </w:tc>
        <w:tc>
          <w:tcPr>
            <w:tcW w:w="5402" w:type="dxa"/>
            <w:noWrap/>
          </w:tcPr>
          <w:p>
            <w:pPr>
              <w:pStyle w:val="yTableNAm"/>
            </w:pPr>
            <w:r>
              <w:t>For issuing a subpoena</w:t>
            </w:r>
          </w:p>
        </w:tc>
        <w:tc>
          <w:tcPr>
            <w:tcW w:w="879" w:type="dxa"/>
            <w:noWrap/>
            <w:vAlign w:val="bottom"/>
          </w:tcPr>
          <w:p>
            <w:pPr>
              <w:pStyle w:val="yTableNAm"/>
              <w:jc w:val="right"/>
            </w:pPr>
            <w:r>
              <w:t>$65</w:t>
            </w:r>
          </w:p>
        </w:tc>
      </w:tr>
      <w:tr>
        <w:trPr>
          <w:cantSplit/>
        </w:trPr>
        <w:tc>
          <w:tcPr>
            <w:tcW w:w="713" w:type="dxa"/>
            <w:noWrap/>
          </w:tcPr>
          <w:p>
            <w:pPr>
              <w:pStyle w:val="yTableNAm"/>
            </w:pPr>
            <w:r>
              <w:t>11.</w:t>
            </w:r>
          </w:p>
        </w:tc>
        <w:tc>
          <w:tcPr>
            <w:tcW w:w="5402" w:type="dxa"/>
            <w:noWrap/>
          </w:tcPr>
          <w:p>
            <w:pPr>
              <w:pStyle w:val="yTableNAm"/>
            </w:pPr>
            <w:r>
              <w:t>For a conciliation conference</w:t>
            </w:r>
          </w:p>
        </w:tc>
        <w:tc>
          <w:tcPr>
            <w:tcW w:w="879" w:type="dxa"/>
            <w:noWrap/>
            <w:vAlign w:val="bottom"/>
          </w:tcPr>
          <w:p>
            <w:pPr>
              <w:pStyle w:val="yTableNAm"/>
              <w:jc w:val="right"/>
            </w:pPr>
            <w:r>
              <w:t>$480</w:t>
            </w:r>
          </w:p>
        </w:tc>
      </w:tr>
      <w:tr>
        <w:trPr>
          <w:cantSplit/>
        </w:trPr>
        <w:tc>
          <w:tcPr>
            <w:tcW w:w="713" w:type="dxa"/>
            <w:noWrap/>
          </w:tcPr>
          <w:p>
            <w:pPr>
              <w:pStyle w:val="yTableNAm"/>
            </w:pPr>
            <w:r>
              <w:t>12.</w:t>
            </w:r>
          </w:p>
        </w:tc>
        <w:tc>
          <w:tcPr>
            <w:tcW w:w="5402" w:type="dxa"/>
            <w:noWrap/>
          </w:tcPr>
          <w:p>
            <w:pPr>
              <w:pStyle w:val="yTableNAm"/>
            </w:pPr>
            <w:r>
              <w:t>Filing an application for leave to appeal under section 211 from an interlocutory order of a Magistrates Court constituted by a family law magistrate</w:t>
            </w:r>
          </w:p>
        </w:tc>
        <w:tc>
          <w:tcPr>
            <w:tcW w:w="879" w:type="dxa"/>
            <w:noWrap/>
            <w:vAlign w:val="bottom"/>
          </w:tcPr>
          <w:p>
            <w:pPr>
              <w:pStyle w:val="yTableNAm"/>
              <w:jc w:val="right"/>
            </w:pPr>
            <w:r>
              <w:t>$1 665</w:t>
            </w:r>
          </w:p>
        </w:tc>
      </w:tr>
    </w:tbl>
    <w:p>
      <w:pPr>
        <w:pStyle w:val="yFootnotesection"/>
      </w:pPr>
      <w:r>
        <w:tab/>
        <w:t>[Schedule 1 inserted: SL 2024/140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201" w:name="_Toc196394743"/>
      <w:bookmarkStart w:id="202" w:name="_Toc196395690"/>
      <w:bookmarkStart w:id="203" w:name="_Toc196398838"/>
      <w:bookmarkStart w:id="204" w:name="_Toc189554096"/>
      <w:bookmarkStart w:id="205" w:name="_Toc189554873"/>
      <w:bookmarkStart w:id="206" w:name="_Toc189556487"/>
      <w:r>
        <w:t>Notes</w:t>
      </w:r>
      <w:bookmarkEnd w:id="201"/>
      <w:bookmarkEnd w:id="202"/>
      <w:bookmarkEnd w:id="203"/>
      <w:bookmarkEnd w:id="204"/>
      <w:bookmarkEnd w:id="205"/>
      <w:bookmarkEnd w:id="206"/>
    </w:p>
    <w:p>
      <w:pPr>
        <w:pStyle w:val="nStatement"/>
      </w:pPr>
      <w:r>
        <w:t xml:space="preserve">This is a compilation of the </w:t>
      </w:r>
      <w:r>
        <w:rPr>
          <w:i/>
          <w:noProof/>
        </w:rPr>
        <w:t>Family Court Regulations 1998</w:t>
      </w:r>
      <w:r>
        <w:t xml:space="preserve"> and includes amendments made by other written laws. For provisions that have come into operation, and for information about any reprints, see the compilation table.</w:t>
      </w:r>
    </w:p>
    <w:p>
      <w:pPr>
        <w:pStyle w:val="nHeading3"/>
      </w:pPr>
      <w:bookmarkStart w:id="207" w:name="_Toc196398839"/>
      <w:bookmarkStart w:id="208" w:name="_Toc189556488"/>
      <w:r>
        <w:t>Compilation table</w:t>
      </w:r>
      <w:bookmarkEnd w:id="207"/>
      <w:bookmarkEnd w:id="20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2015</w:t>
            </w:r>
          </w:p>
        </w:tc>
        <w:tc>
          <w:tcPr>
            <w:tcW w:w="1276" w:type="dxa"/>
            <w:shd w:val="clear" w:color="auto" w:fill="auto"/>
          </w:tcPr>
          <w:p>
            <w:pPr>
              <w:pStyle w:val="nTable"/>
              <w:spacing w:after="40"/>
            </w:pPr>
            <w:r>
              <w:t>30 Jun 2015 p. 2337</w:t>
            </w:r>
            <w:r>
              <w:noBreakHyphen/>
              <w:t>9</w:t>
            </w:r>
          </w:p>
        </w:tc>
        <w:tc>
          <w:tcPr>
            <w:tcW w:w="2693" w:type="dxa"/>
            <w:shd w:val="clear" w:color="auto" w:fill="auto"/>
          </w:tcPr>
          <w:p>
            <w:pPr>
              <w:pStyle w:val="nTable"/>
              <w:spacing w:after="40"/>
              <w:rPr>
                <w:i/>
              </w:rPr>
            </w:pPr>
            <w:r>
              <w:t xml:space="preserve">Repealed by the </w:t>
            </w:r>
            <w:r>
              <w:rPr>
                <w:i/>
              </w:rPr>
              <w:t>Family Court Amendment Repeal Regulations 2015</w:t>
            </w:r>
            <w:r>
              <w:t xml:space="preserve"> r. 3 prior to commencement (see </w:t>
            </w:r>
            <w:r>
              <w:rPr>
                <w:i/>
              </w:rPr>
              <w:t xml:space="preserve">Gazette </w:t>
            </w:r>
            <w:r>
              <w:t>30 Jun 2015 p. 2340)</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Repeal Regulations 2015</w:t>
            </w:r>
          </w:p>
        </w:tc>
        <w:tc>
          <w:tcPr>
            <w:tcW w:w="1276" w:type="dxa"/>
            <w:shd w:val="clear" w:color="auto" w:fill="auto"/>
          </w:tcPr>
          <w:p>
            <w:pPr>
              <w:pStyle w:val="nTable"/>
              <w:spacing w:after="40"/>
            </w:pPr>
            <w:r>
              <w:t>30 Jun 2015 p. 2340</w:t>
            </w:r>
          </w:p>
        </w:tc>
        <w:tc>
          <w:tcPr>
            <w:tcW w:w="2693" w:type="dxa"/>
            <w:shd w:val="clear" w:color="auto" w:fill="auto"/>
          </w:tcPr>
          <w:p>
            <w:pPr>
              <w:pStyle w:val="nTable"/>
              <w:spacing w:after="40"/>
            </w:pPr>
            <w:r>
              <w:t xml:space="preserve">30 Jun 2015 (see r. 2 and </w:t>
            </w:r>
            <w:r>
              <w:rPr>
                <w:i/>
              </w:rPr>
              <w:t xml:space="preserve">Gazette </w:t>
            </w:r>
            <w:r>
              <w:t>30 Jun 2015 p. 2337)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Family Court Amendment Regulations (No. 2) 2015</w:t>
            </w:r>
          </w:p>
        </w:tc>
        <w:tc>
          <w:tcPr>
            <w:tcW w:w="1276" w:type="dxa"/>
            <w:shd w:val="clear" w:color="auto" w:fill="auto"/>
          </w:tcPr>
          <w:p>
            <w:pPr>
              <w:pStyle w:val="nTable"/>
              <w:keepNext/>
              <w:spacing w:after="40"/>
            </w:pPr>
            <w:r>
              <w:t>10 Jul 2015 p. 2779</w:t>
            </w:r>
            <w:r>
              <w:noBreakHyphen/>
              <w:t>83</w:t>
            </w:r>
          </w:p>
        </w:tc>
        <w:tc>
          <w:tcPr>
            <w:tcW w:w="2693" w:type="dxa"/>
            <w:shd w:val="clear" w:color="auto" w:fill="auto"/>
          </w:tcPr>
          <w:p>
            <w:pPr>
              <w:pStyle w:val="nTable"/>
              <w:keepNext/>
              <w:spacing w:after="40"/>
            </w:pPr>
            <w:r>
              <w:t>r. 1 and 2: 10 Jul 2015 (see r. 2(a));</w:t>
            </w:r>
            <w:r>
              <w:br/>
              <w:t>Regulations other than r. 1 and 2: 13 Jul 2015 (see r. 2(b)(ii) and Cwlth Select Legislative Instrument No. 114 registered on 12 Jul 2015)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2018</w:t>
            </w:r>
          </w:p>
        </w:tc>
        <w:tc>
          <w:tcPr>
            <w:tcW w:w="1276" w:type="dxa"/>
            <w:shd w:val="clear" w:color="auto" w:fill="auto"/>
          </w:tcPr>
          <w:p>
            <w:pPr>
              <w:pStyle w:val="nTable"/>
              <w:spacing w:after="40"/>
            </w:pPr>
            <w:r>
              <w:t>24 Aug 2018 p. 2971</w:t>
            </w:r>
            <w:r>
              <w:noBreakHyphen/>
              <w:t>2</w:t>
            </w:r>
          </w:p>
        </w:tc>
        <w:tc>
          <w:tcPr>
            <w:tcW w:w="2693" w:type="dxa"/>
            <w:shd w:val="clear" w:color="auto" w:fill="auto"/>
          </w:tcPr>
          <w:p>
            <w:pPr>
              <w:pStyle w:val="nTable"/>
              <w:spacing w:after="40"/>
            </w:pPr>
            <w:r>
              <w:t>r. 1 and 2: 24 Aug 2018 (see r. 2(a));</w:t>
            </w:r>
            <w:r>
              <w:br/>
              <w:t>Regulations other than r. 1 and 2: 25 Aug 2018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8</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pPr>
            <w:r>
              <w:t>1 Jul 2019 (see r. 2(b))</w:t>
            </w:r>
          </w:p>
        </w:tc>
      </w:tr>
      <w:tr>
        <w:tc>
          <w:tcPr>
            <w:tcW w:w="3118" w:type="dxa"/>
            <w:tcBorders>
              <w:top w:val="nil"/>
              <w:bottom w:val="nil"/>
            </w:tcBorders>
            <w:shd w:val="clear" w:color="auto" w:fill="auto"/>
          </w:tcPr>
          <w:p>
            <w:pPr>
              <w:pStyle w:val="nTable"/>
              <w:spacing w:after="40"/>
              <w:rPr>
                <w:i/>
              </w:rPr>
            </w:pPr>
            <w:r>
              <w:rPr>
                <w:i/>
              </w:rPr>
              <w:t>Family Court Amendment Regulations 2021</w:t>
            </w:r>
          </w:p>
        </w:tc>
        <w:tc>
          <w:tcPr>
            <w:tcW w:w="1276" w:type="dxa"/>
            <w:tcBorders>
              <w:top w:val="nil"/>
              <w:bottom w:val="nil"/>
            </w:tcBorders>
            <w:shd w:val="clear" w:color="auto" w:fill="auto"/>
          </w:tcPr>
          <w:p>
            <w:pPr>
              <w:pStyle w:val="nTable"/>
              <w:spacing w:after="40"/>
            </w:pPr>
            <w:r>
              <w:t>SL 2021/19 2 Feb 2021</w:t>
            </w:r>
          </w:p>
        </w:tc>
        <w:tc>
          <w:tcPr>
            <w:tcW w:w="2693" w:type="dxa"/>
            <w:tcBorders>
              <w:top w:val="nil"/>
              <w:bottom w:val="nil"/>
            </w:tcBorders>
            <w:shd w:val="clear" w:color="auto" w:fill="auto"/>
          </w:tcPr>
          <w:p>
            <w:pPr>
              <w:pStyle w:val="nTable"/>
              <w:spacing w:after="40"/>
            </w:pPr>
            <w:r>
              <w:t>r. 1 and 2: 2 Feb 2021 (see r. 2(a));</w:t>
            </w:r>
            <w:r>
              <w:br/>
              <w:t>Regulations other than r. 1 and 2: 3 Feb 2021 (see r. 2(b))</w:t>
            </w:r>
          </w:p>
        </w:tc>
      </w:tr>
      <w:tr>
        <w:tc>
          <w:tcPr>
            <w:tcW w:w="3118" w:type="dxa"/>
            <w:tcBorders>
              <w:top w:val="nil"/>
              <w:bottom w:val="nil"/>
            </w:tcBorders>
            <w:shd w:val="clear" w:color="auto" w:fill="auto"/>
          </w:tcPr>
          <w:p>
            <w:pPr>
              <w:pStyle w:val="nTable"/>
              <w:spacing w:after="40"/>
              <w:rPr>
                <w:i/>
              </w:rPr>
            </w:pPr>
            <w:r>
              <w:rPr>
                <w:i/>
              </w:rPr>
              <w:t>Family Court Amendment Regulations (No. 2) 2021</w:t>
            </w:r>
          </w:p>
        </w:tc>
        <w:tc>
          <w:tcPr>
            <w:tcW w:w="1276" w:type="dxa"/>
            <w:tcBorders>
              <w:top w:val="nil"/>
              <w:bottom w:val="nil"/>
            </w:tcBorders>
            <w:shd w:val="clear" w:color="auto" w:fill="auto"/>
          </w:tcPr>
          <w:p>
            <w:pPr>
              <w:pStyle w:val="nTable"/>
              <w:spacing w:after="40"/>
            </w:pPr>
            <w:r>
              <w:t>SL 2021/137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c>
          <w:tcPr>
            <w:tcW w:w="3118" w:type="dxa"/>
            <w:tcBorders>
              <w:top w:val="nil"/>
              <w:bottom w:val="nil"/>
            </w:tcBorders>
            <w:shd w:val="clear" w:color="auto" w:fill="auto"/>
          </w:tcPr>
          <w:p>
            <w:pPr>
              <w:pStyle w:val="nTable"/>
              <w:spacing w:after="40"/>
              <w:rPr>
                <w:i/>
              </w:rPr>
            </w:pPr>
            <w:r>
              <w:rPr>
                <w:i/>
              </w:rPr>
              <w:t>Family Court Amendment Regulations 2022</w:t>
            </w:r>
          </w:p>
        </w:tc>
        <w:tc>
          <w:tcPr>
            <w:tcW w:w="1276" w:type="dxa"/>
            <w:tcBorders>
              <w:top w:val="nil"/>
              <w:bottom w:val="nil"/>
            </w:tcBorders>
            <w:shd w:val="clear" w:color="auto" w:fill="auto"/>
          </w:tcPr>
          <w:p>
            <w:pPr>
              <w:pStyle w:val="nTable"/>
              <w:spacing w:after="40"/>
            </w:pPr>
            <w:r>
              <w:t>SL 2022/45 8 Apr 2022</w:t>
            </w:r>
          </w:p>
        </w:tc>
        <w:tc>
          <w:tcPr>
            <w:tcW w:w="2693" w:type="dxa"/>
            <w:tcBorders>
              <w:top w:val="nil"/>
              <w:bottom w:val="nil"/>
            </w:tcBorders>
            <w:shd w:val="clear" w:color="auto" w:fill="auto"/>
          </w:tcPr>
          <w:p>
            <w:pPr>
              <w:pStyle w:val="nTable"/>
              <w:spacing w:after="40"/>
            </w:pPr>
            <w:r>
              <w:t>r. 1 and 2: 8 Apr 2022 (see r. 2(a));</w:t>
            </w:r>
            <w:r>
              <w:br/>
              <w:t>Regulations other than r. 1 and 2: 9 Apr 2022 (see r. 2(b))</w:t>
            </w:r>
          </w:p>
        </w:tc>
      </w:tr>
      <w:tr>
        <w:tc>
          <w:tcPr>
            <w:tcW w:w="3118" w:type="dxa"/>
            <w:tcBorders>
              <w:top w:val="nil"/>
              <w:bottom w:val="nil"/>
            </w:tcBorders>
            <w:shd w:val="clear" w:color="auto" w:fill="auto"/>
          </w:tcPr>
          <w:p>
            <w:pPr>
              <w:pStyle w:val="nTable"/>
              <w:spacing w:after="40"/>
              <w:rPr>
                <w:i/>
              </w:rPr>
            </w:pPr>
            <w:r>
              <w:rPr>
                <w:i/>
              </w:rPr>
              <w:t>Family Court Amendment Regulations (No. 2) 2022</w:t>
            </w:r>
          </w:p>
        </w:tc>
        <w:tc>
          <w:tcPr>
            <w:tcW w:w="1276" w:type="dxa"/>
            <w:tcBorders>
              <w:top w:val="nil"/>
              <w:bottom w:val="nil"/>
            </w:tcBorders>
            <w:shd w:val="clear" w:color="auto" w:fill="auto"/>
          </w:tcPr>
          <w:p>
            <w:pPr>
              <w:pStyle w:val="nTable"/>
              <w:spacing w:after="40"/>
            </w:pPr>
            <w:r>
              <w:t>SL 2022/123 30 Jun 2022</w:t>
            </w:r>
          </w:p>
        </w:tc>
        <w:tc>
          <w:tcPr>
            <w:tcW w:w="2693" w:type="dxa"/>
            <w:tcBorders>
              <w:top w:val="nil"/>
              <w:bottom w:val="nil"/>
            </w:tcBorders>
            <w:shd w:val="clear" w:color="auto" w:fill="auto"/>
          </w:tcPr>
          <w:p>
            <w:pPr>
              <w:pStyle w:val="nTable"/>
              <w:spacing w:after="40"/>
            </w:pPr>
            <w:r>
              <w:t>r. 1 and 2: 30 Jun 2022 (see r. 2(a));</w:t>
            </w:r>
            <w:r>
              <w:br/>
              <w:t>Regulations other than r. 1 and 2: 1 Jul 2022 (see r. 2(b))</w:t>
            </w:r>
          </w:p>
        </w:tc>
      </w:tr>
      <w:tr>
        <w:tc>
          <w:tcPr>
            <w:tcW w:w="3118" w:type="dxa"/>
            <w:tcBorders>
              <w:top w:val="nil"/>
              <w:bottom w:val="nil"/>
            </w:tcBorders>
            <w:shd w:val="clear" w:color="auto" w:fill="auto"/>
          </w:tcPr>
          <w:p>
            <w:pPr>
              <w:pStyle w:val="nTable"/>
              <w:spacing w:after="40"/>
              <w:rPr>
                <w:i/>
              </w:rPr>
            </w:pPr>
            <w:r>
              <w:rPr>
                <w:i/>
              </w:rPr>
              <w:t>Family Court Amendment Regulations 2023</w:t>
            </w:r>
          </w:p>
        </w:tc>
        <w:tc>
          <w:tcPr>
            <w:tcW w:w="1276" w:type="dxa"/>
            <w:tcBorders>
              <w:top w:val="nil"/>
              <w:bottom w:val="nil"/>
            </w:tcBorders>
            <w:shd w:val="clear" w:color="auto" w:fill="auto"/>
          </w:tcPr>
          <w:p>
            <w:pPr>
              <w:pStyle w:val="nTable"/>
              <w:spacing w:after="40"/>
            </w:pPr>
            <w:r>
              <w:t>SL 2023/88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c>
          <w:tcPr>
            <w:tcW w:w="3118" w:type="dxa"/>
            <w:tcBorders>
              <w:top w:val="nil"/>
              <w:bottom w:val="nil"/>
            </w:tcBorders>
            <w:shd w:val="clear" w:color="auto" w:fill="auto"/>
          </w:tcPr>
          <w:p>
            <w:pPr>
              <w:pStyle w:val="nTable"/>
              <w:spacing w:after="40"/>
              <w:rPr>
                <w:i/>
              </w:rPr>
            </w:pPr>
            <w:r>
              <w:rPr>
                <w:i/>
              </w:rPr>
              <w:t>Family Court Amendment Regulations 2024</w:t>
            </w:r>
          </w:p>
        </w:tc>
        <w:tc>
          <w:tcPr>
            <w:tcW w:w="1276" w:type="dxa"/>
            <w:tcBorders>
              <w:top w:val="nil"/>
              <w:bottom w:val="nil"/>
            </w:tcBorders>
            <w:shd w:val="clear" w:color="auto" w:fill="auto"/>
          </w:tcPr>
          <w:p>
            <w:pPr>
              <w:pStyle w:val="nTable"/>
              <w:spacing w:after="40"/>
            </w:pPr>
            <w:r>
              <w:t>SL 2024/140 26 Jun 2024</w:t>
            </w:r>
          </w:p>
        </w:tc>
        <w:tc>
          <w:tcPr>
            <w:tcW w:w="2693" w:type="dxa"/>
            <w:tcBorders>
              <w:top w:val="nil"/>
              <w:bottom w:val="nil"/>
            </w:tcBorders>
            <w:shd w:val="clear" w:color="auto" w:fill="auto"/>
          </w:tcPr>
          <w:p>
            <w:pPr>
              <w:pStyle w:val="nTable"/>
              <w:spacing w:after="40"/>
            </w:pPr>
            <w:r>
              <w:t>r. 1 and 2: 26 Jun 2024 (see r. 2(a));</w:t>
            </w:r>
            <w:r>
              <w:br/>
              <w:t>Regulations other than r. 1 and 2: 1 Jul 2024 (see r. 2(b))</w:t>
            </w:r>
          </w:p>
        </w:tc>
      </w:tr>
      <w:tr>
        <w:tc>
          <w:tcPr>
            <w:tcW w:w="3118" w:type="dxa"/>
            <w:tcBorders>
              <w:top w:val="nil"/>
              <w:bottom w:val="nil"/>
            </w:tcBorders>
            <w:shd w:val="clear" w:color="auto" w:fill="auto"/>
          </w:tcPr>
          <w:p>
            <w:pPr>
              <w:pStyle w:val="nTable"/>
              <w:spacing w:after="40"/>
              <w:rPr>
                <w:iCs/>
              </w:rPr>
            </w:pPr>
            <w:r>
              <w:rPr>
                <w:i/>
              </w:rPr>
              <w:t>Family Court Amendment Regulations 2025</w:t>
            </w:r>
          </w:p>
        </w:tc>
        <w:tc>
          <w:tcPr>
            <w:tcW w:w="1276" w:type="dxa"/>
            <w:tcBorders>
              <w:top w:val="nil"/>
              <w:bottom w:val="nil"/>
            </w:tcBorders>
            <w:shd w:val="clear" w:color="auto" w:fill="auto"/>
          </w:tcPr>
          <w:p>
            <w:pPr>
              <w:pStyle w:val="nTable"/>
              <w:spacing w:after="40"/>
            </w:pPr>
            <w:r>
              <w:t>SL 2025/16 22 Jan 2025</w:t>
            </w:r>
          </w:p>
        </w:tc>
        <w:tc>
          <w:tcPr>
            <w:tcW w:w="2693" w:type="dxa"/>
            <w:tcBorders>
              <w:top w:val="nil"/>
              <w:bottom w:val="nil"/>
            </w:tcBorders>
            <w:shd w:val="clear" w:color="auto" w:fill="auto"/>
          </w:tcPr>
          <w:p>
            <w:pPr>
              <w:pStyle w:val="nTable"/>
              <w:spacing w:after="40"/>
            </w:pPr>
            <w:r>
              <w:t>r. 1 and 2: 22 Jan 2025 (see r. 2(a));</w:t>
            </w:r>
            <w:r>
              <w:br/>
              <w:t>Regulations other than r. 1 and 2: 10 Feb 2025 (see r. 2(b))</w:t>
            </w:r>
          </w:p>
        </w:tc>
      </w:tr>
      <w:tr>
        <w:tblPrEx>
          <w:tblBorders>
            <w:top w:val="none" w:sz="0" w:space="0" w:color="auto"/>
            <w:bottom w:val="none" w:sz="0" w:space="0" w:color="auto"/>
            <w:insideH w:val="none" w:sz="0" w:space="0" w:color="auto"/>
          </w:tblBorders>
        </w:tblPrEx>
        <w:trPr>
          <w:ins w:id="209" w:author="Master Repository Process" w:date="2025-07-03T12:24:00Z"/>
        </w:trPr>
        <w:tc>
          <w:tcPr>
            <w:tcW w:w="3118" w:type="dxa"/>
            <w:tcBorders>
              <w:bottom w:val="single" w:sz="8" w:space="0" w:color="auto"/>
            </w:tcBorders>
            <w:shd w:val="clear" w:color="auto" w:fill="auto"/>
          </w:tcPr>
          <w:p>
            <w:pPr>
              <w:pStyle w:val="nTable"/>
              <w:spacing w:after="40"/>
              <w:rPr>
                <w:ins w:id="210" w:author="Master Repository Process" w:date="2025-07-03T12:24:00Z"/>
                <w:i/>
              </w:rPr>
            </w:pPr>
            <w:ins w:id="211" w:author="Master Repository Process" w:date="2025-07-03T12:24:00Z">
              <w:r>
                <w:rPr>
                  <w:i/>
                </w:rPr>
                <w:t>Family Court Amendment Regulations (No. 2) 2025</w:t>
              </w:r>
            </w:ins>
          </w:p>
        </w:tc>
        <w:tc>
          <w:tcPr>
            <w:tcW w:w="1276" w:type="dxa"/>
            <w:tcBorders>
              <w:bottom w:val="single" w:sz="8" w:space="0" w:color="auto"/>
            </w:tcBorders>
            <w:shd w:val="clear" w:color="auto" w:fill="auto"/>
          </w:tcPr>
          <w:p>
            <w:pPr>
              <w:pStyle w:val="nTable"/>
              <w:spacing w:after="40"/>
              <w:rPr>
                <w:ins w:id="212" w:author="Master Repository Process" w:date="2025-07-03T12:24:00Z"/>
              </w:rPr>
            </w:pPr>
            <w:ins w:id="213" w:author="Master Repository Process" w:date="2025-07-03T12:24:00Z">
              <w:r>
                <w:t>SL 2025/63 30 Apr 2025</w:t>
              </w:r>
            </w:ins>
          </w:p>
        </w:tc>
        <w:tc>
          <w:tcPr>
            <w:tcW w:w="2693" w:type="dxa"/>
            <w:tcBorders>
              <w:bottom w:val="single" w:sz="8" w:space="0" w:color="auto"/>
            </w:tcBorders>
            <w:shd w:val="clear" w:color="auto" w:fill="auto"/>
          </w:tcPr>
          <w:p>
            <w:pPr>
              <w:pStyle w:val="nTable"/>
              <w:spacing w:after="40"/>
              <w:rPr>
                <w:ins w:id="214" w:author="Master Repository Process" w:date="2025-07-03T12:24:00Z"/>
              </w:rPr>
            </w:pPr>
            <w:ins w:id="215" w:author="Master Repository Process" w:date="2025-07-03T12:24:00Z">
              <w:r>
                <w:t>r. 1 and 2: 30 Apr 2025 (see r. 2(a));</w:t>
              </w:r>
              <w:r>
                <w:br/>
                <w:t>Regulations other than r. 1 and 2: 1 May 2025 (see r. 2(b))</w:t>
              </w:r>
            </w:ins>
          </w:p>
        </w:tc>
      </w:tr>
    </w:tbl>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0" w:name="Schedule"/>
    <w:bookmarkEnd w:id="2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6" w:name="Compilation"/>
    <w:bookmarkEnd w:id="2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7" w:name="Coversheet"/>
    <w:bookmarkEnd w:id="2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34215"/>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 w:name="WAFER_20180823112315" w:val="RemoveTocBookmarks,RemoveUnusedBookmarks,RemoveLanguageTags,UsedStyles,ResetPageSize"/>
    <w:docVar w:name="WAFER_20180823112315_GUID" w:val="2e25f7f3-7fd6-490b-a52a-2d4545c0d960"/>
    <w:docVar w:name="WAFER_20210125155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55943_GUID" w:val="d3b92d7a-c448-4577-ba4f-4933b9b1b330"/>
    <w:docVar w:name="WAFER_20210728121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1905_GUID" w:val="0acd7aba-b4e5-4192-8ff1-80b1f001fd0c"/>
    <w:docVar w:name="WAFER_202204051100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001_GUID" w:val="7a18df30-5801-4850-8dd8-6bf0de37ff40"/>
    <w:docVar w:name="WAFER_202206271638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3826_GUID" w:val="c6f43a5c-3b36-4065-b7f3-d24fce3e540a"/>
    <w:docVar w:name="WAFER_20230628150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0611_GUID" w:val="9c238305-4f85-412b-94d7-a7e18e1897d4"/>
    <w:docVar w:name="WAFER_20231228113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042_GUID" w:val="cb39b53f-286c-47c3-ae3e-302ce91ee7a4"/>
    <w:docVar w:name="WAFER_20240625112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2755_GUID" w:val="0536caff-f2c2-48c9-8cf3-40d485511b28"/>
    <w:docVar w:name="WAFER_20250116150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150952_GUID" w:val="27eac5bb-6fc9-4782-b7c5-ab47b9be50ee"/>
    <w:docVar w:name="WAFER_202502040931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04093126_GUID" w:val="d9ffccbd-188b-43aa-bad7-63e475657bbd"/>
    <w:docVar w:name="WAFER_2025020409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04093144_GUID" w:val="46621b9e-f805-402c-959f-7f6de1e441f3"/>
    <w:docVar w:name="WAFER_202504241342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34215_GUID" w:val="bcaf321a-f971-4c79-a182-8036f0a312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43B579E-2F55-4EDC-9E96-29945593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B714A-D5E3-45E7-A786-CC29BE0C8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6872</Words>
  <Characters>32438</Characters>
  <Application>Microsoft Office Word</Application>
  <DocSecurity>0</DocSecurity>
  <Lines>982</Lines>
  <Paragraphs>595</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03-l0-00 - 03-m0-00</dc:title>
  <dc:subject/>
  <dc:creator/>
  <cp:keywords/>
  <dc:description/>
  <cp:lastModifiedBy>Master Repository Process</cp:lastModifiedBy>
  <cp:revision>2</cp:revision>
  <cp:lastPrinted>2016-01-19T02:54:00Z</cp:lastPrinted>
  <dcterms:created xsi:type="dcterms:W3CDTF">2025-07-03T04:24:00Z</dcterms:created>
  <dcterms:modified xsi:type="dcterms:W3CDTF">2025-07-03T04:24:00Z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CommencementDate">
    <vt:lpwstr>20250501</vt:lpwstr>
  </property>
  <property fmtid="{D5CDD505-2E9C-101B-9397-08002B2CF9AE}" pid="8" name="CommencementAsAt">
    <vt:filetime>2025-04-30T16:00:00Z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03-l0-00</vt:lpwstr>
  </property>
  <property fmtid="{D5CDD505-2E9C-101B-9397-08002B2CF9AE}" pid="12" name="FromAsAtDate">
    <vt:lpwstr>10 Feb 2025</vt:lpwstr>
  </property>
  <property fmtid="{D5CDD505-2E9C-101B-9397-08002B2CF9AE}" pid="13" name="ToSuffix">
    <vt:lpwstr>03-m0-00</vt:lpwstr>
  </property>
  <property fmtid="{D5CDD505-2E9C-101B-9397-08002B2CF9AE}" pid="14" name="ToAsAtDate">
    <vt:lpwstr>01 May 2025</vt:lpwstr>
  </property>
</Properties>
</file>