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2024</w:t>
      </w:r>
      <w:r>
        <w:fldChar w:fldCharType="end"/>
      </w:r>
      <w:r>
        <w:t xml:space="preserve">, </w:t>
      </w:r>
      <w:r>
        <w:fldChar w:fldCharType="begin"/>
      </w:r>
      <w:r>
        <w:instrText xml:space="preserve"> DocProperty FromSuffix </w:instrText>
      </w:r>
      <w:r>
        <w:fldChar w:fldCharType="separate"/>
      </w:r>
      <w:r>
        <w:t>04-l0-00</w:t>
      </w:r>
      <w:r>
        <w:fldChar w:fldCharType="end"/>
      </w:r>
      <w:r>
        <w:t>] and [</w:t>
      </w:r>
      <w:r>
        <w:fldChar w:fldCharType="begin"/>
      </w:r>
      <w:r>
        <w:instrText xml:space="preserve"> DocProperty ToAsAtDate</w:instrText>
      </w:r>
      <w:r>
        <w:fldChar w:fldCharType="separate"/>
      </w:r>
      <w:r>
        <w:t>28 May 2025</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Cremation Act 1929</w:t>
      </w:r>
    </w:p>
    <w:p>
      <w:pPr>
        <w:pStyle w:val="NameofActReg"/>
      </w:pPr>
      <w:r>
        <w:t>Cremation Regulations 1954</w:t>
      </w:r>
    </w:p>
    <w:p>
      <w:pPr>
        <w:pStyle w:val="Heading5"/>
        <w:rPr>
          <w:snapToGrid w:val="0"/>
        </w:rPr>
      </w:pPr>
      <w:bookmarkStart w:id="1" w:name="_Toc198822013"/>
      <w:bookmarkStart w:id="2" w:name="_Toc168901540"/>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rPr>
        <w:t>.</w:t>
      </w:r>
    </w:p>
    <w:p>
      <w:pPr>
        <w:pStyle w:val="Heading5"/>
        <w:rPr>
          <w:snapToGrid w:val="0"/>
        </w:rPr>
      </w:pPr>
      <w:bookmarkStart w:id="3" w:name="_Toc198822014"/>
      <w:bookmarkStart w:id="4" w:name="_Toc168901541"/>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These regulations shall come into operation on 6 September 1954.</w:t>
      </w:r>
    </w:p>
    <w:p>
      <w:pPr>
        <w:pStyle w:val="Heading5"/>
      </w:pPr>
      <w:bookmarkStart w:id="5" w:name="_Toc198822015"/>
      <w:bookmarkStart w:id="6" w:name="_Toc168901542"/>
      <w:r>
        <w:rPr>
          <w:rStyle w:val="CharSectno"/>
        </w:rPr>
        <w:t>3</w:t>
      </w:r>
      <w:r>
        <w:t>.</w:t>
      </w:r>
      <w:r>
        <w:tab/>
        <w:t>Term used: nearest surviving relative</w:t>
      </w:r>
      <w:bookmarkEnd w:id="5"/>
      <w:bookmarkEnd w:id="6"/>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Gazette 24 Sep 2002 p. 4767.]</w:t>
      </w:r>
    </w:p>
    <w:p>
      <w:pPr>
        <w:pStyle w:val="Heading2"/>
      </w:pPr>
      <w:bookmarkStart w:id="7" w:name="_Toc198820184"/>
      <w:bookmarkStart w:id="8" w:name="_Toc198820568"/>
      <w:bookmarkStart w:id="9" w:name="_Toc198820731"/>
      <w:bookmarkStart w:id="10" w:name="_Toc198822016"/>
      <w:bookmarkStart w:id="11" w:name="_Toc168651578"/>
      <w:bookmarkStart w:id="12" w:name="_Toc168651908"/>
      <w:bookmarkStart w:id="13" w:name="_Toc168901543"/>
      <w:r>
        <w:rPr>
          <w:rStyle w:val="CharPartNo"/>
        </w:rPr>
        <w:lastRenderedPageBreak/>
        <w:t>Part I</w:t>
      </w:r>
      <w:r>
        <w:rPr>
          <w:rStyle w:val="CharDivNo"/>
        </w:rPr>
        <w:t> </w:t>
      </w:r>
      <w:r>
        <w:t>—</w:t>
      </w:r>
      <w:r>
        <w:rPr>
          <w:rStyle w:val="CharDivText"/>
        </w:rPr>
        <w:t> </w:t>
      </w:r>
      <w:r>
        <w:rPr>
          <w:rStyle w:val="CharPartText"/>
        </w:rPr>
        <w:t>Application for licence to use and conduct a crematorium</w:t>
      </w:r>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198822017"/>
      <w:bookmarkStart w:id="15" w:name="_Toc168901544"/>
      <w:r>
        <w:rPr>
          <w:rStyle w:val="CharSectno"/>
        </w:rPr>
        <w:t>4</w:t>
      </w:r>
      <w:r>
        <w:rPr>
          <w:snapToGrid w:val="0"/>
        </w:rPr>
        <w:t>.</w:t>
      </w:r>
      <w:r>
        <w:rPr>
          <w:snapToGrid w:val="0"/>
        </w:rPr>
        <w:tab/>
        <w:t>Application for licence</w:t>
      </w:r>
      <w:bookmarkEnd w:id="14"/>
      <w:bookmarkEnd w:id="15"/>
    </w:p>
    <w:p>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Gazette 29 Jun 1984 p. 1781; 10 Jan 2017 p. 249; 2 Jul 2019 p. 2646 and 2647.] </w:t>
      </w:r>
    </w:p>
    <w:p>
      <w:pPr>
        <w:pStyle w:val="Heading5"/>
        <w:rPr>
          <w:snapToGrid w:val="0"/>
        </w:rPr>
      </w:pPr>
      <w:bookmarkStart w:id="16" w:name="_Toc198822018"/>
      <w:bookmarkStart w:id="17" w:name="_Toc168901545"/>
      <w:r>
        <w:rPr>
          <w:rStyle w:val="CharSectno"/>
        </w:rPr>
        <w:t>5</w:t>
      </w:r>
      <w:r>
        <w:rPr>
          <w:snapToGrid w:val="0"/>
        </w:rPr>
        <w:t>.</w:t>
      </w:r>
      <w:r>
        <w:rPr>
          <w:snapToGrid w:val="0"/>
        </w:rPr>
        <w:tab/>
        <w:t>Form of licence</w:t>
      </w:r>
      <w:bookmarkEnd w:id="16"/>
      <w:bookmarkEnd w:id="17"/>
    </w:p>
    <w:p>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pPr>
        <w:pStyle w:val="Footnotesection"/>
      </w:pPr>
      <w:r>
        <w:tab/>
        <w:t xml:space="preserve">[Regulation 5 amended: Gazette 2 Jul 2019 p. 2646.] </w:t>
      </w:r>
    </w:p>
    <w:p>
      <w:pPr>
        <w:pStyle w:val="Heading5"/>
        <w:rPr>
          <w:snapToGrid w:val="0"/>
        </w:rPr>
      </w:pPr>
      <w:bookmarkStart w:id="18" w:name="_Toc198822019"/>
      <w:bookmarkStart w:id="19" w:name="_Toc168901546"/>
      <w:r>
        <w:rPr>
          <w:rStyle w:val="CharSectno"/>
        </w:rPr>
        <w:t>6</w:t>
      </w:r>
      <w:r>
        <w:rPr>
          <w:snapToGrid w:val="0"/>
        </w:rPr>
        <w:t>.</w:t>
      </w:r>
      <w:r>
        <w:rPr>
          <w:snapToGrid w:val="0"/>
        </w:rPr>
        <w:tab/>
        <w:t>Compliance certificate</w:t>
      </w:r>
      <w:bookmarkEnd w:id="18"/>
      <w:bookmarkEnd w:id="19"/>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pPr>
        <w:pStyle w:val="Subsection"/>
        <w:rPr>
          <w:snapToGrid w:val="0"/>
        </w:rPr>
      </w:pPr>
      <w:r>
        <w:rPr>
          <w:snapToGrid w:val="0"/>
        </w:rPr>
        <w:lastRenderedPageBreak/>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Gazette 29 Jun 1984 p. 1781; 10 Jan 2017 p. 249; 2 Jul 2019 p. 2646 and 2647.] </w:t>
      </w:r>
    </w:p>
    <w:p>
      <w:pPr>
        <w:pStyle w:val="Heading5"/>
        <w:rPr>
          <w:snapToGrid w:val="0"/>
        </w:rPr>
      </w:pPr>
      <w:bookmarkStart w:id="20" w:name="_Toc198822020"/>
      <w:bookmarkStart w:id="21" w:name="_Toc168901547"/>
      <w:r>
        <w:rPr>
          <w:rStyle w:val="CharSectno"/>
        </w:rPr>
        <w:t>7</w:t>
      </w:r>
      <w:r>
        <w:rPr>
          <w:snapToGrid w:val="0"/>
        </w:rPr>
        <w:t>.</w:t>
      </w:r>
      <w:r>
        <w:rPr>
          <w:snapToGrid w:val="0"/>
        </w:rPr>
        <w:tab/>
        <w:t>Form of certificate</w:t>
      </w:r>
      <w:bookmarkEnd w:id="20"/>
      <w:bookmarkEnd w:id="21"/>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pPr>
        <w:pStyle w:val="Footnotesection"/>
      </w:pPr>
      <w:r>
        <w:tab/>
        <w:t>[Regulation 7 amended: Gazette 29 Jun 1984 p. 1781; 10 Jan 2017 p. 249</w:t>
      </w:r>
      <w:r>
        <w:noBreakHyphen/>
        <w:t xml:space="preserve">50; 2 Jul 2019 p. 2646.] </w:t>
      </w:r>
    </w:p>
    <w:p>
      <w:pPr>
        <w:pStyle w:val="Heading2"/>
      </w:pPr>
      <w:bookmarkStart w:id="22" w:name="_Toc198820189"/>
      <w:bookmarkStart w:id="23" w:name="_Toc198820573"/>
      <w:bookmarkStart w:id="24" w:name="_Toc198820736"/>
      <w:bookmarkStart w:id="25" w:name="_Toc198822021"/>
      <w:bookmarkStart w:id="26" w:name="_Toc168651583"/>
      <w:bookmarkStart w:id="27" w:name="_Toc168651913"/>
      <w:bookmarkStart w:id="28" w:name="_Toc168901548"/>
      <w:r>
        <w:rPr>
          <w:rStyle w:val="CharPartNo"/>
        </w:rPr>
        <w:t>Part II</w:t>
      </w:r>
      <w:r>
        <w:rPr>
          <w:rStyle w:val="CharDivNo"/>
        </w:rPr>
        <w:t> </w:t>
      </w:r>
      <w:r>
        <w:t>—</w:t>
      </w:r>
      <w:r>
        <w:rPr>
          <w:rStyle w:val="CharDivText"/>
        </w:rPr>
        <w:t> </w:t>
      </w:r>
      <w:r>
        <w:rPr>
          <w:rStyle w:val="CharPartText"/>
        </w:rPr>
        <w:t>Maintenance and inspection of crematoria</w:t>
      </w:r>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198822022"/>
      <w:bookmarkStart w:id="30" w:name="_Toc168901549"/>
      <w:r>
        <w:rPr>
          <w:rStyle w:val="CharSectno"/>
        </w:rPr>
        <w:t>8</w:t>
      </w:r>
      <w:r>
        <w:rPr>
          <w:snapToGrid w:val="0"/>
        </w:rPr>
        <w:t>.</w:t>
      </w:r>
      <w:r>
        <w:rPr>
          <w:snapToGrid w:val="0"/>
        </w:rPr>
        <w:tab/>
        <w:t>Crematoria to be maintained</w:t>
      </w:r>
      <w:bookmarkEnd w:id="29"/>
      <w:bookmarkEnd w:id="30"/>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31" w:name="_Toc198822023"/>
      <w:bookmarkStart w:id="32" w:name="_Toc168901550"/>
      <w:r>
        <w:rPr>
          <w:rStyle w:val="CharSectno"/>
        </w:rPr>
        <w:t>9</w:t>
      </w:r>
      <w:r>
        <w:rPr>
          <w:snapToGrid w:val="0"/>
        </w:rPr>
        <w:t>.</w:t>
      </w:r>
      <w:r>
        <w:rPr>
          <w:snapToGrid w:val="0"/>
        </w:rPr>
        <w:tab/>
        <w:t>Inspection</w:t>
      </w:r>
      <w:bookmarkEnd w:id="31"/>
      <w:bookmarkEnd w:id="32"/>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33" w:name="_Toc198822024"/>
      <w:bookmarkStart w:id="34" w:name="_Toc168901551"/>
      <w:r>
        <w:rPr>
          <w:rStyle w:val="CharSectno"/>
        </w:rPr>
        <w:t>10</w:t>
      </w:r>
      <w:r>
        <w:rPr>
          <w:snapToGrid w:val="0"/>
        </w:rPr>
        <w:t>.</w:t>
      </w:r>
      <w:r>
        <w:rPr>
          <w:snapToGrid w:val="0"/>
        </w:rPr>
        <w:tab/>
        <w:t>Notice requiring work to be carried out</w:t>
      </w:r>
      <w:bookmarkEnd w:id="33"/>
      <w:bookmarkEnd w:id="34"/>
    </w:p>
    <w:p>
      <w:pPr>
        <w:pStyle w:val="Subsection"/>
        <w:keepNext/>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Gazette 29 Jun 1984 p. 1781; 10 Jan 2017 p. 249</w:t>
      </w:r>
      <w:r>
        <w:noBreakHyphen/>
        <w:t xml:space="preserve">50.] </w:t>
      </w:r>
    </w:p>
    <w:p>
      <w:pPr>
        <w:pStyle w:val="Heading2"/>
      </w:pPr>
      <w:bookmarkStart w:id="35" w:name="_Toc198820193"/>
      <w:bookmarkStart w:id="36" w:name="_Toc198820577"/>
      <w:bookmarkStart w:id="37" w:name="_Toc198820740"/>
      <w:bookmarkStart w:id="38" w:name="_Toc198822025"/>
      <w:bookmarkStart w:id="39" w:name="_Toc168651587"/>
      <w:bookmarkStart w:id="40" w:name="_Toc168651917"/>
      <w:bookmarkStart w:id="41" w:name="_Toc168901552"/>
      <w:r>
        <w:rPr>
          <w:rStyle w:val="CharPartNo"/>
        </w:rPr>
        <w:t>Part III</w:t>
      </w:r>
      <w:r>
        <w:rPr>
          <w:rStyle w:val="CharDivNo"/>
        </w:rPr>
        <w:t> </w:t>
      </w:r>
      <w:r>
        <w:t>—</w:t>
      </w:r>
      <w:r>
        <w:rPr>
          <w:rStyle w:val="CharDivText"/>
        </w:rPr>
        <w:t> </w:t>
      </w:r>
      <w:r>
        <w:rPr>
          <w:rStyle w:val="CharPartText"/>
        </w:rPr>
        <w:t>Application for permit to cremate</w:t>
      </w:r>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198822026"/>
      <w:bookmarkStart w:id="43" w:name="_Toc168901553"/>
      <w:r>
        <w:rPr>
          <w:rStyle w:val="CharSectno"/>
        </w:rPr>
        <w:t>11</w:t>
      </w:r>
      <w:r>
        <w:rPr>
          <w:snapToGrid w:val="0"/>
        </w:rPr>
        <w:t>.</w:t>
      </w:r>
      <w:r>
        <w:rPr>
          <w:snapToGrid w:val="0"/>
        </w:rPr>
        <w:tab/>
        <w:t>Form of permit application</w:t>
      </w:r>
      <w:bookmarkEnd w:id="42"/>
      <w:bookmarkEnd w:id="43"/>
    </w:p>
    <w:p>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pPr>
        <w:pStyle w:val="Footnotesection"/>
      </w:pPr>
      <w:r>
        <w:tab/>
        <w:t xml:space="preserve">[Regulation 11 amended: Gazette 2 Jul 2019 p. 2646.] </w:t>
      </w:r>
    </w:p>
    <w:p>
      <w:pPr>
        <w:pStyle w:val="Heading5"/>
      </w:pPr>
      <w:bookmarkStart w:id="44" w:name="_Toc198822027"/>
      <w:bookmarkStart w:id="45" w:name="_Toc168901554"/>
      <w:r>
        <w:rPr>
          <w:rStyle w:val="CharSectno"/>
        </w:rPr>
        <w:t>12</w:t>
      </w:r>
      <w:r>
        <w:t>.</w:t>
      </w:r>
      <w:r>
        <w:tab/>
        <w:t>Other requirements for permit</w:t>
      </w:r>
      <w:bookmarkEnd w:id="44"/>
      <w:bookmarkEnd w:id="45"/>
    </w:p>
    <w:p>
      <w:pPr>
        <w:pStyle w:val="Subsection"/>
      </w:pPr>
      <w:r>
        <w:tab/>
      </w:r>
      <w:r>
        <w:tab/>
        <w:t xml:space="preserve">Every application to cremate made in accordance with regulation 11 shall be accompanied by the fee prescribed in Schedule 2 item 3 and a certificate in accordance with — </w:t>
      </w:r>
    </w:p>
    <w:p>
      <w:pPr>
        <w:pStyle w:val="Indenta"/>
      </w:pPr>
      <w:r>
        <w:tab/>
        <w:t>(a)</w:t>
      </w:r>
      <w:r>
        <w:tab/>
        <w:t>Schedule 1 Form 7, completed by a medical practitioner; or</w:t>
      </w:r>
    </w:p>
    <w:p>
      <w:pPr>
        <w:pStyle w:val="Indenta"/>
      </w:pPr>
      <w:r>
        <w:tab/>
        <w:t>(b)</w:t>
      </w:r>
      <w:r>
        <w:tab/>
        <w:t>Schedule 1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2944-5; amended: Gazette 2 Jul 2019 p. 2646 and 2647.]</w:t>
      </w:r>
    </w:p>
    <w:p>
      <w:pPr>
        <w:pStyle w:val="Heading2"/>
      </w:pPr>
      <w:bookmarkStart w:id="46" w:name="_Toc198820196"/>
      <w:bookmarkStart w:id="47" w:name="_Toc198820580"/>
      <w:bookmarkStart w:id="48" w:name="_Toc198820743"/>
      <w:bookmarkStart w:id="49" w:name="_Toc198822028"/>
      <w:bookmarkStart w:id="50" w:name="_Toc168651590"/>
      <w:bookmarkStart w:id="51" w:name="_Toc168651920"/>
      <w:bookmarkStart w:id="52" w:name="_Toc168901555"/>
      <w:r>
        <w:rPr>
          <w:rStyle w:val="CharPartNo"/>
        </w:rPr>
        <w:t>Part IV</w:t>
      </w:r>
      <w:r>
        <w:rPr>
          <w:rStyle w:val="CharDivNo"/>
        </w:rPr>
        <w:t> </w:t>
      </w:r>
      <w:r>
        <w:t>—</w:t>
      </w:r>
      <w:r>
        <w:rPr>
          <w:rStyle w:val="CharDivText"/>
        </w:rPr>
        <w:t> </w:t>
      </w:r>
      <w:r>
        <w:rPr>
          <w:rStyle w:val="CharPartText"/>
        </w:rPr>
        <w:t>The medical referee</w:t>
      </w:r>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198822029"/>
      <w:bookmarkStart w:id="54" w:name="_Toc168901556"/>
      <w:r>
        <w:rPr>
          <w:rStyle w:val="CharSectno"/>
        </w:rPr>
        <w:t>13</w:t>
      </w:r>
      <w:r>
        <w:rPr>
          <w:snapToGrid w:val="0"/>
        </w:rPr>
        <w:t>.</w:t>
      </w:r>
      <w:r>
        <w:rPr>
          <w:snapToGrid w:val="0"/>
        </w:rPr>
        <w:tab/>
        <w:t>Referee to be medical practitioner</w:t>
      </w:r>
      <w:bookmarkEnd w:id="53"/>
      <w:bookmarkEnd w:id="54"/>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55" w:name="_Toc198822030"/>
      <w:bookmarkStart w:id="56" w:name="_Toc168901557"/>
      <w:r>
        <w:rPr>
          <w:rStyle w:val="CharSectno"/>
        </w:rPr>
        <w:t>14</w:t>
      </w:r>
      <w:r>
        <w:rPr>
          <w:snapToGrid w:val="0"/>
        </w:rPr>
        <w:t>.</w:t>
      </w:r>
      <w:r>
        <w:rPr>
          <w:snapToGrid w:val="0"/>
        </w:rPr>
        <w:tab/>
        <w:t>Conditions for medical referee</w:t>
      </w:r>
      <w:bookmarkEnd w:id="55"/>
      <w:bookmarkEnd w:id="56"/>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 xml:space="preserve">Every permit to cremate shall be in accordance with </w:t>
      </w:r>
      <w:r>
        <w:t>Schedule 1 Form 9</w:t>
      </w:r>
      <w:r>
        <w:rPr>
          <w:snapToGrid w:val="0"/>
        </w:rPr>
        <w:t>.</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 2 Jul 2019 p. 2646.]</w:t>
      </w:r>
    </w:p>
    <w:p>
      <w:pPr>
        <w:pStyle w:val="Heading2"/>
      </w:pPr>
      <w:bookmarkStart w:id="57" w:name="_Toc198820199"/>
      <w:bookmarkStart w:id="58" w:name="_Toc198820583"/>
      <w:bookmarkStart w:id="59" w:name="_Toc198820746"/>
      <w:bookmarkStart w:id="60" w:name="_Toc198822031"/>
      <w:bookmarkStart w:id="61" w:name="_Toc168651593"/>
      <w:bookmarkStart w:id="62" w:name="_Toc168651923"/>
      <w:bookmarkStart w:id="63" w:name="_Toc168901558"/>
      <w:r>
        <w:rPr>
          <w:rStyle w:val="CharPartNo"/>
        </w:rPr>
        <w:t>Part V</w:t>
      </w:r>
      <w:r>
        <w:rPr>
          <w:rStyle w:val="CharDivNo"/>
        </w:rPr>
        <w:t> </w:t>
      </w:r>
      <w:r>
        <w:t>—</w:t>
      </w:r>
      <w:r>
        <w:rPr>
          <w:rStyle w:val="CharDivText"/>
        </w:rPr>
        <w:t> </w:t>
      </w:r>
      <w:r>
        <w:rPr>
          <w:rStyle w:val="CharPartText"/>
        </w:rPr>
        <w:t>Cremation elsewhere than in a crematorium</w:t>
      </w:r>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198822032"/>
      <w:bookmarkStart w:id="65" w:name="_Toc168901559"/>
      <w:r>
        <w:rPr>
          <w:rStyle w:val="CharSectno"/>
        </w:rPr>
        <w:t>15</w:t>
      </w:r>
      <w:r>
        <w:rPr>
          <w:snapToGrid w:val="0"/>
        </w:rPr>
        <w:t>.</w:t>
      </w:r>
      <w:r>
        <w:rPr>
          <w:snapToGrid w:val="0"/>
        </w:rPr>
        <w:tab/>
        <w:t>Cremation elsewhere for religious reasons</w:t>
      </w:r>
      <w:bookmarkEnd w:id="64"/>
      <w:bookmarkEnd w:id="65"/>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66" w:name="_Toc198822033"/>
      <w:bookmarkStart w:id="67" w:name="_Toc168901560"/>
      <w:r>
        <w:rPr>
          <w:rStyle w:val="CharSectno"/>
        </w:rPr>
        <w:t>16</w:t>
      </w:r>
      <w:r>
        <w:rPr>
          <w:snapToGrid w:val="0"/>
        </w:rPr>
        <w:t>.</w:t>
      </w:r>
      <w:r>
        <w:rPr>
          <w:snapToGrid w:val="0"/>
        </w:rPr>
        <w:tab/>
        <w:t>Cremation in cemetery</w:t>
      </w:r>
      <w:bookmarkEnd w:id="66"/>
      <w:bookmarkEnd w:id="67"/>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68" w:name="_Toc198822034"/>
      <w:bookmarkStart w:id="69" w:name="_Toc168901561"/>
      <w:r>
        <w:rPr>
          <w:rStyle w:val="CharSectno"/>
        </w:rPr>
        <w:t>17</w:t>
      </w:r>
      <w:r>
        <w:rPr>
          <w:snapToGrid w:val="0"/>
        </w:rPr>
        <w:t>.</w:t>
      </w:r>
      <w:r>
        <w:rPr>
          <w:snapToGrid w:val="0"/>
        </w:rPr>
        <w:tab/>
        <w:t>Permission required for cremation elsewhere</w:t>
      </w:r>
      <w:bookmarkEnd w:id="68"/>
      <w:bookmarkEnd w:id="69"/>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70" w:name="_Toc198820203"/>
      <w:bookmarkStart w:id="71" w:name="_Toc198820587"/>
      <w:bookmarkStart w:id="72" w:name="_Toc198820750"/>
      <w:bookmarkStart w:id="73" w:name="_Toc198822035"/>
      <w:bookmarkStart w:id="74" w:name="_Toc168651597"/>
      <w:bookmarkStart w:id="75" w:name="_Toc168651927"/>
      <w:bookmarkStart w:id="76" w:name="_Toc168901562"/>
      <w:r>
        <w:rPr>
          <w:rStyle w:val="CharPartNo"/>
        </w:rPr>
        <w:t>Part VI</w:t>
      </w:r>
      <w:r>
        <w:rPr>
          <w:rStyle w:val="CharDivNo"/>
        </w:rPr>
        <w:t> </w:t>
      </w:r>
      <w:r>
        <w:t>—</w:t>
      </w:r>
      <w:r>
        <w:rPr>
          <w:rStyle w:val="CharDivText"/>
        </w:rPr>
        <w:t> </w:t>
      </w:r>
      <w:r>
        <w:rPr>
          <w:rStyle w:val="CharPartText"/>
        </w:rPr>
        <w:t>Miscellaneous</w:t>
      </w:r>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198822036"/>
      <w:bookmarkStart w:id="78" w:name="_Toc168901563"/>
      <w:r>
        <w:rPr>
          <w:rStyle w:val="CharSectno"/>
        </w:rPr>
        <w:t>18</w:t>
      </w:r>
      <w:r>
        <w:rPr>
          <w:snapToGrid w:val="0"/>
        </w:rPr>
        <w:t>.</w:t>
      </w:r>
      <w:r>
        <w:rPr>
          <w:snapToGrid w:val="0"/>
        </w:rPr>
        <w:tab/>
        <w:t>Register of cremation to be kept</w:t>
      </w:r>
      <w:bookmarkEnd w:id="77"/>
      <w:bookmarkEnd w:id="78"/>
    </w:p>
    <w:p>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Footnotesection"/>
      </w:pPr>
      <w:r>
        <w:tab/>
        <w:t>[Regulation 18 amended: Gazette 2 Jul 2019 p. 2646.]</w:t>
      </w:r>
    </w:p>
    <w:p>
      <w:pPr>
        <w:pStyle w:val="Heading5"/>
        <w:rPr>
          <w:snapToGrid w:val="0"/>
        </w:rPr>
      </w:pPr>
      <w:bookmarkStart w:id="79" w:name="_Toc198822037"/>
      <w:bookmarkStart w:id="80" w:name="_Toc168901564"/>
      <w:r>
        <w:rPr>
          <w:rStyle w:val="CharSectno"/>
        </w:rPr>
        <w:t>19</w:t>
      </w:r>
      <w:r>
        <w:rPr>
          <w:snapToGrid w:val="0"/>
        </w:rPr>
        <w:t>.</w:t>
      </w:r>
      <w:r>
        <w:rPr>
          <w:snapToGrid w:val="0"/>
        </w:rPr>
        <w:tab/>
        <w:t>Inspection of register</w:t>
      </w:r>
      <w:bookmarkEnd w:id="79"/>
      <w:bookmarkEnd w:id="80"/>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81" w:name="_Toc198822038"/>
      <w:bookmarkStart w:id="82" w:name="_Toc168901565"/>
      <w:r>
        <w:rPr>
          <w:rStyle w:val="CharSectno"/>
        </w:rPr>
        <w:t>20</w:t>
      </w:r>
      <w:r>
        <w:rPr>
          <w:snapToGrid w:val="0"/>
        </w:rPr>
        <w:t>.</w:t>
      </w:r>
      <w:r>
        <w:rPr>
          <w:snapToGrid w:val="0"/>
        </w:rPr>
        <w:tab/>
        <w:t>Notice of cremation to be given</w:t>
      </w:r>
      <w:bookmarkEnd w:id="81"/>
      <w:bookmarkEnd w:id="82"/>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pPr>
        <w:pStyle w:val="Footnotesection"/>
      </w:pPr>
      <w:r>
        <w:tab/>
        <w:t>[Regulation 20 amended: Gazette 29 Jun 1984 p. 1781; 10 Jan 2017 p. 249</w:t>
      </w:r>
      <w:r>
        <w:noBreakHyphen/>
        <w:t xml:space="preserve">50; 2 Jul 2019 p. 2646.] </w:t>
      </w:r>
    </w:p>
    <w:p>
      <w:pPr>
        <w:pStyle w:val="Heading5"/>
        <w:rPr>
          <w:snapToGrid w:val="0"/>
        </w:rPr>
      </w:pPr>
      <w:bookmarkStart w:id="83" w:name="_Toc198822039"/>
      <w:bookmarkStart w:id="84" w:name="_Toc168901566"/>
      <w:r>
        <w:rPr>
          <w:rStyle w:val="CharSectno"/>
        </w:rPr>
        <w:t>20A</w:t>
      </w:r>
      <w:r>
        <w:rPr>
          <w:snapToGrid w:val="0"/>
        </w:rPr>
        <w:t>.</w:t>
      </w:r>
      <w:r>
        <w:rPr>
          <w:snapToGrid w:val="0"/>
        </w:rPr>
        <w:tab/>
        <w:t>Post mortem certificate</w:t>
      </w:r>
      <w:bookmarkEnd w:id="83"/>
      <w:bookmarkEnd w:id="84"/>
    </w:p>
    <w:p>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pPr>
        <w:pStyle w:val="Footnotesection"/>
      </w:pPr>
      <w:r>
        <w:tab/>
        <w:t xml:space="preserve">[Regulation 20A inserted: Gazette 17 Dec 1954 p. 2252; amended: Gazette 2 Jul 2019 p. 2646.]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85" w:name="_Toc198820208"/>
      <w:bookmarkStart w:id="86" w:name="_Toc198820592"/>
      <w:bookmarkStart w:id="87" w:name="_Toc198820755"/>
      <w:bookmarkStart w:id="88" w:name="_Toc198822040"/>
      <w:bookmarkStart w:id="89" w:name="_Toc168651602"/>
      <w:bookmarkStart w:id="90" w:name="_Toc168651932"/>
      <w:bookmarkStart w:id="91" w:name="_Toc168901567"/>
      <w:r>
        <w:rPr>
          <w:rStyle w:val="CharSchNo"/>
        </w:rPr>
        <w:t>Schedule 1</w:t>
      </w:r>
      <w:r>
        <w:rPr>
          <w:rStyle w:val="CharSDivNo"/>
        </w:rPr>
        <w:t> </w:t>
      </w:r>
      <w:r>
        <w:t>—</w:t>
      </w:r>
      <w:r>
        <w:rPr>
          <w:rStyle w:val="CharSDivText"/>
        </w:rPr>
        <w:t> </w:t>
      </w:r>
      <w:r>
        <w:rPr>
          <w:rStyle w:val="CharSchText"/>
        </w:rPr>
        <w:t>Forms</w:t>
      </w:r>
      <w:bookmarkEnd w:id="85"/>
      <w:bookmarkEnd w:id="86"/>
      <w:bookmarkEnd w:id="87"/>
      <w:bookmarkEnd w:id="88"/>
      <w:bookmarkEnd w:id="89"/>
      <w:bookmarkEnd w:id="90"/>
      <w:bookmarkEnd w:id="91"/>
    </w:p>
    <w:p>
      <w:pPr>
        <w:pStyle w:val="yShoulderClause"/>
      </w:pPr>
      <w:r>
        <w:t>[r. 4(1), 5, 6(1), 7, 11, 12(a) and (b), 14(5), 18, 20 and 20A]</w:t>
      </w:r>
    </w:p>
    <w:p>
      <w:pPr>
        <w:pStyle w:val="yFootnoteheading"/>
      </w:pPr>
      <w:r>
        <w:tab/>
        <w:t>[Heading inserted: Gazette 2 Jul 2019 p. 2645.]</w:t>
      </w:r>
    </w:p>
    <w:p>
      <w:pPr>
        <w:pStyle w:val="yMiscellaneousHeading"/>
      </w:pPr>
      <w:r>
        <w:rPr>
          <w:rStyle w:val="CharSClsNo"/>
          <w:b/>
        </w:rPr>
        <w:t>Form 1</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1</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2</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keepNext/>
        <w:spacing w:before="60"/>
        <w:rPr>
          <w:snapToGrid w:val="0"/>
          <w:sz w:val="20"/>
        </w:rPr>
      </w:pPr>
      <w:r>
        <w:rPr>
          <w:snapToGrid w:val="0"/>
          <w:sz w:val="20"/>
        </w:rPr>
        <w:t xml:space="preserve">Dated the ....................................... day of ..........................................................., 20......... </w:t>
      </w:r>
    </w:p>
    <w:p>
      <w:pPr>
        <w:pStyle w:val="yMiscellaneousBody"/>
        <w:keepNext/>
        <w:spacing w:before="60"/>
        <w:jc w:val="center"/>
        <w:rPr>
          <w:snapToGrid w:val="0"/>
          <w:sz w:val="20"/>
        </w:rPr>
      </w:pPr>
      <w:r>
        <w:rPr>
          <w:snapToGrid w:val="0"/>
          <w:sz w:val="20"/>
        </w:rPr>
        <w:t>For and on behalf of the applicant,</w:t>
      </w:r>
    </w:p>
    <w:p>
      <w:pPr>
        <w:pStyle w:val="yMiscellaneousBody"/>
        <w:keepNext/>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1</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2</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93" w:name="_Toc198820209"/>
      <w:bookmarkStart w:id="94" w:name="_Toc198820593"/>
      <w:bookmarkStart w:id="95" w:name="_Toc198820756"/>
      <w:bookmarkStart w:id="96" w:name="_Toc198822041"/>
      <w:bookmarkStart w:id="97" w:name="_Toc168651603"/>
      <w:bookmarkStart w:id="98" w:name="_Toc168651933"/>
      <w:bookmarkStart w:id="99" w:name="_Toc168901568"/>
      <w:r>
        <w:rPr>
          <w:rStyle w:val="CharSchNo"/>
        </w:rPr>
        <w:t>Schedule 2</w:t>
      </w:r>
      <w:r>
        <w:t> — </w:t>
      </w:r>
      <w:r>
        <w:rPr>
          <w:rStyle w:val="CharSchText"/>
        </w:rPr>
        <w:t>Fees</w:t>
      </w:r>
      <w:bookmarkEnd w:id="93"/>
      <w:bookmarkEnd w:id="94"/>
      <w:bookmarkEnd w:id="95"/>
      <w:bookmarkEnd w:id="96"/>
      <w:bookmarkEnd w:id="97"/>
      <w:bookmarkEnd w:id="98"/>
      <w:bookmarkEnd w:id="99"/>
    </w:p>
    <w:p>
      <w:pPr>
        <w:pStyle w:val="yShoulderClause"/>
      </w:pPr>
      <w:r>
        <w:t>[r. 4(1), 6(1) and 12]</w:t>
      </w:r>
    </w:p>
    <w:p>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tc>
          <w:tcPr>
            <w:tcW w:w="567" w:type="dxa"/>
          </w:tcPr>
          <w:p>
            <w:pPr>
              <w:pStyle w:val="yTableNAm"/>
            </w:pPr>
            <w:r>
              <w:t>1.</w:t>
            </w:r>
          </w:p>
        </w:tc>
        <w:tc>
          <w:tcPr>
            <w:tcW w:w="4961" w:type="dxa"/>
          </w:tcPr>
          <w:p>
            <w:pPr>
              <w:pStyle w:val="yTableNAm"/>
            </w:pPr>
            <w:r>
              <w:t>For a licence to use and conduct a crematorium</w:t>
            </w:r>
          </w:p>
        </w:tc>
        <w:tc>
          <w:tcPr>
            <w:tcW w:w="1134" w:type="dxa"/>
          </w:tcPr>
          <w:p>
            <w:pPr>
              <w:pStyle w:val="yTableNAm"/>
            </w:pPr>
            <w:r>
              <w:t>$15.00</w:t>
            </w:r>
          </w:p>
        </w:tc>
      </w:tr>
      <w:t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For a certificate of the Chief Health Officer to validate and give effect to a licence (including inspections)</w:t>
            </w:r>
          </w:p>
        </w:tc>
        <w:tc>
          <w:tcPr>
            <w:tcW w:w="1134" w:type="dxa"/>
            <w:tcBorders>
              <w:bottom w:val="single" w:sz="4" w:space="0" w:color="auto"/>
            </w:tcBorders>
          </w:tcPr>
          <w:p>
            <w:pPr>
              <w:pStyle w:val="yTableNAm"/>
            </w:pPr>
            <w:r>
              <w:br/>
              <w:t>$5.00</w:t>
            </w:r>
          </w:p>
        </w:tc>
      </w:tr>
      <w:tr>
        <w:tc>
          <w:tcPr>
            <w:tcW w:w="567" w:type="dxa"/>
            <w:tcBorders>
              <w:bottom w:val="nil"/>
            </w:tcBorders>
          </w:tcPr>
          <w:p>
            <w:pPr>
              <w:pStyle w:val="yTableNAm"/>
            </w:pPr>
            <w:r>
              <w:t>3.</w:t>
            </w:r>
          </w:p>
        </w:tc>
        <w:tc>
          <w:tcPr>
            <w:tcW w:w="4961" w:type="dxa"/>
            <w:tcBorders>
              <w:bottom w:val="nil"/>
              <w:right w:val="single" w:sz="4" w:space="0" w:color="auto"/>
            </w:tcBorders>
          </w:tcPr>
          <w:p>
            <w:pPr>
              <w:pStyle w:val="yTableNAm"/>
            </w:pPr>
            <w:r>
              <w:t xml:space="preserve">For a permit to cremate — </w:t>
            </w:r>
          </w:p>
        </w:tc>
        <w:tc>
          <w:tcPr>
            <w:tcW w:w="1134" w:type="dxa"/>
            <w:tcBorders>
              <w:left w:val="single" w:sz="4" w:space="0" w:color="auto"/>
              <w:bottom w:val="nil"/>
            </w:tcBorders>
          </w:tcPr>
          <w:p>
            <w:pPr>
              <w:pStyle w:val="yTableNAm"/>
            </w:pPr>
          </w:p>
        </w:tc>
      </w:tr>
      <w:tr>
        <w:tc>
          <w:tcPr>
            <w:tcW w:w="567" w:type="dxa"/>
            <w:tcBorders>
              <w:top w:val="nil"/>
              <w:bottom w:val="nil"/>
            </w:tcBorders>
          </w:tcPr>
          <w:p>
            <w:pPr>
              <w:pStyle w:val="zyTableNAm"/>
            </w:pPr>
          </w:p>
        </w:tc>
        <w:tc>
          <w:tcPr>
            <w:tcW w:w="4961" w:type="dxa"/>
            <w:tcBorders>
              <w:top w:val="nil"/>
              <w:bottom w:val="nil"/>
              <w:right w:val="single" w:sz="4" w:space="0" w:color="auto"/>
            </w:tcBorders>
          </w:tcPr>
          <w:p>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pPr>
              <w:pStyle w:val="yTableNAm"/>
            </w:pPr>
            <w:r>
              <w:br/>
            </w:r>
            <w:r>
              <w:br/>
            </w:r>
            <w:r>
              <w:rPr>
                <w:szCs w:val="22"/>
              </w:rPr>
              <w:t>$81.40</w:t>
            </w:r>
          </w:p>
        </w:tc>
      </w:tr>
      <w:tr>
        <w:tc>
          <w:tcPr>
            <w:tcW w:w="567" w:type="dxa"/>
            <w:tcBorders>
              <w:top w:val="nil"/>
            </w:tcBorders>
          </w:tcPr>
          <w:p>
            <w:pPr>
              <w:pStyle w:val="zyTableNAm"/>
            </w:pPr>
          </w:p>
        </w:tc>
        <w:tc>
          <w:tcPr>
            <w:tcW w:w="4961" w:type="dxa"/>
            <w:tcBorders>
              <w:top w:val="nil"/>
              <w:right w:val="single" w:sz="4" w:space="0" w:color="auto"/>
            </w:tcBorders>
          </w:tcPr>
          <w:p>
            <w:pPr>
              <w:pStyle w:val="yTableNAm"/>
            </w:pPr>
            <w:r>
              <w:t>(b)</w:t>
            </w:r>
            <w:r>
              <w:tab/>
              <w:t>given at any other time</w:t>
            </w:r>
          </w:p>
        </w:tc>
        <w:tc>
          <w:tcPr>
            <w:tcW w:w="1134" w:type="dxa"/>
            <w:tcBorders>
              <w:top w:val="nil"/>
              <w:left w:val="single" w:sz="4" w:space="0" w:color="auto"/>
            </w:tcBorders>
          </w:tcPr>
          <w:p>
            <w:pPr>
              <w:pStyle w:val="yTableNAm"/>
            </w:pPr>
            <w:r>
              <w:rPr>
                <w:szCs w:val="22"/>
              </w:rPr>
              <w:t>$134.20</w:t>
            </w:r>
          </w:p>
        </w:tc>
      </w:tr>
    </w:tbl>
    <w:p>
      <w:pPr>
        <w:pStyle w:val="yFootnotesection"/>
      </w:pPr>
      <w:r>
        <w:tab/>
        <w:t>[Schedule 2 inserted: Gazette 2 Jul 2019 p. 2645</w:t>
      </w:r>
      <w:r>
        <w:noBreakHyphen/>
        <w:t>6; amended: SL 2021/46 r. 4; SL 2023/68 r. 4; SL 2024/92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100" w:name="_Toc198820594"/>
      <w:bookmarkStart w:id="101" w:name="_Toc198820757"/>
      <w:bookmarkStart w:id="102" w:name="_Toc198822042"/>
      <w:bookmarkStart w:id="103" w:name="_Toc168651604"/>
      <w:bookmarkStart w:id="104" w:name="_Toc168651934"/>
      <w:bookmarkStart w:id="105" w:name="_Toc168901569"/>
      <w:bookmarkStart w:id="106" w:name="_Toc198820213"/>
      <w:r>
        <w:t>Notes</w:t>
      </w:r>
      <w:bookmarkEnd w:id="100"/>
      <w:bookmarkEnd w:id="101"/>
      <w:bookmarkEnd w:id="102"/>
      <w:bookmarkEnd w:id="103"/>
      <w:bookmarkEnd w:id="104"/>
      <w:bookmarkEnd w:id="105"/>
    </w:p>
    <w:p>
      <w:pPr>
        <w:pStyle w:val="nStatement"/>
      </w:pPr>
      <w:r>
        <w:t xml:space="preserve">This is a compilation of the </w:t>
      </w:r>
      <w:r>
        <w:rPr>
          <w:i/>
          <w:noProof/>
        </w:rPr>
        <w:t>Cremation Regulations</w:t>
      </w:r>
      <w:del w:id="107" w:author="Master Repository Process" w:date="2025-05-27T13:48:00Z">
        <w:r>
          <w:rPr>
            <w:i/>
            <w:noProof/>
          </w:rPr>
          <w:delText> </w:delText>
        </w:r>
      </w:del>
      <w:ins w:id="108" w:author="Master Repository Process" w:date="2025-05-27T13:48:00Z">
        <w:r>
          <w:rPr>
            <w:i/>
            <w:noProof/>
          </w:rPr>
          <w:t xml:space="preserve"> </w:t>
        </w:r>
      </w:ins>
      <w:r>
        <w:rPr>
          <w:i/>
          <w:noProof/>
        </w:rPr>
        <w:t>1954</w:t>
      </w:r>
      <w:r>
        <w:t xml:space="preserve"> and includes amendments made by other written laws. For provisions that have come into operation, and for information about any reprints, see the compilation table.</w:t>
      </w:r>
      <w:ins w:id="109" w:author="Master Repository Process" w:date="2025-05-27T13:48:00Z">
        <w:r>
          <w:t xml:space="preserve"> For provisions that have not yet come into operation see the uncommenced provisions table.</w:t>
        </w:r>
      </w:ins>
    </w:p>
    <w:p>
      <w:pPr>
        <w:pStyle w:val="nHeading3"/>
      </w:pPr>
      <w:bookmarkStart w:id="110" w:name="_Toc168901570"/>
      <w:bookmarkStart w:id="111" w:name="_Toc198822043"/>
      <w:r>
        <w:t>Compilation table</w:t>
      </w:r>
      <w:bookmarkEnd w:id="110"/>
      <w:bookmarkEnd w:id="11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3" w:type="dxa"/>
          </w:tcPr>
          <w:p>
            <w:pPr>
              <w:pStyle w:val="nTable"/>
              <w:spacing w:after="40"/>
            </w:pPr>
            <w:r>
              <w:t>6 Sep 1954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3" w:type="dxa"/>
          </w:tcPr>
          <w:p>
            <w:pPr>
              <w:pStyle w:val="nTable"/>
              <w:spacing w:after="40"/>
            </w:pPr>
            <w:r>
              <w:t>17 Dec 1954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 xml:space="preserve">Decimal Currency Act 1965 </w:t>
            </w:r>
            <w:r>
              <w:rPr>
                <w:iCs/>
              </w:rPr>
              <w:t>assented to</w:t>
            </w:r>
            <w:r>
              <w:rPr>
                <w:i/>
              </w:rPr>
              <w:t xml:space="preserve"> </w:t>
            </w:r>
            <w:r>
              <w:t>21 Dec 1965</w:t>
            </w:r>
          </w:p>
        </w:tc>
        <w:tc>
          <w:tcPr>
            <w:tcW w:w="2693"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16 Nov 1973 p. 4220</w:t>
            </w:r>
          </w:p>
        </w:tc>
        <w:tc>
          <w:tcPr>
            <w:tcW w:w="2693" w:type="dxa"/>
          </w:tcPr>
          <w:p>
            <w:pPr>
              <w:pStyle w:val="nTable"/>
              <w:spacing w:after="40"/>
            </w:pPr>
            <w:r>
              <w:t>16 Nov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28 May 1976 p. 1579</w:t>
            </w:r>
          </w:p>
        </w:tc>
        <w:tc>
          <w:tcPr>
            <w:tcW w:w="2693" w:type="dxa"/>
          </w:tcPr>
          <w:p>
            <w:pPr>
              <w:pStyle w:val="nTable"/>
              <w:spacing w:after="40"/>
            </w:pPr>
            <w:r>
              <w:t>28 May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3" w:type="dxa"/>
          </w:tcPr>
          <w:p>
            <w:pPr>
              <w:pStyle w:val="nTable"/>
              <w:spacing w:after="40"/>
            </w:pPr>
            <w:r>
              <w:t>24 Feb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Cremation Amendment Regulations 1984 </w:t>
            </w:r>
            <w:r>
              <w:rPr>
                <w:iCs/>
                <w:vertAlign w:val="superscript"/>
              </w:rPr>
              <w:t>3</w:t>
            </w:r>
          </w:p>
        </w:tc>
        <w:tc>
          <w:tcPr>
            <w:tcW w:w="1276" w:type="dxa"/>
          </w:tcPr>
          <w:p>
            <w:pPr>
              <w:pStyle w:val="nTable"/>
              <w:spacing w:after="40"/>
            </w:pPr>
            <w:r>
              <w:t>28 Dec 1984 p. 4206</w:t>
            </w:r>
          </w:p>
        </w:tc>
        <w:tc>
          <w:tcPr>
            <w:tcW w:w="2693" w:type="dxa"/>
          </w:tcPr>
          <w:p>
            <w:pPr>
              <w:pStyle w:val="nTable"/>
              <w:spacing w:after="40"/>
            </w:pPr>
            <w:r>
              <w:t>28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1994</w:t>
            </w:r>
          </w:p>
        </w:tc>
        <w:tc>
          <w:tcPr>
            <w:tcW w:w="1276" w:type="dxa"/>
          </w:tcPr>
          <w:p>
            <w:pPr>
              <w:pStyle w:val="nTable"/>
              <w:spacing w:after="40"/>
            </w:pPr>
            <w:r>
              <w:t>27 May 1994 p. 2209</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3" w:type="dxa"/>
          </w:tcPr>
          <w:p>
            <w:pPr>
              <w:pStyle w:val="nTable"/>
              <w:spacing w:after="40"/>
            </w:pPr>
            <w:r>
              <w:t>2 Apr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3" w:type="dxa"/>
          </w:tcPr>
          <w:p>
            <w:pPr>
              <w:pStyle w:val="nTable"/>
              <w:spacing w:after="40"/>
              <w:rPr>
                <w:vertAlign w:val="superscript"/>
              </w:rPr>
            </w:pPr>
            <w:r>
              <w:t>24 Sep 2002 </w:t>
            </w:r>
            <w:r>
              <w:rPr>
                <w:vertAlign w:val="superscript"/>
              </w:rPr>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3" w:type="dxa"/>
          </w:tcPr>
          <w:p>
            <w:pPr>
              <w:pStyle w:val="nTable"/>
              <w:spacing w:after="40"/>
            </w:pPr>
            <w:r>
              <w:t>1 Jul 2008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3" w:type="dxa"/>
          </w:tcPr>
          <w:p>
            <w:pPr>
              <w:pStyle w:val="nTable"/>
              <w:spacing w:after="40"/>
            </w:pPr>
            <w:r>
              <w:t>r. 1 and 2: 13 Apr 2010 (see r. 2(a));</w:t>
            </w:r>
            <w:r>
              <w:br/>
              <w:t>Regulations other than r. 1 and 2: 25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3" w:type="dxa"/>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3" w:type="dxa"/>
          </w:tcPr>
          <w:p>
            <w:pPr>
              <w:pStyle w:val="nTable"/>
              <w:spacing w:after="40"/>
              <w:rPr>
                <w:i/>
                <w:snapToGrid w:val="0"/>
              </w:rPr>
            </w:pPr>
            <w:r>
              <w:rPr>
                <w:snapToGrid w:val="0"/>
              </w:rPr>
              <w:t>r. 1 and 2: 9 Apr 2013 (see r. 2(a));</w:t>
            </w:r>
            <w:r>
              <w:rPr>
                <w:snapToGrid w:val="0"/>
              </w:rPr>
              <w:br/>
              <w:t>Regulations other than r. 1 and 2: 10 Apr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3"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3"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3"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3"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3" w:type="dxa"/>
            <w:shd w:val="clear" w:color="auto" w:fill="auto"/>
          </w:tcPr>
          <w:p>
            <w:pPr>
              <w:pStyle w:val="nTable"/>
              <w:spacing w:after="40"/>
            </w:pPr>
            <w:r>
              <w:t>r. 1 and 2: 7 Mar 2017 (see r. 2(a));</w:t>
            </w:r>
            <w:r>
              <w:br/>
              <w:t>Regulations other than r. 1 and 2: 8 Mar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3"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2018</w:t>
            </w:r>
          </w:p>
        </w:tc>
        <w:tc>
          <w:tcPr>
            <w:tcW w:w="1276" w:type="dxa"/>
            <w:shd w:val="clear" w:color="auto" w:fill="auto"/>
          </w:tcPr>
          <w:p>
            <w:pPr>
              <w:pStyle w:val="nTable"/>
              <w:spacing w:after="40"/>
            </w:pPr>
            <w:r>
              <w:t>6 Apr 2018 p. 1211</w:t>
            </w:r>
            <w:r>
              <w:noBreakHyphen/>
              <w:t>12</w:t>
            </w:r>
          </w:p>
        </w:tc>
        <w:tc>
          <w:tcPr>
            <w:tcW w:w="2693" w:type="dxa"/>
            <w:shd w:val="clear" w:color="auto" w:fill="auto"/>
          </w:tcPr>
          <w:p>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2019</w:t>
            </w:r>
          </w:p>
        </w:tc>
        <w:tc>
          <w:tcPr>
            <w:tcW w:w="1276" w:type="dxa"/>
            <w:shd w:val="clear" w:color="auto" w:fill="auto"/>
          </w:tcPr>
          <w:p>
            <w:pPr>
              <w:pStyle w:val="nTable"/>
              <w:spacing w:after="40"/>
            </w:pPr>
            <w:r>
              <w:t>2 Jul 2019 p. 2645</w:t>
            </w:r>
            <w:r>
              <w:noBreakHyphen/>
              <w:t>7</w:t>
            </w:r>
          </w:p>
        </w:tc>
        <w:tc>
          <w:tcPr>
            <w:tcW w:w="2693" w:type="dxa"/>
            <w:shd w:val="clear" w:color="auto" w:fill="auto"/>
          </w:tcPr>
          <w:p>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r>
        <w:trPr>
          <w:cantSplit/>
        </w:trPr>
        <w:tc>
          <w:tcPr>
            <w:tcW w:w="3119" w:type="dxa"/>
            <w:tcBorders>
              <w:top w:val="nil"/>
              <w:bottom w:val="nil"/>
            </w:tcBorders>
            <w:shd w:val="clear" w:color="auto" w:fill="auto"/>
          </w:tcPr>
          <w:p>
            <w:pPr>
              <w:pStyle w:val="nTable"/>
              <w:spacing w:after="40"/>
              <w:ind w:right="170"/>
              <w:rPr>
                <w:i/>
              </w:rPr>
            </w:pPr>
            <w:r>
              <w:rPr>
                <w:i/>
              </w:rPr>
              <w:t>Cremation Amendment Regulations 2021</w:t>
            </w:r>
          </w:p>
        </w:tc>
        <w:tc>
          <w:tcPr>
            <w:tcW w:w="1276" w:type="dxa"/>
            <w:tcBorders>
              <w:top w:val="nil"/>
              <w:bottom w:val="nil"/>
            </w:tcBorders>
            <w:shd w:val="clear" w:color="auto" w:fill="auto"/>
          </w:tcPr>
          <w:p>
            <w:pPr>
              <w:pStyle w:val="nTable"/>
              <w:spacing w:after="40"/>
            </w:pPr>
            <w:r>
              <w:t>SL 2021/46 7 May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70"/>
            </w:pPr>
            <w:r>
              <w:rPr>
                <w:i/>
              </w:rPr>
              <w:t>Cremation Amendment Regulations 2023</w:t>
            </w:r>
          </w:p>
        </w:tc>
        <w:tc>
          <w:tcPr>
            <w:tcW w:w="1276" w:type="dxa"/>
            <w:tcBorders>
              <w:top w:val="nil"/>
              <w:bottom w:val="nil"/>
            </w:tcBorders>
            <w:shd w:val="clear" w:color="auto" w:fill="auto"/>
          </w:tcPr>
          <w:p>
            <w:pPr>
              <w:pStyle w:val="nTable"/>
              <w:spacing w:after="40"/>
            </w:pPr>
            <w:r>
              <w:t>SL 2023/68 16 Jun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16 Jun 2023</w:t>
            </w:r>
            <w:r>
              <w:rPr>
                <w:bCs/>
                <w:snapToGrid w:val="0"/>
                <w:spacing w:val="-2"/>
              </w:rPr>
              <w:t xml:space="preserve"> (see r. 2(a));</w:t>
            </w:r>
            <w:r>
              <w:rPr>
                <w:bCs/>
                <w:snapToGrid w:val="0"/>
                <w:spacing w:val="-2"/>
              </w:rPr>
              <w:br/>
              <w:t>Regulations other than r. 1 and 2: 17 Jun</w:t>
            </w:r>
            <w:r>
              <w:t> 2023</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70"/>
              <w:rPr>
                <w:iCs/>
              </w:rPr>
            </w:pPr>
            <w:r>
              <w:rPr>
                <w:i/>
              </w:rPr>
              <w:t>Cremation Amendment Regulations 2024</w:t>
            </w:r>
          </w:p>
        </w:tc>
        <w:tc>
          <w:tcPr>
            <w:tcW w:w="1276" w:type="dxa"/>
            <w:tcBorders>
              <w:bottom w:val="single" w:sz="4" w:space="0" w:color="auto"/>
            </w:tcBorders>
            <w:shd w:val="clear" w:color="auto" w:fill="auto"/>
          </w:tcPr>
          <w:p>
            <w:pPr>
              <w:pStyle w:val="nTable"/>
              <w:spacing w:after="40"/>
            </w:pPr>
            <w:r>
              <w:t>SL 2024/92 12 Jun 2024</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12 Jun 2024 (see r. 2(a));</w:t>
            </w:r>
            <w:r>
              <w:rPr>
                <w:bCs/>
                <w:snapToGrid w:val="0"/>
                <w:spacing w:val="-2"/>
              </w:rPr>
              <w:br/>
              <w:t>Regulations other than r. 1 and 2: 13 Jun 2024 (see r. 2(b))</w:t>
            </w:r>
          </w:p>
        </w:tc>
      </w:tr>
    </w:tbl>
    <w:p>
      <w:pPr>
        <w:pStyle w:val="nHeading3"/>
        <w:rPr>
          <w:ins w:id="112" w:author="Master Repository Process" w:date="2025-05-27T13:48:00Z"/>
        </w:rPr>
      </w:pPr>
      <w:bookmarkStart w:id="113" w:name="_Toc198822044"/>
      <w:ins w:id="114" w:author="Master Repository Process" w:date="2025-05-27T13:48:00Z">
        <w:r>
          <w:t>Uncommenced provisions table</w:t>
        </w:r>
        <w:bookmarkEnd w:id="113"/>
      </w:ins>
    </w:p>
    <w:p>
      <w:pPr>
        <w:pStyle w:val="nStatement"/>
        <w:keepNext/>
        <w:spacing w:after="240"/>
        <w:rPr>
          <w:ins w:id="115" w:author="Master Repository Process" w:date="2025-05-27T13:48:00Z"/>
        </w:rPr>
      </w:pPr>
      <w:ins w:id="116" w:author="Master Repository Process" w:date="2025-05-27T13:48: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7" w:author="Master Repository Process" w:date="2025-05-27T13:48:00Z"/>
        </w:trPr>
        <w:tc>
          <w:tcPr>
            <w:tcW w:w="3118" w:type="dxa"/>
          </w:tcPr>
          <w:p>
            <w:pPr>
              <w:pStyle w:val="nTable"/>
              <w:spacing w:after="40"/>
              <w:rPr>
                <w:ins w:id="118" w:author="Master Repository Process" w:date="2025-05-27T13:48:00Z"/>
                <w:b/>
              </w:rPr>
            </w:pPr>
            <w:ins w:id="119" w:author="Master Repository Process" w:date="2025-05-27T13:48:00Z">
              <w:r>
                <w:rPr>
                  <w:b/>
                </w:rPr>
                <w:t>Citation</w:t>
              </w:r>
            </w:ins>
          </w:p>
        </w:tc>
        <w:tc>
          <w:tcPr>
            <w:tcW w:w="1276" w:type="dxa"/>
          </w:tcPr>
          <w:p>
            <w:pPr>
              <w:pStyle w:val="nTable"/>
              <w:spacing w:after="40"/>
              <w:rPr>
                <w:ins w:id="120" w:author="Master Repository Process" w:date="2025-05-27T13:48:00Z"/>
                <w:b/>
              </w:rPr>
            </w:pPr>
            <w:ins w:id="121" w:author="Master Repository Process" w:date="2025-05-27T13:48:00Z">
              <w:r>
                <w:rPr>
                  <w:b/>
                </w:rPr>
                <w:t>Published</w:t>
              </w:r>
            </w:ins>
          </w:p>
        </w:tc>
        <w:tc>
          <w:tcPr>
            <w:tcW w:w="2693" w:type="dxa"/>
          </w:tcPr>
          <w:p>
            <w:pPr>
              <w:pStyle w:val="nTable"/>
              <w:spacing w:after="40"/>
              <w:rPr>
                <w:ins w:id="122" w:author="Master Repository Process" w:date="2025-05-27T13:48:00Z"/>
                <w:b/>
              </w:rPr>
            </w:pPr>
            <w:ins w:id="123" w:author="Master Repository Process" w:date="2025-05-27T13:48:00Z">
              <w:r>
                <w:rPr>
                  <w:b/>
                </w:rPr>
                <w:t>Commencement</w:t>
              </w:r>
            </w:ins>
          </w:p>
        </w:tc>
      </w:tr>
      <w:tr>
        <w:trPr>
          <w:ins w:id="124" w:author="Master Repository Process" w:date="2025-05-27T13:48:00Z"/>
        </w:trPr>
        <w:tc>
          <w:tcPr>
            <w:tcW w:w="3118" w:type="dxa"/>
          </w:tcPr>
          <w:p>
            <w:pPr>
              <w:pStyle w:val="nTable"/>
              <w:spacing w:after="40"/>
              <w:rPr>
                <w:ins w:id="125" w:author="Master Repository Process" w:date="2025-05-27T13:48:00Z"/>
                <w:iCs/>
              </w:rPr>
            </w:pPr>
            <w:ins w:id="126" w:author="Master Repository Process" w:date="2025-05-27T13:48:00Z">
              <w:r>
                <w:rPr>
                  <w:i/>
                </w:rPr>
                <w:t>Cremation Amendment Regulations 2025</w:t>
              </w:r>
              <w:r>
                <w:rPr>
                  <w:iCs/>
                </w:rPr>
                <w:t xml:space="preserve"> r. 3 and 4</w:t>
              </w:r>
            </w:ins>
          </w:p>
        </w:tc>
        <w:tc>
          <w:tcPr>
            <w:tcW w:w="1276" w:type="dxa"/>
          </w:tcPr>
          <w:p>
            <w:pPr>
              <w:pStyle w:val="nTable"/>
              <w:spacing w:after="40"/>
              <w:rPr>
                <w:ins w:id="127" w:author="Master Repository Process" w:date="2025-05-27T13:48:00Z"/>
              </w:rPr>
            </w:pPr>
            <w:ins w:id="128" w:author="Master Repository Process" w:date="2025-05-27T13:48:00Z">
              <w:r>
                <w:t>SL 2025/81 28 May 2025</w:t>
              </w:r>
            </w:ins>
          </w:p>
        </w:tc>
        <w:tc>
          <w:tcPr>
            <w:tcW w:w="2693" w:type="dxa"/>
          </w:tcPr>
          <w:p>
            <w:pPr>
              <w:pStyle w:val="nTable"/>
              <w:spacing w:after="40"/>
              <w:rPr>
                <w:ins w:id="129" w:author="Master Repository Process" w:date="2025-05-27T13:48:00Z"/>
              </w:rPr>
            </w:pPr>
            <w:ins w:id="130" w:author="Master Repository Process" w:date="2025-05-27T13:48:00Z">
              <w:r>
                <w:rPr>
                  <w:bCs/>
                  <w:snapToGrid w:val="0"/>
                  <w:spacing w:val="-2"/>
                </w:rPr>
                <w:t>1 Jul 2025 (see r. 2(b))</w:t>
              </w:r>
            </w:ins>
          </w:p>
        </w:tc>
      </w:tr>
    </w:tbl>
    <w:p>
      <w:pPr>
        <w:pStyle w:val="nHeading3"/>
      </w:pPr>
      <w:bookmarkStart w:id="131" w:name="_Toc168901571"/>
      <w:bookmarkStart w:id="132" w:name="_Toc198822045"/>
      <w:r>
        <w:t>Other notes</w:t>
      </w:r>
      <w:bookmarkEnd w:id="131"/>
      <w:bookmarkEnd w:id="132"/>
    </w:p>
    <w:p>
      <w:pPr>
        <w:pStyle w:val="nNote"/>
        <w:keepNext/>
        <w:spacing w:before="160"/>
      </w:pPr>
      <w:r>
        <w:rPr>
          <w:vertAlign w:val="superscript"/>
        </w:rPr>
        <w:t>1</w:t>
      </w:r>
      <w:r>
        <w:tab/>
        <w:t xml:space="preserve">Repealed by the </w:t>
      </w:r>
      <w:r>
        <w:rPr>
          <w:i/>
        </w:rPr>
        <w:t>Cemeteries Act 1986</w:t>
      </w:r>
      <w:r>
        <w:t>.</w:t>
      </w:r>
    </w:p>
    <w:p>
      <w:pPr>
        <w:pStyle w:val="nNote"/>
      </w:pPr>
      <w:r>
        <w:rPr>
          <w:vertAlign w:val="superscript"/>
        </w:rPr>
        <w:t>2</w:t>
      </w:r>
      <w:r>
        <w:tab/>
        <w:t xml:space="preserve">Repealed by the </w:t>
      </w:r>
      <w:r>
        <w:rPr>
          <w:i/>
        </w:rPr>
        <w:t>Associations Incorporation Act 1987</w:t>
      </w:r>
      <w:r>
        <w:t>.</w:t>
      </w:r>
    </w:p>
    <w:p>
      <w:pPr>
        <w:pStyle w:val="nNote"/>
      </w:pPr>
      <w:r>
        <w:rPr>
          <w:vertAlign w:val="superscript"/>
        </w:rPr>
        <w:t>3</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Note"/>
      </w:pPr>
      <w:r>
        <w:rPr>
          <w:vertAlign w:val="superscript"/>
        </w:rPr>
        <w:t>4</w:t>
      </w:r>
      <w:r>
        <w:tab/>
        <w:t>The commencement date referred to in r. 2 was before the date of gazettal.</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106"/>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4" w:author="Master Repository Process" w:date="2025-05-27T13:48:00Z">
                              <w:r>
                                <w:rPr>
                                  <w:sz w:val="16"/>
                                </w:rPr>
                                <w:delText>2024</w:delText>
                              </w:r>
                            </w:del>
                            <w:ins w:id="135" w:author="Master Repository Process" w:date="2025-05-27T13:4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6" w:author="Master Repository Process" w:date="2025-05-27T13:48:00Z">
                              <w:r>
                                <w:rPr>
                                  <w:sz w:val="16"/>
                                </w:rPr>
                                <w:delText>2024</w:delText>
                              </w:r>
                            </w:del>
                            <w:ins w:id="137" w:author="Master Repository Process" w:date="2025-05-27T13:4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8" w:author="Master Repository Process" w:date="2025-05-27T13:48:00Z">
                        <w:r>
                          <w:rPr>
                            <w:sz w:val="16"/>
                          </w:rPr>
                          <w:delText>2024</w:delText>
                        </w:r>
                      </w:del>
                      <w:ins w:id="139" w:author="Master Repository Process" w:date="2025-05-27T13:4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0" w:author="Master Repository Process" w:date="2025-05-27T13:48:00Z">
                        <w:r>
                          <w:rPr>
                            <w:sz w:val="16"/>
                          </w:rPr>
                          <w:delText>2024</w:delText>
                        </w:r>
                      </w:del>
                      <w:ins w:id="141" w:author="Master Repository Process" w:date="2025-05-27T13:4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Application for licence to use and conduct a crematorium</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Application for licence to use and conduct a crematorium</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2" w:name="Schedule"/>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2152726"/>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 w:name="WAFER_2023061314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45523_GUID" w:val="e6b7d762-2bea-4a6d-9955-a9c865cbbe8a"/>
    <w:docVar w:name="WAFER_20240607111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636_GUID" w:val="622f38e8-026b-41e1-bd11-6b89e142dd4f"/>
    <w:docVar w:name="WAFER_20250522152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2726_GUID" w:val="1d889d58-bd69-4aec-8d26-4971d62fa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825AC-CF80-4BF4-8D0F-A7A8C753F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6787</Words>
  <Characters>40249</Characters>
  <Application>Microsoft Office Word</Application>
  <DocSecurity>0</DocSecurity>
  <Lines>1257</Lines>
  <Paragraphs>723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04-l0-00 - 04-m0-00</dc:title>
  <dc:subject/>
  <dc:creator/>
  <cp:keywords/>
  <dc:description/>
  <cp:lastModifiedBy>Master Repository Process</cp:lastModifiedBy>
  <cp:revision>2</cp:revision>
  <cp:lastPrinted>2019-02-11T07:01:00Z</cp:lastPrinted>
  <dcterms:created xsi:type="dcterms:W3CDTF">2025-05-27T05:48:00Z</dcterms:created>
  <dcterms:modified xsi:type="dcterms:W3CDTF">2025-05-27T05:49:00Z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20250528</vt:lpwstr>
  </property>
  <property fmtid="{D5CDD505-2E9C-101B-9397-08002B2CF9AE}" pid="9" name="CommencementAsAt">
    <vt:filetime>2025-05-27T16:00:00Z</vt:filetime>
  </property>
  <property fmtid="{D5CDD505-2E9C-101B-9397-08002B2CF9AE}" pid="10" name="CommencementYear">
    <vt:lpwstr>2025</vt:lpwstr>
  </property>
  <property fmtid="{D5CDD505-2E9C-101B-9397-08002B2CF9AE}" pid="11" name="FromSuffix">
    <vt:lpwstr>04-l0-00</vt:lpwstr>
  </property>
  <property fmtid="{D5CDD505-2E9C-101B-9397-08002B2CF9AE}" pid="12" name="FromAsAtDate">
    <vt:lpwstr>13 Jun 2024</vt:lpwstr>
  </property>
  <property fmtid="{D5CDD505-2E9C-101B-9397-08002B2CF9AE}" pid="13" name="ToSuffix">
    <vt:lpwstr>04-m0-00</vt:lpwstr>
  </property>
  <property fmtid="{D5CDD505-2E9C-101B-9397-08002B2CF9AE}" pid="14" name="ToAsAtDate">
    <vt:lpwstr>28 May 2025</vt:lpwstr>
  </property>
</Properties>
</file>