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29 May 2025</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198822732"/>
      <w:bookmarkStart w:id="2" w:name="_Toc198823413"/>
      <w:bookmarkStart w:id="3" w:name="_Toc198884818"/>
      <w:bookmarkStart w:id="4" w:name="_Toc170124489"/>
      <w:bookmarkStart w:id="5" w:name="_Toc170124514"/>
      <w:bookmarkStart w:id="6" w:name="_Toc170125310"/>
      <w:bookmarkStart w:id="7" w:name="_Toc1701999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8884819"/>
      <w:bookmarkStart w:id="9" w:name="_Toc17019997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1" w:name="_Toc198884820"/>
      <w:bookmarkStart w:id="12" w:name="_Toc17019997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3" w:name="_Toc198884821"/>
      <w:bookmarkStart w:id="14" w:name="_Toc170199980"/>
      <w:r>
        <w:rPr>
          <w:rStyle w:val="CharSectno"/>
        </w:rPr>
        <w:t>3</w:t>
      </w:r>
      <w:r>
        <w:t>.</w:t>
      </w:r>
      <w:r>
        <w:tab/>
        <w:t>Terms used in these regulations</w:t>
      </w:r>
      <w:bookmarkEnd w:id="13"/>
      <w:bookmarkEnd w:id="14"/>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5" w:name="_Toc198884822"/>
      <w:bookmarkStart w:id="16" w:name="_Toc170199981"/>
      <w:r>
        <w:rPr>
          <w:rStyle w:val="CharSectno"/>
        </w:rPr>
        <w:lastRenderedPageBreak/>
        <w:t>4</w:t>
      </w:r>
      <w:r>
        <w:t>.</w:t>
      </w:r>
      <w:r>
        <w:tab/>
        <w:t>Application</w:t>
      </w:r>
      <w:bookmarkEnd w:id="15"/>
      <w:bookmarkEnd w:id="16"/>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7" w:name="_Toc198822737"/>
      <w:bookmarkStart w:id="18" w:name="_Toc198823418"/>
      <w:bookmarkStart w:id="19" w:name="_Toc198884823"/>
      <w:bookmarkStart w:id="20" w:name="_Toc170124494"/>
      <w:bookmarkStart w:id="21" w:name="_Toc170124519"/>
      <w:bookmarkStart w:id="22" w:name="_Toc170125315"/>
      <w:bookmarkStart w:id="23" w:name="_Toc170199982"/>
      <w:r>
        <w:rPr>
          <w:rStyle w:val="CharPartNo"/>
        </w:rPr>
        <w:t>Part 2</w:t>
      </w:r>
      <w:r>
        <w:rPr>
          <w:rStyle w:val="CharDivNo"/>
        </w:rPr>
        <w:t> </w:t>
      </w:r>
      <w:r>
        <w:t>—</w:t>
      </w:r>
      <w:r>
        <w:rPr>
          <w:rStyle w:val="CharDivText"/>
        </w:rPr>
        <w:t> </w:t>
      </w:r>
      <w:r>
        <w:rPr>
          <w:rStyle w:val="CharPartText"/>
        </w:rPr>
        <w:t>Levy</w:t>
      </w:r>
      <w:bookmarkEnd w:id="17"/>
      <w:bookmarkEnd w:id="18"/>
      <w:bookmarkEnd w:id="19"/>
      <w:bookmarkEnd w:id="20"/>
      <w:bookmarkEnd w:id="21"/>
      <w:bookmarkEnd w:id="22"/>
      <w:bookmarkEnd w:id="23"/>
    </w:p>
    <w:p>
      <w:pPr>
        <w:pStyle w:val="Heading5"/>
      </w:pPr>
      <w:bookmarkStart w:id="24" w:name="_Toc198884824"/>
      <w:bookmarkStart w:id="25" w:name="_Toc170199983"/>
      <w:r>
        <w:rPr>
          <w:rStyle w:val="CharSectno"/>
        </w:rPr>
        <w:t>5</w:t>
      </w:r>
      <w:r>
        <w:t>.</w:t>
      </w:r>
      <w:r>
        <w:tab/>
        <w:t>Exemptions</w:t>
      </w:r>
      <w:bookmarkEnd w:id="24"/>
      <w:bookmarkEnd w:id="25"/>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keepNext/>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26" w:name="_Toc198884825"/>
      <w:bookmarkStart w:id="27" w:name="_Toc170199984"/>
      <w:r>
        <w:rPr>
          <w:rStyle w:val="CharSectno"/>
        </w:rPr>
        <w:t>6</w:t>
      </w:r>
      <w:r>
        <w:t>.</w:t>
      </w:r>
      <w:r>
        <w:tab/>
        <w:t>Review</w:t>
      </w:r>
      <w:bookmarkEnd w:id="26"/>
      <w:bookmarkEnd w:id="27"/>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28" w:name="_Toc198884826"/>
      <w:bookmarkStart w:id="29" w:name="_Toc170199985"/>
      <w:r>
        <w:rPr>
          <w:rStyle w:val="CharSectno"/>
        </w:rPr>
        <w:t>7</w:t>
      </w:r>
      <w:r>
        <w:t>.</w:t>
      </w:r>
      <w:r>
        <w:tab/>
        <w:t>Financial assurance — exempt waste</w:t>
      </w:r>
      <w:bookmarkEnd w:id="28"/>
      <w:bookmarkEnd w:id="29"/>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30" w:name="_Toc198884827"/>
      <w:bookmarkStart w:id="31" w:name="_Toc170199986"/>
      <w:r>
        <w:rPr>
          <w:rStyle w:val="CharSectno"/>
        </w:rPr>
        <w:t>8</w:t>
      </w:r>
      <w:r>
        <w:t>.</w:t>
      </w:r>
      <w:r>
        <w:tab/>
        <w:t>Category 64 or 65 licensed landfill with weighbridge</w:t>
      </w:r>
      <w:bookmarkEnd w:id="30"/>
      <w:bookmarkEnd w:id="31"/>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32" w:name="_Toc198884828"/>
      <w:bookmarkStart w:id="33" w:name="_Toc170199987"/>
      <w:r>
        <w:rPr>
          <w:rStyle w:val="CharSectno"/>
        </w:rPr>
        <w:t>9</w:t>
      </w:r>
      <w:r>
        <w:t>.</w:t>
      </w:r>
      <w:r>
        <w:tab/>
        <w:t>Other category 64 or 65 landfill premises</w:t>
      </w:r>
      <w:bookmarkEnd w:id="32"/>
      <w:bookmarkEnd w:id="33"/>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34" w:name="_Toc198884829"/>
      <w:bookmarkStart w:id="35" w:name="_Toc170199988"/>
      <w:r>
        <w:rPr>
          <w:rStyle w:val="CharSectno"/>
        </w:rPr>
        <w:t>10</w:t>
      </w:r>
      <w:r>
        <w:t>.</w:t>
      </w:r>
      <w:r>
        <w:tab/>
        <w:t>Category 63 licensed landfills in metropolitan region</w:t>
      </w:r>
      <w:bookmarkEnd w:id="34"/>
      <w:bookmarkEnd w:id="35"/>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36" w:name="_Toc198884830"/>
      <w:bookmarkStart w:id="37" w:name="_Toc170199989"/>
      <w:r>
        <w:rPr>
          <w:rStyle w:val="CharSectno"/>
        </w:rPr>
        <w:t>11</w:t>
      </w:r>
      <w:r>
        <w:t>.</w:t>
      </w:r>
      <w:r>
        <w:tab/>
        <w:t>CEO estimates for certain category 63 premises in metropolitan region</w:t>
      </w:r>
      <w:bookmarkEnd w:id="36"/>
      <w:bookmarkEnd w:id="37"/>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38" w:name="_Toc198884831"/>
      <w:bookmarkStart w:id="39" w:name="_Toc170199990"/>
      <w:r>
        <w:rPr>
          <w:rStyle w:val="CharSectno"/>
        </w:rPr>
        <w:t>12A</w:t>
      </w:r>
      <w:r>
        <w:t>.</w:t>
      </w:r>
      <w:r>
        <w:tab/>
        <w:t>Category 63 licensed landfills outside metropolitan region</w:t>
      </w:r>
      <w:bookmarkEnd w:id="38"/>
      <w:bookmarkEnd w:id="39"/>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40" w:name="_Toc198884832"/>
      <w:bookmarkStart w:id="41" w:name="_Toc170199991"/>
      <w:r>
        <w:rPr>
          <w:rStyle w:val="CharSectno"/>
        </w:rPr>
        <w:t>12B</w:t>
      </w:r>
      <w:r>
        <w:t>.</w:t>
      </w:r>
      <w:r>
        <w:tab/>
        <w:t>Category 63 unlicensed landfills outside metropolitan region</w:t>
      </w:r>
      <w:bookmarkEnd w:id="40"/>
      <w:bookmarkEnd w:id="41"/>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42" w:name="_Toc198884833"/>
      <w:bookmarkStart w:id="43" w:name="_Toc170199992"/>
      <w:r>
        <w:rPr>
          <w:rStyle w:val="CharSectno"/>
        </w:rPr>
        <w:t>12C</w:t>
      </w:r>
      <w:r>
        <w:t>.</w:t>
      </w:r>
      <w:r>
        <w:tab/>
        <w:t>CEO’s costs recoverable</w:t>
      </w:r>
      <w:bookmarkEnd w:id="42"/>
      <w:bookmarkEnd w:id="43"/>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44" w:name="_Toc198884834"/>
      <w:bookmarkStart w:id="45" w:name="_Toc170199993"/>
      <w:r>
        <w:rPr>
          <w:rStyle w:val="CharSectno"/>
        </w:rPr>
        <w:t>12</w:t>
      </w:r>
      <w:r>
        <w:t>.</w:t>
      </w:r>
      <w:r>
        <w:tab/>
        <w:t>Amount of levy</w:t>
      </w:r>
      <w:bookmarkEnd w:id="44"/>
      <w:bookmarkEnd w:id="4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(g)</w:t>
      </w:r>
      <w:r>
        <w:tab/>
        <w:t>on or after 1 July 2019 and before 1 July 2024 — $105;</w:t>
      </w:r>
    </w:p>
    <w:p>
      <w:pPr>
        <w:pStyle w:val="MiscellaneousBody"/>
        <w:spacing w:before="80"/>
        <w:ind w:left="2466" w:hanging="635"/>
      </w:pPr>
      <w:r>
        <w:t>(h)</w:t>
      </w:r>
      <w:r>
        <w:tab/>
        <w:t>on or after 1 July 2024</w:t>
      </w:r>
      <w:ins w:id="46" w:author="Master Repository Process" w:date="2025-05-27T14:01:00Z">
        <w:r>
          <w:t xml:space="preserve"> and before 1 July 2025</w:t>
        </w:r>
      </w:ins>
      <w:r>
        <w:t> — $129;</w:t>
      </w:r>
    </w:p>
    <w:p>
      <w:pPr>
        <w:pStyle w:val="MiscellaneousBodyLeft323cm"/>
        <w:ind w:left="2466" w:hanging="635"/>
        <w:rPr>
          <w:ins w:id="47" w:author="Master Repository Process" w:date="2025-05-27T14:01:00Z"/>
        </w:rPr>
      </w:pPr>
      <w:ins w:id="48" w:author="Master Repository Process" w:date="2025-05-27T14:01:00Z">
        <w:r>
          <w:t>(i)</w:t>
        </w:r>
        <w:r>
          <w:tab/>
          <w:t>on or after 1 July 2025 — $133;</w:t>
        </w:r>
      </w:ins>
    </w:p>
    <w:p>
      <w:pPr>
        <w:pStyle w:val="MiscellaneousBody"/>
        <w:keepNext/>
        <w:tabs>
          <w:tab w:val="left" w:pos="1218"/>
          <w:tab w:val="left" w:pos="1701"/>
        </w:tabs>
        <w:spacing w:before="80"/>
        <w:ind w:left="1624" w:hanging="1624"/>
      </w:pPr>
      <w:r>
        <w:tab/>
      </w:r>
      <w:r>
        <w:tab/>
        <w:t>and</w:t>
      </w:r>
    </w:p>
    <w:p>
      <w:pPr>
        <w:pStyle w:val="MiscellaneousBody"/>
        <w:keepNext/>
        <w:tabs>
          <w:tab w:val="left" w:pos="1218"/>
          <w:tab w:val="left" w:pos="1701"/>
        </w:tabs>
        <w:spacing w:before="80"/>
        <w:ind w:left="1624" w:hanging="1624"/>
      </w:pPr>
      <w:r>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MiscellaneousBody"/>
        <w:spacing w:before="80"/>
        <w:ind w:left="2466" w:hanging="635"/>
      </w:pPr>
      <w:del w:id="49" w:author="Master Repository Process" w:date="2025-05-27T14:01:00Z">
        <w:r>
          <w:tab/>
        </w:r>
        <w:r>
          <w:tab/>
        </w:r>
      </w:del>
      <w:r>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t>(g)</w:t>
      </w:r>
      <w:r>
        <w:tab/>
        <w:t>on or after 1 July 2018 and before 30 June 2019 — $70;</w:t>
      </w:r>
    </w:p>
    <w:p>
      <w:pPr>
        <w:pStyle w:val="MiscellaneousBody"/>
        <w:spacing w:before="80"/>
        <w:ind w:left="2466" w:hanging="635"/>
      </w:pPr>
      <w:r>
        <w:t>(h)</w:t>
      </w:r>
      <w:r>
        <w:tab/>
        <w:t>on or after 1 July 2019 and before 1 July 2024 — $70;</w:t>
      </w:r>
    </w:p>
    <w:p>
      <w:pPr>
        <w:pStyle w:val="MiscellaneousBody"/>
        <w:spacing w:before="80"/>
        <w:ind w:left="2466" w:hanging="635"/>
      </w:pPr>
      <w:r>
        <w:t>(i)</w:t>
      </w:r>
      <w:r>
        <w:tab/>
        <w:t>on or after 1 July 2024</w:t>
      </w:r>
      <w:ins w:id="50" w:author="Master Repository Process" w:date="2025-05-27T14:01:00Z">
        <w:r>
          <w:t xml:space="preserve"> and before 1 July 2025</w:t>
        </w:r>
      </w:ins>
      <w:r>
        <w:t> — $85</w:t>
      </w:r>
      <w:del w:id="51" w:author="Master Repository Process" w:date="2025-05-27T14:01:00Z">
        <w:r>
          <w:delText>.</w:delText>
        </w:r>
      </w:del>
      <w:ins w:id="52" w:author="Master Repository Process" w:date="2025-05-27T14:01:00Z">
        <w:r>
          <w:t>;</w:t>
        </w:r>
      </w:ins>
    </w:p>
    <w:p>
      <w:pPr>
        <w:pStyle w:val="MiscellaneousBody"/>
        <w:ind w:left="2466" w:hanging="635"/>
        <w:rPr>
          <w:ins w:id="53" w:author="Master Repository Process" w:date="2025-05-27T14:01:00Z"/>
          <w:rStyle w:val="DraftersNotes"/>
          <w:b w:val="0"/>
          <w:i w:val="0"/>
          <w:sz w:val="24"/>
        </w:rPr>
      </w:pPr>
      <w:ins w:id="54" w:author="Master Repository Process" w:date="2025-05-27T14:01:00Z">
        <w:r>
          <w:t>(j)</w:t>
        </w:r>
        <w:r>
          <w:tab/>
          <w:t>on or after 1 July 2025 — $88.</w:t>
        </w:r>
      </w:ins>
    </w:p>
    <w:p>
      <w:pPr>
        <w:pStyle w:val="Footnotesection"/>
      </w:pPr>
      <w:r>
        <w:tab/>
        <w:t>[Regulation 12 amended: Gazette 22 Dec 2009 p. 5256; 12 Sep 2014 p. 3280</w:t>
      </w:r>
      <w:r>
        <w:noBreakHyphen/>
        <w:t>1; 17 Jun 2016 p. 2097; SL 2024/84 r.</w:t>
      </w:r>
      <w:ins w:id="55" w:author="Master Repository Process" w:date="2025-05-27T14:01:00Z">
        <w:r>
          <w:t> 4; SL 2025/83 r.</w:t>
        </w:r>
      </w:ins>
      <w:r>
        <w:t> 4.]</w:t>
      </w:r>
    </w:p>
    <w:p>
      <w:pPr>
        <w:pStyle w:val="Heading2"/>
      </w:pPr>
      <w:bookmarkStart w:id="56" w:name="_Toc198822749"/>
      <w:bookmarkStart w:id="57" w:name="_Toc198823430"/>
      <w:bookmarkStart w:id="58" w:name="_Toc198884835"/>
      <w:bookmarkStart w:id="59" w:name="_Toc170124506"/>
      <w:bookmarkStart w:id="60" w:name="_Toc170124531"/>
      <w:bookmarkStart w:id="61" w:name="_Toc170125327"/>
      <w:bookmarkStart w:id="62" w:name="_Toc170199994"/>
      <w:r>
        <w:rPr>
          <w:rStyle w:val="CharPartNo"/>
        </w:rPr>
        <w:t>Part 3</w:t>
      </w:r>
      <w:r>
        <w:rPr>
          <w:rStyle w:val="CharDivNo"/>
        </w:rPr>
        <w:t> </w:t>
      </w:r>
      <w:r>
        <w:t>—</w:t>
      </w:r>
      <w:r>
        <w:rPr>
          <w:rStyle w:val="CharDivText"/>
        </w:rPr>
        <w:t> </w:t>
      </w:r>
      <w:r>
        <w:rPr>
          <w:rStyle w:val="CharPartText"/>
        </w:rPr>
        <w:t>Savings and transitional provisions</w:t>
      </w:r>
      <w:bookmarkEnd w:id="56"/>
      <w:bookmarkEnd w:id="57"/>
      <w:bookmarkEnd w:id="58"/>
      <w:bookmarkEnd w:id="59"/>
      <w:bookmarkEnd w:id="60"/>
      <w:bookmarkEnd w:id="61"/>
      <w:bookmarkEnd w:id="62"/>
    </w:p>
    <w:p>
      <w:pPr>
        <w:pStyle w:val="Heading5"/>
      </w:pPr>
      <w:bookmarkStart w:id="63" w:name="_Toc198884836"/>
      <w:bookmarkStart w:id="64" w:name="_Toc170199995"/>
      <w:r>
        <w:rPr>
          <w:rStyle w:val="CharSectno"/>
        </w:rPr>
        <w:t>13</w:t>
      </w:r>
      <w:r>
        <w:t>.</w:t>
      </w:r>
      <w:r>
        <w:tab/>
        <w:t>Exemptions and related financial assurances</w:t>
      </w:r>
      <w:bookmarkEnd w:id="63"/>
      <w:bookmarkEnd w:id="64"/>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65" w:name="_Toc198884837"/>
      <w:bookmarkStart w:id="66" w:name="_Toc170199996"/>
      <w:r>
        <w:rPr>
          <w:rStyle w:val="CharSectno"/>
        </w:rPr>
        <w:t>14</w:t>
      </w:r>
      <w:r>
        <w:t>.</w:t>
      </w:r>
      <w:r>
        <w:tab/>
        <w:t>Baseline reports, estimated bases and quarterly surveys</w:t>
      </w:r>
      <w:bookmarkEnd w:id="65"/>
      <w:bookmarkEnd w:id="66"/>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7" w:name="_Toc198822752"/>
      <w:bookmarkStart w:id="68" w:name="_Toc198823433"/>
      <w:bookmarkStart w:id="69" w:name="_Toc198884838"/>
      <w:bookmarkStart w:id="70" w:name="_Toc170124509"/>
      <w:bookmarkStart w:id="71" w:name="_Toc170124534"/>
      <w:bookmarkStart w:id="72" w:name="_Toc170125330"/>
      <w:bookmarkStart w:id="73" w:name="_Toc170199997"/>
      <w:r>
        <w:t>Notes</w:t>
      </w:r>
      <w:bookmarkEnd w:id="67"/>
      <w:bookmarkEnd w:id="68"/>
      <w:bookmarkEnd w:id="69"/>
      <w:bookmarkEnd w:id="70"/>
      <w:bookmarkEnd w:id="71"/>
      <w:bookmarkEnd w:id="72"/>
      <w:bookmarkEnd w:id="73"/>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w:t>
      </w:r>
    </w:p>
    <w:p>
      <w:pPr>
        <w:pStyle w:val="nHeading3"/>
      </w:pPr>
      <w:bookmarkStart w:id="74" w:name="_Toc198884839"/>
      <w:bookmarkStart w:id="75" w:name="_Toc170199998"/>
      <w:r>
        <w:t>Compilation table</w:t>
      </w:r>
      <w:bookmarkEnd w:id="74"/>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nil"/>
            </w:tcBorders>
            <w:shd w:val="clear" w:color="auto" w:fill="auto"/>
          </w:tcPr>
          <w:p>
            <w:pPr>
              <w:pStyle w:val="nTable"/>
              <w:spacing w:after="40"/>
            </w:pPr>
            <w:r>
              <w:t>SL 2020/3</w:t>
            </w:r>
            <w:r>
              <w:br/>
              <w:t>4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r>
        <w:tc>
          <w:tcPr>
            <w:tcW w:w="3118" w:type="dxa"/>
            <w:tcBorders>
              <w:top w:val="nil"/>
              <w:bottom w:val="nil"/>
            </w:tcBorders>
            <w:shd w:val="clear" w:color="auto" w:fill="auto"/>
          </w:tcPr>
          <w:p>
            <w:pPr>
              <w:pStyle w:val="nTable"/>
              <w:spacing w:after="40"/>
              <w:rPr>
                <w:iCs/>
                <w:noProof/>
                <w:snapToGrid w:val="0"/>
              </w:rPr>
            </w:pPr>
            <w:r>
              <w:rPr>
                <w:i/>
              </w:rPr>
              <w:t>Waste Avoidance and Resource Recovery Levy Amendment Regulations (No. 2) 2024</w:t>
            </w:r>
            <w:r>
              <w:rPr>
                <w:iCs/>
                <w:vertAlign w:val="superscript"/>
              </w:rPr>
              <w:t> 1</w:t>
            </w:r>
          </w:p>
        </w:tc>
        <w:tc>
          <w:tcPr>
            <w:tcW w:w="1276" w:type="dxa"/>
            <w:tcBorders>
              <w:top w:val="nil"/>
              <w:bottom w:val="nil"/>
            </w:tcBorders>
            <w:shd w:val="clear" w:color="auto" w:fill="auto"/>
          </w:tcPr>
          <w:p>
            <w:pPr>
              <w:pStyle w:val="nTable"/>
              <w:spacing w:after="40"/>
            </w:pPr>
            <w:r>
              <w:t>SL 2024/84 29 May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May 2024 (see r. 2(a));</w:t>
            </w:r>
            <w:r>
              <w:rPr>
                <w:snapToGrid w:val="0"/>
                <w:spacing w:val="-2"/>
              </w:rPr>
              <w:br/>
              <w:t>r. 5: 30 May 2024 (see r. 2(b));</w:t>
            </w:r>
            <w:r>
              <w:rPr>
                <w:snapToGrid w:val="0"/>
                <w:spacing w:val="-2"/>
              </w:rPr>
              <w:br/>
              <w:t>Regulations other than r. 1, 2 and 5: 1 Jul 2024 (see r. 2(c))</w:t>
            </w:r>
          </w:p>
        </w:tc>
      </w:tr>
      <w:tr>
        <w:trPr>
          <w:ins w:id="76" w:author="Master Repository Process" w:date="2025-05-27T14:01:00Z"/>
        </w:trPr>
        <w:tc>
          <w:tcPr>
            <w:tcW w:w="3118" w:type="dxa"/>
            <w:tcBorders>
              <w:top w:val="nil"/>
              <w:bottom w:val="single" w:sz="4" w:space="0" w:color="auto"/>
            </w:tcBorders>
            <w:shd w:val="clear" w:color="auto" w:fill="auto"/>
          </w:tcPr>
          <w:p>
            <w:pPr>
              <w:pStyle w:val="nTable"/>
              <w:spacing w:after="40"/>
              <w:rPr>
                <w:ins w:id="77" w:author="Master Repository Process" w:date="2025-05-27T14:01:00Z"/>
                <w:i/>
              </w:rPr>
            </w:pPr>
            <w:ins w:id="78" w:author="Master Repository Process" w:date="2025-05-27T14:01:00Z">
              <w:r>
                <w:rPr>
                  <w:i/>
                  <w:noProof/>
                  <w:snapToGrid w:val="0"/>
                </w:rPr>
                <w:t>Waste Avoidance and Resource Recovery Levy Amendment Regulations 2025</w:t>
              </w:r>
            </w:ins>
          </w:p>
        </w:tc>
        <w:tc>
          <w:tcPr>
            <w:tcW w:w="1276" w:type="dxa"/>
            <w:tcBorders>
              <w:top w:val="nil"/>
              <w:bottom w:val="single" w:sz="4" w:space="0" w:color="auto"/>
            </w:tcBorders>
            <w:shd w:val="clear" w:color="auto" w:fill="auto"/>
          </w:tcPr>
          <w:p>
            <w:pPr>
              <w:pStyle w:val="nTable"/>
              <w:spacing w:after="40"/>
              <w:rPr>
                <w:ins w:id="79" w:author="Master Repository Process" w:date="2025-05-27T14:01:00Z"/>
              </w:rPr>
            </w:pPr>
            <w:ins w:id="80" w:author="Master Repository Process" w:date="2025-05-27T14:01:00Z">
              <w:r>
                <w:t>SL 2025/83 28 May 2025</w:t>
              </w:r>
            </w:ins>
          </w:p>
        </w:tc>
        <w:tc>
          <w:tcPr>
            <w:tcW w:w="2693" w:type="dxa"/>
            <w:tcBorders>
              <w:top w:val="nil"/>
              <w:bottom w:val="single" w:sz="4" w:space="0" w:color="auto"/>
            </w:tcBorders>
            <w:shd w:val="clear" w:color="auto" w:fill="auto"/>
          </w:tcPr>
          <w:p>
            <w:pPr>
              <w:pStyle w:val="nTable"/>
              <w:spacing w:after="40"/>
              <w:rPr>
                <w:ins w:id="81" w:author="Master Repository Process" w:date="2025-05-27T14:01:00Z"/>
                <w:snapToGrid w:val="0"/>
                <w:spacing w:val="-2"/>
              </w:rPr>
            </w:pPr>
            <w:ins w:id="82" w:author="Master Repository Process" w:date="2025-05-27T14:01:00Z">
              <w:r>
                <w:rPr>
                  <w:snapToGrid w:val="0"/>
                  <w:spacing w:val="-2"/>
                </w:rPr>
                <w:t xml:space="preserve">r. 1 and 2: </w:t>
              </w:r>
              <w:r>
                <w:t>28 May 2025</w:t>
              </w:r>
              <w:r>
                <w:rPr>
                  <w:snapToGrid w:val="0"/>
                  <w:spacing w:val="-2"/>
                </w:rPr>
                <w:t xml:space="preserve"> (see r. 2(a));</w:t>
              </w:r>
              <w:r>
                <w:rPr>
                  <w:snapToGrid w:val="0"/>
                  <w:spacing w:val="-2"/>
                </w:rPr>
                <w:br/>
                <w:t xml:space="preserve">Regulations other than r. 1 and 2: </w:t>
              </w:r>
              <w:r>
                <w:t>29 May 2025</w:t>
              </w:r>
              <w:r>
                <w:rPr>
                  <w:snapToGrid w:val="0"/>
                  <w:spacing w:val="-2"/>
                </w:rPr>
                <w:t xml:space="preserve"> (see r. 2(b))</w:t>
              </w:r>
            </w:ins>
          </w:p>
        </w:tc>
      </w:tr>
    </w:tbl>
    <w:p>
      <w:pPr>
        <w:pStyle w:val="nHeading3"/>
      </w:pPr>
      <w:bookmarkStart w:id="83" w:name="_Toc198884840"/>
      <w:bookmarkStart w:id="84" w:name="_Toc170199999"/>
      <w:r>
        <w:t>Other notes</w:t>
      </w:r>
      <w:bookmarkEnd w:id="83"/>
      <w:bookmarkEnd w:id="84"/>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Pr>
        <w:rPr>
          <w:del w:id="85" w:author="Master Repository Process" w:date="2025-05-27T14:01:00Z"/>
        </w:rPr>
      </w:pPr>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7" w:author="Master Repository Process" w:date="2025-05-27T14:01:00Z">
                              <w:r>
                                <w:rPr>
                                  <w:sz w:val="16"/>
                                </w:rPr>
                                <w:delText>2024</w:delText>
                              </w:r>
                            </w:del>
                            <w:ins w:id="88" w:author="Master Repository Process" w:date="2025-05-27T14:0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9" w:author="Master Repository Process" w:date="2025-05-27T14:01:00Z">
                              <w:r>
                                <w:rPr>
                                  <w:sz w:val="16"/>
                                </w:rPr>
                                <w:delText>2024</w:delText>
                              </w:r>
                            </w:del>
                            <w:ins w:id="90" w:author="Master Repository Process" w:date="2025-05-27T14:0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1" w:author="Master Repository Process" w:date="2025-05-27T14:01:00Z">
                        <w:r>
                          <w:rPr>
                            <w:sz w:val="16"/>
                          </w:rPr>
                          <w:delText>2024</w:delText>
                        </w:r>
                      </w:del>
                      <w:ins w:id="92" w:author="Master Repository Process" w:date="2025-05-27T14:0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3" w:author="Master Repository Process" w:date="2025-05-27T14:01:00Z">
                        <w:r>
                          <w:rPr>
                            <w:sz w:val="16"/>
                          </w:rPr>
                          <w:delText>2024</w:delText>
                        </w:r>
                      </w:del>
                      <w:ins w:id="94" w:author="Master Repository Process" w:date="2025-05-27T14:0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61032"/>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 w:name="WAFER_20240624122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22430_GUID" w:val="d26c12c9-0779-4ae9-a141-f2203b0ac676"/>
    <w:docVar w:name="WAFER_20250522161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61032_GUID" w:val="ea3c4dd7-5669-4bbb-ae64-9e7d1b3232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323cm">
    <w:name w:val="Miscellaneous Body + Left:  3.23 cm"/>
    <w:aliases w:val="Hanging:  1.12 cm,Before:  4 pt"/>
    <w:basedOn w:val="MiscellaneousBody"/>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5215</Words>
  <Characters>24672</Characters>
  <Application>Microsoft Office Word</Application>
  <DocSecurity>0</DocSecurity>
  <Lines>685</Lines>
  <Paragraphs>347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00-l0-00 - 00-m0-00</dc:title>
  <dc:subject/>
  <dc:creator/>
  <cp:keywords/>
  <dc:description/>
  <cp:lastModifiedBy>Master Repository Process</cp:lastModifiedBy>
  <cp:revision>2</cp:revision>
  <cp:lastPrinted>2020-02-03T06:09:00Z</cp:lastPrinted>
  <dcterms:created xsi:type="dcterms:W3CDTF">2025-05-27T06:01:00Z</dcterms:created>
  <dcterms:modified xsi:type="dcterms:W3CDTF">2025-05-27T06:01:00Z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Official">
    <vt:lpwstr/>
  </property>
  <property fmtid="{D5CDD505-2E9C-101B-9397-08002B2CF9AE}" pid="6" name="CommencementDate">
    <vt:lpwstr>20250529</vt:lpwstr>
  </property>
  <property fmtid="{D5CDD505-2E9C-101B-9397-08002B2CF9AE}" pid="7" name="CommencementAsAt">
    <vt:filetime>2025-05-28T16:00:00Z</vt:filetime>
  </property>
  <property fmtid="{D5CDD505-2E9C-101B-9397-08002B2CF9AE}" pid="8" name="CommencementYear">
    <vt:lpwstr>2025</vt:lpwstr>
  </property>
  <property fmtid="{D5CDD505-2E9C-101B-9397-08002B2CF9AE}" pid="9" name="FromSuffix">
    <vt:lpwstr>00-l0-00</vt:lpwstr>
  </property>
  <property fmtid="{D5CDD505-2E9C-101B-9397-08002B2CF9AE}" pid="10" name="FromAsAtDate">
    <vt:lpwstr>01 Jul 2024</vt:lpwstr>
  </property>
  <property fmtid="{D5CDD505-2E9C-101B-9397-08002B2CF9AE}" pid="11" name="ToSuffix">
    <vt:lpwstr>00-m0-00</vt:lpwstr>
  </property>
  <property fmtid="{D5CDD505-2E9C-101B-9397-08002B2CF9AE}" pid="12" name="ToAsAtDate">
    <vt:lpwstr>29 May 2025</vt:lpwstr>
  </property>
</Properties>
</file>