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02-r0-00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02-s0-00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(Explosives) Regulations 2007</w:t>
      </w:r>
    </w:p>
    <w:p>
      <w:pPr>
        <w:pStyle w:val="Heading2"/>
        <w:pageBreakBefore w:val="0"/>
      </w:pPr>
      <w:bookmarkStart w:id="1" w:name="_Toc200031506"/>
      <w:bookmarkStart w:id="2" w:name="_Toc200036494"/>
      <w:bookmarkStart w:id="3" w:name="_Toc200095313"/>
      <w:bookmarkStart w:id="4" w:name="_Toc192852655"/>
      <w:bookmarkStart w:id="5" w:name="_Toc192853749"/>
      <w:bookmarkStart w:id="6" w:name="_Toc192857035"/>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7" w:name="_Toc200095314"/>
      <w:bookmarkStart w:id="8" w:name="_Toc192857036"/>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0" w:name="_Toc200095315"/>
      <w:bookmarkStart w:id="11" w:name="_Toc192857037"/>
      <w:r>
        <w:rPr>
          <w:rStyle w:val="CharSectno"/>
        </w:rPr>
        <w:t>2</w:t>
      </w:r>
      <w:r>
        <w:t>.</w:t>
      </w:r>
      <w:r>
        <w:tab/>
        <w:t>Commencement</w:t>
      </w:r>
      <w:bookmarkEnd w:id="10"/>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2" w:name="_Toc200095316"/>
      <w:bookmarkStart w:id="13" w:name="_Toc192857038"/>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tab/>
      </w:r>
      <w:r>
        <w:rPr>
          <w:rStyle w:val="CharDefText"/>
        </w:rPr>
        <w:t>AE Code</w:t>
      </w:r>
      <w:r>
        <w:t xml:space="preserve"> means the </w:t>
      </w:r>
      <w:r>
        <w:rPr>
          <w:i/>
          <w:iCs/>
        </w:rPr>
        <w:t>Australian Code for the Transport of Explosives by Road and Rail</w:t>
      </w:r>
      <w:r>
        <w:t xml:space="preserve">, Third Edition 2009, published by the Commonwealth of Australia (ISBN 978 0 642 32747 5 or ISBN 978 0 642 32753 6) (also called the Australian Explosives </w:t>
      </w:r>
      <w:r>
        <w:lastRenderedPageBreak/>
        <w:t>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lastRenderedPageBreak/>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keepNex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defined in the </w:t>
      </w:r>
      <w:r>
        <w:rPr>
          <w:i/>
          <w:iCs/>
        </w:rPr>
        <w:t>Firearms Act 2024</w:t>
      </w:r>
      <w:r>
        <w:t xml:space="preserve"> section 6,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safety data sheet</w:t>
      </w:r>
      <w:r>
        <w:t xml:space="preserve"> (</w:t>
      </w:r>
      <w:r>
        <w:rPr>
          <w:rStyle w:val="CharDefText"/>
        </w:rPr>
        <w:t>SDS</w:t>
      </w:r>
      <w:r>
        <w:t xml:space="preserve">), for an explosive, means a document in English that contains the information in relation to the explosive that is required by — </w:t>
      </w:r>
    </w:p>
    <w:p>
      <w:pPr>
        <w:pStyle w:val="Defpara"/>
      </w:pPr>
      <w:r>
        <w:tab/>
        <w:t>(a)</w:t>
      </w:r>
      <w:r>
        <w:tab/>
        <w:t>the National Code of Practice for the Preparation of Material Safety Data Sheets 2</w:t>
      </w:r>
      <w:r>
        <w:rPr>
          <w:vertAlign w:val="superscript"/>
        </w:rPr>
        <w:t>nd </w:t>
      </w:r>
      <w:r>
        <w:t>Edition [NOHSC: 2011 (2003)] (ISBN</w:t>
      </w:r>
      <w:r>
        <w:noBreakHyphen/>
        <w:t>1</w:t>
      </w:r>
      <w:r>
        <w:noBreakHyphen/>
        <w:t>920763</w:t>
      </w:r>
      <w:r>
        <w:noBreakHyphen/>
        <w:t>10</w:t>
      </w:r>
      <w:r>
        <w:noBreakHyphen/>
        <w:t>4); or</w:t>
      </w:r>
    </w:p>
    <w:p>
      <w:pPr>
        <w:pStyle w:val="Defpara"/>
      </w:pPr>
      <w:r>
        <w:tab/>
        <w:t>(b)</w:t>
      </w:r>
      <w:r>
        <w:tab/>
        <w:t xml:space="preserve">the Preparation of Safety Data Sheets for Hazardous Chemicals </w:t>
      </w:r>
      <w:r>
        <w:noBreakHyphen/>
        <w:t xml:space="preserve"> Code of Practice 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security sensitive ammonium nitrate</w:t>
      </w:r>
      <w:r>
        <w:t xml:space="preserve"> has the meaning given in the </w:t>
      </w:r>
      <w:r>
        <w:rPr>
          <w:i/>
        </w:rPr>
        <w:t>Dangerous Goods Safety (Security Sensitive Ammonium Nitrate)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tab/>
      </w:r>
      <w:r>
        <w:rPr>
          <w:rStyle w:val="CharDefText"/>
        </w:rPr>
        <w:t>SSAN</w:t>
      </w:r>
      <w:r>
        <w:t xml:space="preserve"> stands for security sensitive ammonium nitrate;</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Defstart"/>
      </w:pPr>
      <w:r>
        <w:rPr>
          <w:b/>
        </w:rPr>
        <w:tab/>
      </w:r>
      <w:r>
        <w:rPr>
          <w:rStyle w:val="CharDefText"/>
        </w:rPr>
        <w:t>use</w:t>
      </w:r>
      <w:r>
        <w:t xml:space="preserve"> an explosive, means to initiate or attempt to initiate it.</w:t>
      </w:r>
    </w:p>
    <w:p>
      <w:pPr>
        <w:pStyle w:val="Footnotesection"/>
      </w:pPr>
      <w:r>
        <w:tab/>
        <w:t>[Regulation 3 amended: Gazette 24 Nov 2009 p. 4737; 16 Mar 2012 p. 1173</w:t>
      </w:r>
      <w:r>
        <w:noBreakHyphen/>
        <w:t>4 and p. 1263; 19 Feb 2013 p. 984; 2 Dec 2013 p. 5571</w:t>
      </w:r>
      <w:r>
        <w:noBreakHyphen/>
        <w:t>2; 5 Feb 2016 p. 343</w:t>
      </w:r>
      <w:r>
        <w:noBreakHyphen/>
        <w:t>4; 3 Mar 2017 p. 1474-5; 20 Mar 2018 p. 997; SL 2020/197 r. 4; SL 2021/85 r. 4; SL 2024/295 r. 4.]</w:t>
      </w:r>
    </w:p>
    <w:p>
      <w:pPr>
        <w:pStyle w:val="Heading5"/>
      </w:pPr>
      <w:bookmarkStart w:id="14" w:name="_Toc200095317"/>
      <w:bookmarkStart w:id="15" w:name="_Toc192857039"/>
      <w:r>
        <w:rPr>
          <w:rStyle w:val="CharSectno"/>
        </w:rPr>
        <w:t>4</w:t>
      </w:r>
      <w:r>
        <w:t>.</w:t>
      </w:r>
      <w:r>
        <w:tab/>
        <w:t>Examples and notes not part of law</w:t>
      </w:r>
      <w:bookmarkEnd w:id="14"/>
      <w:bookmarkEnd w:id="15"/>
    </w:p>
    <w:p>
      <w:pPr>
        <w:pStyle w:val="Subsection"/>
      </w:pPr>
      <w:r>
        <w:tab/>
      </w:r>
      <w:r>
        <w:tab/>
        <w:t>Examples and notes in these regulations do not form part of them and are provided to assist understanding.</w:t>
      </w:r>
    </w:p>
    <w:p>
      <w:pPr>
        <w:pStyle w:val="Heading5"/>
      </w:pPr>
      <w:bookmarkStart w:id="16" w:name="_Toc200095318"/>
      <w:bookmarkStart w:id="17" w:name="_Toc192857040"/>
      <w:r>
        <w:rPr>
          <w:rStyle w:val="CharSectno"/>
        </w:rPr>
        <w:t>5</w:t>
      </w:r>
      <w:r>
        <w:t>.</w:t>
      </w:r>
      <w:r>
        <w:tab/>
        <w:t>AE Code, general provisions about</w:t>
      </w:r>
      <w:bookmarkEnd w:id="16"/>
      <w:bookmarkEnd w:id="17"/>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18" w:name="_Toc200095319"/>
      <w:bookmarkStart w:id="19" w:name="_Toc192857041"/>
      <w:r>
        <w:rPr>
          <w:rStyle w:val="CharSectno"/>
        </w:rPr>
        <w:t>6</w:t>
      </w:r>
      <w:r>
        <w:t>.</w:t>
      </w:r>
      <w:r>
        <w:tab/>
        <w:t>Alternative safety measures, meaning of</w:t>
      </w:r>
      <w:bookmarkEnd w:id="18"/>
      <w:bookmarkEnd w:id="19"/>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Gazette 16 Mar 2012 p. 1174.]</w:t>
      </w:r>
    </w:p>
    <w:p>
      <w:pPr>
        <w:pStyle w:val="Heading5"/>
      </w:pPr>
      <w:bookmarkStart w:id="20" w:name="_Toc200095320"/>
      <w:bookmarkStart w:id="21" w:name="_Toc192857042"/>
      <w:r>
        <w:rPr>
          <w:rStyle w:val="CharSectno"/>
        </w:rPr>
        <w:t>7</w:t>
      </w:r>
      <w:r>
        <w:t>.</w:t>
      </w:r>
      <w:r>
        <w:tab/>
        <w:t>AS 2187, meaning of and general provisions about</w:t>
      </w:r>
      <w:bookmarkEnd w:id="20"/>
      <w:bookmarkEnd w:id="21"/>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2" w:name="_Toc200095321"/>
      <w:bookmarkStart w:id="23" w:name="_Toc192857043"/>
      <w:r>
        <w:rPr>
          <w:rStyle w:val="CharSectno"/>
        </w:rPr>
        <w:t>8</w:t>
      </w:r>
      <w:r>
        <w:t>.</w:t>
      </w:r>
      <w:r>
        <w:tab/>
        <w:t>Explosive, meaning of</w:t>
      </w:r>
      <w:bookmarkEnd w:id="22"/>
      <w:bookmarkEnd w:id="23"/>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keepNext/>
      </w:pPr>
      <w:r>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Gazette 24 Nov 2009 p. 4737</w:t>
      </w:r>
      <w:r>
        <w:noBreakHyphen/>
        <w:t>8.]</w:t>
      </w:r>
    </w:p>
    <w:p>
      <w:pPr>
        <w:pStyle w:val="Heading5"/>
      </w:pPr>
      <w:bookmarkStart w:id="24" w:name="_Toc200095322"/>
      <w:bookmarkStart w:id="25" w:name="_Toc192857044"/>
      <w:r>
        <w:rPr>
          <w:rStyle w:val="CharSectno"/>
        </w:rPr>
        <w:t>9</w:t>
      </w:r>
      <w:r>
        <w:t>.</w:t>
      </w:r>
      <w:r>
        <w:tab/>
        <w:t>Classification of explosives</w:t>
      </w:r>
      <w:bookmarkEnd w:id="24"/>
      <w:bookmarkEnd w:id="25"/>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Gazette 16 Mar 2012 p. 1174</w:t>
      </w:r>
      <w:r>
        <w:noBreakHyphen/>
        <w:t>5.]</w:t>
      </w:r>
    </w:p>
    <w:p>
      <w:pPr>
        <w:pStyle w:val="Heading5"/>
      </w:pPr>
      <w:bookmarkStart w:id="26" w:name="_Toc200095323"/>
      <w:bookmarkStart w:id="27" w:name="_Toc192857045"/>
      <w:r>
        <w:rPr>
          <w:rStyle w:val="CharSectno"/>
        </w:rPr>
        <w:t>10</w:t>
      </w:r>
      <w:r>
        <w:t>.</w:t>
      </w:r>
      <w:r>
        <w:tab/>
        <w:t>Supervised and related terms, meaning of</w:t>
      </w:r>
      <w:bookmarkEnd w:id="26"/>
      <w:bookmarkEnd w:id="27"/>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Gazette 2 Dec 2013 p.</w:t>
      </w:r>
      <w:r>
        <w:rPr>
          <w:sz w:val="19"/>
        </w:rPr>
        <w:t> </w:t>
      </w:r>
      <w:r>
        <w:t>5572.]</w:t>
      </w:r>
    </w:p>
    <w:p>
      <w:pPr>
        <w:pStyle w:val="Heading5"/>
      </w:pPr>
      <w:bookmarkStart w:id="28" w:name="_Toc200095324"/>
      <w:bookmarkStart w:id="29" w:name="_Toc192857046"/>
      <w:r>
        <w:rPr>
          <w:rStyle w:val="CharSectno"/>
        </w:rPr>
        <w:t>11</w:t>
      </w:r>
      <w:r>
        <w:t>.</w:t>
      </w:r>
      <w:r>
        <w:tab/>
        <w:t>Supply, meaning of affected</w:t>
      </w:r>
      <w:bookmarkEnd w:id="28"/>
      <w:bookmarkEnd w:id="29"/>
    </w:p>
    <w:p>
      <w:pPr>
        <w:pStyle w:val="Subsection"/>
      </w:pPr>
      <w:r>
        <w:tab/>
      </w:r>
      <w:r>
        <w:tab/>
        <w:t>For the purposes of these regulations a person (</w:t>
      </w:r>
      <w:r>
        <w:rPr>
          <w:b/>
          <w:i/>
        </w:rPr>
        <w:t>A</w:t>
      </w:r>
      <w:r>
        <w:t>) does not supply an explosive to another person (</w:t>
      </w:r>
      <w:r>
        <w:rPr>
          <w:b/>
          <w:i/>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0" w:name="_Toc200095325"/>
      <w:bookmarkStart w:id="31" w:name="_Toc192857047"/>
      <w:r>
        <w:rPr>
          <w:rStyle w:val="CharSectno"/>
        </w:rPr>
        <w:t>12</w:t>
      </w:r>
      <w:r>
        <w:t>.</w:t>
      </w:r>
      <w:r>
        <w:tab/>
        <w:t>Explosives to which these regulations do not apply</w:t>
      </w:r>
      <w:bookmarkEnd w:id="30"/>
      <w:bookmarkEnd w:id="31"/>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keepNext/>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2" w:name="_Toc200031519"/>
      <w:bookmarkStart w:id="33" w:name="_Toc200036507"/>
      <w:bookmarkStart w:id="34" w:name="_Toc200095326"/>
      <w:bookmarkStart w:id="35" w:name="_Toc192852668"/>
      <w:bookmarkStart w:id="36" w:name="_Toc192853762"/>
      <w:bookmarkStart w:id="37" w:name="_Toc192857048"/>
      <w:r>
        <w:rPr>
          <w:rStyle w:val="CharPartNo"/>
        </w:rPr>
        <w:t>Part 2</w:t>
      </w:r>
      <w:r>
        <w:rPr>
          <w:rStyle w:val="CharDivNo"/>
        </w:rPr>
        <w:t> </w:t>
      </w:r>
      <w:r>
        <w:t>—</w:t>
      </w:r>
      <w:r>
        <w:rPr>
          <w:rStyle w:val="CharDivText"/>
        </w:rPr>
        <w:t> </w:t>
      </w:r>
      <w:r>
        <w:rPr>
          <w:rStyle w:val="CharPartText"/>
        </w:rPr>
        <w:t>Administrative matters</w:t>
      </w:r>
      <w:bookmarkEnd w:id="32"/>
      <w:bookmarkEnd w:id="33"/>
      <w:bookmarkEnd w:id="34"/>
      <w:bookmarkEnd w:id="35"/>
      <w:bookmarkEnd w:id="36"/>
      <w:bookmarkEnd w:id="37"/>
    </w:p>
    <w:p>
      <w:pPr>
        <w:pStyle w:val="Heading5"/>
      </w:pPr>
      <w:bookmarkStart w:id="38" w:name="_Toc200095327"/>
      <w:bookmarkStart w:id="39" w:name="_Toc192857049"/>
      <w:r>
        <w:rPr>
          <w:rStyle w:val="CharSectno"/>
        </w:rPr>
        <w:t>13</w:t>
      </w:r>
      <w:r>
        <w:t>.</w:t>
      </w:r>
      <w:r>
        <w:tab/>
        <w:t>Forms may be approved by Chief Officer</w:t>
      </w:r>
      <w:bookmarkEnd w:id="38"/>
      <w:bookmarkEnd w:id="39"/>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0" w:name="_Toc200095328"/>
      <w:bookmarkStart w:id="41" w:name="_Toc192857050"/>
      <w:r>
        <w:rPr>
          <w:rStyle w:val="CharSectno"/>
        </w:rPr>
        <w:t>14</w:t>
      </w:r>
      <w:r>
        <w:t>.</w:t>
      </w:r>
      <w:r>
        <w:tab/>
        <w:t>Courses may be approved by Chief Officer</w:t>
      </w:r>
      <w:bookmarkEnd w:id="40"/>
      <w:bookmarkEnd w:id="41"/>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Gazette 16 Mar 2012 p. 1175.]</w:t>
      </w:r>
    </w:p>
    <w:p>
      <w:pPr>
        <w:pStyle w:val="Heading5"/>
      </w:pPr>
      <w:bookmarkStart w:id="42" w:name="_Toc200095329"/>
      <w:bookmarkStart w:id="43" w:name="_Toc192857051"/>
      <w:r>
        <w:rPr>
          <w:rStyle w:val="CharSectno"/>
        </w:rPr>
        <w:t>15</w:t>
      </w:r>
      <w:r>
        <w:t>.</w:t>
      </w:r>
      <w:r>
        <w:tab/>
        <w:t>Declaring a substance to be an explosive</w:t>
      </w:r>
      <w:bookmarkEnd w:id="42"/>
      <w:bookmarkEnd w:id="43"/>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Gazette 16 Mar 2012 p. 1175.]</w:t>
      </w:r>
    </w:p>
    <w:p>
      <w:pPr>
        <w:pStyle w:val="Heading2"/>
      </w:pPr>
      <w:bookmarkStart w:id="44" w:name="_Toc200031523"/>
      <w:bookmarkStart w:id="45" w:name="_Toc200036511"/>
      <w:bookmarkStart w:id="46" w:name="_Toc200095330"/>
      <w:bookmarkStart w:id="47" w:name="_Toc192852672"/>
      <w:bookmarkStart w:id="48" w:name="_Toc192853766"/>
      <w:bookmarkStart w:id="49" w:name="_Toc192857052"/>
      <w:r>
        <w:rPr>
          <w:rStyle w:val="CharPartNo"/>
        </w:rPr>
        <w:t>Part 3</w:t>
      </w:r>
      <w:r>
        <w:rPr>
          <w:rStyle w:val="CharDivNo"/>
        </w:rPr>
        <w:t> </w:t>
      </w:r>
      <w:r>
        <w:t>—</w:t>
      </w:r>
      <w:r>
        <w:rPr>
          <w:rStyle w:val="CharDivText"/>
        </w:rPr>
        <w:t> </w:t>
      </w:r>
      <w:r>
        <w:rPr>
          <w:rStyle w:val="CharPartText"/>
        </w:rPr>
        <w:t>Security matters</w:t>
      </w:r>
      <w:bookmarkEnd w:id="44"/>
      <w:bookmarkEnd w:id="45"/>
      <w:bookmarkEnd w:id="46"/>
      <w:bookmarkEnd w:id="47"/>
      <w:bookmarkEnd w:id="48"/>
      <w:bookmarkEnd w:id="49"/>
    </w:p>
    <w:p>
      <w:pPr>
        <w:pStyle w:val="Heading5"/>
      </w:pPr>
      <w:bookmarkStart w:id="50" w:name="_Toc200095331"/>
      <w:bookmarkStart w:id="51" w:name="_Toc192857053"/>
      <w:r>
        <w:rPr>
          <w:rStyle w:val="CharSectno"/>
        </w:rPr>
        <w:t>16</w:t>
      </w:r>
      <w:r>
        <w:t>.</w:t>
      </w:r>
      <w:r>
        <w:tab/>
        <w:t>Security clearance, meaning of</w:t>
      </w:r>
      <w:bookmarkEnd w:id="50"/>
      <w:bookmarkEnd w:id="51"/>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 xml:space="preserve">An individual has a security clearance for the purposes of these regulations if the person holds a written authorisation that — </w:t>
      </w:r>
    </w:p>
    <w:p>
      <w:pPr>
        <w:pStyle w:val="Indenta"/>
      </w:pPr>
      <w:r>
        <w:tab/>
        <w:t>(a)</w:t>
      </w:r>
      <w:r>
        <w:tab/>
        <w:t xml:space="preserve">is granted or issued under the law of another State or a Territory that corresponds, or substantially corresponds, to the Act; and </w:t>
      </w:r>
    </w:p>
    <w:p>
      <w:pPr>
        <w:pStyle w:val="Indenta"/>
      </w:pPr>
      <w:r>
        <w:tab/>
        <w:t>(b)</w:t>
      </w:r>
      <w:r>
        <w:tab/>
        <w:t>authorises the person to have unsupervised access to an explosive or an SSAN.</w:t>
      </w:r>
    </w:p>
    <w:p>
      <w:pPr>
        <w:pStyle w:val="Footnotesection"/>
      </w:pPr>
      <w:r>
        <w:tab/>
        <w:t>[Regulation 16 amended: Gazette 5 Feb 2016 p. 344.]</w:t>
      </w:r>
    </w:p>
    <w:p>
      <w:pPr>
        <w:pStyle w:val="Heading5"/>
      </w:pPr>
      <w:bookmarkStart w:id="52" w:name="_Toc200095332"/>
      <w:bookmarkStart w:id="53" w:name="_Toc192857054"/>
      <w:r>
        <w:rPr>
          <w:rStyle w:val="CharSectno"/>
        </w:rPr>
        <w:t>17</w:t>
      </w:r>
      <w:r>
        <w:t>.</w:t>
      </w:r>
      <w:r>
        <w:tab/>
        <w:t>Security card, application for</w:t>
      </w:r>
      <w:bookmarkEnd w:id="52"/>
      <w:bookmarkEnd w:id="53"/>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Gazette 2 Dec 2013 p.</w:t>
      </w:r>
      <w:r>
        <w:rPr>
          <w:sz w:val="19"/>
        </w:rPr>
        <w:t> </w:t>
      </w:r>
      <w:r>
        <w:t>5573.]</w:t>
      </w:r>
    </w:p>
    <w:p>
      <w:pPr>
        <w:pStyle w:val="Heading5"/>
      </w:pPr>
      <w:bookmarkStart w:id="54" w:name="_Toc200095333"/>
      <w:bookmarkStart w:id="55" w:name="_Toc192857055"/>
      <w:r>
        <w:rPr>
          <w:rStyle w:val="CharSectno"/>
        </w:rPr>
        <w:t>18</w:t>
      </w:r>
      <w:r>
        <w:t>.</w:t>
      </w:r>
      <w:r>
        <w:tab/>
        <w:t>Application to be referred to Commissioner of Police</w:t>
      </w:r>
      <w:bookmarkEnd w:id="54"/>
      <w:bookmarkEnd w:id="55"/>
    </w:p>
    <w:p>
      <w:pPr>
        <w:pStyle w:val="Subsection"/>
      </w:pPr>
      <w:r>
        <w:tab/>
      </w:r>
      <w:r>
        <w:tab/>
        <w:t>The Chief Officer must refer an application made under regulation 17 to the Commissioner of Police.</w:t>
      </w:r>
    </w:p>
    <w:p>
      <w:pPr>
        <w:pStyle w:val="Heading5"/>
      </w:pPr>
      <w:bookmarkStart w:id="56" w:name="_Toc200095334"/>
      <w:bookmarkStart w:id="57" w:name="_Toc192857056"/>
      <w:r>
        <w:rPr>
          <w:rStyle w:val="CharSectno"/>
        </w:rPr>
        <w:t>19</w:t>
      </w:r>
      <w:r>
        <w:t>.</w:t>
      </w:r>
      <w:r>
        <w:tab/>
        <w:t>Commissioner of Police may object to person having security card</w:t>
      </w:r>
      <w:bookmarkEnd w:id="56"/>
      <w:bookmarkEnd w:id="57"/>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keepNex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SSAN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family violence restraining order or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family violence restraining order or violence restraining order issued under the </w:t>
      </w:r>
      <w:r>
        <w:rPr>
          <w:i/>
        </w:rPr>
        <w:t>Restraining Orders Act </w:t>
      </w:r>
      <w:r>
        <w:rPr>
          <w:i/>
          <w:iCs/>
        </w:rPr>
        <w:t>1997</w:t>
      </w:r>
      <w:r>
        <w:t>;</w:t>
      </w:r>
    </w:p>
    <w:p>
      <w:pPr>
        <w:pStyle w:val="Indenta"/>
        <w:keepLines/>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Gazette 21 Aug 2009 p. 3271-2; 5 Feb 2016 p. 345; 27 Jun 2017 p. 3432.]</w:t>
      </w:r>
    </w:p>
    <w:p>
      <w:pPr>
        <w:pStyle w:val="Heading5"/>
      </w:pPr>
      <w:bookmarkStart w:id="58" w:name="_Toc200095335"/>
      <w:bookmarkStart w:id="59" w:name="_Toc192857057"/>
      <w:r>
        <w:rPr>
          <w:rStyle w:val="CharSectno"/>
        </w:rPr>
        <w:t>20</w:t>
      </w:r>
      <w:r>
        <w:t>.</w:t>
      </w:r>
      <w:r>
        <w:tab/>
        <w:t>Security card, issue of</w:t>
      </w:r>
      <w:bookmarkEnd w:id="58"/>
      <w:bookmarkEnd w:id="59"/>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spacing w:before="120"/>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name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Gazette 2 Dec 2013 p.</w:t>
      </w:r>
      <w:r>
        <w:rPr>
          <w:sz w:val="19"/>
        </w:rPr>
        <w:t> </w:t>
      </w:r>
      <w:r>
        <w:t>5573; 20 Mar 2018 p. 997.]</w:t>
      </w:r>
    </w:p>
    <w:p>
      <w:pPr>
        <w:pStyle w:val="Heading5"/>
      </w:pPr>
      <w:bookmarkStart w:id="60" w:name="_Toc200095336"/>
      <w:bookmarkStart w:id="61" w:name="_Toc192857058"/>
      <w:r>
        <w:rPr>
          <w:rStyle w:val="CharSectno"/>
        </w:rPr>
        <w:t>21A</w:t>
      </w:r>
      <w:r>
        <w:t>.</w:t>
      </w:r>
      <w:r>
        <w:tab/>
        <w:t>Extension of period for which security card is valid</w:t>
      </w:r>
      <w:bookmarkEnd w:id="60"/>
      <w:bookmarkEnd w:id="61"/>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Gazette 2 Dec 2013 p.</w:t>
      </w:r>
      <w:r>
        <w:rPr>
          <w:sz w:val="19"/>
        </w:rPr>
        <w:t> </w:t>
      </w:r>
      <w:r>
        <w:t>5573</w:t>
      </w:r>
      <w:r>
        <w:noBreakHyphen/>
        <w:t xml:space="preserve">4; amended: Gazette 24 Jun 2016 p. 2326.] </w:t>
      </w:r>
    </w:p>
    <w:p>
      <w:pPr>
        <w:pStyle w:val="Heading5"/>
        <w:spacing w:before="240"/>
      </w:pPr>
      <w:bookmarkStart w:id="62" w:name="_Toc200095337"/>
      <w:bookmarkStart w:id="63" w:name="_Toc192857059"/>
      <w:r>
        <w:rPr>
          <w:rStyle w:val="CharSectno"/>
        </w:rPr>
        <w:t>21</w:t>
      </w:r>
      <w:r>
        <w:t>.</w:t>
      </w:r>
      <w:r>
        <w:tab/>
        <w:t>Security card, cancelling</w:t>
      </w:r>
      <w:bookmarkEnd w:id="62"/>
      <w:bookmarkEnd w:id="63"/>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Sensitive Ammonium Nitrate)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pPr>
      <w:r>
        <w:tab/>
        <w:t>(6)</w:t>
      </w:r>
      <w:r>
        <w:tab/>
        <w:t>A person’s security card is to be taken to have been cancelled if the person dies.</w:t>
      </w:r>
    </w:p>
    <w:p>
      <w:pPr>
        <w:pStyle w:val="Footnotesection"/>
      </w:pPr>
      <w:r>
        <w:tab/>
        <w:t>[Regulation 21 amended: Gazette 5 Feb 2016 p.</w:t>
      </w:r>
      <w:r>
        <w:rPr>
          <w:sz w:val="19"/>
        </w:rPr>
        <w:t> </w:t>
      </w:r>
      <w:r>
        <w:rPr>
          <w:szCs w:val="24"/>
        </w:rPr>
        <w:t>345</w:t>
      </w:r>
      <w:r>
        <w:t xml:space="preserve">.] </w:t>
      </w:r>
    </w:p>
    <w:p>
      <w:pPr>
        <w:pStyle w:val="Heading5"/>
        <w:spacing w:before="180"/>
      </w:pPr>
      <w:bookmarkStart w:id="64" w:name="_Toc200095338"/>
      <w:bookmarkStart w:id="65" w:name="_Toc192857060"/>
      <w:r>
        <w:rPr>
          <w:rStyle w:val="CharSectno"/>
        </w:rPr>
        <w:t>22A</w:t>
      </w:r>
      <w:r>
        <w:t>.</w:t>
      </w:r>
      <w:r>
        <w:tab/>
        <w:t>Replacement of security cards</w:t>
      </w:r>
      <w:bookmarkEnd w:id="64"/>
      <w:bookmarkEnd w:id="65"/>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Gazette 2 Dec 2013 p.</w:t>
      </w:r>
      <w:r>
        <w:rPr>
          <w:sz w:val="19"/>
        </w:rPr>
        <w:t> </w:t>
      </w:r>
      <w:r>
        <w:t>5575.]</w:t>
      </w:r>
    </w:p>
    <w:p>
      <w:pPr>
        <w:pStyle w:val="Heading5"/>
        <w:spacing w:before="180"/>
      </w:pPr>
      <w:bookmarkStart w:id="66" w:name="_Toc200095339"/>
      <w:bookmarkStart w:id="67" w:name="_Toc192857061"/>
      <w:r>
        <w:rPr>
          <w:rStyle w:val="CharSectno"/>
        </w:rPr>
        <w:t>22</w:t>
      </w:r>
      <w:r>
        <w:t>.</w:t>
      </w:r>
      <w:r>
        <w:tab/>
        <w:t>Security documents to be carried and produced</w:t>
      </w:r>
      <w:bookmarkEnd w:id="66"/>
      <w:bookmarkEnd w:id="67"/>
    </w:p>
    <w:p>
      <w:pPr>
        <w:pStyle w:val="Subsection"/>
        <w:keepNext/>
        <w:spacing w:before="120"/>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spacing w:before="120"/>
      </w:pPr>
      <w:r>
        <w:tab/>
        <w:t>(2)</w:t>
      </w:r>
      <w:r>
        <w:tab/>
        <w:t>A person who has a security document and who is in possession of an explosive or an SSAN must carry the document or have it in the vehicle in which he or she is travelling or at the place where he or she is in possession of the explosive or SSAN.</w:t>
      </w:r>
    </w:p>
    <w:p>
      <w:pPr>
        <w:pStyle w:val="Penstart"/>
      </w:pPr>
      <w:r>
        <w:tab/>
        <w:t>Penalty: a level 3 fine.</w:t>
      </w:r>
    </w:p>
    <w:p>
      <w:pPr>
        <w:pStyle w:val="Subsection"/>
      </w:pPr>
      <w:r>
        <w:tab/>
        <w:t>(3)</w:t>
      </w:r>
      <w:r>
        <w:tab/>
        <w:t>A person who has a security document and who is in possession of an explosive or an SSAN must, if asked to do so by a DGO, immediately produce it to the DGO for inspection.</w:t>
      </w:r>
    </w:p>
    <w:p>
      <w:pPr>
        <w:pStyle w:val="Penstart"/>
      </w:pPr>
      <w:r>
        <w:tab/>
        <w:t>Penalty: a level 3 fine.</w:t>
      </w:r>
    </w:p>
    <w:p>
      <w:pPr>
        <w:pStyle w:val="Footnotesection"/>
        <w:spacing w:before="80"/>
        <w:ind w:left="890" w:hanging="890"/>
      </w:pPr>
      <w:r>
        <w:tab/>
        <w:t>[Regulation 22 amended: Gazette 16 Mar 2012 p. 1175; 5 Feb 2016 p. 34.]</w:t>
      </w:r>
    </w:p>
    <w:p>
      <w:pPr>
        <w:pStyle w:val="Heading5"/>
        <w:spacing w:before="180"/>
      </w:pPr>
      <w:bookmarkStart w:id="68" w:name="_Toc200095340"/>
      <w:bookmarkStart w:id="69" w:name="_Toc192857062"/>
      <w:r>
        <w:rPr>
          <w:rStyle w:val="CharSectno"/>
        </w:rPr>
        <w:t>23</w:t>
      </w:r>
      <w:r>
        <w:t>.</w:t>
      </w:r>
      <w:r>
        <w:tab/>
        <w:t>Authorisation to have access to explosives</w:t>
      </w:r>
      <w:bookmarkEnd w:id="68"/>
      <w:bookmarkEnd w:id="69"/>
    </w:p>
    <w:p>
      <w:pPr>
        <w:pStyle w:val="Subsection"/>
        <w:spacing w:before="120"/>
      </w:pPr>
      <w:r>
        <w:tab/>
        <w:t>(1)</w:t>
      </w:r>
      <w:r>
        <w:tab/>
        <w:t xml:space="preserve">A licence or test permit holder may authorise an individual — </w:t>
      </w:r>
    </w:p>
    <w:p>
      <w:pPr>
        <w:pStyle w:val="Indenta"/>
      </w:pPr>
      <w:r>
        <w:tab/>
        <w:t>(a)</w:t>
      </w:r>
      <w:r>
        <w:tab/>
        <w:t>to have unsupervised access; or</w:t>
      </w:r>
    </w:p>
    <w:p>
      <w:pPr>
        <w:pStyle w:val="Indenta"/>
      </w:pPr>
      <w:r>
        <w:tab/>
        <w:t>(b)</w:t>
      </w:r>
      <w:r>
        <w:tab/>
        <w:t>to have supervised access,</w:t>
      </w:r>
    </w:p>
    <w:p>
      <w:pPr>
        <w:pStyle w:val="Subsection"/>
        <w:spacing w:before="120"/>
      </w:pPr>
      <w:r>
        <w:tab/>
      </w:r>
      <w:r>
        <w:tab/>
        <w:t>to an explosive in the licence or test permit holder’s possession, and may cancel such an authorisation at any time.</w:t>
      </w:r>
    </w:p>
    <w:p>
      <w:pPr>
        <w:pStyle w:val="Subsection"/>
        <w:spacing w:before="120"/>
      </w:pPr>
      <w:r>
        <w:tab/>
        <w:t>(2)</w:t>
      </w:r>
      <w:r>
        <w:tab/>
        <w:t>A licence or test permit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 or test permit holder is satisfied the individual is suitably trained to safely handle any explosive to which the individual will have unsupervised access.</w:t>
      </w:r>
    </w:p>
    <w:p>
      <w:pPr>
        <w:pStyle w:val="Penstart"/>
      </w:pPr>
      <w:r>
        <w:tab/>
        <w:t>Penalty: a level 2 fine.</w:t>
      </w:r>
    </w:p>
    <w:p>
      <w:pPr>
        <w:pStyle w:val="Subsection"/>
        <w:spacing w:before="120"/>
      </w:pPr>
      <w:r>
        <w:tab/>
        <w:t>(3)</w:t>
      </w:r>
      <w:r>
        <w:tab/>
        <w:t>An authorisation given under subregulation (1)(a) by a licence or test permit holder to an individual authorising unsupervised access must —</w:t>
      </w:r>
    </w:p>
    <w:p>
      <w:pPr>
        <w:pStyle w:val="Indenta"/>
        <w:spacing w:before="60"/>
      </w:pPr>
      <w:r>
        <w:tab/>
        <w:t>(a)</w:t>
      </w:r>
      <w:r>
        <w:tab/>
        <w:t>be in writing; and</w:t>
      </w:r>
    </w:p>
    <w:p>
      <w:pPr>
        <w:pStyle w:val="Indenta"/>
        <w:keepNext/>
        <w:spacing w:before="60"/>
      </w:pPr>
      <w:r>
        <w:tab/>
        <w:t>(b)</w:t>
      </w:r>
      <w:r>
        <w:tab/>
        <w:t>state the following —</w:t>
      </w:r>
    </w:p>
    <w:p>
      <w:pPr>
        <w:pStyle w:val="Indenti"/>
        <w:spacing w:before="60"/>
      </w:pPr>
      <w:r>
        <w:tab/>
        <w:t>(i)</w:t>
      </w:r>
      <w:r>
        <w:tab/>
        <w:t>the date on which the authorisation is given;</w:t>
      </w:r>
    </w:p>
    <w:p>
      <w:pPr>
        <w:pStyle w:val="Indenti"/>
        <w:spacing w:before="60"/>
      </w:pPr>
      <w:r>
        <w:tab/>
        <w:t>(ii)</w:t>
      </w:r>
      <w:r>
        <w:tab/>
        <w:t>the name and residential address of the individual;</w:t>
      </w:r>
    </w:p>
    <w:p>
      <w:pPr>
        <w:pStyle w:val="Indenti"/>
        <w:spacing w:before="60"/>
      </w:pPr>
      <w:r>
        <w:tab/>
        <w:t>(iii)</w:t>
      </w:r>
      <w:r>
        <w:tab/>
        <w:t>each type of explosive in the licence or test permit 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each other condition imposed by the licence or test permit 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 or test permit holder has a record that the individual has stated he or she understands the authorisation.</w:t>
      </w:r>
    </w:p>
    <w:p>
      <w:pPr>
        <w:pStyle w:val="Subsection"/>
      </w:pPr>
      <w:r>
        <w:tab/>
        <w:t>(5)</w:t>
      </w:r>
      <w:r>
        <w:tab/>
        <w:t>If a secure nominee of a licence or test permit holder requests the licence or test permit holder to do so, the licence or test permit holder must give the nominee a copy of each unsupervised access authorisation given by the licence or test permit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 or test permit holder who, under subregulation (1)(b), authorises an individual to have supervised access to an explosive must ensure the individual is supervised while having access to the explosive by —</w:t>
      </w:r>
    </w:p>
    <w:p>
      <w:pPr>
        <w:pStyle w:val="Indenta"/>
      </w:pPr>
      <w:r>
        <w:tab/>
        <w:t>(a)</w:t>
      </w:r>
      <w:r>
        <w:tab/>
        <w:t>the licence or test permit holder; or</w:t>
      </w:r>
    </w:p>
    <w:p>
      <w:pPr>
        <w:pStyle w:val="Indenta"/>
        <w:keepNext/>
      </w:pPr>
      <w:r>
        <w:tab/>
        <w:t>(b)</w:t>
      </w:r>
      <w:r>
        <w:tab/>
        <w:t>a secure nominee of the licence or test permit holder having access to the explosive in accordance with an unsupervised access authorisation given by the licence or test permit holder to the nominee.</w:t>
      </w:r>
    </w:p>
    <w:p>
      <w:pPr>
        <w:pStyle w:val="Penstart"/>
        <w:keepNext/>
      </w:pPr>
      <w:r>
        <w:tab/>
        <w:t>Penalty: a level 2 fine.</w:t>
      </w:r>
    </w:p>
    <w:p>
      <w:pPr>
        <w:pStyle w:val="Footnotesection"/>
      </w:pPr>
      <w:r>
        <w:tab/>
        <w:t>[Regulation 23 inserted: Gazette 2 Dec 2013 p.</w:t>
      </w:r>
      <w:r>
        <w:rPr>
          <w:sz w:val="19"/>
        </w:rPr>
        <w:t> </w:t>
      </w:r>
      <w:r>
        <w:t>5575</w:t>
      </w:r>
      <w:r>
        <w:noBreakHyphen/>
        <w:t>7; amended: Gazette 5 Feb 2016 p. 346.]</w:t>
      </w:r>
    </w:p>
    <w:p>
      <w:pPr>
        <w:pStyle w:val="Heading5"/>
      </w:pPr>
      <w:bookmarkStart w:id="70" w:name="_Toc200095341"/>
      <w:bookmarkStart w:id="71" w:name="_Toc192857063"/>
      <w:r>
        <w:rPr>
          <w:rStyle w:val="CharSectno"/>
        </w:rPr>
        <w:t>24</w:t>
      </w:r>
      <w:r>
        <w:t>.</w:t>
      </w:r>
      <w:r>
        <w:tab/>
        <w:t>Records as to secure nominees</w:t>
      </w:r>
      <w:bookmarkEnd w:id="70"/>
      <w:bookmarkEnd w:id="71"/>
    </w:p>
    <w:p>
      <w:pPr>
        <w:pStyle w:val="Subsection"/>
      </w:pPr>
      <w:r>
        <w:tab/>
        <w:t>(1)</w:t>
      </w:r>
      <w:r>
        <w:tab/>
        <w:t>A licence or test permit holder, for each individual who is a secure nominee of the licence or test permit holder, must keep —</w:t>
      </w:r>
    </w:p>
    <w:p>
      <w:pPr>
        <w:pStyle w:val="Indenta"/>
      </w:pPr>
      <w:r>
        <w:tab/>
        <w:t>(a)</w:t>
      </w:r>
      <w:r>
        <w:tab/>
        <w:t>a proper record of the secure nominee; and</w:t>
      </w:r>
    </w:p>
    <w:p>
      <w:pPr>
        <w:pStyle w:val="Indenta"/>
      </w:pPr>
      <w:r>
        <w:tab/>
        <w:t>(b)</w:t>
      </w:r>
      <w:r>
        <w:tab/>
        <w:t>a copy of each unsupervised access authorisation given by the licence or test permit holder to the secure nominee; and</w:t>
      </w:r>
    </w:p>
    <w:p>
      <w:pPr>
        <w:pStyle w:val="Indenta"/>
      </w:pPr>
      <w:r>
        <w:tab/>
        <w:t>(c)</w:t>
      </w:r>
      <w:r>
        <w:tab/>
        <w:t>the record required by regulation 23(4)(b),</w:t>
      </w:r>
    </w:p>
    <w:p>
      <w:pPr>
        <w:pStyle w:val="Subsection"/>
      </w:pPr>
      <w:r>
        <w:tab/>
      </w:r>
      <w:r>
        <w:tab/>
        <w:t>while the individual is a secure nominee of the licence or test permit holder and for 2 years after the date on which the individual ceases to be a secure nominee of the licence or test permit 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if an unsupervised access authorisation given by the licence or test permit holder to the secure nominee is cancelled, the date on which it is cancelled.</w:t>
      </w:r>
    </w:p>
    <w:p>
      <w:pPr>
        <w:pStyle w:val="Footnotesection"/>
      </w:pPr>
      <w:r>
        <w:tab/>
        <w:t>[Regulation 24 inserted: Gazette 2 Dec 2013 p.</w:t>
      </w:r>
      <w:r>
        <w:rPr>
          <w:sz w:val="19"/>
        </w:rPr>
        <w:t> </w:t>
      </w:r>
      <w:r>
        <w:t>5577</w:t>
      </w:r>
      <w:r>
        <w:noBreakHyphen/>
        <w:t>8; amended: Gazette 5 Feb 2016 p. 346.]</w:t>
      </w:r>
    </w:p>
    <w:p>
      <w:pPr>
        <w:pStyle w:val="Heading5"/>
      </w:pPr>
      <w:bookmarkStart w:id="72" w:name="_Toc200095342"/>
      <w:bookmarkStart w:id="73" w:name="_Toc192857064"/>
      <w:r>
        <w:rPr>
          <w:rStyle w:val="CharSectno"/>
        </w:rPr>
        <w:t>25</w:t>
      </w:r>
      <w:r>
        <w:t>.</w:t>
      </w:r>
      <w:r>
        <w:tab/>
        <w:t>Duties of secure nominees</w:t>
      </w:r>
      <w:bookmarkEnd w:id="72"/>
      <w:bookmarkEnd w:id="73"/>
    </w:p>
    <w:p>
      <w:pPr>
        <w:pStyle w:val="Subsection"/>
      </w:pPr>
      <w:r>
        <w:tab/>
        <w:t>(1)</w:t>
      </w:r>
      <w:r>
        <w:tab/>
        <w:t>A secure nominee of a licence or test permit holder must comply with each unsupervised access authorisation given by the licence or test permit holder to the secure nominee.</w:t>
      </w:r>
    </w:p>
    <w:p>
      <w:pPr>
        <w:pStyle w:val="Penstart"/>
      </w:pPr>
      <w:r>
        <w:tab/>
        <w:t>Penalty: a level 3 fine.</w:t>
      </w:r>
    </w:p>
    <w:p>
      <w:pPr>
        <w:pStyle w:val="Subsection"/>
      </w:pPr>
      <w:r>
        <w:tab/>
        <w:t>(2)</w:t>
      </w:r>
      <w:r>
        <w:tab/>
        <w:t>A secure nominee of a licence or test permit holder who is in possession of an explosive, if asked by a DGO to do so, must give the DGO the name and address of the licence or test permit holder.</w:t>
      </w:r>
    </w:p>
    <w:p>
      <w:pPr>
        <w:pStyle w:val="Penstart"/>
      </w:pPr>
      <w:r>
        <w:tab/>
        <w:t>Penalty: a level 3 fine.</w:t>
      </w:r>
    </w:p>
    <w:p>
      <w:pPr>
        <w:pStyle w:val="Footnotesection"/>
      </w:pPr>
      <w:r>
        <w:tab/>
        <w:t>[Regulation 25 inserted: Gazette 2 Dec 2013 p.</w:t>
      </w:r>
      <w:r>
        <w:rPr>
          <w:sz w:val="19"/>
        </w:rPr>
        <w:t> </w:t>
      </w:r>
      <w:r>
        <w:t>5578; amended: Gazette 5 Feb 2016 p. 346.]</w:t>
      </w:r>
    </w:p>
    <w:p>
      <w:pPr>
        <w:pStyle w:val="Heading5"/>
      </w:pPr>
      <w:bookmarkStart w:id="74" w:name="_Toc200095343"/>
      <w:bookmarkStart w:id="75" w:name="_Toc192857065"/>
      <w:r>
        <w:rPr>
          <w:rStyle w:val="CharSectno"/>
        </w:rPr>
        <w:t>25A</w:t>
      </w:r>
      <w:r>
        <w:t>.</w:t>
      </w:r>
      <w:r>
        <w:tab/>
        <w:t>Duty to correct information in relation to an application under regulation 17 or 21A</w:t>
      </w:r>
      <w:bookmarkEnd w:id="74"/>
      <w:bookmarkEnd w:id="75"/>
      <w:r>
        <w:t xml:space="preserve"> </w:t>
      </w:r>
    </w:p>
    <w:p>
      <w:pPr>
        <w:pStyle w:val="Subsection"/>
      </w:pPr>
      <w:r>
        <w:tab/>
        <w:t>(1)</w:t>
      </w:r>
      <w:r>
        <w:tab/>
        <w:t xml:space="preserve">In this regulation — </w:t>
      </w:r>
    </w:p>
    <w:p>
      <w:pPr>
        <w:pStyle w:val="Defstart"/>
      </w:pPr>
      <w:r>
        <w:tab/>
      </w:r>
      <w:r>
        <w:rPr>
          <w:rStyle w:val="CharDefText"/>
        </w:rPr>
        <w:t>security information</w:t>
      </w:r>
      <w:r>
        <w:t xml:space="preserve"> means information given by a security card holder to the Chief Officer in, or in relation to, an application made under regulation 17 or 21A.</w:t>
      </w:r>
    </w:p>
    <w:p>
      <w:pPr>
        <w:pStyle w:val="Subsection"/>
        <w:keepNext/>
      </w:pPr>
      <w:r>
        <w:tab/>
        <w:t>(2)</w:t>
      </w:r>
      <w:r>
        <w:tab/>
        <w:t xml:space="preserve">A security card holder must, within 14 days after becoming aware that security information has become incorrect in a material respect, correct that information by written notice to the Chief Officer. </w:t>
      </w:r>
    </w:p>
    <w:p>
      <w:pPr>
        <w:pStyle w:val="Penstart"/>
        <w:keepNext/>
      </w:pPr>
      <w:r>
        <w:tab/>
        <w:t>Penalty for this subregulation: a level 3 fine.</w:t>
      </w:r>
    </w:p>
    <w:p>
      <w:pPr>
        <w:pStyle w:val="Footnotesection"/>
      </w:pPr>
      <w:r>
        <w:tab/>
        <w:t>[Regulation 25A inserted: Gazette 20 Mar 2018 p. 997.]</w:t>
      </w:r>
    </w:p>
    <w:p>
      <w:pPr>
        <w:pStyle w:val="Heading2"/>
      </w:pPr>
      <w:bookmarkStart w:id="76" w:name="_Toc200031537"/>
      <w:bookmarkStart w:id="77" w:name="_Toc200036525"/>
      <w:bookmarkStart w:id="78" w:name="_Toc200095344"/>
      <w:bookmarkStart w:id="79" w:name="_Toc192852686"/>
      <w:bookmarkStart w:id="80" w:name="_Toc192853780"/>
      <w:bookmarkStart w:id="81" w:name="_Toc192857066"/>
      <w:r>
        <w:rPr>
          <w:rStyle w:val="CharPartNo"/>
        </w:rPr>
        <w:t>Part 4</w:t>
      </w:r>
      <w:r>
        <w:t> — </w:t>
      </w:r>
      <w:r>
        <w:rPr>
          <w:rStyle w:val="CharPartText"/>
        </w:rPr>
        <w:t>Authorisation of explosives</w:t>
      </w:r>
      <w:bookmarkEnd w:id="76"/>
      <w:bookmarkEnd w:id="77"/>
      <w:bookmarkEnd w:id="78"/>
      <w:bookmarkEnd w:id="79"/>
      <w:bookmarkEnd w:id="80"/>
      <w:bookmarkEnd w:id="81"/>
    </w:p>
    <w:p>
      <w:pPr>
        <w:pStyle w:val="Heading3"/>
      </w:pPr>
      <w:bookmarkStart w:id="82" w:name="_Toc200031538"/>
      <w:bookmarkStart w:id="83" w:name="_Toc200036526"/>
      <w:bookmarkStart w:id="84" w:name="_Toc200095345"/>
      <w:bookmarkStart w:id="85" w:name="_Toc192852687"/>
      <w:bookmarkStart w:id="86" w:name="_Toc192853781"/>
      <w:bookmarkStart w:id="87" w:name="_Toc192857067"/>
      <w:r>
        <w:rPr>
          <w:rStyle w:val="CharDivNo"/>
        </w:rPr>
        <w:t>Division 1</w:t>
      </w:r>
      <w:r>
        <w:t> — </w:t>
      </w:r>
      <w:r>
        <w:rPr>
          <w:rStyle w:val="CharDivText"/>
        </w:rPr>
        <w:t>Testing unauthorised explosives</w:t>
      </w:r>
      <w:bookmarkEnd w:id="82"/>
      <w:bookmarkEnd w:id="83"/>
      <w:bookmarkEnd w:id="84"/>
      <w:bookmarkEnd w:id="85"/>
      <w:bookmarkEnd w:id="86"/>
      <w:bookmarkEnd w:id="87"/>
    </w:p>
    <w:p>
      <w:pPr>
        <w:pStyle w:val="Heading5"/>
        <w:spacing w:before="240"/>
      </w:pPr>
      <w:bookmarkStart w:id="88" w:name="_Toc200095346"/>
      <w:bookmarkStart w:id="89" w:name="_Toc192857068"/>
      <w:r>
        <w:rPr>
          <w:rStyle w:val="CharSectno"/>
        </w:rPr>
        <w:t>26</w:t>
      </w:r>
      <w:r>
        <w:t>.</w:t>
      </w:r>
      <w:r>
        <w:tab/>
        <w:t>Term used: unauthorised explosive</w:t>
      </w:r>
      <w:bookmarkEnd w:id="88"/>
      <w:bookmarkEnd w:id="8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90" w:name="_Toc200095347"/>
      <w:bookmarkStart w:id="91" w:name="_Toc192857069"/>
      <w:r>
        <w:rPr>
          <w:rStyle w:val="CharSectno"/>
        </w:rPr>
        <w:t>27</w:t>
      </w:r>
      <w:r>
        <w:t>.</w:t>
      </w:r>
      <w:r>
        <w:tab/>
        <w:t>Applying for test permit</w:t>
      </w:r>
      <w:bookmarkEnd w:id="90"/>
      <w:bookmarkEnd w:id="91"/>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92" w:name="_Toc200095348"/>
      <w:bookmarkStart w:id="93" w:name="_Toc192857070"/>
      <w:r>
        <w:rPr>
          <w:rStyle w:val="CharSectno"/>
        </w:rPr>
        <w:t>28</w:t>
      </w:r>
      <w:r>
        <w:t>.</w:t>
      </w:r>
      <w:r>
        <w:tab/>
        <w:t>Dealing with applications for test permits</w:t>
      </w:r>
      <w:bookmarkEnd w:id="92"/>
      <w:bookmarkEnd w:id="93"/>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keepNext/>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94" w:name="_Toc200095349"/>
      <w:bookmarkStart w:id="95" w:name="_Toc192857071"/>
      <w:r>
        <w:rPr>
          <w:rStyle w:val="CharSectno"/>
        </w:rPr>
        <w:t>29</w:t>
      </w:r>
      <w:r>
        <w:t>.</w:t>
      </w:r>
      <w:r>
        <w:tab/>
        <w:t>Test permit, effect of</w:t>
      </w:r>
      <w:bookmarkEnd w:id="94"/>
      <w:bookmarkEnd w:id="95"/>
    </w:p>
    <w:p>
      <w:pPr>
        <w:pStyle w:val="Subsection"/>
        <w:keepNext/>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Gazette 2 Dec 2013 p.</w:t>
      </w:r>
      <w:r>
        <w:rPr>
          <w:sz w:val="19"/>
        </w:rPr>
        <w:t> </w:t>
      </w:r>
      <w:r>
        <w:t>5578</w:t>
      </w:r>
      <w:r>
        <w:noBreakHyphen/>
        <w:t>9.]</w:t>
      </w:r>
    </w:p>
    <w:p>
      <w:pPr>
        <w:pStyle w:val="Heading3"/>
      </w:pPr>
      <w:bookmarkStart w:id="96" w:name="_Toc200031543"/>
      <w:bookmarkStart w:id="97" w:name="_Toc200036531"/>
      <w:bookmarkStart w:id="98" w:name="_Toc200095350"/>
      <w:bookmarkStart w:id="99" w:name="_Toc192852692"/>
      <w:bookmarkStart w:id="100" w:name="_Toc192853786"/>
      <w:bookmarkStart w:id="101" w:name="_Toc192857072"/>
      <w:r>
        <w:rPr>
          <w:rStyle w:val="CharDivNo"/>
        </w:rPr>
        <w:t>Division 2</w:t>
      </w:r>
      <w:r>
        <w:t> — </w:t>
      </w:r>
      <w:r>
        <w:rPr>
          <w:rStyle w:val="CharDivText"/>
        </w:rPr>
        <w:t>Authorisation procedure</w:t>
      </w:r>
      <w:bookmarkEnd w:id="96"/>
      <w:bookmarkEnd w:id="97"/>
      <w:bookmarkEnd w:id="98"/>
      <w:bookmarkEnd w:id="99"/>
      <w:bookmarkEnd w:id="100"/>
      <w:bookmarkEnd w:id="101"/>
    </w:p>
    <w:p>
      <w:pPr>
        <w:pStyle w:val="Heading5"/>
      </w:pPr>
      <w:bookmarkStart w:id="102" w:name="_Toc200095351"/>
      <w:bookmarkStart w:id="103" w:name="_Toc192857073"/>
      <w:r>
        <w:rPr>
          <w:rStyle w:val="CharSectno"/>
        </w:rPr>
        <w:t>30</w:t>
      </w:r>
      <w:r>
        <w:t>.</w:t>
      </w:r>
      <w:r>
        <w:tab/>
        <w:t>Applying to have explosive authorised</w:t>
      </w:r>
      <w:bookmarkEnd w:id="102"/>
      <w:bookmarkEnd w:id="103"/>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(Australian Capital Territory);</w:t>
      </w:r>
    </w:p>
    <w:p>
      <w:pPr>
        <w:pStyle w:val="Defpara"/>
      </w:pPr>
      <w:r>
        <w:tab/>
        <w:t>(b)</w:t>
      </w:r>
      <w:r>
        <w:tab/>
        <w:t xml:space="preserve">the </w:t>
      </w:r>
      <w:r>
        <w:rPr>
          <w:i/>
        </w:rPr>
        <w:t>Explosives Regulation 2013</w:t>
      </w:r>
      <w:r>
        <w:t xml:space="preserve"> (New South Wales);</w:t>
      </w:r>
    </w:p>
    <w:p>
      <w:pPr>
        <w:pStyle w:val="Defpara"/>
      </w:pPr>
      <w:r>
        <w:tab/>
        <w:t>(c)</w:t>
      </w:r>
      <w:r>
        <w:tab/>
        <w:t xml:space="preserve">the </w:t>
      </w:r>
      <w:r>
        <w:rPr>
          <w:i/>
        </w:rPr>
        <w:t>Dangerous Goods Regulations</w:t>
      </w:r>
      <w:r>
        <w:t xml:space="preserve"> (Northern Territory);</w:t>
      </w:r>
    </w:p>
    <w:p>
      <w:pPr>
        <w:pStyle w:val="Defpara"/>
      </w:pPr>
      <w:r>
        <w:tab/>
        <w:t>(d)</w:t>
      </w:r>
      <w:r>
        <w:tab/>
        <w:t xml:space="preserve">the </w:t>
      </w:r>
      <w:r>
        <w:rPr>
          <w:i/>
        </w:rPr>
        <w:t>Explosives Regulation 2003</w:t>
      </w:r>
      <w:r>
        <w:t xml:space="preserve"> (Queensland);</w:t>
      </w:r>
    </w:p>
    <w:p>
      <w:pPr>
        <w:pStyle w:val="Defpara"/>
      </w:pPr>
      <w:r>
        <w:tab/>
        <w:t>(e)</w:t>
      </w:r>
      <w:r>
        <w:tab/>
        <w:t xml:space="preserve">the </w:t>
      </w:r>
      <w:r>
        <w:rPr>
          <w:i/>
        </w:rPr>
        <w:t>Explosives Regulations 2011</w:t>
      </w:r>
      <w:r>
        <w:t xml:space="preserve"> (South Australia);</w:t>
      </w:r>
    </w:p>
    <w:p>
      <w:pPr>
        <w:pStyle w:val="Defpara"/>
      </w:pPr>
      <w:r>
        <w:tab/>
        <w:t>(f)</w:t>
      </w:r>
      <w:r>
        <w:tab/>
        <w:t xml:space="preserve">the </w:t>
      </w:r>
      <w:r>
        <w:rPr>
          <w:i/>
        </w:rPr>
        <w:t>Explosives Regulations 2012</w:t>
      </w:r>
      <w:r>
        <w:t xml:space="preserve"> (Tasmania);</w:t>
      </w:r>
    </w:p>
    <w:p>
      <w:pPr>
        <w:pStyle w:val="Defpara"/>
      </w:pPr>
      <w:r>
        <w:tab/>
        <w:t>(g)</w:t>
      </w:r>
      <w:r>
        <w:tab/>
        <w:t xml:space="preserve">the </w:t>
      </w:r>
      <w:r>
        <w:rPr>
          <w:i/>
        </w:rPr>
        <w:t>Dangerous Goods Act 1985</w:t>
      </w:r>
      <w:r>
        <w:t xml:space="preserve"> (Victoria).</w:t>
      </w:r>
    </w:p>
    <w:p>
      <w:pPr>
        <w:pStyle w:val="Subsection"/>
        <w:keepNext/>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if the application is made under subregulation (1)(a) — be accompanied by the fee.</w:t>
      </w:r>
    </w:p>
    <w:p>
      <w:pPr>
        <w:pStyle w:val="Footnotesection"/>
      </w:pPr>
      <w:r>
        <w:tab/>
        <w:t>[Regulation 30 amended: Gazette 16 Mar 2012 p. 1175</w:t>
      </w:r>
      <w:r>
        <w:noBreakHyphen/>
        <w:t>6; 2 Dec 2013 p. 5579; 3 Mar 2017 p. 1475; SL 2020/197 r. 5.]</w:t>
      </w:r>
    </w:p>
    <w:p>
      <w:pPr>
        <w:pStyle w:val="Heading5"/>
      </w:pPr>
      <w:bookmarkStart w:id="104" w:name="_Toc200095352"/>
      <w:bookmarkStart w:id="105" w:name="_Toc192857074"/>
      <w:r>
        <w:rPr>
          <w:rStyle w:val="CharSectno"/>
        </w:rPr>
        <w:t>31</w:t>
      </w:r>
      <w:r>
        <w:t>.</w:t>
      </w:r>
      <w:r>
        <w:tab/>
        <w:t>Authorising explosives</w:t>
      </w:r>
      <w:bookmarkEnd w:id="104"/>
      <w:bookmarkEnd w:id="105"/>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keepNext/>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Gazette 16 Mar 2012 p. 1176.]</w:t>
      </w:r>
    </w:p>
    <w:p>
      <w:pPr>
        <w:pStyle w:val="Heading5"/>
      </w:pPr>
      <w:bookmarkStart w:id="106" w:name="_Toc200095353"/>
      <w:bookmarkStart w:id="107" w:name="_Toc192857075"/>
      <w:r>
        <w:rPr>
          <w:rStyle w:val="CharSectno"/>
        </w:rPr>
        <w:t>32</w:t>
      </w:r>
      <w:r>
        <w:t>.</w:t>
      </w:r>
      <w:r>
        <w:tab/>
        <w:t>Register of authorised explosives</w:t>
      </w:r>
      <w:bookmarkEnd w:id="106"/>
      <w:bookmarkEnd w:id="107"/>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Gazette 16 Mar 2012 p. 1176.]</w:t>
      </w:r>
    </w:p>
    <w:p>
      <w:pPr>
        <w:pStyle w:val="Heading2"/>
      </w:pPr>
      <w:bookmarkStart w:id="108" w:name="_Toc200031547"/>
      <w:bookmarkStart w:id="109" w:name="_Toc200036535"/>
      <w:bookmarkStart w:id="110" w:name="_Toc200095354"/>
      <w:bookmarkStart w:id="111" w:name="_Toc192852696"/>
      <w:bookmarkStart w:id="112" w:name="_Toc192853790"/>
      <w:bookmarkStart w:id="113" w:name="_Toc192857076"/>
      <w:r>
        <w:rPr>
          <w:rStyle w:val="CharPartNo"/>
        </w:rPr>
        <w:t>Part 5</w:t>
      </w:r>
      <w:r>
        <w:rPr>
          <w:rStyle w:val="CharDivNo"/>
        </w:rPr>
        <w:t> </w:t>
      </w:r>
      <w:r>
        <w:t>—</w:t>
      </w:r>
      <w:r>
        <w:rPr>
          <w:rStyle w:val="CharDivText"/>
        </w:rPr>
        <w:t> </w:t>
      </w:r>
      <w:r>
        <w:rPr>
          <w:rStyle w:val="CharPartText"/>
        </w:rPr>
        <w:t>General provisions about explosives</w:t>
      </w:r>
      <w:bookmarkEnd w:id="108"/>
      <w:bookmarkEnd w:id="109"/>
      <w:bookmarkEnd w:id="110"/>
      <w:bookmarkEnd w:id="111"/>
      <w:bookmarkEnd w:id="112"/>
      <w:bookmarkEnd w:id="113"/>
    </w:p>
    <w:p>
      <w:pPr>
        <w:pStyle w:val="Heading5"/>
      </w:pPr>
      <w:bookmarkStart w:id="114" w:name="_Toc200095355"/>
      <w:bookmarkStart w:id="115" w:name="_Toc192857077"/>
      <w:r>
        <w:rPr>
          <w:rStyle w:val="CharSectno"/>
        </w:rPr>
        <w:t>33</w:t>
      </w:r>
      <w:r>
        <w:t>.</w:t>
      </w:r>
      <w:r>
        <w:tab/>
        <w:t>Terms used</w:t>
      </w:r>
      <w:bookmarkEnd w:id="114"/>
      <w:bookmarkEnd w:id="115"/>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16" w:name="_Toc200095356"/>
      <w:bookmarkStart w:id="117" w:name="_Toc192857078"/>
      <w:r>
        <w:rPr>
          <w:rStyle w:val="CharSectno"/>
        </w:rPr>
        <w:t>34</w:t>
      </w:r>
      <w:r>
        <w:t>.</w:t>
      </w:r>
      <w:r>
        <w:tab/>
        <w:t>Signage at certain explosives facilities</w:t>
      </w:r>
      <w:bookmarkEnd w:id="116"/>
      <w:bookmarkEnd w:id="117"/>
    </w:p>
    <w:p>
      <w:pPr>
        <w:pStyle w:val="Subsection"/>
      </w:pPr>
      <w:r>
        <w:tab/>
        <w:t>(1)</w:t>
      </w:r>
      <w:r>
        <w:tab/>
        <w:t>If at a place to which an explosives facility licence relates there are —</w:t>
      </w:r>
    </w:p>
    <w:p>
      <w:pPr>
        <w:pStyle w:val="Indenta"/>
      </w:pPr>
      <w:r>
        <w:tab/>
        <w:t>(a)</w:t>
      </w:r>
      <w:r>
        <w:tab/>
        <w:t>explosives with a classification code of 1.1, 1.2 or 1.5 and the gross weight of the explosives is more than 2.5 kg; or</w:t>
      </w:r>
    </w:p>
    <w:p>
      <w:pPr>
        <w:pStyle w:val="Indenta"/>
      </w:pPr>
      <w:r>
        <w:tab/>
        <w:t>(b)</w:t>
      </w:r>
      <w:r>
        <w:tab/>
        <w:t>explosives with a classification code of 1.3 and the gross weight of the explosives is more than 15 kg; or</w:t>
      </w:r>
    </w:p>
    <w:p>
      <w:pPr>
        <w:pStyle w:val="Indenta"/>
      </w:pPr>
      <w:r>
        <w:tab/>
        <w:t>(c)</w:t>
      </w:r>
      <w:r>
        <w:tab/>
        <w:t>explosives with a classification code of 1.4 and the gross weight of the explosives is more than 30 kg,</w:t>
      </w:r>
    </w:p>
    <w:p>
      <w:pPr>
        <w:pStyle w:val="Subsection"/>
      </w:pPr>
      <w:r>
        <w:tab/>
      </w:r>
      <w:r>
        <w:tab/>
        <w:t>the holder of the licence must ensure that the place has proper perimeter signage.</w:t>
      </w:r>
    </w:p>
    <w:p>
      <w:pPr>
        <w:pStyle w:val="Penstart"/>
      </w:pPr>
      <w:r>
        <w:tab/>
        <w:t>Penalty: a level 2 fine.</w:t>
      </w:r>
    </w:p>
    <w:p>
      <w:pPr>
        <w:pStyle w:val="Subsection"/>
        <w:keepNext/>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the FES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Gazette 16 Mar 2012 p. 1176; 19 Feb 2013 p. 985; 20 Mar 2018 p. 997</w:t>
      </w:r>
      <w:r>
        <w:noBreakHyphen/>
        <w:t>8.]</w:t>
      </w:r>
    </w:p>
    <w:p>
      <w:pPr>
        <w:pStyle w:val="Ednotesection"/>
      </w:pPr>
      <w:r>
        <w:t>[</w:t>
      </w:r>
      <w:r>
        <w:rPr>
          <w:b/>
        </w:rPr>
        <w:t>35.</w:t>
      </w:r>
      <w:r>
        <w:tab/>
        <w:t>Deleted: Gazette 5 Feb 2016 p. 346.]</w:t>
      </w:r>
    </w:p>
    <w:p>
      <w:pPr>
        <w:pStyle w:val="Heading5"/>
      </w:pPr>
      <w:bookmarkStart w:id="118" w:name="_Toc200095357"/>
      <w:bookmarkStart w:id="119" w:name="_Toc192857079"/>
      <w:r>
        <w:rPr>
          <w:rStyle w:val="CharSectno"/>
        </w:rPr>
        <w:t>36</w:t>
      </w:r>
      <w:r>
        <w:t>.</w:t>
      </w:r>
      <w:r>
        <w:tab/>
        <w:t>Explosives sites, duties of people at</w:t>
      </w:r>
      <w:bookmarkEnd w:id="118"/>
      <w:bookmarkEnd w:id="119"/>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Sensitive Ammonium Nitrate) </w:t>
      </w:r>
      <w:r>
        <w:rPr>
          <w:i/>
          <w:iCs/>
        </w:rPr>
        <w:t>Regulations 2007</w:t>
      </w:r>
      <w:r>
        <w:t>, that relates to a place in the facility —</w:t>
      </w:r>
    </w:p>
    <w:p>
      <w:pPr>
        <w:pStyle w:val="Indenti"/>
      </w:pPr>
      <w:r>
        <w:tab/>
        <w:t>(i)</w:t>
      </w:r>
      <w:r>
        <w:tab/>
        <w:t>an SSAN manufacture licence;</w:t>
      </w:r>
    </w:p>
    <w:p>
      <w:pPr>
        <w:pStyle w:val="Indenti"/>
      </w:pPr>
      <w:r>
        <w:tab/>
        <w:t>(ii)</w:t>
      </w:r>
      <w:r>
        <w:tab/>
        <w:t>an SSAN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Gazette 2 Dec 2013 p.</w:t>
      </w:r>
      <w:r>
        <w:rPr>
          <w:sz w:val="19"/>
        </w:rPr>
        <w:t> </w:t>
      </w:r>
      <w:r>
        <w:t>5580; 5 Feb 2016 p. 347.]</w:t>
      </w:r>
    </w:p>
    <w:p>
      <w:pPr>
        <w:pStyle w:val="Heading5"/>
      </w:pPr>
      <w:bookmarkStart w:id="120" w:name="_Toc200095358"/>
      <w:bookmarkStart w:id="121" w:name="_Toc192857080"/>
      <w:r>
        <w:rPr>
          <w:rStyle w:val="CharSectno"/>
        </w:rPr>
        <w:t>37</w:t>
      </w:r>
      <w:r>
        <w:t>.</w:t>
      </w:r>
      <w:r>
        <w:tab/>
        <w:t>Ignition sources near explosives</w:t>
      </w:r>
      <w:bookmarkEnd w:id="120"/>
      <w:bookmarkEnd w:id="121"/>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22" w:name="_Toc200095359"/>
      <w:bookmarkStart w:id="123" w:name="_Toc192857081"/>
      <w:r>
        <w:rPr>
          <w:rStyle w:val="CharSectno"/>
        </w:rPr>
        <w:t>38</w:t>
      </w:r>
      <w:r>
        <w:t>.</w:t>
      </w:r>
      <w:r>
        <w:tab/>
        <w:t>Fire risk substances near explosives</w:t>
      </w:r>
      <w:bookmarkEnd w:id="122"/>
      <w:bookmarkEnd w:id="123"/>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keepNext/>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24" w:name="_Toc200095360"/>
      <w:bookmarkStart w:id="125" w:name="_Toc192857082"/>
      <w:r>
        <w:rPr>
          <w:rStyle w:val="CharSectno"/>
        </w:rPr>
        <w:t>39</w:t>
      </w:r>
      <w:r>
        <w:t>.</w:t>
      </w:r>
      <w:r>
        <w:tab/>
        <w:t>People affected by alcohol etc. near explosives</w:t>
      </w:r>
      <w:bookmarkEnd w:id="124"/>
      <w:bookmarkEnd w:id="125"/>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26" w:name="_Toc200095361"/>
      <w:bookmarkStart w:id="127" w:name="_Toc192857083"/>
      <w:r>
        <w:rPr>
          <w:rStyle w:val="CharSectno"/>
        </w:rPr>
        <w:t>40</w:t>
      </w:r>
      <w:r>
        <w:t>.</w:t>
      </w:r>
      <w:r>
        <w:tab/>
        <w:t>Packaging requirements for explosives</w:t>
      </w:r>
      <w:bookmarkEnd w:id="126"/>
      <w:bookmarkEnd w:id="127"/>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keepNext/>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28" w:name="_Toc200095362"/>
      <w:bookmarkStart w:id="129" w:name="_Toc192857084"/>
      <w:r>
        <w:rPr>
          <w:rStyle w:val="CharSectno"/>
        </w:rPr>
        <w:t>41</w:t>
      </w:r>
      <w:r>
        <w:t>.</w:t>
      </w:r>
      <w:r>
        <w:tab/>
        <w:t>Defective explosives not to be exported or supplied</w:t>
      </w:r>
      <w:bookmarkEnd w:id="128"/>
      <w:bookmarkEnd w:id="129"/>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30" w:name="_Toc200095363"/>
      <w:bookmarkStart w:id="131" w:name="_Toc192857085"/>
      <w:r>
        <w:rPr>
          <w:rStyle w:val="CharSectno"/>
        </w:rPr>
        <w:t>42</w:t>
      </w:r>
      <w:r>
        <w:t>.</w:t>
      </w:r>
      <w:r>
        <w:tab/>
        <w:t>MPUs, use of</w:t>
      </w:r>
      <w:bookmarkEnd w:id="130"/>
      <w:bookmarkEnd w:id="131"/>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Gazette 16 Mar 2012 p. 1176; 3 Mar 2017 p. 1475.]</w:t>
      </w:r>
    </w:p>
    <w:p>
      <w:pPr>
        <w:pStyle w:val="Heading5"/>
      </w:pPr>
      <w:bookmarkStart w:id="132" w:name="_Toc200095364"/>
      <w:bookmarkStart w:id="133" w:name="_Toc192857086"/>
      <w:r>
        <w:rPr>
          <w:rStyle w:val="CharSectno"/>
        </w:rPr>
        <w:t>43</w:t>
      </w:r>
      <w:r>
        <w:t>.</w:t>
      </w:r>
      <w:r>
        <w:tab/>
        <w:t>Falsely representing that explosive is authorised</w:t>
      </w:r>
      <w:bookmarkEnd w:id="132"/>
      <w:bookmarkEnd w:id="133"/>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34" w:name="_Toc200095365"/>
      <w:bookmarkStart w:id="135" w:name="_Toc192857087"/>
      <w:r>
        <w:rPr>
          <w:rStyle w:val="CharSectno"/>
        </w:rPr>
        <w:t>44</w:t>
      </w:r>
      <w:r>
        <w:t>.</w:t>
      </w:r>
      <w:r>
        <w:tab/>
        <w:t>Reportable situations prescribed (Act s. 9)</w:t>
      </w:r>
      <w:bookmarkEnd w:id="134"/>
      <w:bookmarkEnd w:id="135"/>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keepNext/>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Gazette 16 Mar 2012 p. 1177.]</w:t>
      </w:r>
    </w:p>
    <w:p>
      <w:pPr>
        <w:pStyle w:val="Heading2"/>
      </w:pPr>
      <w:bookmarkStart w:id="136" w:name="_Toc200031559"/>
      <w:bookmarkStart w:id="137" w:name="_Toc200036547"/>
      <w:bookmarkStart w:id="138" w:name="_Toc200095366"/>
      <w:bookmarkStart w:id="139" w:name="_Toc192852708"/>
      <w:bookmarkStart w:id="140" w:name="_Toc192853802"/>
      <w:bookmarkStart w:id="141" w:name="_Toc192857088"/>
      <w:r>
        <w:rPr>
          <w:rStyle w:val="CharPartNo"/>
        </w:rPr>
        <w:t>Part 6</w:t>
      </w:r>
      <w:r>
        <w:t> — </w:t>
      </w:r>
      <w:r>
        <w:rPr>
          <w:rStyle w:val="CharPartText"/>
        </w:rPr>
        <w:t>Possession of explosives</w:t>
      </w:r>
      <w:bookmarkEnd w:id="136"/>
      <w:bookmarkEnd w:id="137"/>
      <w:bookmarkEnd w:id="138"/>
      <w:bookmarkEnd w:id="139"/>
      <w:bookmarkEnd w:id="140"/>
      <w:bookmarkEnd w:id="141"/>
    </w:p>
    <w:p>
      <w:pPr>
        <w:pStyle w:val="Heading3"/>
      </w:pPr>
      <w:bookmarkStart w:id="142" w:name="_Toc200031560"/>
      <w:bookmarkStart w:id="143" w:name="_Toc200036548"/>
      <w:bookmarkStart w:id="144" w:name="_Toc200095367"/>
      <w:bookmarkStart w:id="145" w:name="_Toc192852709"/>
      <w:bookmarkStart w:id="146" w:name="_Toc192853803"/>
      <w:bookmarkStart w:id="147" w:name="_Toc192857089"/>
      <w:r>
        <w:rPr>
          <w:rStyle w:val="CharDivNo"/>
        </w:rPr>
        <w:t>Division 1</w:t>
      </w:r>
      <w:r>
        <w:t> — </w:t>
      </w:r>
      <w:r>
        <w:rPr>
          <w:rStyle w:val="CharDivText"/>
        </w:rPr>
        <w:t>Licensing requirements</w:t>
      </w:r>
      <w:bookmarkEnd w:id="142"/>
      <w:bookmarkEnd w:id="143"/>
      <w:bookmarkEnd w:id="144"/>
      <w:bookmarkEnd w:id="145"/>
      <w:bookmarkEnd w:id="146"/>
      <w:bookmarkEnd w:id="147"/>
    </w:p>
    <w:p>
      <w:pPr>
        <w:pStyle w:val="Heading5"/>
      </w:pPr>
      <w:bookmarkStart w:id="148" w:name="_Toc200095368"/>
      <w:bookmarkStart w:id="149" w:name="_Toc192857090"/>
      <w:r>
        <w:rPr>
          <w:rStyle w:val="CharSectno"/>
        </w:rPr>
        <w:t>45</w:t>
      </w:r>
      <w:r>
        <w:t>.</w:t>
      </w:r>
      <w:r>
        <w:tab/>
        <w:t>Unauthorised explosives</w:t>
      </w:r>
      <w:bookmarkEnd w:id="148"/>
      <w:bookmarkEnd w:id="149"/>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Gazette 2 Dec 2013 p.</w:t>
      </w:r>
      <w:r>
        <w:rPr>
          <w:sz w:val="19"/>
        </w:rPr>
        <w:t> </w:t>
      </w:r>
      <w:r>
        <w:t>5580.]</w:t>
      </w:r>
    </w:p>
    <w:p>
      <w:pPr>
        <w:pStyle w:val="Heading5"/>
      </w:pPr>
      <w:bookmarkStart w:id="150" w:name="_Toc200095369"/>
      <w:bookmarkStart w:id="151" w:name="_Toc192857091"/>
      <w:r>
        <w:rPr>
          <w:rStyle w:val="CharSectno"/>
        </w:rPr>
        <w:t>46</w:t>
      </w:r>
      <w:r>
        <w:t>.</w:t>
      </w:r>
      <w:r>
        <w:tab/>
        <w:t>Possession for which no licence is required (Sch. 4)</w:t>
      </w:r>
      <w:bookmarkEnd w:id="150"/>
      <w:bookmarkEnd w:id="151"/>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Gazette 2 Dec 2013 p.</w:t>
      </w:r>
      <w:r>
        <w:rPr>
          <w:sz w:val="19"/>
        </w:rPr>
        <w:t> </w:t>
      </w:r>
      <w:r>
        <w:t>5581.]</w:t>
      </w:r>
    </w:p>
    <w:p>
      <w:pPr>
        <w:pStyle w:val="Heading5"/>
      </w:pPr>
      <w:bookmarkStart w:id="152" w:name="_Toc200095370"/>
      <w:bookmarkStart w:id="153" w:name="_Toc192857092"/>
      <w:r>
        <w:rPr>
          <w:rStyle w:val="CharSectno"/>
        </w:rPr>
        <w:t>47</w:t>
      </w:r>
      <w:r>
        <w:t>.</w:t>
      </w:r>
      <w:r>
        <w:tab/>
        <w:t>Authorised explosives, licences and permits entitling possession of</w:t>
      </w:r>
      <w:bookmarkEnd w:id="152"/>
      <w:bookmarkEnd w:id="153"/>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154" w:name="_Toc200031564"/>
      <w:bookmarkStart w:id="155" w:name="_Toc200036552"/>
      <w:bookmarkStart w:id="156" w:name="_Toc200095371"/>
      <w:bookmarkStart w:id="157" w:name="_Toc192852713"/>
      <w:bookmarkStart w:id="158" w:name="_Toc192853807"/>
      <w:bookmarkStart w:id="159" w:name="_Toc192857093"/>
      <w:r>
        <w:rPr>
          <w:rStyle w:val="CharDivNo"/>
        </w:rPr>
        <w:t>Division 2</w:t>
      </w:r>
      <w:r>
        <w:t> — </w:t>
      </w:r>
      <w:r>
        <w:rPr>
          <w:rStyle w:val="CharDivText"/>
        </w:rPr>
        <w:t>Other requirements</w:t>
      </w:r>
      <w:bookmarkEnd w:id="154"/>
      <w:bookmarkEnd w:id="155"/>
      <w:bookmarkEnd w:id="156"/>
      <w:bookmarkEnd w:id="157"/>
      <w:bookmarkEnd w:id="158"/>
      <w:bookmarkEnd w:id="159"/>
    </w:p>
    <w:p>
      <w:pPr>
        <w:pStyle w:val="Heading5"/>
      </w:pPr>
      <w:bookmarkStart w:id="160" w:name="_Toc200095372"/>
      <w:bookmarkStart w:id="161" w:name="_Toc192857094"/>
      <w:r>
        <w:rPr>
          <w:rStyle w:val="CharSectno"/>
        </w:rPr>
        <w:t>48</w:t>
      </w:r>
      <w:r>
        <w:t>.</w:t>
      </w:r>
      <w:r>
        <w:tab/>
        <w:t>Prohibited explosives, possession of</w:t>
      </w:r>
      <w:bookmarkEnd w:id="160"/>
      <w:bookmarkEnd w:id="161"/>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Gazette 16 Mar 2012 p. 1177.]</w:t>
      </w:r>
    </w:p>
    <w:p>
      <w:pPr>
        <w:pStyle w:val="Heading5"/>
      </w:pPr>
      <w:bookmarkStart w:id="162" w:name="_Toc200095373"/>
      <w:bookmarkStart w:id="163" w:name="_Toc192857095"/>
      <w:r>
        <w:rPr>
          <w:rStyle w:val="CharSectno"/>
        </w:rPr>
        <w:t>49</w:t>
      </w:r>
      <w:r>
        <w:t>.</w:t>
      </w:r>
      <w:r>
        <w:tab/>
        <w:t>Children in possession of explosives</w:t>
      </w:r>
      <w:bookmarkEnd w:id="162"/>
      <w:bookmarkEnd w:id="163"/>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64" w:name="_Toc200095374"/>
      <w:bookmarkStart w:id="165" w:name="_Toc192857096"/>
      <w:r>
        <w:rPr>
          <w:rStyle w:val="CharSectno"/>
        </w:rPr>
        <w:t>50</w:t>
      </w:r>
      <w:r>
        <w:t>.</w:t>
      </w:r>
      <w:r>
        <w:tab/>
        <w:t>Public places, possession in</w:t>
      </w:r>
      <w:bookmarkEnd w:id="164"/>
      <w:bookmarkEnd w:id="165"/>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66" w:name="_Toc200095375"/>
      <w:bookmarkStart w:id="167" w:name="_Toc192857097"/>
      <w:r>
        <w:rPr>
          <w:rStyle w:val="CharSectno"/>
        </w:rPr>
        <w:t>51</w:t>
      </w:r>
      <w:r>
        <w:t>.</w:t>
      </w:r>
      <w:r>
        <w:tab/>
        <w:t>Licences etc. to be carried</w:t>
      </w:r>
      <w:bookmarkEnd w:id="166"/>
      <w:bookmarkEnd w:id="167"/>
    </w:p>
    <w:p>
      <w:pPr>
        <w:pStyle w:val="Subsection"/>
      </w:pPr>
      <w:r>
        <w:tab/>
        <w:t>(1)</w:t>
      </w:r>
      <w:r>
        <w:tab/>
        <w:t xml:space="preserve">A person who holds a licence that authorises the person to possess an explosive and who is in possession of the explosive must — </w:t>
      </w:r>
    </w:p>
    <w:p>
      <w:pPr>
        <w:pStyle w:val="Indenta"/>
      </w:pPr>
      <w:r>
        <w:tab/>
        <w:t>(a)</w:t>
      </w:r>
      <w:r>
        <w:tab/>
        <w:t>carry the licence; or</w:t>
      </w:r>
    </w:p>
    <w:p>
      <w:pPr>
        <w:pStyle w:val="Indenta"/>
      </w:pPr>
      <w:r>
        <w:tab/>
        <w:t>(b)</w:t>
      </w:r>
      <w:r>
        <w:tab/>
        <w:t>have the licence in the vehicle in which the person is travelling; or</w:t>
      </w:r>
    </w:p>
    <w:p>
      <w:pPr>
        <w:pStyle w:val="Indenta"/>
      </w:pPr>
      <w:r>
        <w:tab/>
        <w:t>(c)</w:t>
      </w:r>
      <w:r>
        <w:tab/>
        <w:t>have the licence at the place where the person is in possession of the explosive.</w:t>
      </w:r>
    </w:p>
    <w:p>
      <w:pPr>
        <w:pStyle w:val="Penstart"/>
      </w:pPr>
      <w:r>
        <w:tab/>
        <w:t>Penalty for this subregulation: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for this subregulation: a level 3 fine.</w:t>
      </w:r>
    </w:p>
    <w:p>
      <w:pPr>
        <w:pStyle w:val="Footnotesection"/>
      </w:pPr>
      <w:r>
        <w:tab/>
        <w:t>[Regulation 51 amended: Gazette 5 Feb 2016 p. 347.]</w:t>
      </w:r>
    </w:p>
    <w:p>
      <w:pPr>
        <w:pStyle w:val="Heading5"/>
      </w:pPr>
      <w:bookmarkStart w:id="168" w:name="_Toc200095376"/>
      <w:bookmarkStart w:id="169" w:name="_Toc192857098"/>
      <w:r>
        <w:rPr>
          <w:rStyle w:val="CharSectno"/>
        </w:rPr>
        <w:t>52</w:t>
      </w:r>
      <w:r>
        <w:t>.</w:t>
      </w:r>
      <w:r>
        <w:tab/>
        <w:t>Duties to keep explosives secure</w:t>
      </w:r>
      <w:bookmarkEnd w:id="168"/>
      <w:bookmarkEnd w:id="169"/>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70" w:name="_Toc200031570"/>
      <w:bookmarkStart w:id="171" w:name="_Toc200036558"/>
      <w:bookmarkStart w:id="172" w:name="_Toc200095377"/>
      <w:bookmarkStart w:id="173" w:name="_Toc192852719"/>
      <w:bookmarkStart w:id="174" w:name="_Toc192853813"/>
      <w:bookmarkStart w:id="175" w:name="_Toc192857099"/>
      <w:r>
        <w:rPr>
          <w:rStyle w:val="CharPartNo"/>
        </w:rPr>
        <w:t>Part 7</w:t>
      </w:r>
      <w:r>
        <w:t> — </w:t>
      </w:r>
      <w:r>
        <w:rPr>
          <w:rStyle w:val="CharPartText"/>
        </w:rPr>
        <w:t>Import and export of explosives</w:t>
      </w:r>
      <w:bookmarkEnd w:id="170"/>
      <w:bookmarkEnd w:id="171"/>
      <w:bookmarkEnd w:id="172"/>
      <w:bookmarkEnd w:id="173"/>
      <w:bookmarkEnd w:id="174"/>
      <w:bookmarkEnd w:id="175"/>
    </w:p>
    <w:p>
      <w:pPr>
        <w:pStyle w:val="Heading3"/>
      </w:pPr>
      <w:bookmarkStart w:id="176" w:name="_Toc200031571"/>
      <w:bookmarkStart w:id="177" w:name="_Toc200036559"/>
      <w:bookmarkStart w:id="178" w:name="_Toc200095378"/>
      <w:bookmarkStart w:id="179" w:name="_Toc192852720"/>
      <w:bookmarkStart w:id="180" w:name="_Toc192853814"/>
      <w:bookmarkStart w:id="181" w:name="_Toc192857100"/>
      <w:r>
        <w:rPr>
          <w:rStyle w:val="CharDivNo"/>
        </w:rPr>
        <w:t>Division 1</w:t>
      </w:r>
      <w:r>
        <w:t> — </w:t>
      </w:r>
      <w:r>
        <w:rPr>
          <w:rStyle w:val="CharDivText"/>
        </w:rPr>
        <w:t>All imports and exports</w:t>
      </w:r>
      <w:bookmarkEnd w:id="176"/>
      <w:bookmarkEnd w:id="177"/>
      <w:bookmarkEnd w:id="178"/>
      <w:bookmarkEnd w:id="179"/>
      <w:bookmarkEnd w:id="180"/>
      <w:bookmarkEnd w:id="181"/>
    </w:p>
    <w:p>
      <w:pPr>
        <w:pStyle w:val="Heading5"/>
      </w:pPr>
      <w:bookmarkStart w:id="182" w:name="_Toc200095379"/>
      <w:bookmarkStart w:id="183" w:name="_Toc192857101"/>
      <w:r>
        <w:rPr>
          <w:rStyle w:val="CharSectno"/>
        </w:rPr>
        <w:t>53</w:t>
      </w:r>
      <w:r>
        <w:t>.</w:t>
      </w:r>
      <w:r>
        <w:tab/>
        <w:t>Unauthorised explosives</w:t>
      </w:r>
      <w:bookmarkEnd w:id="182"/>
      <w:bookmarkEnd w:id="183"/>
    </w:p>
    <w:p>
      <w:pPr>
        <w:pStyle w:val="Subsection"/>
        <w:spacing w:before="120"/>
      </w:pPr>
      <w:r>
        <w:tab/>
      </w:r>
      <w:r>
        <w:tab/>
        <w:t>A person who imports to the State an unauthorised explosive must hold a test permit that authorises the person to import it.</w:t>
      </w:r>
    </w:p>
    <w:p>
      <w:pPr>
        <w:pStyle w:val="Ednotedivision"/>
      </w:pPr>
      <w:r>
        <w:t>[Div. 2 (r. 54-55) deleted: Gazette 20 Mar 2018 p. 998.]</w:t>
      </w:r>
    </w:p>
    <w:p>
      <w:pPr>
        <w:pStyle w:val="Heading3"/>
      </w:pPr>
      <w:bookmarkStart w:id="184" w:name="_Toc200031573"/>
      <w:bookmarkStart w:id="185" w:name="_Toc200036561"/>
      <w:bookmarkStart w:id="186" w:name="_Toc200095380"/>
      <w:bookmarkStart w:id="187" w:name="_Toc192852722"/>
      <w:bookmarkStart w:id="188" w:name="_Toc192853816"/>
      <w:bookmarkStart w:id="189" w:name="_Toc192857102"/>
      <w:r>
        <w:rPr>
          <w:rStyle w:val="CharDivNo"/>
        </w:rPr>
        <w:t>Division 3</w:t>
      </w:r>
      <w:r>
        <w:t> — </w:t>
      </w:r>
      <w:r>
        <w:rPr>
          <w:rStyle w:val="CharDivText"/>
        </w:rPr>
        <w:t>International imports and exports</w:t>
      </w:r>
      <w:bookmarkEnd w:id="184"/>
      <w:bookmarkEnd w:id="185"/>
      <w:bookmarkEnd w:id="186"/>
      <w:bookmarkEnd w:id="187"/>
      <w:bookmarkEnd w:id="188"/>
      <w:bookmarkEnd w:id="189"/>
    </w:p>
    <w:p>
      <w:pPr>
        <w:pStyle w:val="Heading5"/>
      </w:pPr>
      <w:bookmarkStart w:id="190" w:name="_Toc200095381"/>
      <w:bookmarkStart w:id="191" w:name="_Toc192857103"/>
      <w:r>
        <w:rPr>
          <w:rStyle w:val="CharSectno"/>
        </w:rPr>
        <w:t>56</w:t>
      </w:r>
      <w:r>
        <w:t>.</w:t>
      </w:r>
      <w:r>
        <w:tab/>
        <w:t>Terms used</w:t>
      </w:r>
      <w:bookmarkEnd w:id="190"/>
      <w:bookmarkEnd w:id="191"/>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92" w:name="_Toc200095382"/>
      <w:bookmarkStart w:id="193" w:name="_Toc192857104"/>
      <w:r>
        <w:rPr>
          <w:rStyle w:val="CharSectno"/>
        </w:rPr>
        <w:t>57</w:t>
      </w:r>
      <w:r>
        <w:t>.</w:t>
      </w:r>
      <w:r>
        <w:tab/>
        <w:t>Authorised explosives, licence entitling import or export</w:t>
      </w:r>
      <w:bookmarkEnd w:id="192"/>
      <w:bookmarkEnd w:id="193"/>
    </w:p>
    <w:p>
      <w:pPr>
        <w:pStyle w:val="Subsection"/>
      </w:pPr>
      <w:r>
        <w:tab/>
        <w:t>(1A)</w:t>
      </w:r>
      <w:r>
        <w:tab/>
        <w:t>This regulation does not apply to a sparkler that is an authorised explosive.</w:t>
      </w:r>
    </w:p>
    <w:p>
      <w:pPr>
        <w:pStyle w:val="Subsection"/>
        <w:keepNext/>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Gazette 16 Mar 2012 p. 1177.]</w:t>
      </w:r>
    </w:p>
    <w:p>
      <w:pPr>
        <w:pStyle w:val="Heading5"/>
      </w:pPr>
      <w:bookmarkStart w:id="194" w:name="_Toc200095383"/>
      <w:bookmarkStart w:id="195" w:name="_Toc192857105"/>
      <w:r>
        <w:rPr>
          <w:rStyle w:val="CharSectno"/>
        </w:rPr>
        <w:t>58</w:t>
      </w:r>
      <w:r>
        <w:t>.</w:t>
      </w:r>
      <w:r>
        <w:tab/>
        <w:t>International import and export, procedure for</w:t>
      </w:r>
      <w:bookmarkEnd w:id="194"/>
      <w:bookmarkEnd w:id="195"/>
    </w:p>
    <w:p>
      <w:pPr>
        <w:pStyle w:val="Subsection"/>
        <w:spacing w:before="120"/>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spacing w:before="60"/>
      </w:pPr>
      <w:r>
        <w:tab/>
        <w:t>(a)</w:t>
      </w:r>
      <w:r>
        <w:tab/>
        <w:t>if the explosive is being imported — an explosives import notice under regulation 59 in respect of the explosive at least 7 days before the date when the explosive is expected to arrive in the State;</w:t>
      </w:r>
    </w:p>
    <w:p>
      <w:pPr>
        <w:pStyle w:val="Indenta"/>
        <w:spacing w:before="60"/>
      </w:pPr>
      <w:r>
        <w:tab/>
        <w:t>(b)</w:t>
      </w:r>
      <w:r>
        <w:tab/>
        <w:t>if the explosive is being exported — an explosives export notice under regulation 59 in respect of the explosive at least 7 days before the date when the explosive is expected to leave the State;</w:t>
      </w:r>
    </w:p>
    <w:p>
      <w:pPr>
        <w:pStyle w:val="Indenta"/>
        <w:spacing w:before="60"/>
      </w:pPr>
      <w:r>
        <w:tab/>
        <w:t>(c)</w:t>
      </w:r>
      <w:r>
        <w:tab/>
        <w:t>an SDS for the explosive.</w:t>
      </w:r>
    </w:p>
    <w:p>
      <w:pPr>
        <w:pStyle w:val="Penstart"/>
        <w:spacing w:before="60"/>
      </w:pPr>
      <w:r>
        <w:tab/>
        <w:t>Penalty: a level 2 fine.</w:t>
      </w:r>
    </w:p>
    <w:p>
      <w:pPr>
        <w:pStyle w:val="Footnotesection"/>
      </w:pPr>
      <w:r>
        <w:tab/>
        <w:t>[Regulation 58 amended: Gazette 3 Mar 2017 p. 1475.]</w:t>
      </w:r>
    </w:p>
    <w:p>
      <w:pPr>
        <w:pStyle w:val="Heading5"/>
        <w:spacing w:before="180"/>
      </w:pPr>
      <w:bookmarkStart w:id="196" w:name="_Toc200095384"/>
      <w:bookmarkStart w:id="197" w:name="_Toc192857106"/>
      <w:r>
        <w:rPr>
          <w:rStyle w:val="CharSectno"/>
        </w:rPr>
        <w:t>59</w:t>
      </w:r>
      <w:r>
        <w:t>.</w:t>
      </w:r>
      <w:r>
        <w:tab/>
        <w:t>Import or export, notice to Chief Officer</w:t>
      </w:r>
      <w:bookmarkEnd w:id="196"/>
      <w:bookmarkEnd w:id="197"/>
    </w:p>
    <w:p>
      <w:pPr>
        <w:pStyle w:val="Subsection"/>
        <w:spacing w:before="120"/>
      </w:pPr>
      <w:r>
        <w:tab/>
        <w:t>(1)</w:t>
      </w:r>
      <w:r>
        <w:tab/>
        <w:t>An explosives import notice in respect of an explosive must be in an approved form and contain this information —</w:t>
      </w:r>
    </w:p>
    <w:p>
      <w:pPr>
        <w:pStyle w:val="Indenta"/>
        <w:spacing w:before="60"/>
      </w:pPr>
      <w:r>
        <w:tab/>
        <w:t>(a)</w:t>
      </w:r>
      <w:r>
        <w:tab/>
        <w:t>the details of the explosives import/export licence held by the person importing the explosive;</w:t>
      </w:r>
    </w:p>
    <w:p>
      <w:pPr>
        <w:pStyle w:val="Indenta"/>
        <w:spacing w:before="60"/>
      </w:pPr>
      <w:r>
        <w:tab/>
        <w:t>(b)</w:t>
      </w:r>
      <w:r>
        <w:tab/>
        <w:t>the name and address of both the consignee and consignor of the explosive;</w:t>
      </w:r>
    </w:p>
    <w:p>
      <w:pPr>
        <w:pStyle w:val="Indenta"/>
        <w:spacing w:before="60"/>
      </w:pPr>
      <w:r>
        <w:tab/>
        <w:t>(c)</w:t>
      </w:r>
      <w:r>
        <w:tab/>
        <w:t>the required details of the explosive being imported;</w:t>
      </w:r>
    </w:p>
    <w:p>
      <w:pPr>
        <w:pStyle w:val="Indenta"/>
        <w:spacing w:before="60"/>
      </w:pPr>
      <w:r>
        <w:tab/>
        <w:t>(d)</w:t>
      </w:r>
      <w:r>
        <w:tab/>
        <w:t xml:space="preserve">a certificate that the explosive — </w:t>
      </w:r>
    </w:p>
    <w:p>
      <w:pPr>
        <w:pStyle w:val="Indenti"/>
        <w:spacing w:before="60"/>
      </w:pPr>
      <w:r>
        <w:tab/>
        <w:t>(i)</w:t>
      </w:r>
      <w:r>
        <w:tab/>
        <w:t>is an authorised explosive; and</w:t>
      </w:r>
    </w:p>
    <w:p>
      <w:pPr>
        <w:pStyle w:val="Indenti"/>
        <w:spacing w:before="60"/>
      </w:pPr>
      <w:r>
        <w:tab/>
        <w:t>(ii)</w:t>
      </w:r>
      <w:r>
        <w:tab/>
        <w:t>is packaged in accordance with the relevant international requirements; and</w:t>
      </w:r>
    </w:p>
    <w:p>
      <w:pPr>
        <w:pStyle w:val="Indenti"/>
        <w:spacing w:before="60"/>
      </w:pPr>
      <w:r>
        <w:tab/>
        <w:t>(iii)</w:t>
      </w:r>
      <w:r>
        <w:tab/>
        <w:t>is in a safe condition to be transported;</w:t>
      </w:r>
    </w:p>
    <w:p>
      <w:pPr>
        <w:pStyle w:val="Indenta"/>
        <w:spacing w:before="60"/>
      </w:pPr>
      <w:r>
        <w:tab/>
        <w:t>(e)</w:t>
      </w:r>
      <w:r>
        <w:tab/>
        <w:t>the country from which the explosive is being imported;</w:t>
      </w:r>
    </w:p>
    <w:p>
      <w:pPr>
        <w:pStyle w:val="Indenta"/>
        <w:spacing w:before="60"/>
      </w:pPr>
      <w:r>
        <w:tab/>
        <w:t>(f)</w:t>
      </w:r>
      <w:r>
        <w:tab/>
        <w:t>details that identify the vehicle that will transport the explosive into the State;</w:t>
      </w:r>
    </w:p>
    <w:p>
      <w:pPr>
        <w:pStyle w:val="Indenta"/>
        <w:spacing w:before="60"/>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98" w:name="_Toc200095385"/>
      <w:bookmarkStart w:id="199" w:name="_Toc192857107"/>
      <w:r>
        <w:rPr>
          <w:rStyle w:val="CharSectno"/>
        </w:rPr>
        <w:t>60</w:t>
      </w:r>
      <w:r>
        <w:t>.</w:t>
      </w:r>
      <w:r>
        <w:tab/>
        <w:t>Chief Officer may direct explosive to be analysed</w:t>
      </w:r>
      <w:bookmarkEnd w:id="198"/>
      <w:bookmarkEnd w:id="199"/>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200" w:name="_Toc200095386"/>
      <w:bookmarkStart w:id="201" w:name="_Toc192857108"/>
      <w:r>
        <w:rPr>
          <w:rStyle w:val="CharSectno"/>
        </w:rPr>
        <w:t>61</w:t>
      </w:r>
      <w:r>
        <w:t>.</w:t>
      </w:r>
      <w:r>
        <w:tab/>
        <w:t>Records to be kept by licence holders</w:t>
      </w:r>
      <w:bookmarkEnd w:id="200"/>
      <w:bookmarkEnd w:id="201"/>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keepNext/>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202" w:name="_Toc200095387"/>
      <w:bookmarkStart w:id="203" w:name="_Toc192857109"/>
      <w:r>
        <w:rPr>
          <w:rStyle w:val="CharSectno"/>
        </w:rPr>
        <w:t>62</w:t>
      </w:r>
      <w:r>
        <w:t>.</w:t>
      </w:r>
      <w:r>
        <w:tab/>
        <w:t>Port operators may refuse import in certain cases</w:t>
      </w:r>
      <w:bookmarkEnd w:id="202"/>
      <w:bookmarkEnd w:id="203"/>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04" w:name="_Toc200031581"/>
      <w:bookmarkStart w:id="205" w:name="_Toc200036569"/>
      <w:bookmarkStart w:id="206" w:name="_Toc200095388"/>
      <w:bookmarkStart w:id="207" w:name="_Toc192852730"/>
      <w:bookmarkStart w:id="208" w:name="_Toc192853824"/>
      <w:bookmarkStart w:id="209" w:name="_Toc192857110"/>
      <w:r>
        <w:rPr>
          <w:rStyle w:val="CharPartNo"/>
        </w:rPr>
        <w:t>Part 8</w:t>
      </w:r>
      <w:r>
        <w:t> — </w:t>
      </w:r>
      <w:r>
        <w:rPr>
          <w:rStyle w:val="CharPartText"/>
        </w:rPr>
        <w:t>Manufacture of explosives</w:t>
      </w:r>
      <w:bookmarkEnd w:id="204"/>
      <w:bookmarkEnd w:id="205"/>
      <w:bookmarkEnd w:id="206"/>
      <w:bookmarkEnd w:id="207"/>
      <w:bookmarkEnd w:id="208"/>
      <w:bookmarkEnd w:id="209"/>
    </w:p>
    <w:p>
      <w:pPr>
        <w:pStyle w:val="Heading3"/>
        <w:spacing w:before="260"/>
      </w:pPr>
      <w:bookmarkStart w:id="210" w:name="_Toc200031582"/>
      <w:bookmarkStart w:id="211" w:name="_Toc200036570"/>
      <w:bookmarkStart w:id="212" w:name="_Toc200095389"/>
      <w:bookmarkStart w:id="213" w:name="_Toc192852731"/>
      <w:bookmarkStart w:id="214" w:name="_Toc192853825"/>
      <w:bookmarkStart w:id="215" w:name="_Toc192857111"/>
      <w:r>
        <w:rPr>
          <w:rStyle w:val="CharDivNo"/>
        </w:rPr>
        <w:t>Division 1</w:t>
      </w:r>
      <w:r>
        <w:t> — </w:t>
      </w:r>
      <w:r>
        <w:rPr>
          <w:rStyle w:val="CharDivText"/>
        </w:rPr>
        <w:t>Licensing requirements</w:t>
      </w:r>
      <w:bookmarkEnd w:id="210"/>
      <w:bookmarkEnd w:id="211"/>
      <w:bookmarkEnd w:id="212"/>
      <w:bookmarkEnd w:id="213"/>
      <w:bookmarkEnd w:id="214"/>
      <w:bookmarkEnd w:id="215"/>
    </w:p>
    <w:p>
      <w:pPr>
        <w:pStyle w:val="Heading5"/>
        <w:spacing w:before="240"/>
      </w:pPr>
      <w:bookmarkStart w:id="216" w:name="_Toc200095390"/>
      <w:bookmarkStart w:id="217" w:name="_Toc192857112"/>
      <w:r>
        <w:rPr>
          <w:rStyle w:val="CharSectno"/>
        </w:rPr>
        <w:t>63</w:t>
      </w:r>
      <w:r>
        <w:t>.</w:t>
      </w:r>
      <w:r>
        <w:tab/>
        <w:t>Unauthorised explosives</w:t>
      </w:r>
      <w:bookmarkEnd w:id="216"/>
      <w:bookmarkEnd w:id="217"/>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18" w:name="_Toc200095391"/>
      <w:bookmarkStart w:id="219" w:name="_Toc192857113"/>
      <w:r>
        <w:rPr>
          <w:rStyle w:val="CharSectno"/>
        </w:rPr>
        <w:t>64</w:t>
      </w:r>
      <w:r>
        <w:t>.</w:t>
      </w:r>
      <w:r>
        <w:tab/>
        <w:t>Authorised explosives, licensing for manufacture (Sch. 5)</w:t>
      </w:r>
      <w:bookmarkEnd w:id="218"/>
      <w:bookmarkEnd w:id="219"/>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20" w:name="_Toc200095392"/>
      <w:bookmarkStart w:id="221" w:name="_Toc192857114"/>
      <w:r>
        <w:rPr>
          <w:rStyle w:val="CharSectno"/>
        </w:rPr>
        <w:t>65</w:t>
      </w:r>
      <w:r>
        <w:t>.</w:t>
      </w:r>
      <w:r>
        <w:tab/>
        <w:t>Bulk AN-based explosives, licences authorising manufacture of</w:t>
      </w:r>
      <w:bookmarkEnd w:id="220"/>
      <w:bookmarkEnd w:id="221"/>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Footnotesection"/>
      </w:pPr>
      <w:r>
        <w:tab/>
        <w:t>[Regulation 65 amended: Gazette 2 Dec 2013 p.</w:t>
      </w:r>
      <w:r>
        <w:rPr>
          <w:sz w:val="19"/>
        </w:rPr>
        <w:t> </w:t>
      </w:r>
      <w:r>
        <w:t>5581</w:t>
      </w:r>
      <w:r>
        <w:noBreakHyphen/>
        <w:t>2.]</w:t>
      </w:r>
    </w:p>
    <w:p>
      <w:pPr>
        <w:pStyle w:val="Heading5"/>
      </w:pPr>
      <w:bookmarkStart w:id="222" w:name="_Toc200095393"/>
      <w:bookmarkStart w:id="223" w:name="_Toc192857115"/>
      <w:r>
        <w:rPr>
          <w:rStyle w:val="CharSectno"/>
        </w:rPr>
        <w:t>66</w:t>
      </w:r>
      <w:r>
        <w:t>.</w:t>
      </w:r>
      <w:r>
        <w:tab/>
        <w:t>Fireworks, licence authorising manufacture of</w:t>
      </w:r>
      <w:bookmarkEnd w:id="222"/>
      <w:bookmarkEnd w:id="223"/>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keepNext w:val="0"/>
      </w:pPr>
      <w:bookmarkStart w:id="224" w:name="_Toc200031587"/>
      <w:bookmarkStart w:id="225" w:name="_Toc200036575"/>
      <w:bookmarkStart w:id="226" w:name="_Toc200095394"/>
      <w:bookmarkStart w:id="227" w:name="_Toc192852736"/>
      <w:bookmarkStart w:id="228" w:name="_Toc192853830"/>
      <w:bookmarkStart w:id="229" w:name="_Toc192857116"/>
      <w:r>
        <w:rPr>
          <w:rStyle w:val="CharDivNo"/>
        </w:rPr>
        <w:t>Division 2</w:t>
      </w:r>
      <w:r>
        <w:t> — </w:t>
      </w:r>
      <w:r>
        <w:rPr>
          <w:rStyle w:val="CharDivText"/>
        </w:rPr>
        <w:t>Other requirements</w:t>
      </w:r>
      <w:bookmarkEnd w:id="224"/>
      <w:bookmarkEnd w:id="225"/>
      <w:bookmarkEnd w:id="226"/>
      <w:bookmarkEnd w:id="227"/>
      <w:bookmarkEnd w:id="228"/>
      <w:bookmarkEnd w:id="229"/>
    </w:p>
    <w:p>
      <w:pPr>
        <w:pStyle w:val="Heading5"/>
        <w:keepNext w:val="0"/>
        <w:keepLines w:val="0"/>
        <w:spacing w:before="180"/>
      </w:pPr>
      <w:bookmarkStart w:id="230" w:name="_Toc200095395"/>
      <w:bookmarkStart w:id="231" w:name="_Toc192857117"/>
      <w:r>
        <w:rPr>
          <w:rStyle w:val="CharSectno"/>
        </w:rPr>
        <w:t>67</w:t>
      </w:r>
      <w:r>
        <w:t>.</w:t>
      </w:r>
      <w:r>
        <w:tab/>
        <w:t>Containers of components to be marked</w:t>
      </w:r>
      <w:bookmarkEnd w:id="230"/>
      <w:bookmarkEnd w:id="231"/>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232" w:name="_Toc200095396"/>
      <w:bookmarkStart w:id="233" w:name="_Toc192857118"/>
      <w:r>
        <w:rPr>
          <w:rStyle w:val="CharSectno"/>
        </w:rPr>
        <w:t>68</w:t>
      </w:r>
      <w:r>
        <w:t>.</w:t>
      </w:r>
      <w:r>
        <w:tab/>
        <w:t>Records to be kept by some manufacturers</w:t>
      </w:r>
      <w:bookmarkEnd w:id="232"/>
      <w:bookmarkEnd w:id="233"/>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34" w:name="_Toc200095397"/>
      <w:bookmarkStart w:id="235" w:name="_Toc192857119"/>
      <w:r>
        <w:rPr>
          <w:rStyle w:val="CharSectno"/>
        </w:rPr>
        <w:t>69</w:t>
      </w:r>
      <w:r>
        <w:t>.</w:t>
      </w:r>
      <w:r>
        <w:tab/>
        <w:t>Documents to be kept at place of manufacture</w:t>
      </w:r>
      <w:bookmarkEnd w:id="234"/>
      <w:bookmarkEnd w:id="235"/>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Footnotesection"/>
      </w:pPr>
      <w:r>
        <w:tab/>
        <w:t>[Regulation 69 amended: Gazette 3 Mar 2017 p. 1475.]</w:t>
      </w:r>
    </w:p>
    <w:p>
      <w:pPr>
        <w:pStyle w:val="Heading5"/>
      </w:pPr>
      <w:bookmarkStart w:id="236" w:name="_Toc200095398"/>
      <w:bookmarkStart w:id="237" w:name="_Toc192857120"/>
      <w:r>
        <w:rPr>
          <w:rStyle w:val="CharSectno"/>
        </w:rPr>
        <w:t>70</w:t>
      </w:r>
      <w:r>
        <w:t>.</w:t>
      </w:r>
      <w:r>
        <w:tab/>
        <w:t>Bulk AN-based explosives, manufacture of</w:t>
      </w:r>
      <w:bookmarkEnd w:id="236"/>
      <w:bookmarkEnd w:id="237"/>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38" w:name="_Toc200095399"/>
      <w:bookmarkStart w:id="239" w:name="_Toc192857121"/>
      <w:r>
        <w:rPr>
          <w:rStyle w:val="CharSectno"/>
        </w:rPr>
        <w:t>71</w:t>
      </w:r>
      <w:r>
        <w:t>.</w:t>
      </w:r>
      <w:r>
        <w:tab/>
        <w:t>MPUs in operation not to be left unattended</w:t>
      </w:r>
      <w:bookmarkEnd w:id="238"/>
      <w:bookmarkEnd w:id="239"/>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spacing w:before="180"/>
      </w:pPr>
      <w:bookmarkStart w:id="240" w:name="_Toc200095400"/>
      <w:bookmarkStart w:id="241" w:name="_Toc192857122"/>
      <w:r>
        <w:rPr>
          <w:rStyle w:val="CharSectno"/>
        </w:rPr>
        <w:t>72</w:t>
      </w:r>
      <w:r>
        <w:t>.</w:t>
      </w:r>
      <w:r>
        <w:tab/>
        <w:t>Fireworks manufactured by licensee, supply and use of</w:t>
      </w:r>
      <w:bookmarkEnd w:id="240"/>
      <w:bookmarkEnd w:id="241"/>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keepNext w:val="0"/>
        <w:keepLines w:val="0"/>
        <w:spacing w:before="180"/>
      </w:pPr>
      <w:bookmarkStart w:id="242" w:name="_Toc200095401"/>
      <w:bookmarkStart w:id="243" w:name="_Toc192857123"/>
      <w:r>
        <w:rPr>
          <w:rStyle w:val="CharSectno"/>
        </w:rPr>
        <w:t>73</w:t>
      </w:r>
      <w:r>
        <w:t>.</w:t>
      </w:r>
      <w:r>
        <w:tab/>
        <w:t>Filling ammunition</w:t>
      </w:r>
      <w:bookmarkEnd w:id="242"/>
      <w:bookmarkEnd w:id="243"/>
    </w:p>
    <w:p>
      <w:pPr>
        <w:pStyle w:val="Subsection"/>
        <w:spacing w:before="120"/>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44" w:name="_Toc200031595"/>
      <w:bookmarkStart w:id="245" w:name="_Toc200036583"/>
      <w:bookmarkStart w:id="246" w:name="_Toc200095402"/>
      <w:bookmarkStart w:id="247" w:name="_Toc192852744"/>
      <w:bookmarkStart w:id="248" w:name="_Toc192853838"/>
      <w:bookmarkStart w:id="249" w:name="_Toc192857124"/>
      <w:r>
        <w:rPr>
          <w:rStyle w:val="CharPartNo"/>
        </w:rPr>
        <w:t>Part 9</w:t>
      </w:r>
      <w:r>
        <w:t> — </w:t>
      </w:r>
      <w:r>
        <w:rPr>
          <w:rStyle w:val="CharPartText"/>
        </w:rPr>
        <w:t>Storage of explosives</w:t>
      </w:r>
      <w:bookmarkEnd w:id="244"/>
      <w:bookmarkEnd w:id="245"/>
      <w:bookmarkEnd w:id="246"/>
      <w:bookmarkEnd w:id="247"/>
      <w:bookmarkEnd w:id="248"/>
      <w:bookmarkEnd w:id="249"/>
    </w:p>
    <w:p>
      <w:pPr>
        <w:pStyle w:val="Heading3"/>
      </w:pPr>
      <w:bookmarkStart w:id="250" w:name="_Toc200031596"/>
      <w:bookmarkStart w:id="251" w:name="_Toc200036584"/>
      <w:bookmarkStart w:id="252" w:name="_Toc200095403"/>
      <w:bookmarkStart w:id="253" w:name="_Toc192852745"/>
      <w:bookmarkStart w:id="254" w:name="_Toc192853839"/>
      <w:bookmarkStart w:id="255" w:name="_Toc192857125"/>
      <w:r>
        <w:rPr>
          <w:rStyle w:val="CharDivNo"/>
        </w:rPr>
        <w:t>Division 1</w:t>
      </w:r>
      <w:r>
        <w:t> — </w:t>
      </w:r>
      <w:r>
        <w:rPr>
          <w:rStyle w:val="CharDivText"/>
        </w:rPr>
        <w:t>Preliminary matters</w:t>
      </w:r>
      <w:bookmarkEnd w:id="250"/>
      <w:bookmarkEnd w:id="251"/>
      <w:bookmarkEnd w:id="252"/>
      <w:bookmarkEnd w:id="253"/>
      <w:bookmarkEnd w:id="254"/>
      <w:bookmarkEnd w:id="255"/>
    </w:p>
    <w:p>
      <w:pPr>
        <w:pStyle w:val="Heading5"/>
      </w:pPr>
      <w:bookmarkStart w:id="256" w:name="_Toc200095404"/>
      <w:bookmarkStart w:id="257" w:name="_Toc192857126"/>
      <w:r>
        <w:rPr>
          <w:rStyle w:val="CharSectno"/>
        </w:rPr>
        <w:t>74</w:t>
      </w:r>
      <w:r>
        <w:t>.</w:t>
      </w:r>
      <w:r>
        <w:tab/>
        <w:t>Term used: safely</w:t>
      </w:r>
      <w:bookmarkEnd w:id="256"/>
      <w:bookmarkEnd w:id="257"/>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58" w:name="_Toc200031598"/>
      <w:bookmarkStart w:id="259" w:name="_Toc200036586"/>
      <w:bookmarkStart w:id="260" w:name="_Toc200095405"/>
      <w:bookmarkStart w:id="261" w:name="_Toc192852747"/>
      <w:bookmarkStart w:id="262" w:name="_Toc192853841"/>
      <w:bookmarkStart w:id="263" w:name="_Toc192857127"/>
      <w:r>
        <w:rPr>
          <w:rStyle w:val="CharDivNo"/>
        </w:rPr>
        <w:t>Division 2</w:t>
      </w:r>
      <w:r>
        <w:t> — </w:t>
      </w:r>
      <w:r>
        <w:rPr>
          <w:rStyle w:val="CharDivText"/>
        </w:rPr>
        <w:t>Licensing requirements</w:t>
      </w:r>
      <w:bookmarkEnd w:id="258"/>
      <w:bookmarkEnd w:id="259"/>
      <w:bookmarkEnd w:id="260"/>
      <w:bookmarkEnd w:id="261"/>
      <w:bookmarkEnd w:id="262"/>
      <w:bookmarkEnd w:id="263"/>
    </w:p>
    <w:p>
      <w:pPr>
        <w:pStyle w:val="Heading5"/>
        <w:spacing w:before="240"/>
      </w:pPr>
      <w:bookmarkStart w:id="264" w:name="_Toc200095406"/>
      <w:bookmarkStart w:id="265" w:name="_Toc192857128"/>
      <w:r>
        <w:rPr>
          <w:rStyle w:val="CharSectno"/>
        </w:rPr>
        <w:t>75</w:t>
      </w:r>
      <w:r>
        <w:t>.</w:t>
      </w:r>
      <w:r>
        <w:tab/>
        <w:t>Unauthorised explosives</w:t>
      </w:r>
      <w:bookmarkEnd w:id="264"/>
      <w:bookmarkEnd w:id="265"/>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266" w:name="_Toc200095407"/>
      <w:bookmarkStart w:id="267" w:name="_Toc192857129"/>
      <w:r>
        <w:rPr>
          <w:rStyle w:val="CharSectno"/>
        </w:rPr>
        <w:t>76</w:t>
      </w:r>
      <w:r>
        <w:t>.</w:t>
      </w:r>
      <w:r>
        <w:tab/>
        <w:t>Authorised explosives, licensing for storage (Sch. 6)</w:t>
      </w:r>
      <w:bookmarkEnd w:id="266"/>
      <w:bookmarkEnd w:id="267"/>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Gazette 16 Mar 2012 p. 1177.]</w:t>
      </w:r>
    </w:p>
    <w:p>
      <w:pPr>
        <w:pStyle w:val="Heading5"/>
        <w:spacing w:before="240"/>
      </w:pPr>
      <w:bookmarkStart w:id="268" w:name="_Toc200095408"/>
      <w:bookmarkStart w:id="269" w:name="_Toc192857130"/>
      <w:r>
        <w:rPr>
          <w:rStyle w:val="CharSectno"/>
        </w:rPr>
        <w:t>77A</w:t>
      </w:r>
      <w:r>
        <w:t>.</w:t>
      </w:r>
      <w:r>
        <w:tab/>
        <w:t>Explosives transport licence authorises storage of certain explosives in transit</w:t>
      </w:r>
      <w:bookmarkEnd w:id="268"/>
      <w:bookmarkEnd w:id="269"/>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keepNext/>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Gazette 2 Dec 2013 p.</w:t>
      </w:r>
      <w:r>
        <w:rPr>
          <w:sz w:val="19"/>
        </w:rPr>
        <w:t> </w:t>
      </w:r>
      <w:r>
        <w:t>5582.]</w:t>
      </w:r>
    </w:p>
    <w:p>
      <w:pPr>
        <w:pStyle w:val="Heading5"/>
      </w:pPr>
      <w:bookmarkStart w:id="270" w:name="_Toc200095409"/>
      <w:bookmarkStart w:id="271" w:name="_Toc192857131"/>
      <w:r>
        <w:rPr>
          <w:rStyle w:val="CharSectno"/>
        </w:rPr>
        <w:t>77</w:t>
      </w:r>
      <w:r>
        <w:t>.</w:t>
      </w:r>
      <w:r>
        <w:tab/>
        <w:t>Shotfiring licence authorises limited storage</w:t>
      </w:r>
      <w:bookmarkEnd w:id="270"/>
      <w:bookmarkEnd w:id="271"/>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72" w:name="_Toc200095410"/>
      <w:bookmarkStart w:id="273" w:name="_Toc192857132"/>
      <w:r>
        <w:rPr>
          <w:rStyle w:val="CharSectno"/>
        </w:rPr>
        <w:t>78</w:t>
      </w:r>
      <w:r>
        <w:t>.</w:t>
      </w:r>
      <w:r>
        <w:tab/>
        <w:t>Pyrotechnics (special use) licence authorises limited storage</w:t>
      </w:r>
      <w:bookmarkEnd w:id="272"/>
      <w:bookmarkEnd w:id="273"/>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78 amended: Gazette 20 Mar 2018 p.</w:t>
      </w:r>
      <w:r>
        <w:rPr>
          <w:sz w:val="19"/>
        </w:rPr>
        <w:t> </w:t>
      </w:r>
      <w:r>
        <w:t>998.]</w:t>
      </w:r>
    </w:p>
    <w:p>
      <w:pPr>
        <w:pStyle w:val="Heading5"/>
      </w:pPr>
      <w:bookmarkStart w:id="274" w:name="_Toc200095411"/>
      <w:bookmarkStart w:id="275" w:name="_Toc192857133"/>
      <w:r>
        <w:rPr>
          <w:rStyle w:val="CharSectno"/>
        </w:rPr>
        <w:t>79</w:t>
      </w:r>
      <w:r>
        <w:t>.</w:t>
      </w:r>
      <w:r>
        <w:tab/>
        <w:t>Fireworks contractor licence and fireworks operator licence authorise limited storage</w:t>
      </w:r>
      <w:bookmarkEnd w:id="274"/>
      <w:bookmarkEnd w:id="275"/>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 gross weight of explosives with a classification code of 1.1 or 1.2 at the place is not more than 2.5 kg; and</w:t>
      </w:r>
    </w:p>
    <w:p>
      <w:pPr>
        <w:pStyle w:val="Indenta"/>
      </w:pPr>
      <w:r>
        <w:tab/>
        <w:t>(c)</w:t>
      </w:r>
      <w:r>
        <w:tab/>
        <w:t>the gross weight of explosives with a classification code of 1.3 at the place is not more than 15 kg; and</w:t>
      </w:r>
    </w:p>
    <w:p>
      <w:pPr>
        <w:pStyle w:val="Indenta"/>
      </w:pPr>
      <w:r>
        <w:tab/>
        <w:t>(d)</w:t>
      </w:r>
      <w:r>
        <w:tab/>
        <w:t>the gross weight of explosives with a classification code of 1.4 at the place is not more than 30 kg.</w:t>
      </w:r>
    </w:p>
    <w:p>
      <w:pPr>
        <w:pStyle w:val="Footnotesection"/>
      </w:pPr>
      <w:r>
        <w:tab/>
        <w:t>[Regulation 79 amended: Gazette 20 Mar 2018 p.</w:t>
      </w:r>
      <w:r>
        <w:rPr>
          <w:sz w:val="19"/>
        </w:rPr>
        <w:t> </w:t>
      </w:r>
      <w:r>
        <w:t>998.]</w:t>
      </w:r>
    </w:p>
    <w:p>
      <w:pPr>
        <w:pStyle w:val="Ednotesection"/>
      </w:pPr>
      <w:r>
        <w:t>[</w:t>
      </w:r>
      <w:r>
        <w:rPr>
          <w:b/>
        </w:rPr>
        <w:t>80.</w:t>
      </w:r>
      <w:r>
        <w:tab/>
        <w:t>Deleted: Gazette 16 Mar 2012 p. 1178.]</w:t>
      </w:r>
    </w:p>
    <w:p>
      <w:pPr>
        <w:pStyle w:val="Heading3"/>
      </w:pPr>
      <w:bookmarkStart w:id="276" w:name="_Toc200031605"/>
      <w:bookmarkStart w:id="277" w:name="_Toc200036593"/>
      <w:bookmarkStart w:id="278" w:name="_Toc200095412"/>
      <w:bookmarkStart w:id="279" w:name="_Toc192852754"/>
      <w:bookmarkStart w:id="280" w:name="_Toc192853848"/>
      <w:bookmarkStart w:id="281" w:name="_Toc192857134"/>
      <w:r>
        <w:rPr>
          <w:rStyle w:val="CharDivNo"/>
        </w:rPr>
        <w:t>Division 3</w:t>
      </w:r>
      <w:r>
        <w:t> — </w:t>
      </w:r>
      <w:r>
        <w:rPr>
          <w:rStyle w:val="CharDivText"/>
        </w:rPr>
        <w:t>Storing Schedule 6 explosives</w:t>
      </w:r>
      <w:bookmarkEnd w:id="276"/>
      <w:bookmarkEnd w:id="277"/>
      <w:bookmarkEnd w:id="278"/>
      <w:bookmarkEnd w:id="279"/>
      <w:bookmarkEnd w:id="280"/>
      <w:bookmarkEnd w:id="281"/>
    </w:p>
    <w:p>
      <w:pPr>
        <w:pStyle w:val="Heading5"/>
      </w:pPr>
      <w:bookmarkStart w:id="282" w:name="_Toc200095413"/>
      <w:bookmarkStart w:id="283" w:name="_Toc192857135"/>
      <w:r>
        <w:rPr>
          <w:rStyle w:val="CharSectno"/>
        </w:rPr>
        <w:t>81</w:t>
      </w:r>
      <w:r>
        <w:t>.</w:t>
      </w:r>
      <w:r>
        <w:tab/>
        <w:t>Application of this Division</w:t>
      </w:r>
      <w:bookmarkEnd w:id="282"/>
      <w:bookmarkEnd w:id="283"/>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84" w:name="_Toc200095414"/>
      <w:bookmarkStart w:id="285" w:name="_Toc192857136"/>
      <w:r>
        <w:rPr>
          <w:rStyle w:val="CharSectno"/>
        </w:rPr>
        <w:t>82A</w:t>
      </w:r>
      <w:r>
        <w:t>.</w:t>
      </w:r>
      <w:r>
        <w:tab/>
        <w:t>Sparklers</w:t>
      </w:r>
      <w:bookmarkEnd w:id="284"/>
      <w:bookmarkEnd w:id="285"/>
    </w:p>
    <w:p>
      <w:pPr>
        <w:pStyle w:val="Subsection"/>
      </w:pPr>
      <w:r>
        <w:tab/>
        <w:t>(1)</w:t>
      </w:r>
      <w:r>
        <w:tab/>
        <w:t>A person storing sparklers with a gross weight of more than 1 000 kg must ensure the sparklers are stored properly.</w:t>
      </w:r>
    </w:p>
    <w:p>
      <w:pPr>
        <w:pStyle w:val="Penstart"/>
      </w:pPr>
      <w:r>
        <w:tab/>
        <w:t>Penalty for this subregulation: a level 2 fine.</w:t>
      </w:r>
    </w:p>
    <w:p>
      <w:pPr>
        <w:pStyle w:val="Subsection"/>
        <w:keepNext/>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Gazette 16 Mar 2012 p. 1178</w:t>
      </w:r>
      <w:r>
        <w:noBreakHyphen/>
        <w:t>9; amended: Gazette 19 Feb 2013 p. 985; 20 Mar 2018 p.</w:t>
      </w:r>
      <w:r>
        <w:rPr>
          <w:sz w:val="19"/>
        </w:rPr>
        <w:t> </w:t>
      </w:r>
      <w:r>
        <w:t>998</w:t>
      </w:r>
      <w:r>
        <w:noBreakHyphen/>
        <w:t>9.]</w:t>
      </w:r>
    </w:p>
    <w:p>
      <w:pPr>
        <w:pStyle w:val="Heading5"/>
      </w:pPr>
      <w:bookmarkStart w:id="286" w:name="_Toc200095415"/>
      <w:bookmarkStart w:id="287" w:name="_Toc192857137"/>
      <w:r>
        <w:rPr>
          <w:rStyle w:val="CharSectno"/>
        </w:rPr>
        <w:t>82</w:t>
      </w:r>
      <w:r>
        <w:t>.</w:t>
      </w:r>
      <w:r>
        <w:tab/>
        <w:t>Cartridges for safety devices etc.</w:t>
      </w:r>
      <w:bookmarkEnd w:id="286"/>
      <w:bookmarkEnd w:id="287"/>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88" w:name="_Toc200095416"/>
      <w:bookmarkStart w:id="289" w:name="_Toc192857138"/>
      <w:r>
        <w:rPr>
          <w:rStyle w:val="CharSectno"/>
        </w:rPr>
        <w:t>83</w:t>
      </w:r>
      <w:r>
        <w:t>.</w:t>
      </w:r>
      <w:r>
        <w:tab/>
        <w:t>Cartridges for nail guns etc.</w:t>
      </w:r>
      <w:bookmarkEnd w:id="288"/>
      <w:bookmarkEnd w:id="289"/>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90" w:name="_Toc200095417"/>
      <w:bookmarkStart w:id="291" w:name="_Toc192857139"/>
      <w:r>
        <w:rPr>
          <w:rStyle w:val="CharSectno"/>
        </w:rPr>
        <w:t>84</w:t>
      </w:r>
      <w:r>
        <w:t>.</w:t>
      </w:r>
      <w:r>
        <w:tab/>
        <w:t>Emergency devices</w:t>
      </w:r>
      <w:bookmarkEnd w:id="290"/>
      <w:bookmarkEnd w:id="291"/>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92" w:name="_Toc200095418"/>
      <w:bookmarkStart w:id="293" w:name="_Toc192857140"/>
      <w:r>
        <w:rPr>
          <w:rStyle w:val="CharSectno"/>
        </w:rPr>
        <w:t>85</w:t>
      </w:r>
      <w:r>
        <w:t>.</w:t>
      </w:r>
      <w:r>
        <w:tab/>
        <w:t>Ammunition propellant and black powder</w:t>
      </w:r>
      <w:bookmarkEnd w:id="292"/>
      <w:bookmarkEnd w:id="293"/>
    </w:p>
    <w:p>
      <w:pPr>
        <w:pStyle w:val="Subsection"/>
        <w:keepNext/>
      </w:pPr>
      <w:r>
        <w:tab/>
        <w:t>(1)</w:t>
      </w:r>
      <w:r>
        <w:tab/>
        <w:t>A person storing ammunition propellant or black powder must store it safely.</w:t>
      </w:r>
    </w:p>
    <w:p>
      <w:pPr>
        <w:pStyle w:val="Penstart"/>
      </w:pPr>
      <w:r>
        <w:tab/>
        <w:t>Penalty for this subregulation: a level 3 fine.</w:t>
      </w:r>
    </w:p>
    <w:p>
      <w:pPr>
        <w:pStyle w:val="Subsection"/>
      </w:pPr>
      <w:r>
        <w:tab/>
        <w:t>(2)</w:t>
      </w:r>
      <w:r>
        <w:tab/>
        <w:t>A person must not store black powder the NEQ of which is more than 2 kg in any one container.</w:t>
      </w:r>
    </w:p>
    <w:p>
      <w:pPr>
        <w:pStyle w:val="Penstart"/>
      </w:pPr>
      <w:r>
        <w:tab/>
        <w:t>Penalty for this subregulation: a level 3 fine.</w:t>
      </w:r>
    </w:p>
    <w:p>
      <w:pPr>
        <w:pStyle w:val="Footnotesection"/>
      </w:pPr>
      <w:r>
        <w:tab/>
        <w:t>[Regulation 85 amended: Gazette 20 Mar 2018 p.</w:t>
      </w:r>
      <w:r>
        <w:rPr>
          <w:sz w:val="19"/>
        </w:rPr>
        <w:t> </w:t>
      </w:r>
      <w:r>
        <w:t>999.]</w:t>
      </w:r>
    </w:p>
    <w:p>
      <w:pPr>
        <w:pStyle w:val="Heading3"/>
      </w:pPr>
      <w:bookmarkStart w:id="294" w:name="_Toc200031612"/>
      <w:bookmarkStart w:id="295" w:name="_Toc200036600"/>
      <w:bookmarkStart w:id="296" w:name="_Toc200095419"/>
      <w:bookmarkStart w:id="297" w:name="_Toc192852761"/>
      <w:bookmarkStart w:id="298" w:name="_Toc192853855"/>
      <w:bookmarkStart w:id="299" w:name="_Toc192857141"/>
      <w:r>
        <w:rPr>
          <w:rStyle w:val="CharDivNo"/>
        </w:rPr>
        <w:t>Division 4</w:t>
      </w:r>
      <w:r>
        <w:t> — </w:t>
      </w:r>
      <w:r>
        <w:rPr>
          <w:rStyle w:val="CharDivText"/>
        </w:rPr>
        <w:t>Storage under licences and permits other than explosives storage licences</w:t>
      </w:r>
      <w:bookmarkEnd w:id="294"/>
      <w:bookmarkEnd w:id="295"/>
      <w:bookmarkEnd w:id="296"/>
      <w:bookmarkEnd w:id="297"/>
      <w:bookmarkEnd w:id="298"/>
      <w:bookmarkEnd w:id="299"/>
    </w:p>
    <w:p>
      <w:pPr>
        <w:pStyle w:val="Footnoteheading"/>
      </w:pPr>
      <w:r>
        <w:tab/>
        <w:t>[Heading inserted: Gazette 16 Mar 2012 p. 1179.]</w:t>
      </w:r>
    </w:p>
    <w:p>
      <w:pPr>
        <w:pStyle w:val="Heading5"/>
      </w:pPr>
      <w:bookmarkStart w:id="300" w:name="_Toc200095420"/>
      <w:bookmarkStart w:id="301" w:name="_Toc192857142"/>
      <w:r>
        <w:rPr>
          <w:rStyle w:val="CharSectno"/>
        </w:rPr>
        <w:t>86A</w:t>
      </w:r>
      <w:r>
        <w:t>.</w:t>
      </w:r>
      <w:r>
        <w:tab/>
        <w:t>Storage by explosives transport licence holder</w:t>
      </w:r>
      <w:bookmarkEnd w:id="300"/>
      <w:bookmarkEnd w:id="301"/>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Gazette 2 Dec 2013 p.</w:t>
      </w:r>
      <w:r>
        <w:rPr>
          <w:sz w:val="19"/>
        </w:rPr>
        <w:t> </w:t>
      </w:r>
      <w:r>
        <w:t>5583</w:t>
      </w:r>
      <w:r>
        <w:noBreakHyphen/>
        <w:t>4.]</w:t>
      </w:r>
    </w:p>
    <w:p>
      <w:pPr>
        <w:pStyle w:val="Heading5"/>
      </w:pPr>
      <w:bookmarkStart w:id="302" w:name="_Toc200095421"/>
      <w:bookmarkStart w:id="303" w:name="_Toc192857143"/>
      <w:r>
        <w:rPr>
          <w:rStyle w:val="CharSectno"/>
        </w:rPr>
        <w:t>86</w:t>
      </w:r>
      <w:r>
        <w:t>.</w:t>
      </w:r>
      <w:r>
        <w:tab/>
        <w:t>Shotfiring licence holders, storage by</w:t>
      </w:r>
      <w:bookmarkEnd w:id="302"/>
      <w:bookmarkEnd w:id="303"/>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keepNext/>
      </w:pPr>
      <w:r>
        <w:tab/>
        <w:t>(3)</w:t>
      </w:r>
      <w:r>
        <w:tab/>
        <w:t>The person must store the explosive safely.</w:t>
      </w:r>
    </w:p>
    <w:p>
      <w:pPr>
        <w:pStyle w:val="Penstart"/>
      </w:pPr>
      <w:r>
        <w:tab/>
        <w:t>Penalty: a level 2 fine.</w:t>
      </w:r>
    </w:p>
    <w:p>
      <w:pPr>
        <w:pStyle w:val="Heading5"/>
      </w:pPr>
      <w:bookmarkStart w:id="304" w:name="_Toc200095422"/>
      <w:bookmarkStart w:id="305" w:name="_Toc192857144"/>
      <w:r>
        <w:rPr>
          <w:rStyle w:val="CharSectno"/>
        </w:rPr>
        <w:t>87</w:t>
      </w:r>
      <w:r>
        <w:t>.</w:t>
      </w:r>
      <w:r>
        <w:tab/>
        <w:t>Pyrotechnics (special use) licence holders, storage by</w:t>
      </w:r>
      <w:bookmarkEnd w:id="304"/>
      <w:bookmarkEnd w:id="305"/>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06" w:name="_Toc200095423"/>
      <w:bookmarkStart w:id="307" w:name="_Toc192857145"/>
      <w:r>
        <w:rPr>
          <w:rStyle w:val="CharSectno"/>
        </w:rPr>
        <w:t>88</w:t>
      </w:r>
      <w:r>
        <w:t>.</w:t>
      </w:r>
      <w:r>
        <w:tab/>
        <w:t>Fireworks contractor licence holders, storage by</w:t>
      </w:r>
      <w:bookmarkEnd w:id="306"/>
      <w:bookmarkEnd w:id="307"/>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308" w:name="_Toc200095424"/>
      <w:bookmarkStart w:id="309" w:name="_Toc192857146"/>
      <w:r>
        <w:rPr>
          <w:rStyle w:val="CharSectno"/>
        </w:rPr>
        <w:t>89</w:t>
      </w:r>
      <w:r>
        <w:t>.</w:t>
      </w:r>
      <w:r>
        <w:tab/>
        <w:t>Fireworks event permit holders, storage by</w:t>
      </w:r>
      <w:bookmarkEnd w:id="308"/>
      <w:bookmarkEnd w:id="309"/>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 xml:space="preserve">The person must ensure that the firework is stored at the place where the event will be conducted for not more than 48 hours or a longer period approved by the Chief Officer. </w:t>
      </w:r>
    </w:p>
    <w:p>
      <w:pPr>
        <w:pStyle w:val="Penstart"/>
      </w:pPr>
      <w:r>
        <w:tab/>
        <w:t>Penalty for this subregulation: a level 2 fine.</w:t>
      </w:r>
    </w:p>
    <w:p>
      <w:pPr>
        <w:pStyle w:val="Ednotesubsection"/>
      </w:pPr>
      <w:r>
        <w:tab/>
        <w:t>[(4)</w:t>
      </w:r>
      <w:r>
        <w:tab/>
        <w:t>deleted]</w:t>
      </w:r>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pPr>
      <w:r>
        <w:tab/>
        <w:t>Penalty for this subregulation: a level 2 fine.</w:t>
      </w:r>
    </w:p>
    <w:p>
      <w:pPr>
        <w:pStyle w:val="Subsection"/>
      </w:pPr>
      <w:r>
        <w:tab/>
        <w:t>(6)</w:t>
      </w:r>
      <w:r>
        <w:tab/>
        <w:t>The person must store the firework safely.</w:t>
      </w:r>
    </w:p>
    <w:p>
      <w:pPr>
        <w:pStyle w:val="Penstart"/>
      </w:pPr>
      <w:r>
        <w:tab/>
        <w:t>Penalty for this subregulation: a level 2 fine.</w:t>
      </w:r>
    </w:p>
    <w:p>
      <w:pPr>
        <w:pStyle w:val="Footnotesection"/>
      </w:pPr>
      <w:r>
        <w:tab/>
        <w:t>[Regulation 89 inserted: Gazette 16 Mar 2012 p. 1180</w:t>
      </w:r>
      <w:r>
        <w:noBreakHyphen/>
        <w:t>1; amended: Gazette 5 Feb 2016 p. 348.]</w:t>
      </w:r>
    </w:p>
    <w:p>
      <w:pPr>
        <w:pStyle w:val="Heading3"/>
      </w:pPr>
      <w:bookmarkStart w:id="310" w:name="_Toc200031618"/>
      <w:bookmarkStart w:id="311" w:name="_Toc200036606"/>
      <w:bookmarkStart w:id="312" w:name="_Toc200095425"/>
      <w:bookmarkStart w:id="313" w:name="_Toc192852767"/>
      <w:bookmarkStart w:id="314" w:name="_Toc192853861"/>
      <w:bookmarkStart w:id="315" w:name="_Toc192857147"/>
      <w:r>
        <w:rPr>
          <w:rStyle w:val="CharDivNo"/>
        </w:rPr>
        <w:t>Division 5</w:t>
      </w:r>
      <w:r>
        <w:t> — </w:t>
      </w:r>
      <w:r>
        <w:rPr>
          <w:rStyle w:val="CharDivText"/>
        </w:rPr>
        <w:t>Storage under an explosives storage licence</w:t>
      </w:r>
      <w:bookmarkEnd w:id="310"/>
      <w:bookmarkEnd w:id="311"/>
      <w:bookmarkEnd w:id="312"/>
      <w:bookmarkEnd w:id="313"/>
      <w:bookmarkEnd w:id="314"/>
      <w:bookmarkEnd w:id="315"/>
    </w:p>
    <w:p>
      <w:pPr>
        <w:pStyle w:val="Heading5"/>
      </w:pPr>
      <w:bookmarkStart w:id="316" w:name="_Toc200095426"/>
      <w:bookmarkStart w:id="317" w:name="_Toc192857148"/>
      <w:r>
        <w:rPr>
          <w:rStyle w:val="CharSectno"/>
        </w:rPr>
        <w:t>90</w:t>
      </w:r>
      <w:r>
        <w:t>.</w:t>
      </w:r>
      <w:r>
        <w:tab/>
        <w:t>General requirements</w:t>
      </w:r>
      <w:bookmarkEnd w:id="316"/>
      <w:bookmarkEnd w:id="317"/>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Gazette 16 Mar 2012 p. 1181.]</w:t>
      </w:r>
    </w:p>
    <w:p>
      <w:pPr>
        <w:pStyle w:val="Heading5"/>
        <w:spacing w:before="240"/>
      </w:pPr>
      <w:bookmarkStart w:id="318" w:name="_Toc200095427"/>
      <w:bookmarkStart w:id="319" w:name="_Toc192857149"/>
      <w:r>
        <w:rPr>
          <w:rStyle w:val="CharSectno"/>
        </w:rPr>
        <w:t>91</w:t>
      </w:r>
      <w:r>
        <w:t>.</w:t>
      </w:r>
      <w:r>
        <w:tab/>
        <w:t>Underground storage, magazine requirements</w:t>
      </w:r>
      <w:bookmarkEnd w:id="318"/>
      <w:bookmarkEnd w:id="319"/>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for this subregulation: a level 2 fine.</w:t>
      </w:r>
    </w:p>
    <w:p>
      <w:pPr>
        <w:pStyle w:val="Ednotesubsection"/>
      </w:pPr>
      <w:r>
        <w:tab/>
        <w:t>[(3)</w:t>
      </w:r>
      <w:r>
        <w:tab/>
        <w:t>deleted]</w:t>
      </w:r>
    </w:p>
    <w:p>
      <w:pPr>
        <w:pStyle w:val="Subsection"/>
        <w:spacing w:before="180"/>
      </w:pPr>
      <w:r>
        <w:tab/>
        <w:t>(4)</w:t>
      </w:r>
      <w:r>
        <w:tab/>
        <w:t>The holder of an explosives storage licence must not store explosive the NEQ of which is more than 250 kg or 500 detonators in a complying magazine that is underground and that complies with the requirements of AS 2187.1 clause 2.2.3.1, or alternative safety measures, for the construction of external portable magazines.</w:t>
      </w:r>
    </w:p>
    <w:p>
      <w:pPr>
        <w:pStyle w:val="Penstart"/>
      </w:pPr>
      <w:r>
        <w:tab/>
        <w:t>Penalty for this subregulation: a level 2 fine.</w:t>
      </w:r>
    </w:p>
    <w:p>
      <w:pPr>
        <w:pStyle w:val="Footnotesection"/>
      </w:pPr>
      <w:r>
        <w:tab/>
        <w:t>[Regulation 91 amended: Gazette 16 Mar 2012 p. 1181; 20 Mar 2018 p. 999.]</w:t>
      </w:r>
    </w:p>
    <w:p>
      <w:pPr>
        <w:pStyle w:val="Heading5"/>
        <w:spacing w:before="240"/>
      </w:pPr>
      <w:bookmarkStart w:id="320" w:name="_Toc200095428"/>
      <w:bookmarkStart w:id="321" w:name="_Toc192857150"/>
      <w:r>
        <w:rPr>
          <w:rStyle w:val="CharSectno"/>
        </w:rPr>
        <w:t>92</w:t>
      </w:r>
      <w:r>
        <w:t>.</w:t>
      </w:r>
      <w:r>
        <w:tab/>
        <w:t>Explosives storage licence holders to keep inventories etc.</w:t>
      </w:r>
      <w:bookmarkEnd w:id="320"/>
      <w:bookmarkEnd w:id="321"/>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keepNext/>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keepNext/>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Gazette 2 Dec 2013 p.</w:t>
      </w:r>
      <w:r>
        <w:rPr>
          <w:sz w:val="19"/>
        </w:rPr>
        <w:t> </w:t>
      </w:r>
      <w:r>
        <w:t>5584.]</w:t>
      </w:r>
    </w:p>
    <w:p>
      <w:pPr>
        <w:pStyle w:val="Heading5"/>
      </w:pPr>
      <w:bookmarkStart w:id="322" w:name="_Toc200095429"/>
      <w:bookmarkStart w:id="323" w:name="_Toc192857151"/>
      <w:r>
        <w:rPr>
          <w:rStyle w:val="CharSectno"/>
        </w:rPr>
        <w:t>93</w:t>
      </w:r>
      <w:r>
        <w:t>.</w:t>
      </w:r>
      <w:r>
        <w:tab/>
        <w:t>Documents to be kept at storage places</w:t>
      </w:r>
      <w:bookmarkEnd w:id="322"/>
      <w:bookmarkEnd w:id="323"/>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Footnotesection"/>
      </w:pPr>
      <w:r>
        <w:tab/>
        <w:t>[Regulation 93 amended: Gazette 3 Mar 2017 p. 1475.]</w:t>
      </w:r>
    </w:p>
    <w:p>
      <w:pPr>
        <w:pStyle w:val="Heading5"/>
      </w:pPr>
      <w:bookmarkStart w:id="324" w:name="_Toc200095430"/>
      <w:bookmarkStart w:id="325" w:name="_Toc192857152"/>
      <w:r>
        <w:rPr>
          <w:rStyle w:val="CharSectno"/>
        </w:rPr>
        <w:t>94</w:t>
      </w:r>
      <w:r>
        <w:t>.</w:t>
      </w:r>
      <w:r>
        <w:tab/>
        <w:t>Magazines to be kept secure</w:t>
      </w:r>
      <w:bookmarkEnd w:id="324"/>
      <w:bookmarkEnd w:id="325"/>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keepNext/>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Gazette 2 Dec 2013 p.</w:t>
      </w:r>
      <w:r>
        <w:rPr>
          <w:sz w:val="19"/>
        </w:rPr>
        <w:t> </w:t>
      </w:r>
      <w:r>
        <w:t>5585.]</w:t>
      </w:r>
    </w:p>
    <w:p>
      <w:pPr>
        <w:pStyle w:val="Heading2"/>
      </w:pPr>
      <w:bookmarkStart w:id="326" w:name="_Toc200031624"/>
      <w:bookmarkStart w:id="327" w:name="_Toc200036612"/>
      <w:bookmarkStart w:id="328" w:name="_Toc200095431"/>
      <w:bookmarkStart w:id="329" w:name="_Toc192852773"/>
      <w:bookmarkStart w:id="330" w:name="_Toc192853867"/>
      <w:bookmarkStart w:id="331" w:name="_Toc192857153"/>
      <w:r>
        <w:rPr>
          <w:rStyle w:val="CharPartNo"/>
        </w:rPr>
        <w:t>Part 10</w:t>
      </w:r>
      <w:r>
        <w:t> — </w:t>
      </w:r>
      <w:r>
        <w:rPr>
          <w:rStyle w:val="CharPartText"/>
        </w:rPr>
        <w:t>Transport of explosives</w:t>
      </w:r>
      <w:bookmarkEnd w:id="326"/>
      <w:bookmarkEnd w:id="327"/>
      <w:bookmarkEnd w:id="328"/>
      <w:bookmarkEnd w:id="329"/>
      <w:bookmarkEnd w:id="330"/>
      <w:bookmarkEnd w:id="331"/>
    </w:p>
    <w:p>
      <w:pPr>
        <w:pStyle w:val="Heading3"/>
      </w:pPr>
      <w:bookmarkStart w:id="332" w:name="_Toc200031625"/>
      <w:bookmarkStart w:id="333" w:name="_Toc200036613"/>
      <w:bookmarkStart w:id="334" w:name="_Toc200095432"/>
      <w:bookmarkStart w:id="335" w:name="_Toc192852774"/>
      <w:bookmarkStart w:id="336" w:name="_Toc192853868"/>
      <w:bookmarkStart w:id="337" w:name="_Toc192857154"/>
      <w:r>
        <w:rPr>
          <w:rStyle w:val="CharDivNo"/>
        </w:rPr>
        <w:t>Division 1</w:t>
      </w:r>
      <w:r>
        <w:t> — </w:t>
      </w:r>
      <w:r>
        <w:rPr>
          <w:rStyle w:val="CharDivText"/>
        </w:rPr>
        <w:t>Preliminary matters</w:t>
      </w:r>
      <w:bookmarkEnd w:id="332"/>
      <w:bookmarkEnd w:id="333"/>
      <w:bookmarkEnd w:id="334"/>
      <w:bookmarkEnd w:id="335"/>
      <w:bookmarkEnd w:id="336"/>
      <w:bookmarkEnd w:id="337"/>
    </w:p>
    <w:p>
      <w:pPr>
        <w:pStyle w:val="Heading5"/>
      </w:pPr>
      <w:bookmarkStart w:id="338" w:name="_Toc200095433"/>
      <w:bookmarkStart w:id="339" w:name="_Toc192857155"/>
      <w:r>
        <w:rPr>
          <w:rStyle w:val="CharSectno"/>
        </w:rPr>
        <w:t>95</w:t>
      </w:r>
      <w:r>
        <w:t>.</w:t>
      </w:r>
      <w:r>
        <w:tab/>
        <w:t>Terms used</w:t>
      </w:r>
      <w:bookmarkEnd w:id="338"/>
      <w:bookmarkEnd w:id="339"/>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340" w:name="_Toc200031627"/>
      <w:bookmarkStart w:id="341" w:name="_Toc200036615"/>
      <w:bookmarkStart w:id="342" w:name="_Toc200095434"/>
      <w:bookmarkStart w:id="343" w:name="_Toc192852776"/>
      <w:bookmarkStart w:id="344" w:name="_Toc192853870"/>
      <w:bookmarkStart w:id="345" w:name="_Toc192857156"/>
      <w:r>
        <w:rPr>
          <w:rStyle w:val="CharDivNo"/>
        </w:rPr>
        <w:t>Division 2</w:t>
      </w:r>
      <w:r>
        <w:t> — </w:t>
      </w:r>
      <w:r>
        <w:rPr>
          <w:rStyle w:val="CharDivText"/>
        </w:rPr>
        <w:t>Licensing requirements</w:t>
      </w:r>
      <w:bookmarkEnd w:id="340"/>
      <w:bookmarkEnd w:id="341"/>
      <w:bookmarkEnd w:id="342"/>
      <w:bookmarkEnd w:id="343"/>
      <w:bookmarkEnd w:id="344"/>
      <w:bookmarkEnd w:id="345"/>
    </w:p>
    <w:p>
      <w:pPr>
        <w:pStyle w:val="Heading5"/>
        <w:spacing w:before="180"/>
      </w:pPr>
      <w:bookmarkStart w:id="346" w:name="_Toc200095435"/>
      <w:bookmarkStart w:id="347" w:name="_Toc192857157"/>
      <w:r>
        <w:rPr>
          <w:rStyle w:val="CharSectno"/>
        </w:rPr>
        <w:t>96</w:t>
      </w:r>
      <w:r>
        <w:t>.</w:t>
      </w:r>
      <w:r>
        <w:tab/>
        <w:t>Unauthorised explosives</w:t>
      </w:r>
      <w:bookmarkEnd w:id="346"/>
      <w:bookmarkEnd w:id="347"/>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348" w:name="_Toc200095436"/>
      <w:bookmarkStart w:id="349" w:name="_Toc192857158"/>
      <w:r>
        <w:rPr>
          <w:rStyle w:val="CharSectno"/>
        </w:rPr>
        <w:t>97</w:t>
      </w:r>
      <w:r>
        <w:t>.</w:t>
      </w:r>
      <w:r>
        <w:tab/>
        <w:t>Authorised explosives, licences entitling transport</w:t>
      </w:r>
      <w:bookmarkEnd w:id="348"/>
      <w:bookmarkEnd w:id="349"/>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keepNext/>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spacing w:before="120"/>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spacing w:before="120"/>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keepLines/>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keepNext/>
      </w:pPr>
      <w:r>
        <w:tab/>
        <w:t>(c)</w:t>
      </w:r>
      <w:r>
        <w:tab/>
        <w:t>the person holds a licence referred to in regulation 98, 99, 100 or 101 and transports the explosive under that regulation; or</w:t>
      </w:r>
    </w:p>
    <w:p>
      <w:pPr>
        <w:pStyle w:val="Ednotepara"/>
      </w:pPr>
      <w:r>
        <w:tab/>
        <w:t>[(d)</w:t>
      </w:r>
      <w:r>
        <w:tab/>
        <w:t>deleted]</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Gazette 16 Mar 2012 p. 1181; 2 Dec 2013 p. 5585; 8 Jan 2015 p. 129; 5 Feb 2016 p. 348.]</w:t>
      </w:r>
    </w:p>
    <w:p>
      <w:pPr>
        <w:pStyle w:val="Heading5"/>
      </w:pPr>
      <w:bookmarkStart w:id="350" w:name="_Toc200095437"/>
      <w:bookmarkStart w:id="351" w:name="_Toc192857159"/>
      <w:r>
        <w:rPr>
          <w:rStyle w:val="CharSectno"/>
        </w:rPr>
        <w:t>98</w:t>
      </w:r>
      <w:r>
        <w:t>.</w:t>
      </w:r>
      <w:r>
        <w:tab/>
        <w:t>Shotfiring licence authorises limited transport</w:t>
      </w:r>
      <w:bookmarkEnd w:id="350"/>
      <w:bookmarkEnd w:id="351"/>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Ednotepara"/>
      </w:pPr>
      <w:r>
        <w:tab/>
        <w:t>[(b)</w:t>
      </w:r>
      <w:r>
        <w:tab/>
        <w:t>deleted]</w:t>
      </w:r>
    </w:p>
    <w:p>
      <w:pPr>
        <w:pStyle w:val="Indenta"/>
      </w:pPr>
      <w:r>
        <w:tab/>
        <w:t>(c)</w:t>
      </w:r>
      <w:r>
        <w:tab/>
        <w:t>not more than a Category 2 load is transported.</w:t>
      </w:r>
    </w:p>
    <w:p>
      <w:pPr>
        <w:pStyle w:val="Footnotesection"/>
      </w:pPr>
      <w:r>
        <w:tab/>
        <w:t>[Regulation 98 amended: Gazette 20 Mar 2018 p. 999.]</w:t>
      </w:r>
    </w:p>
    <w:p>
      <w:pPr>
        <w:pStyle w:val="Heading5"/>
      </w:pPr>
      <w:bookmarkStart w:id="352" w:name="_Toc200095438"/>
      <w:bookmarkStart w:id="353" w:name="_Toc192857160"/>
      <w:r>
        <w:rPr>
          <w:rStyle w:val="CharSectno"/>
        </w:rPr>
        <w:t>99</w:t>
      </w:r>
      <w:r>
        <w:t>.</w:t>
      </w:r>
      <w:r>
        <w:tab/>
        <w:t>Pyrotechnics (special use) licence authorises limited transport</w:t>
      </w:r>
      <w:bookmarkEnd w:id="352"/>
      <w:bookmarkEnd w:id="353"/>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Ednotepara"/>
      </w:pPr>
      <w:r>
        <w:tab/>
        <w:t>[(b)</w:t>
      </w:r>
      <w:r>
        <w:tab/>
        <w:t>deleted]</w:t>
      </w:r>
    </w:p>
    <w:p>
      <w:pPr>
        <w:pStyle w:val="Indenta"/>
      </w:pPr>
      <w:r>
        <w:tab/>
        <w:t>(c)</w:t>
      </w:r>
      <w:r>
        <w:tab/>
        <w:t>not more than a Category 2 load is transported.</w:t>
      </w:r>
    </w:p>
    <w:p>
      <w:pPr>
        <w:pStyle w:val="Footnotesection"/>
      </w:pPr>
      <w:r>
        <w:tab/>
        <w:t>[Regulation 99 amended: Gazette 20 Mar 2018 p. 999.]</w:t>
      </w:r>
    </w:p>
    <w:p>
      <w:pPr>
        <w:pStyle w:val="Heading5"/>
        <w:spacing w:before="240"/>
      </w:pPr>
      <w:bookmarkStart w:id="354" w:name="_Toc200095439"/>
      <w:bookmarkStart w:id="355" w:name="_Toc192857161"/>
      <w:r>
        <w:rPr>
          <w:rStyle w:val="CharSectno"/>
        </w:rPr>
        <w:t>100</w:t>
      </w:r>
      <w:r>
        <w:t>.</w:t>
      </w:r>
      <w:r>
        <w:tab/>
        <w:t>Fireworks contractor licence authorises limited transport</w:t>
      </w:r>
      <w:bookmarkEnd w:id="354"/>
      <w:bookmarkEnd w:id="355"/>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Ednotepara"/>
      </w:pPr>
      <w:r>
        <w:tab/>
        <w:t>[(b)</w:t>
      </w:r>
      <w:r>
        <w:tab/>
        <w:t>deleted]</w:t>
      </w:r>
    </w:p>
    <w:p>
      <w:pPr>
        <w:pStyle w:val="Indenta"/>
      </w:pPr>
      <w:r>
        <w:tab/>
        <w:t>(c)</w:t>
      </w:r>
      <w:r>
        <w:tab/>
        <w:t>not more than a Category 2 load is transported.</w:t>
      </w:r>
    </w:p>
    <w:p>
      <w:pPr>
        <w:pStyle w:val="Footnotesection"/>
      </w:pPr>
      <w:r>
        <w:tab/>
        <w:t>[Regulation 100 amended: Gazette 20 Mar 2018 p. 999.]</w:t>
      </w:r>
    </w:p>
    <w:p>
      <w:pPr>
        <w:pStyle w:val="Heading5"/>
        <w:spacing w:before="240"/>
      </w:pPr>
      <w:bookmarkStart w:id="356" w:name="_Toc200095440"/>
      <w:bookmarkStart w:id="357" w:name="_Toc192857162"/>
      <w:r>
        <w:rPr>
          <w:rStyle w:val="CharSectno"/>
        </w:rPr>
        <w:t>101</w:t>
      </w:r>
      <w:r>
        <w:t>.</w:t>
      </w:r>
      <w:r>
        <w:tab/>
        <w:t>Fireworks operator licence authorises limited transport</w:t>
      </w:r>
      <w:bookmarkEnd w:id="356"/>
      <w:bookmarkEnd w:id="357"/>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Ednotepara"/>
      </w:pPr>
      <w:r>
        <w:tab/>
        <w:t>[(b)</w:t>
      </w:r>
      <w:r>
        <w:tab/>
        <w:t>deleted]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Ednotepara"/>
      </w:pPr>
      <w:r>
        <w:tab/>
        <w:t>[(c)</w:t>
      </w:r>
      <w:r>
        <w:tab/>
        <w:t>deleted]</w:t>
      </w:r>
    </w:p>
    <w:p>
      <w:pPr>
        <w:pStyle w:val="Indenta"/>
      </w:pPr>
      <w:r>
        <w:tab/>
        <w:t>(d)</w:t>
      </w:r>
      <w:r>
        <w:tab/>
        <w:t>not more than a Category 2 load is transported.</w:t>
      </w:r>
    </w:p>
    <w:p>
      <w:pPr>
        <w:pStyle w:val="Footnotesection"/>
      </w:pPr>
      <w:r>
        <w:tab/>
        <w:t>[Regulation 101 amended: Gazette 20 Mar 2018 p. 1000.]</w:t>
      </w:r>
    </w:p>
    <w:p>
      <w:pPr>
        <w:pStyle w:val="Heading5"/>
      </w:pPr>
      <w:bookmarkStart w:id="358" w:name="_Toc200095441"/>
      <w:bookmarkStart w:id="359" w:name="_Toc192857163"/>
      <w:r>
        <w:rPr>
          <w:rStyle w:val="CharSectno"/>
        </w:rPr>
        <w:t>102</w:t>
      </w:r>
      <w:r>
        <w:t>.</w:t>
      </w:r>
      <w:r>
        <w:tab/>
        <w:t>MPUs, licensing requirements for</w:t>
      </w:r>
      <w:bookmarkEnd w:id="358"/>
      <w:bookmarkEnd w:id="359"/>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Gazette 2 Dec 2013 p.</w:t>
      </w:r>
      <w:r>
        <w:rPr>
          <w:sz w:val="19"/>
        </w:rPr>
        <w:t> </w:t>
      </w:r>
      <w:r>
        <w:t>5585</w:t>
      </w:r>
      <w:r>
        <w:noBreakHyphen/>
        <w:t>6.]</w:t>
      </w:r>
    </w:p>
    <w:p>
      <w:pPr>
        <w:pStyle w:val="Heading3"/>
      </w:pPr>
      <w:bookmarkStart w:id="360" w:name="_Toc200031635"/>
      <w:bookmarkStart w:id="361" w:name="_Toc200036623"/>
      <w:bookmarkStart w:id="362" w:name="_Toc200095442"/>
      <w:bookmarkStart w:id="363" w:name="_Toc192852784"/>
      <w:bookmarkStart w:id="364" w:name="_Toc192853878"/>
      <w:bookmarkStart w:id="365" w:name="_Toc192857164"/>
      <w:r>
        <w:rPr>
          <w:rStyle w:val="CharDivNo"/>
        </w:rPr>
        <w:t>Division 3</w:t>
      </w:r>
      <w:r>
        <w:t> — </w:t>
      </w:r>
      <w:r>
        <w:rPr>
          <w:rStyle w:val="CharDivText"/>
        </w:rPr>
        <w:t>Transport by road or rail</w:t>
      </w:r>
      <w:bookmarkEnd w:id="360"/>
      <w:bookmarkEnd w:id="361"/>
      <w:bookmarkEnd w:id="362"/>
      <w:bookmarkEnd w:id="363"/>
      <w:bookmarkEnd w:id="364"/>
      <w:bookmarkEnd w:id="365"/>
    </w:p>
    <w:p>
      <w:pPr>
        <w:pStyle w:val="Heading5"/>
      </w:pPr>
      <w:bookmarkStart w:id="366" w:name="_Toc200095443"/>
      <w:bookmarkStart w:id="367" w:name="_Toc192857165"/>
      <w:r>
        <w:rPr>
          <w:rStyle w:val="CharSectno"/>
        </w:rPr>
        <w:t>103</w:t>
      </w:r>
      <w:r>
        <w:t>.</w:t>
      </w:r>
      <w:r>
        <w:tab/>
        <w:t>Application of this Division</w:t>
      </w:r>
      <w:bookmarkEnd w:id="366"/>
      <w:bookmarkEnd w:id="367"/>
    </w:p>
    <w:p>
      <w:pPr>
        <w:pStyle w:val="Subsection"/>
        <w:keepNext/>
      </w:pPr>
      <w:r>
        <w:tab/>
      </w:r>
      <w:r>
        <w:tab/>
        <w:t>This Division applies to and in relation to the transport of an explosive by road or rail.</w:t>
      </w:r>
    </w:p>
    <w:p>
      <w:pPr>
        <w:pStyle w:val="Heading5"/>
      </w:pPr>
      <w:bookmarkStart w:id="368" w:name="_Toc200095444"/>
      <w:bookmarkStart w:id="369" w:name="_Toc192857166"/>
      <w:r>
        <w:rPr>
          <w:rStyle w:val="CharSectno"/>
        </w:rPr>
        <w:t>104</w:t>
      </w:r>
      <w:r>
        <w:t>.</w:t>
      </w:r>
      <w:r>
        <w:tab/>
        <w:t>Contravention of AE Code Ch. 8 an offence</w:t>
      </w:r>
      <w:bookmarkEnd w:id="368"/>
      <w:bookmarkEnd w:id="369"/>
    </w:p>
    <w:p>
      <w:pPr>
        <w:pStyle w:val="Subsection"/>
        <w:keepNext/>
      </w:pPr>
      <w:r>
        <w:tab/>
        <w:t>(1)</w:t>
      </w:r>
      <w:r>
        <w:tab/>
        <w:t>If a provision of the AE Code Chapter 8 requires a person to do or not to do an act and the person contravenes the provision, the person commits an offence.</w:t>
      </w:r>
    </w:p>
    <w:p>
      <w:pPr>
        <w:pStyle w:val="Penstart"/>
        <w:keepNext/>
      </w:pPr>
      <w:r>
        <w:tab/>
        <w:t>Penalty: a level 2 fine.</w:t>
      </w:r>
    </w:p>
    <w:p>
      <w:pPr>
        <w:pStyle w:val="Subsection"/>
        <w:keepNext/>
      </w:pPr>
      <w:r>
        <w:tab/>
        <w:t>(2)</w:t>
      </w:r>
      <w:r>
        <w:tab/>
        <w:t>Subregulation (1) does not apply —</w:t>
      </w:r>
    </w:p>
    <w:p>
      <w:pPr>
        <w:pStyle w:val="Indenta"/>
        <w:keepNext/>
      </w:pPr>
      <w:r>
        <w:tab/>
        <w:t>(a)</w:t>
      </w:r>
      <w:r>
        <w:tab/>
        <w:t>to the AE Code section 8.2.3(1); or</w:t>
      </w:r>
    </w:p>
    <w:p>
      <w:pPr>
        <w:pStyle w:val="Indenta"/>
        <w:keepNext/>
      </w:pPr>
      <w:r>
        <w:tab/>
        <w:t>(b)</w:t>
      </w:r>
      <w:r>
        <w:tab/>
        <w:t>to the AE Code section 8.3.4(2); or</w:t>
      </w:r>
    </w:p>
    <w:p>
      <w:pPr>
        <w:pStyle w:val="Indenta"/>
        <w:keepNext/>
      </w:pPr>
      <w:r>
        <w:tab/>
        <w:t>(c)</w:t>
      </w:r>
      <w:r>
        <w:tab/>
        <w:t xml:space="preserve">to the AE Code section 8.4.4(1) to the extent that it requires — </w:t>
      </w:r>
    </w:p>
    <w:p>
      <w:pPr>
        <w:pStyle w:val="Indenti"/>
      </w:pPr>
      <w:r>
        <w:tab/>
        <w:t>(i)</w:t>
      </w:r>
      <w:r>
        <w:tab/>
        <w:t>the owner of a vehicle that is transporting explosives and the prime contractor to take all practicable steps to ensure a person who is driving the vehicle complies with the requirements of section 8.4.3; or</w:t>
      </w:r>
    </w:p>
    <w:p>
      <w:pPr>
        <w:pStyle w:val="Indenti"/>
      </w:pPr>
      <w:r>
        <w:tab/>
        <w:t>(ii)</w:t>
      </w:r>
      <w:r>
        <w:tab/>
        <w:t xml:space="preserve">the owner of a vehicle that is transporting explosives to ensure the person who is driving the vehicle is authorised to do so under the Act; </w:t>
      </w:r>
    </w:p>
    <w:p>
      <w:pPr>
        <w:pStyle w:val="Indenta"/>
      </w:pPr>
      <w:r>
        <w:tab/>
      </w:r>
      <w:r>
        <w:tab/>
        <w:t>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keepNext/>
      </w:pPr>
      <w:r>
        <w:tab/>
        <w:t>(2A)</w:t>
      </w:r>
      <w:r>
        <w:tab/>
        <w:t xml:space="preserve">Also, subregulation (1) does not apply insofar as it requires a person who is transporting an explosive to comply with the AE Code section 3.2.7(1), if — </w:t>
      </w:r>
    </w:p>
    <w:p>
      <w:pPr>
        <w:pStyle w:val="Indenta"/>
      </w:pPr>
      <w:r>
        <w:tab/>
        <w:t>(a)</w:t>
      </w:r>
      <w:r>
        <w:tab/>
        <w:t xml:space="preserve">the explosive being transported is identified in the AE Code as having — </w:t>
      </w:r>
    </w:p>
    <w:p>
      <w:pPr>
        <w:pStyle w:val="Indenti"/>
      </w:pPr>
      <w:r>
        <w:tab/>
        <w:t>(i)</w:t>
      </w:r>
      <w:r>
        <w:tab/>
        <w:t xml:space="preserve">the UN Number 0082, with the proper shipping name of “Explosives, Blasting, Type B” and with the classification code 1.1D; or </w:t>
      </w:r>
    </w:p>
    <w:p>
      <w:pPr>
        <w:pStyle w:val="Indenti"/>
      </w:pPr>
      <w:r>
        <w:tab/>
        <w:t>(ii)</w:t>
      </w:r>
      <w:r>
        <w:tab/>
        <w:t>the UN Number 0241, with the proper shipping name of “Explosives, Blasting, Type E” and with the classification code 1.1D; or</w:t>
      </w:r>
    </w:p>
    <w:p>
      <w:pPr>
        <w:pStyle w:val="Indenti"/>
      </w:pPr>
      <w:r>
        <w:tab/>
        <w:t>(iii)</w:t>
      </w:r>
      <w:r>
        <w:tab/>
        <w:t>the UN Number 0331, with the proper shipping name of “Explosives, Blasting, Type B” and with the classification code 1.5D; or</w:t>
      </w:r>
    </w:p>
    <w:p>
      <w:pPr>
        <w:pStyle w:val="Indenti"/>
      </w:pPr>
      <w:r>
        <w:tab/>
        <w:t>(iv)</w:t>
      </w:r>
      <w:r>
        <w:tab/>
        <w:t xml:space="preserve">the UN Number 0332, with the proper shipping name “Explosives, Blasting, Type E” and with the classification code 1.5D; </w:t>
      </w:r>
    </w:p>
    <w:p>
      <w:pPr>
        <w:pStyle w:val="Indenta"/>
      </w:pPr>
      <w:r>
        <w:tab/>
      </w:r>
      <w:r>
        <w:tab/>
        <w:t>and</w:t>
      </w:r>
    </w:p>
    <w:p>
      <w:pPr>
        <w:pStyle w:val="Indenta"/>
      </w:pPr>
      <w:r>
        <w:tab/>
        <w:t>(b)</w:t>
      </w:r>
      <w:r>
        <w:tab/>
        <w:t xml:space="preserve">the explosive is transported in an Intermediate Bulk Container that is labelled — </w:t>
      </w:r>
    </w:p>
    <w:p>
      <w:pPr>
        <w:pStyle w:val="Indenti"/>
      </w:pPr>
      <w:r>
        <w:tab/>
        <w:t>(i)</w:t>
      </w:r>
      <w:r>
        <w:tab/>
        <w:t>in accordance with the requirements for outer packaging stated in the AE Code section 3.2.1; and</w:t>
      </w:r>
    </w:p>
    <w:p>
      <w:pPr>
        <w:pStyle w:val="Indenti"/>
      </w:pPr>
      <w:r>
        <w:tab/>
        <w:t>(ii)</w:t>
      </w:r>
      <w:r>
        <w:tab/>
        <w:t>in accordance with the relevant requirements for the explosive set out in the GHS.</w:t>
      </w:r>
    </w:p>
    <w:p>
      <w:pPr>
        <w:pStyle w:val="Subsection"/>
      </w:pPr>
      <w:r>
        <w:tab/>
        <w:t>(2B)</w:t>
      </w:r>
      <w:r>
        <w:tab/>
        <w:t xml:space="preserve">In subregulation (2A) — </w:t>
      </w:r>
    </w:p>
    <w:p>
      <w:pPr>
        <w:pStyle w:val="Defstart"/>
      </w:pPr>
      <w:r>
        <w:tab/>
      </w:r>
      <w:r>
        <w:rPr>
          <w:rStyle w:val="CharDefText"/>
        </w:rPr>
        <w:t>GHS</w:t>
      </w:r>
      <w:r>
        <w:t xml:space="preserve"> has the meaning given in the </w:t>
      </w:r>
      <w:r>
        <w:rPr>
          <w:i/>
        </w:rPr>
        <w:t>Dangerous Goods Safety (Storage and Handling of Non</w:t>
      </w:r>
      <w:r>
        <w:rPr>
          <w:i/>
        </w:rPr>
        <w:noBreakHyphen/>
        <w:t>explosives) Regulations 2007</w:t>
      </w:r>
      <w:r>
        <w:t xml:space="preserve"> regulation 4;</w:t>
      </w:r>
    </w:p>
    <w:p>
      <w:pPr>
        <w:pStyle w:val="Defstart"/>
      </w:pPr>
      <w:r>
        <w:tab/>
      </w:r>
      <w:r>
        <w:rPr>
          <w:rStyle w:val="CharDefText"/>
        </w:rPr>
        <w:t>Intermediate Bulk Container</w:t>
      </w:r>
      <w:r>
        <w:t xml:space="preserve"> means an Intermediate Bulk Container within the meaning of the AE Code;</w:t>
      </w:r>
    </w:p>
    <w:p>
      <w:pPr>
        <w:pStyle w:val="Defstart"/>
      </w:pPr>
      <w:r>
        <w:tab/>
      </w:r>
      <w:r>
        <w:rPr>
          <w:rStyle w:val="CharDefText"/>
        </w:rPr>
        <w:t>UN Number</w:t>
      </w:r>
      <w:r>
        <w:t>, in relation to an explosive, means the UN Number shown in relation to the explosive in Appendix 2 of the AE Code.</w:t>
      </w:r>
    </w:p>
    <w:p>
      <w:pPr>
        <w:pStyle w:val="Subsection"/>
      </w:pPr>
      <w:r>
        <w:tab/>
        <w:t>(3)</w:t>
      </w:r>
      <w:r>
        <w:tab/>
        <w:t>Subregulation (2)(a) and (c) do not affect the operation of regulation 97(3) or section 15 of the Act.</w:t>
      </w:r>
    </w:p>
    <w:p>
      <w:pPr>
        <w:pStyle w:val="Footnotesection"/>
      </w:pPr>
      <w:r>
        <w:tab/>
        <w:t>[Regulation 104 amended: Gazette 24 Nov 2009 p. 4738; 16 Mar 2012 p. 1182; 20 Mar 2018 p. 1000</w:t>
      </w:r>
      <w:r>
        <w:noBreakHyphen/>
        <w:t>1.]</w:t>
      </w:r>
    </w:p>
    <w:p>
      <w:pPr>
        <w:pStyle w:val="Heading5"/>
      </w:pPr>
      <w:bookmarkStart w:id="370" w:name="_Toc200095445"/>
      <w:bookmarkStart w:id="371" w:name="_Toc192857167"/>
      <w:r>
        <w:rPr>
          <w:rStyle w:val="CharSectno"/>
        </w:rPr>
        <w:t>105</w:t>
      </w:r>
      <w:r>
        <w:t>.</w:t>
      </w:r>
      <w:r>
        <w:tab/>
        <w:t>Consignor’s duties</w:t>
      </w:r>
      <w:bookmarkEnd w:id="370"/>
      <w:bookmarkEnd w:id="371"/>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372" w:name="_Toc200095446"/>
      <w:bookmarkStart w:id="373" w:name="_Toc192857168"/>
      <w:r>
        <w:rPr>
          <w:rStyle w:val="CharSectno"/>
        </w:rPr>
        <w:t>106</w:t>
      </w:r>
      <w:r>
        <w:t>.</w:t>
      </w:r>
      <w:r>
        <w:tab/>
        <w:t>Prime contractor’s duties</w:t>
      </w:r>
      <w:bookmarkEnd w:id="372"/>
      <w:bookmarkEnd w:id="373"/>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Gazette 24 Nov 2009 p. 4738.]</w:t>
      </w:r>
    </w:p>
    <w:p>
      <w:pPr>
        <w:pStyle w:val="Heading5"/>
      </w:pPr>
      <w:bookmarkStart w:id="374" w:name="_Toc200095447"/>
      <w:bookmarkStart w:id="375" w:name="_Toc192857169"/>
      <w:r>
        <w:rPr>
          <w:rStyle w:val="CharSectno"/>
        </w:rPr>
        <w:t>107</w:t>
      </w:r>
      <w:r>
        <w:t>.</w:t>
      </w:r>
      <w:r>
        <w:tab/>
        <w:t>Restrictions on transporting certain loads in CBDs</w:t>
      </w:r>
      <w:bookmarkEnd w:id="374"/>
      <w:bookmarkEnd w:id="375"/>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Gazette 24 Nov 2009 p. 4738.]</w:t>
      </w:r>
    </w:p>
    <w:p>
      <w:pPr>
        <w:pStyle w:val="Heading3"/>
      </w:pPr>
      <w:bookmarkStart w:id="376" w:name="_Toc200031641"/>
      <w:bookmarkStart w:id="377" w:name="_Toc200036629"/>
      <w:bookmarkStart w:id="378" w:name="_Toc200095448"/>
      <w:bookmarkStart w:id="379" w:name="_Toc192852790"/>
      <w:bookmarkStart w:id="380" w:name="_Toc192853884"/>
      <w:bookmarkStart w:id="381" w:name="_Toc192857170"/>
      <w:r>
        <w:rPr>
          <w:rStyle w:val="CharDivNo"/>
        </w:rPr>
        <w:t>Division 4</w:t>
      </w:r>
      <w:r>
        <w:t> — </w:t>
      </w:r>
      <w:r>
        <w:rPr>
          <w:rStyle w:val="CharDivText"/>
        </w:rPr>
        <w:t>Emergencies</w:t>
      </w:r>
      <w:bookmarkEnd w:id="376"/>
      <w:bookmarkEnd w:id="377"/>
      <w:bookmarkEnd w:id="378"/>
      <w:bookmarkEnd w:id="379"/>
      <w:bookmarkEnd w:id="380"/>
      <w:bookmarkEnd w:id="381"/>
    </w:p>
    <w:p>
      <w:pPr>
        <w:pStyle w:val="Heading5"/>
      </w:pPr>
      <w:bookmarkStart w:id="382" w:name="_Toc200095449"/>
      <w:bookmarkStart w:id="383" w:name="_Toc192857171"/>
      <w:r>
        <w:rPr>
          <w:rStyle w:val="CharSectno"/>
        </w:rPr>
        <w:t>108</w:t>
      </w:r>
      <w:r>
        <w:t>.</w:t>
      </w:r>
      <w:r>
        <w:tab/>
        <w:t>Terms used</w:t>
      </w:r>
      <w:bookmarkEnd w:id="382"/>
      <w:bookmarkEnd w:id="383"/>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the FES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Gazette 19 Feb 2013 p. 985.]</w:t>
      </w:r>
    </w:p>
    <w:p>
      <w:pPr>
        <w:pStyle w:val="Heading5"/>
      </w:pPr>
      <w:bookmarkStart w:id="384" w:name="_Toc200095450"/>
      <w:bookmarkStart w:id="385" w:name="_Toc192857172"/>
      <w:r>
        <w:rPr>
          <w:rStyle w:val="CharSectno"/>
        </w:rPr>
        <w:t>109</w:t>
      </w:r>
      <w:r>
        <w:t>.</w:t>
      </w:r>
      <w:r>
        <w:tab/>
        <w:t>Dangerous situations, duty to notify authorities</w:t>
      </w:r>
      <w:bookmarkEnd w:id="384"/>
      <w:bookmarkEnd w:id="385"/>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keepNext/>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Gazette 16 Mar 2012 p. 1182.]</w:t>
      </w:r>
    </w:p>
    <w:p>
      <w:pPr>
        <w:pStyle w:val="Heading3"/>
      </w:pPr>
      <w:bookmarkStart w:id="386" w:name="_Toc200031644"/>
      <w:bookmarkStart w:id="387" w:name="_Toc200036632"/>
      <w:bookmarkStart w:id="388" w:name="_Toc200095451"/>
      <w:bookmarkStart w:id="389" w:name="_Toc192852793"/>
      <w:bookmarkStart w:id="390" w:name="_Toc192853887"/>
      <w:bookmarkStart w:id="391" w:name="_Toc192857173"/>
      <w:r>
        <w:rPr>
          <w:rStyle w:val="CharDivNo"/>
        </w:rPr>
        <w:t>Division 5</w:t>
      </w:r>
      <w:r>
        <w:t> — </w:t>
      </w:r>
      <w:r>
        <w:rPr>
          <w:rStyle w:val="CharDivText"/>
        </w:rPr>
        <w:t>Transport in mines</w:t>
      </w:r>
      <w:bookmarkEnd w:id="386"/>
      <w:bookmarkEnd w:id="387"/>
      <w:bookmarkEnd w:id="388"/>
      <w:bookmarkEnd w:id="389"/>
      <w:bookmarkEnd w:id="390"/>
      <w:bookmarkEnd w:id="391"/>
    </w:p>
    <w:p>
      <w:pPr>
        <w:pStyle w:val="Heading5"/>
      </w:pPr>
      <w:bookmarkStart w:id="392" w:name="_Toc200095452"/>
      <w:bookmarkStart w:id="393" w:name="_Toc192857174"/>
      <w:r>
        <w:rPr>
          <w:rStyle w:val="CharSectno"/>
        </w:rPr>
        <w:t>110</w:t>
      </w:r>
      <w:r>
        <w:t>.</w:t>
      </w:r>
      <w:r>
        <w:tab/>
        <w:t>Contravention of certain provisions of AE Code an offence</w:t>
      </w:r>
      <w:bookmarkEnd w:id="392"/>
      <w:bookmarkEnd w:id="393"/>
    </w:p>
    <w:p>
      <w:pPr>
        <w:pStyle w:val="Subsection"/>
        <w:keepNext/>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Gazette 24 Nov 2009 p. 4739; amended: Gazette 16 Mar 2012 p. 1183.]</w:t>
      </w:r>
    </w:p>
    <w:p>
      <w:pPr>
        <w:pStyle w:val="Heading2"/>
      </w:pPr>
      <w:bookmarkStart w:id="394" w:name="_Toc200031646"/>
      <w:bookmarkStart w:id="395" w:name="_Toc200036634"/>
      <w:bookmarkStart w:id="396" w:name="_Toc200095453"/>
      <w:bookmarkStart w:id="397" w:name="_Toc192852795"/>
      <w:bookmarkStart w:id="398" w:name="_Toc192853889"/>
      <w:bookmarkStart w:id="399" w:name="_Toc192857175"/>
      <w:r>
        <w:rPr>
          <w:rStyle w:val="CharPartNo"/>
        </w:rPr>
        <w:t>Part 11A</w:t>
      </w:r>
      <w:r>
        <w:rPr>
          <w:b w:val="0"/>
        </w:rPr>
        <w:t> </w:t>
      </w:r>
      <w:r>
        <w:t>—</w:t>
      </w:r>
      <w:r>
        <w:rPr>
          <w:b w:val="0"/>
        </w:rPr>
        <w:t> </w:t>
      </w:r>
      <w:r>
        <w:rPr>
          <w:rStyle w:val="CharPartText"/>
        </w:rPr>
        <w:t>Explosives in ports</w:t>
      </w:r>
      <w:bookmarkEnd w:id="394"/>
      <w:bookmarkEnd w:id="395"/>
      <w:bookmarkEnd w:id="396"/>
      <w:bookmarkEnd w:id="397"/>
      <w:bookmarkEnd w:id="398"/>
      <w:bookmarkEnd w:id="399"/>
    </w:p>
    <w:p>
      <w:pPr>
        <w:pStyle w:val="Footnoteheading"/>
      </w:pPr>
      <w:r>
        <w:tab/>
        <w:t>[Heading inserted: Gazette 2 Dec 2013 p. 5586.]</w:t>
      </w:r>
    </w:p>
    <w:p>
      <w:pPr>
        <w:pStyle w:val="Heading3"/>
      </w:pPr>
      <w:bookmarkStart w:id="400" w:name="_Toc200031647"/>
      <w:bookmarkStart w:id="401" w:name="_Toc200036635"/>
      <w:bookmarkStart w:id="402" w:name="_Toc200095454"/>
      <w:bookmarkStart w:id="403" w:name="_Toc192852796"/>
      <w:bookmarkStart w:id="404" w:name="_Toc192853890"/>
      <w:bookmarkStart w:id="405" w:name="_Toc192857176"/>
      <w:r>
        <w:rPr>
          <w:rStyle w:val="CharDivNo"/>
        </w:rPr>
        <w:t>Division 1</w:t>
      </w:r>
      <w:r>
        <w:t> — </w:t>
      </w:r>
      <w:r>
        <w:rPr>
          <w:rStyle w:val="CharDivText"/>
        </w:rPr>
        <w:t>Preliminary matters</w:t>
      </w:r>
      <w:bookmarkEnd w:id="400"/>
      <w:bookmarkEnd w:id="401"/>
      <w:bookmarkEnd w:id="402"/>
      <w:bookmarkEnd w:id="403"/>
      <w:bookmarkEnd w:id="404"/>
      <w:bookmarkEnd w:id="405"/>
    </w:p>
    <w:p>
      <w:pPr>
        <w:pStyle w:val="Footnoteheading"/>
      </w:pPr>
      <w:r>
        <w:tab/>
        <w:t>[Heading inserted: Gazette 2 Dec 2013 p. 5586.]</w:t>
      </w:r>
    </w:p>
    <w:p>
      <w:pPr>
        <w:pStyle w:val="Heading5"/>
      </w:pPr>
      <w:bookmarkStart w:id="406" w:name="_Toc200095455"/>
      <w:bookmarkStart w:id="407" w:name="_Toc192857177"/>
      <w:r>
        <w:rPr>
          <w:rStyle w:val="CharSectno"/>
        </w:rPr>
        <w:t>111A</w:t>
      </w:r>
      <w:r>
        <w:t>.</w:t>
      </w:r>
      <w:r>
        <w:tab/>
        <w:t>Terms used</w:t>
      </w:r>
      <w:bookmarkEnd w:id="406"/>
      <w:bookmarkEnd w:id="407"/>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Gazette 2 Dec 2013 p.</w:t>
      </w:r>
      <w:r>
        <w:rPr>
          <w:sz w:val="19"/>
        </w:rPr>
        <w:t> </w:t>
      </w:r>
      <w:r>
        <w:t>5586</w:t>
      </w:r>
      <w:r>
        <w:noBreakHyphen/>
        <w:t>7.]</w:t>
      </w:r>
    </w:p>
    <w:p>
      <w:pPr>
        <w:pStyle w:val="Heading5"/>
      </w:pPr>
      <w:bookmarkStart w:id="408" w:name="_Toc200095456"/>
      <w:bookmarkStart w:id="409" w:name="_Toc192857178"/>
      <w:r>
        <w:rPr>
          <w:rStyle w:val="CharSectno"/>
        </w:rPr>
        <w:t>111B</w:t>
      </w:r>
      <w:r>
        <w:t>.</w:t>
      </w:r>
      <w:r>
        <w:tab/>
        <w:t>General provisions about AS 3846</w:t>
      </w:r>
      <w:bookmarkEnd w:id="408"/>
      <w:bookmarkEnd w:id="409"/>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Gazette 2 Dec 2013 p.</w:t>
      </w:r>
      <w:r>
        <w:rPr>
          <w:sz w:val="19"/>
        </w:rPr>
        <w:t> </w:t>
      </w:r>
      <w:r>
        <w:t>5588.]</w:t>
      </w:r>
    </w:p>
    <w:p>
      <w:pPr>
        <w:pStyle w:val="Heading5"/>
      </w:pPr>
      <w:bookmarkStart w:id="410" w:name="_Toc200095457"/>
      <w:bookmarkStart w:id="411" w:name="_Toc192857179"/>
      <w:r>
        <w:rPr>
          <w:rStyle w:val="CharSectno"/>
        </w:rPr>
        <w:t>111C</w:t>
      </w:r>
      <w:r>
        <w:t>.</w:t>
      </w:r>
      <w:r>
        <w:tab/>
        <w:t>Cases in which this Part does not apply</w:t>
      </w:r>
      <w:bookmarkEnd w:id="410"/>
      <w:bookmarkEnd w:id="411"/>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Gazette 2 Dec 2013 p.</w:t>
      </w:r>
      <w:r>
        <w:rPr>
          <w:sz w:val="19"/>
        </w:rPr>
        <w:t> </w:t>
      </w:r>
      <w:r>
        <w:t>5588</w:t>
      </w:r>
      <w:r>
        <w:noBreakHyphen/>
        <w:t>9.]</w:t>
      </w:r>
    </w:p>
    <w:p>
      <w:pPr>
        <w:pStyle w:val="Heading3"/>
        <w:spacing w:before="220"/>
      </w:pPr>
      <w:bookmarkStart w:id="412" w:name="_Toc200031651"/>
      <w:bookmarkStart w:id="413" w:name="_Toc200036639"/>
      <w:bookmarkStart w:id="414" w:name="_Toc200095458"/>
      <w:bookmarkStart w:id="415" w:name="_Toc192852800"/>
      <w:bookmarkStart w:id="416" w:name="_Toc192853894"/>
      <w:bookmarkStart w:id="417" w:name="_Toc192857180"/>
      <w:r>
        <w:rPr>
          <w:rStyle w:val="CharDivNo"/>
        </w:rPr>
        <w:t>Division 2</w:t>
      </w:r>
      <w:r>
        <w:t> — </w:t>
      </w:r>
      <w:r>
        <w:rPr>
          <w:rStyle w:val="CharDivText"/>
        </w:rPr>
        <w:t>Explosives in port areas</w:t>
      </w:r>
      <w:bookmarkEnd w:id="412"/>
      <w:bookmarkEnd w:id="413"/>
      <w:bookmarkEnd w:id="414"/>
      <w:bookmarkEnd w:id="415"/>
      <w:bookmarkEnd w:id="416"/>
      <w:bookmarkEnd w:id="417"/>
    </w:p>
    <w:p>
      <w:pPr>
        <w:pStyle w:val="Footnoteheading"/>
        <w:keepNext/>
      </w:pPr>
      <w:r>
        <w:tab/>
        <w:t>[Heading inserted: Gazette 2 Dec 2013 p. 5589.]</w:t>
      </w:r>
    </w:p>
    <w:p>
      <w:pPr>
        <w:pStyle w:val="Heading5"/>
      </w:pPr>
      <w:bookmarkStart w:id="418" w:name="_Toc200095459"/>
      <w:bookmarkStart w:id="419" w:name="_Toc192857181"/>
      <w:r>
        <w:rPr>
          <w:rStyle w:val="CharSectno"/>
        </w:rPr>
        <w:t>111D</w:t>
      </w:r>
      <w:r>
        <w:t>.</w:t>
      </w:r>
      <w:r>
        <w:tab/>
        <w:t>Application of this Division</w:t>
      </w:r>
      <w:bookmarkEnd w:id="418"/>
      <w:bookmarkEnd w:id="419"/>
    </w:p>
    <w:p>
      <w:pPr>
        <w:pStyle w:val="Subsection"/>
      </w:pPr>
      <w:r>
        <w:tab/>
      </w:r>
      <w:r>
        <w:tab/>
        <w:t>This Division applies to explosives in a port area, whether or not at a special berth (explosives).</w:t>
      </w:r>
    </w:p>
    <w:p>
      <w:pPr>
        <w:pStyle w:val="Footnotesection"/>
      </w:pPr>
      <w:r>
        <w:tab/>
        <w:t>[Regulation 111D inserted: Gazette 2 Dec 2013 p.</w:t>
      </w:r>
      <w:r>
        <w:rPr>
          <w:sz w:val="19"/>
        </w:rPr>
        <w:t> </w:t>
      </w:r>
      <w:r>
        <w:t>5589.]</w:t>
      </w:r>
    </w:p>
    <w:p>
      <w:pPr>
        <w:pStyle w:val="Heading5"/>
      </w:pPr>
      <w:bookmarkStart w:id="420" w:name="_Toc200095460"/>
      <w:bookmarkStart w:id="421" w:name="_Toc192857182"/>
      <w:r>
        <w:rPr>
          <w:rStyle w:val="CharSectno"/>
        </w:rPr>
        <w:t>111E</w:t>
      </w:r>
      <w:r>
        <w:t>.</w:t>
      </w:r>
      <w:r>
        <w:tab/>
        <w:t>Master’s duties</w:t>
      </w:r>
      <w:bookmarkEnd w:id="420"/>
      <w:bookmarkEnd w:id="421"/>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Gazette 2 Dec 2013 p.</w:t>
      </w:r>
      <w:r>
        <w:rPr>
          <w:sz w:val="19"/>
        </w:rPr>
        <w:t> </w:t>
      </w:r>
      <w:r>
        <w:t>5589.]</w:t>
      </w:r>
    </w:p>
    <w:p>
      <w:pPr>
        <w:pStyle w:val="Heading5"/>
        <w:spacing w:before="240"/>
      </w:pPr>
      <w:bookmarkStart w:id="422" w:name="_Toc200095461"/>
      <w:bookmarkStart w:id="423" w:name="_Toc192857183"/>
      <w:r>
        <w:rPr>
          <w:rStyle w:val="CharSectno"/>
        </w:rPr>
        <w:t>111F</w:t>
      </w:r>
      <w:r>
        <w:t>.</w:t>
      </w:r>
      <w:r>
        <w:tab/>
        <w:t>Prime contractor’s duties</w:t>
      </w:r>
      <w:bookmarkEnd w:id="422"/>
      <w:bookmarkEnd w:id="423"/>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Gazette 2 Dec 2013 p.</w:t>
      </w:r>
      <w:r>
        <w:rPr>
          <w:sz w:val="19"/>
        </w:rPr>
        <w:t> </w:t>
      </w:r>
      <w:r>
        <w:t>5589</w:t>
      </w:r>
      <w:r>
        <w:noBreakHyphen/>
        <w:t>90.]</w:t>
      </w:r>
    </w:p>
    <w:p>
      <w:pPr>
        <w:pStyle w:val="Heading5"/>
        <w:spacing w:before="240"/>
      </w:pPr>
      <w:bookmarkStart w:id="424" w:name="_Toc200095462"/>
      <w:bookmarkStart w:id="425" w:name="_Toc192857184"/>
      <w:r>
        <w:rPr>
          <w:rStyle w:val="CharSectno"/>
        </w:rPr>
        <w:t>111G</w:t>
      </w:r>
      <w:r>
        <w:t>.</w:t>
      </w:r>
      <w:r>
        <w:tab/>
        <w:t>Berth operator’s duties</w:t>
      </w:r>
      <w:bookmarkEnd w:id="424"/>
      <w:bookmarkEnd w:id="425"/>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Gazette 2 Dec 2013 p.</w:t>
      </w:r>
      <w:r>
        <w:rPr>
          <w:sz w:val="19"/>
        </w:rPr>
        <w:t> </w:t>
      </w:r>
      <w:r>
        <w:t>5590.]</w:t>
      </w:r>
    </w:p>
    <w:p>
      <w:pPr>
        <w:pStyle w:val="Heading5"/>
      </w:pPr>
      <w:bookmarkStart w:id="426" w:name="_Toc200095463"/>
      <w:bookmarkStart w:id="427" w:name="_Toc192857185"/>
      <w:r>
        <w:rPr>
          <w:rStyle w:val="CharSectno"/>
        </w:rPr>
        <w:t>111H</w:t>
      </w:r>
      <w:r>
        <w:t>.</w:t>
      </w:r>
      <w:r>
        <w:tab/>
        <w:t>Fire control equipment required at berth</w:t>
      </w:r>
      <w:bookmarkEnd w:id="426"/>
      <w:bookmarkEnd w:id="42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keepNext/>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keepNext/>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Gazette 2 Dec 2013 p.</w:t>
      </w:r>
      <w:r>
        <w:rPr>
          <w:sz w:val="19"/>
        </w:rPr>
        <w:t> </w:t>
      </w:r>
      <w:r>
        <w:t>5590</w:t>
      </w:r>
      <w:r>
        <w:noBreakHyphen/>
        <w:t>3.]</w:t>
      </w:r>
    </w:p>
    <w:p>
      <w:pPr>
        <w:pStyle w:val="Heading5"/>
      </w:pPr>
      <w:bookmarkStart w:id="428" w:name="_Toc200095464"/>
      <w:bookmarkStart w:id="429" w:name="_Toc192857186"/>
      <w:r>
        <w:rPr>
          <w:rStyle w:val="CharSectno"/>
        </w:rPr>
        <w:t>111I</w:t>
      </w:r>
      <w:r>
        <w:t>.</w:t>
      </w:r>
      <w:r>
        <w:tab/>
        <w:t>Emergency plan required for berth</w:t>
      </w:r>
      <w:bookmarkEnd w:id="428"/>
      <w:bookmarkEnd w:id="429"/>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Gazette 2 Dec 2013 p.</w:t>
      </w:r>
      <w:r>
        <w:rPr>
          <w:sz w:val="19"/>
        </w:rPr>
        <w:t> </w:t>
      </w:r>
      <w:r>
        <w:t>5593</w:t>
      </w:r>
      <w:r>
        <w:noBreakHyphen/>
        <w:t>4.]</w:t>
      </w:r>
    </w:p>
    <w:p>
      <w:pPr>
        <w:pStyle w:val="Heading5"/>
      </w:pPr>
      <w:bookmarkStart w:id="430" w:name="_Toc200095465"/>
      <w:bookmarkStart w:id="431" w:name="_Toc192857187"/>
      <w:r>
        <w:rPr>
          <w:rStyle w:val="CharSectno"/>
        </w:rPr>
        <w:t>111J</w:t>
      </w:r>
      <w:r>
        <w:t>.</w:t>
      </w:r>
      <w:r>
        <w:tab/>
        <w:t>Information for occupier of site at risk from proximity to berth handling explosives</w:t>
      </w:r>
      <w:bookmarkEnd w:id="430"/>
      <w:bookmarkEnd w:id="431"/>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Gazette 2 Dec 2013 p.</w:t>
      </w:r>
      <w:r>
        <w:rPr>
          <w:sz w:val="19"/>
        </w:rPr>
        <w:t> </w:t>
      </w:r>
      <w:r>
        <w:t>5595.]</w:t>
      </w:r>
    </w:p>
    <w:p>
      <w:pPr>
        <w:pStyle w:val="Heading3"/>
      </w:pPr>
      <w:bookmarkStart w:id="432" w:name="_Toc200031659"/>
      <w:bookmarkStart w:id="433" w:name="_Toc200036647"/>
      <w:bookmarkStart w:id="434" w:name="_Toc200095466"/>
      <w:bookmarkStart w:id="435" w:name="_Toc192852808"/>
      <w:bookmarkStart w:id="436" w:name="_Toc192853902"/>
      <w:bookmarkStart w:id="437" w:name="_Toc192857188"/>
      <w:r>
        <w:rPr>
          <w:rStyle w:val="CharDivNo"/>
        </w:rPr>
        <w:t>Division 3</w:t>
      </w:r>
      <w:r>
        <w:t> — </w:t>
      </w:r>
      <w:r>
        <w:rPr>
          <w:rStyle w:val="CharDivText"/>
        </w:rPr>
        <w:t>Special berth (explosives)</w:t>
      </w:r>
      <w:bookmarkEnd w:id="432"/>
      <w:bookmarkEnd w:id="433"/>
      <w:bookmarkEnd w:id="434"/>
      <w:bookmarkEnd w:id="435"/>
      <w:bookmarkEnd w:id="436"/>
      <w:bookmarkEnd w:id="437"/>
    </w:p>
    <w:p>
      <w:pPr>
        <w:pStyle w:val="Footnoteheading"/>
        <w:keepNext/>
      </w:pPr>
      <w:r>
        <w:tab/>
        <w:t>[Heading inserted: Gazette 2 Dec 2013 p. 5595.]</w:t>
      </w:r>
    </w:p>
    <w:p>
      <w:pPr>
        <w:pStyle w:val="Heading5"/>
      </w:pPr>
      <w:bookmarkStart w:id="438" w:name="_Toc200095467"/>
      <w:bookmarkStart w:id="439" w:name="_Toc192857189"/>
      <w:r>
        <w:rPr>
          <w:rStyle w:val="CharSectno"/>
        </w:rPr>
        <w:t>111K</w:t>
      </w:r>
      <w:r>
        <w:t>.</w:t>
      </w:r>
      <w:r>
        <w:tab/>
        <w:t>When special berth (explosives) required</w:t>
      </w:r>
      <w:bookmarkEnd w:id="438"/>
      <w:bookmarkEnd w:id="439"/>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Gazette 2 Dec 2013 p.</w:t>
      </w:r>
      <w:r>
        <w:rPr>
          <w:sz w:val="19"/>
        </w:rPr>
        <w:t> </w:t>
      </w:r>
      <w:r>
        <w:t>5595</w:t>
      </w:r>
      <w:r>
        <w:noBreakHyphen/>
        <w:t>7.]</w:t>
      </w:r>
    </w:p>
    <w:p>
      <w:pPr>
        <w:pStyle w:val="Heading5"/>
      </w:pPr>
      <w:bookmarkStart w:id="440" w:name="_Toc200095468"/>
      <w:bookmarkStart w:id="441" w:name="_Toc192857190"/>
      <w:r>
        <w:rPr>
          <w:rStyle w:val="CharSectno"/>
        </w:rPr>
        <w:t>111L</w:t>
      </w:r>
      <w:r>
        <w:t>.</w:t>
      </w:r>
      <w:r>
        <w:tab/>
        <w:t>Applying for declaration of special berth (explosives)</w:t>
      </w:r>
      <w:bookmarkEnd w:id="440"/>
      <w:bookmarkEnd w:id="441"/>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Gazette 2 Dec 2013 p.</w:t>
      </w:r>
      <w:r>
        <w:rPr>
          <w:sz w:val="19"/>
        </w:rPr>
        <w:t> </w:t>
      </w:r>
      <w:r>
        <w:t>5597</w:t>
      </w:r>
      <w:r>
        <w:noBreakHyphen/>
        <w:t>8.]</w:t>
      </w:r>
    </w:p>
    <w:p>
      <w:pPr>
        <w:pStyle w:val="Heading5"/>
      </w:pPr>
      <w:bookmarkStart w:id="442" w:name="_Toc200095469"/>
      <w:bookmarkStart w:id="443" w:name="_Toc192857191"/>
      <w:r>
        <w:rPr>
          <w:rStyle w:val="CharSectno"/>
        </w:rPr>
        <w:t>111M</w:t>
      </w:r>
      <w:r>
        <w:t>.</w:t>
      </w:r>
      <w:r>
        <w:tab/>
        <w:t>Content of risk assessment</w:t>
      </w:r>
      <w:bookmarkEnd w:id="442"/>
      <w:bookmarkEnd w:id="443"/>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keepNext/>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Gazette 2 Dec 2013 p.</w:t>
      </w:r>
      <w:r>
        <w:rPr>
          <w:sz w:val="19"/>
        </w:rPr>
        <w:t> </w:t>
      </w:r>
      <w:r>
        <w:t>5598</w:t>
      </w:r>
      <w:r>
        <w:noBreakHyphen/>
        <w:t>9.]</w:t>
      </w:r>
    </w:p>
    <w:p>
      <w:pPr>
        <w:pStyle w:val="Heading5"/>
      </w:pPr>
      <w:bookmarkStart w:id="444" w:name="_Toc200095470"/>
      <w:bookmarkStart w:id="445" w:name="_Toc192857192"/>
      <w:r>
        <w:rPr>
          <w:rStyle w:val="CharSectno"/>
        </w:rPr>
        <w:t>111N</w:t>
      </w:r>
      <w:r>
        <w:t>.</w:t>
      </w:r>
      <w:r>
        <w:tab/>
        <w:t>Dealing with application under r. 111L</w:t>
      </w:r>
      <w:bookmarkEnd w:id="444"/>
      <w:bookmarkEnd w:id="445"/>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Gazette 2 Dec 2013 p.</w:t>
      </w:r>
      <w:r>
        <w:rPr>
          <w:sz w:val="19"/>
        </w:rPr>
        <w:t> </w:t>
      </w:r>
      <w:r>
        <w:t>5599</w:t>
      </w:r>
      <w:r>
        <w:noBreakHyphen/>
        <w:t>600.]</w:t>
      </w:r>
    </w:p>
    <w:p>
      <w:pPr>
        <w:pStyle w:val="Heading5"/>
      </w:pPr>
      <w:bookmarkStart w:id="446" w:name="_Toc200095471"/>
      <w:bookmarkStart w:id="447" w:name="_Toc192857193"/>
      <w:r>
        <w:rPr>
          <w:rStyle w:val="CharSectno"/>
        </w:rPr>
        <w:t>111O</w:t>
      </w:r>
      <w:r>
        <w:t>.</w:t>
      </w:r>
      <w:r>
        <w:tab/>
        <w:t>Berth operator’s duties</w:t>
      </w:r>
      <w:bookmarkEnd w:id="446"/>
      <w:bookmarkEnd w:id="447"/>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Gazette 2 Dec 2013 p.</w:t>
      </w:r>
      <w:r>
        <w:rPr>
          <w:sz w:val="19"/>
        </w:rPr>
        <w:t> </w:t>
      </w:r>
      <w:r>
        <w:t>5600.]</w:t>
      </w:r>
    </w:p>
    <w:p>
      <w:pPr>
        <w:pStyle w:val="Heading2"/>
      </w:pPr>
      <w:bookmarkStart w:id="448" w:name="_Toc200031665"/>
      <w:bookmarkStart w:id="449" w:name="_Toc200036653"/>
      <w:bookmarkStart w:id="450" w:name="_Toc200095472"/>
      <w:bookmarkStart w:id="451" w:name="_Toc192852814"/>
      <w:bookmarkStart w:id="452" w:name="_Toc192853908"/>
      <w:bookmarkStart w:id="453" w:name="_Toc192857194"/>
      <w:r>
        <w:rPr>
          <w:rStyle w:val="CharPartNo"/>
        </w:rPr>
        <w:t>Part 11</w:t>
      </w:r>
      <w:r>
        <w:t> — </w:t>
      </w:r>
      <w:r>
        <w:rPr>
          <w:rStyle w:val="CharPartText"/>
        </w:rPr>
        <w:t>Supply of explosives</w:t>
      </w:r>
      <w:bookmarkEnd w:id="448"/>
      <w:bookmarkEnd w:id="449"/>
      <w:bookmarkEnd w:id="450"/>
      <w:bookmarkEnd w:id="451"/>
      <w:bookmarkEnd w:id="452"/>
      <w:bookmarkEnd w:id="453"/>
    </w:p>
    <w:p>
      <w:pPr>
        <w:pStyle w:val="Heading3"/>
      </w:pPr>
      <w:bookmarkStart w:id="454" w:name="_Toc200031666"/>
      <w:bookmarkStart w:id="455" w:name="_Toc200036654"/>
      <w:bookmarkStart w:id="456" w:name="_Toc200095473"/>
      <w:bookmarkStart w:id="457" w:name="_Toc192852815"/>
      <w:bookmarkStart w:id="458" w:name="_Toc192853909"/>
      <w:bookmarkStart w:id="459" w:name="_Toc192857195"/>
      <w:r>
        <w:rPr>
          <w:rStyle w:val="CharDivNo"/>
        </w:rPr>
        <w:t>Division 1</w:t>
      </w:r>
      <w:r>
        <w:t> — </w:t>
      </w:r>
      <w:r>
        <w:rPr>
          <w:rStyle w:val="CharDivText"/>
        </w:rPr>
        <w:t>Licensing requirements</w:t>
      </w:r>
      <w:bookmarkEnd w:id="454"/>
      <w:bookmarkEnd w:id="455"/>
      <w:bookmarkEnd w:id="456"/>
      <w:bookmarkEnd w:id="457"/>
      <w:bookmarkEnd w:id="458"/>
      <w:bookmarkEnd w:id="459"/>
    </w:p>
    <w:p>
      <w:pPr>
        <w:pStyle w:val="Heading5"/>
        <w:spacing w:before="240"/>
      </w:pPr>
      <w:bookmarkStart w:id="460" w:name="_Toc200095474"/>
      <w:bookmarkStart w:id="461" w:name="_Toc192857196"/>
      <w:r>
        <w:rPr>
          <w:rStyle w:val="CharSectno"/>
        </w:rPr>
        <w:t>111</w:t>
      </w:r>
      <w:r>
        <w:t>.</w:t>
      </w:r>
      <w:r>
        <w:tab/>
        <w:t>Unauthorised explosives</w:t>
      </w:r>
      <w:bookmarkEnd w:id="460"/>
      <w:bookmarkEnd w:id="461"/>
    </w:p>
    <w:p>
      <w:pPr>
        <w:pStyle w:val="Subsection"/>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462" w:name="_Toc200095475"/>
      <w:bookmarkStart w:id="463" w:name="_Toc192857197"/>
      <w:r>
        <w:rPr>
          <w:rStyle w:val="CharSectno"/>
        </w:rPr>
        <w:t>112</w:t>
      </w:r>
      <w:r>
        <w:t>.</w:t>
      </w:r>
      <w:r>
        <w:tab/>
        <w:t>Authorised explosives, licences authorising supply</w:t>
      </w:r>
      <w:bookmarkEnd w:id="462"/>
      <w:bookmarkEnd w:id="463"/>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ind w:left="890" w:hanging="890"/>
      </w:pPr>
      <w:r>
        <w:tab/>
        <w:t>[Regulation 112 amended: Gazette 16 Mar 2012 p. 1183; 2 Dec 2013 p. 5600</w:t>
      </w:r>
      <w:r>
        <w:noBreakHyphen/>
        <w:t>1.]</w:t>
      </w:r>
    </w:p>
    <w:p>
      <w:pPr>
        <w:pStyle w:val="Heading5"/>
      </w:pPr>
      <w:bookmarkStart w:id="464" w:name="_Toc200095476"/>
      <w:bookmarkStart w:id="465" w:name="_Toc192857198"/>
      <w:r>
        <w:rPr>
          <w:rStyle w:val="CharSectno"/>
        </w:rPr>
        <w:t>113</w:t>
      </w:r>
      <w:r>
        <w:t>.</w:t>
      </w:r>
      <w:r>
        <w:tab/>
        <w:t>Import/export licence authorises limited supply</w:t>
      </w:r>
      <w:bookmarkEnd w:id="464"/>
      <w:bookmarkEnd w:id="465"/>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ind w:left="890" w:hanging="890"/>
      </w:pPr>
      <w:r>
        <w:tab/>
        <w:t>[Regulation 113 amended: Gazette 16 Mar 2012 p. 1183.]</w:t>
      </w:r>
    </w:p>
    <w:p>
      <w:pPr>
        <w:pStyle w:val="Heading5"/>
        <w:spacing w:before="180"/>
      </w:pPr>
      <w:bookmarkStart w:id="466" w:name="_Toc200095477"/>
      <w:bookmarkStart w:id="467" w:name="_Toc192857199"/>
      <w:r>
        <w:rPr>
          <w:rStyle w:val="CharSectno"/>
        </w:rPr>
        <w:t>114A</w:t>
      </w:r>
      <w:r>
        <w:t>.</w:t>
      </w:r>
      <w:r>
        <w:tab/>
        <w:t>Explosives manufacture licence authorises limited supply</w:t>
      </w:r>
      <w:bookmarkEnd w:id="466"/>
      <w:bookmarkEnd w:id="467"/>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ind w:left="890" w:hanging="890"/>
      </w:pPr>
      <w:r>
        <w:tab/>
        <w:t>[Regulation 114A inserted: Gazette 16 Mar 2012 p. 1184.]</w:t>
      </w:r>
    </w:p>
    <w:p>
      <w:pPr>
        <w:pStyle w:val="Heading5"/>
        <w:spacing w:before="180"/>
      </w:pPr>
      <w:bookmarkStart w:id="468" w:name="_Toc200095478"/>
      <w:bookmarkStart w:id="469" w:name="_Toc192857200"/>
      <w:r>
        <w:rPr>
          <w:rStyle w:val="CharSectno"/>
        </w:rPr>
        <w:t>114</w:t>
      </w:r>
      <w:r>
        <w:t>.</w:t>
      </w:r>
      <w:r>
        <w:tab/>
        <w:t>Explosives manufacture (MPU) licence authorises limited supply</w:t>
      </w:r>
      <w:bookmarkEnd w:id="468"/>
      <w:bookmarkEnd w:id="469"/>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470" w:name="_Toc200095479"/>
      <w:bookmarkStart w:id="471" w:name="_Toc192857201"/>
      <w:r>
        <w:rPr>
          <w:rStyle w:val="CharSectno"/>
        </w:rPr>
        <w:t>115</w:t>
      </w:r>
      <w:r>
        <w:t>.</w:t>
      </w:r>
      <w:r>
        <w:tab/>
        <w:t>Explosives transport licence authorises limited supply</w:t>
      </w:r>
      <w:bookmarkEnd w:id="470"/>
      <w:bookmarkEnd w:id="471"/>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472" w:name="_Toc200095480"/>
      <w:bookmarkStart w:id="473" w:name="_Toc192857202"/>
      <w:r>
        <w:rPr>
          <w:rStyle w:val="CharSectno"/>
        </w:rPr>
        <w:t>116</w:t>
      </w:r>
      <w:r>
        <w:t>.</w:t>
      </w:r>
      <w:r>
        <w:tab/>
        <w:t>Explosives driver licence authorises limited supply</w:t>
      </w:r>
      <w:bookmarkEnd w:id="472"/>
      <w:bookmarkEnd w:id="473"/>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474" w:name="_Toc200031674"/>
      <w:bookmarkStart w:id="475" w:name="_Toc200036662"/>
      <w:bookmarkStart w:id="476" w:name="_Toc200095481"/>
      <w:bookmarkStart w:id="477" w:name="_Toc192852823"/>
      <w:bookmarkStart w:id="478" w:name="_Toc192853917"/>
      <w:bookmarkStart w:id="479" w:name="_Toc192857203"/>
      <w:r>
        <w:rPr>
          <w:rStyle w:val="CharDivNo"/>
        </w:rPr>
        <w:t>Division 2</w:t>
      </w:r>
      <w:r>
        <w:t> — </w:t>
      </w:r>
      <w:r>
        <w:rPr>
          <w:rStyle w:val="CharDivText"/>
        </w:rPr>
        <w:t>Supplying explosives</w:t>
      </w:r>
      <w:bookmarkEnd w:id="474"/>
      <w:bookmarkEnd w:id="475"/>
      <w:bookmarkEnd w:id="476"/>
      <w:bookmarkEnd w:id="477"/>
      <w:bookmarkEnd w:id="478"/>
      <w:bookmarkEnd w:id="479"/>
    </w:p>
    <w:p>
      <w:pPr>
        <w:pStyle w:val="Heading5"/>
      </w:pPr>
      <w:bookmarkStart w:id="480" w:name="_Toc200095482"/>
      <w:bookmarkStart w:id="481" w:name="_Toc192857204"/>
      <w:r>
        <w:rPr>
          <w:rStyle w:val="CharSectno"/>
        </w:rPr>
        <w:t>117</w:t>
      </w:r>
      <w:r>
        <w:t>.</w:t>
      </w:r>
      <w:r>
        <w:tab/>
        <w:t>Supply to unauthorised people prohibited</w:t>
      </w:r>
      <w:bookmarkEnd w:id="480"/>
      <w:bookmarkEnd w:id="481"/>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482" w:name="_Toc200095483"/>
      <w:bookmarkStart w:id="483" w:name="_Toc192857205"/>
      <w:r>
        <w:rPr>
          <w:rStyle w:val="CharSectno"/>
        </w:rPr>
        <w:t>118</w:t>
      </w:r>
      <w:r>
        <w:t>.</w:t>
      </w:r>
      <w:r>
        <w:tab/>
        <w:t>Suppliers, duties when supplying</w:t>
      </w:r>
      <w:bookmarkEnd w:id="482"/>
      <w:bookmarkEnd w:id="48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i/>
        </w:rPr>
        <w:t>A</w:t>
      </w:r>
      <w:r>
        <w:t xml:space="preserve">) supplies an explosive to a person </w:t>
      </w:r>
      <w:r>
        <w:rPr>
          <w:b/>
          <w:i/>
        </w:rPr>
        <w:t>(B</w:t>
      </w:r>
      <w:r>
        <w:t>) and supplies it to a person (</w:t>
      </w:r>
      <w:r>
        <w:rPr>
          <w:b/>
          <w:i/>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i/>
        </w:rPr>
        <w:t>X</w:t>
      </w:r>
      <w:r>
        <w:t>) must not supply a quantity of an authorised explosive to an individual (</w:t>
      </w:r>
      <w:r>
        <w:rPr>
          <w:b/>
          <w:i/>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(iia)</w:t>
      </w:r>
      <w:r>
        <w:tab/>
        <w:t xml:space="preserve">a photo card as defined in the </w:t>
      </w:r>
      <w:r>
        <w:rPr>
          <w:i/>
        </w:rPr>
        <w:t>Western Australian Photo Card Act 2014</w:t>
      </w:r>
      <w:r>
        <w:t xml:space="preserve"> section 3; or</w:t>
      </w:r>
    </w:p>
    <w:p>
      <w:pPr>
        <w:pStyle w:val="Indenti"/>
        <w:keepNext/>
      </w:pPr>
      <w:r>
        <w:tab/>
        <w:t>(iii)</w:t>
      </w:r>
      <w:r>
        <w:tab/>
        <w:t>a security card, or a written authorisation, that is valid under regulation 16,</w:t>
      </w:r>
    </w:p>
    <w:p>
      <w:pPr>
        <w:pStyle w:val="Indenta"/>
        <w:spacing w:before="100"/>
      </w:pPr>
      <w:r>
        <w:tab/>
      </w:r>
      <w:r>
        <w:tab/>
        <w:t>that shows Y’s photograph; and</w:t>
      </w:r>
    </w:p>
    <w:p>
      <w:pPr>
        <w:pStyle w:val="Indenta"/>
        <w:spacing w:before="100"/>
      </w:pPr>
      <w:r>
        <w:tab/>
        <w:t>(b)</w:t>
      </w:r>
      <w:r>
        <w:tab/>
        <w:t>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Subsection"/>
        <w:spacing w:before="180"/>
      </w:pPr>
      <w:r>
        <w:tab/>
        <w:t>(4)</w:t>
      </w:r>
      <w:r>
        <w:tab/>
        <w:t>A person (</w:t>
      </w:r>
      <w:r>
        <w:rPr>
          <w:b/>
          <w:i/>
        </w:rPr>
        <w:t>X</w:t>
      </w:r>
      <w:r>
        <w:t>) must not supply a quantity of an authorised explosive to a body corporate or partnership (</w:t>
      </w:r>
      <w:r>
        <w:rPr>
          <w:b/>
          <w:i/>
        </w:rPr>
        <w:t>Y</w:t>
      </w:r>
      <w:r>
        <w:t>) unless —</w:t>
      </w:r>
    </w:p>
    <w:p>
      <w:pPr>
        <w:pStyle w:val="Indenta"/>
        <w:spacing w:before="100"/>
      </w:pPr>
      <w:r>
        <w:tab/>
        <w:t>(a)</w:t>
      </w:r>
      <w:r>
        <w:tab/>
        <w:t>Y has produced to X, either at or within a reasonable period before the time of supply, evidence that Y is authorised, whether under a licence or not, to possess that quantity of the explosive under —</w:t>
      </w:r>
    </w:p>
    <w:p>
      <w:pPr>
        <w:pStyle w:val="Indenti"/>
        <w:spacing w:before="100"/>
      </w:pPr>
      <w:r>
        <w:tab/>
        <w:t>(i)</w:t>
      </w:r>
      <w:r>
        <w:tab/>
        <w:t>the Act or these regulations; or</w:t>
      </w:r>
    </w:p>
    <w:p>
      <w:pPr>
        <w:pStyle w:val="Indenti"/>
        <w:spacing w:before="100"/>
      </w:pPr>
      <w:r>
        <w:tab/>
        <w:t>(ii)</w:t>
      </w:r>
      <w:r>
        <w:tab/>
        <w:t>the law of the Commonwealth; or</w:t>
      </w:r>
    </w:p>
    <w:p>
      <w:pPr>
        <w:pStyle w:val="Indenti"/>
        <w:spacing w:before="100"/>
      </w:pPr>
      <w:r>
        <w:tab/>
        <w:t>(iii)</w:t>
      </w:r>
      <w:r>
        <w:tab/>
        <w:t>if Y is in a place outside the State, the law of that place;</w:t>
      </w:r>
    </w:p>
    <w:p>
      <w:pPr>
        <w:pStyle w:val="Indenta"/>
        <w:spacing w:before="100"/>
      </w:pPr>
      <w:r>
        <w:tab/>
      </w:r>
      <w:r>
        <w:tab/>
        <w:t>and</w:t>
      </w:r>
    </w:p>
    <w:p>
      <w:pPr>
        <w:pStyle w:val="Indenta"/>
        <w:spacing w:before="100"/>
      </w:pPr>
      <w:r>
        <w:tab/>
        <w:t>(b)</w:t>
      </w:r>
      <w:r>
        <w:tab/>
        <w:t>the explosive is delivered to a secure nominee of Y who shows X proof that he or she is a secure nominee; and</w:t>
      </w:r>
    </w:p>
    <w:p>
      <w:pPr>
        <w:pStyle w:val="Indenta"/>
        <w:spacing w:before="100"/>
      </w:pPr>
      <w:r>
        <w:tab/>
        <w:t>(c)</w:t>
      </w:r>
      <w:r>
        <w:tab/>
        <w:t>X obtains the secure nominee’s personal receipt.</w:t>
      </w:r>
    </w:p>
    <w:p>
      <w:pPr>
        <w:pStyle w:val="Penstart"/>
        <w:spacing w:before="100"/>
      </w:pPr>
      <w:r>
        <w:tab/>
        <w:t>Penalty: a level 1 fine and imprisonment for 10 months.</w:t>
      </w:r>
    </w:p>
    <w:p>
      <w:pPr>
        <w:pStyle w:val="Subsection"/>
        <w:spacing w:before="180"/>
      </w:pPr>
      <w:r>
        <w:tab/>
        <w:t>(5)</w:t>
      </w:r>
      <w:r>
        <w:tab/>
        <w:t>A person who supplies an authorised explosive to another person must, if the other person so requests, give the other person —</w:t>
      </w:r>
    </w:p>
    <w:p>
      <w:pPr>
        <w:pStyle w:val="Indenta"/>
      </w:pPr>
      <w:r>
        <w:tab/>
        <w:t>(a)</w:t>
      </w:r>
      <w:r>
        <w:tab/>
        <w:t>the SDS for the explosive; and</w:t>
      </w:r>
    </w:p>
    <w:p>
      <w:pPr>
        <w:pStyle w:val="Indenta"/>
        <w:keepNext/>
      </w:pPr>
      <w:r>
        <w:tab/>
        <w:t>(b)</w:t>
      </w:r>
      <w:r>
        <w:tab/>
        <w:t>any instructions issued by the manufacturer of the explosive about how to use it safely.</w:t>
      </w:r>
    </w:p>
    <w:p>
      <w:pPr>
        <w:pStyle w:val="Penstart"/>
      </w:pPr>
      <w:r>
        <w:tab/>
        <w:t>Penalty: a level 3 fine.</w:t>
      </w:r>
    </w:p>
    <w:p>
      <w:pPr>
        <w:pStyle w:val="Footnotesection"/>
      </w:pPr>
      <w:r>
        <w:tab/>
        <w:t>[Regulation 118 amended: Gazette 2 Dec 2013 p.</w:t>
      </w:r>
      <w:r>
        <w:rPr>
          <w:sz w:val="19"/>
        </w:rPr>
        <w:t> </w:t>
      </w:r>
      <w:r>
        <w:t>5601; 5 Feb 2016 p. 348; 3 Mar 2017 p. 1475.]</w:t>
      </w:r>
    </w:p>
    <w:p>
      <w:pPr>
        <w:pStyle w:val="Heading5"/>
      </w:pPr>
      <w:bookmarkStart w:id="484" w:name="_Toc200095484"/>
      <w:bookmarkStart w:id="485" w:name="_Toc192857206"/>
      <w:r>
        <w:rPr>
          <w:rStyle w:val="CharSectno"/>
        </w:rPr>
        <w:t>119</w:t>
      </w:r>
      <w:r>
        <w:t>.</w:t>
      </w:r>
      <w:r>
        <w:tab/>
        <w:t>Records to be kept by suppliers</w:t>
      </w:r>
      <w:bookmarkEnd w:id="484"/>
      <w:bookmarkEnd w:id="48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486" w:name="_Toc200095485"/>
      <w:bookmarkStart w:id="487" w:name="_Toc192857207"/>
      <w:r>
        <w:rPr>
          <w:rStyle w:val="CharSectno"/>
        </w:rPr>
        <w:t>120</w:t>
      </w:r>
      <w:r>
        <w:t>.</w:t>
      </w:r>
      <w:r>
        <w:tab/>
        <w:t>Receiver of explosives not to mislead supplier</w:t>
      </w:r>
      <w:bookmarkEnd w:id="486"/>
      <w:bookmarkEnd w:id="487"/>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488" w:name="_Toc200095486"/>
      <w:bookmarkStart w:id="489" w:name="_Toc192857208"/>
      <w:r>
        <w:rPr>
          <w:rStyle w:val="CharSectno"/>
        </w:rPr>
        <w:t>121</w:t>
      </w:r>
      <w:r>
        <w:t>.</w:t>
      </w:r>
      <w:r>
        <w:tab/>
        <w:t>Sale in public prohibited</w:t>
      </w:r>
      <w:bookmarkEnd w:id="488"/>
      <w:bookmarkEnd w:id="489"/>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490" w:name="_Toc200031680"/>
      <w:bookmarkStart w:id="491" w:name="_Toc200036668"/>
      <w:bookmarkStart w:id="492" w:name="_Toc200095487"/>
      <w:bookmarkStart w:id="493" w:name="_Toc192852829"/>
      <w:bookmarkStart w:id="494" w:name="_Toc192853923"/>
      <w:bookmarkStart w:id="495" w:name="_Toc192857209"/>
      <w:r>
        <w:rPr>
          <w:rStyle w:val="CharPartNo"/>
        </w:rPr>
        <w:t>Part 12</w:t>
      </w:r>
      <w:r>
        <w:t> — </w:t>
      </w:r>
      <w:r>
        <w:rPr>
          <w:rStyle w:val="CharPartText"/>
        </w:rPr>
        <w:t>Use of explosives other than fireworks</w:t>
      </w:r>
      <w:bookmarkEnd w:id="490"/>
      <w:bookmarkEnd w:id="491"/>
      <w:bookmarkEnd w:id="492"/>
      <w:bookmarkEnd w:id="493"/>
      <w:bookmarkEnd w:id="494"/>
      <w:bookmarkEnd w:id="495"/>
    </w:p>
    <w:p>
      <w:pPr>
        <w:pStyle w:val="Heading3"/>
      </w:pPr>
      <w:bookmarkStart w:id="496" w:name="_Toc200031681"/>
      <w:bookmarkStart w:id="497" w:name="_Toc200036669"/>
      <w:bookmarkStart w:id="498" w:name="_Toc200095488"/>
      <w:bookmarkStart w:id="499" w:name="_Toc192852830"/>
      <w:bookmarkStart w:id="500" w:name="_Toc192853924"/>
      <w:bookmarkStart w:id="501" w:name="_Toc192857210"/>
      <w:r>
        <w:rPr>
          <w:rStyle w:val="CharDivNo"/>
        </w:rPr>
        <w:t>Division 1</w:t>
      </w:r>
      <w:r>
        <w:t> — </w:t>
      </w:r>
      <w:r>
        <w:rPr>
          <w:rStyle w:val="CharDivText"/>
        </w:rPr>
        <w:t>Preliminary</w:t>
      </w:r>
      <w:bookmarkEnd w:id="496"/>
      <w:bookmarkEnd w:id="497"/>
      <w:bookmarkEnd w:id="498"/>
      <w:bookmarkEnd w:id="499"/>
      <w:bookmarkEnd w:id="500"/>
      <w:bookmarkEnd w:id="501"/>
    </w:p>
    <w:p>
      <w:pPr>
        <w:pStyle w:val="Heading5"/>
      </w:pPr>
      <w:bookmarkStart w:id="502" w:name="_Toc200095489"/>
      <w:bookmarkStart w:id="503" w:name="_Toc192857211"/>
      <w:r>
        <w:rPr>
          <w:rStyle w:val="CharSectno"/>
        </w:rPr>
        <w:t>122</w:t>
      </w:r>
      <w:r>
        <w:t>.</w:t>
      </w:r>
      <w:r>
        <w:tab/>
        <w:t>Term used: blast plan</w:t>
      </w:r>
      <w:bookmarkEnd w:id="502"/>
      <w:bookmarkEnd w:id="503"/>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504" w:name="_Toc200095490"/>
      <w:bookmarkStart w:id="505" w:name="_Toc192857212"/>
      <w:r>
        <w:rPr>
          <w:rStyle w:val="CharSectno"/>
        </w:rPr>
        <w:t>123</w:t>
      </w:r>
      <w:r>
        <w:t>.</w:t>
      </w:r>
      <w:r>
        <w:tab/>
        <w:t>Application of this Part</w:t>
      </w:r>
      <w:bookmarkEnd w:id="504"/>
      <w:bookmarkEnd w:id="505"/>
    </w:p>
    <w:p>
      <w:pPr>
        <w:pStyle w:val="Subsection"/>
        <w:keepNext/>
      </w:pPr>
      <w:r>
        <w:tab/>
      </w:r>
      <w:r>
        <w:tab/>
        <w:t>This Part does not apply to a firework.</w:t>
      </w:r>
    </w:p>
    <w:p>
      <w:pPr>
        <w:pStyle w:val="Heading3"/>
      </w:pPr>
      <w:bookmarkStart w:id="506" w:name="_Toc200031684"/>
      <w:bookmarkStart w:id="507" w:name="_Toc200036672"/>
      <w:bookmarkStart w:id="508" w:name="_Toc200095491"/>
      <w:bookmarkStart w:id="509" w:name="_Toc192852833"/>
      <w:bookmarkStart w:id="510" w:name="_Toc192853927"/>
      <w:bookmarkStart w:id="511" w:name="_Toc192857213"/>
      <w:r>
        <w:rPr>
          <w:rStyle w:val="CharDivNo"/>
        </w:rPr>
        <w:t>Division 2</w:t>
      </w:r>
      <w:r>
        <w:t> — </w:t>
      </w:r>
      <w:r>
        <w:rPr>
          <w:rStyle w:val="CharDivText"/>
        </w:rPr>
        <w:t>Licensing requirements</w:t>
      </w:r>
      <w:bookmarkEnd w:id="506"/>
      <w:bookmarkEnd w:id="507"/>
      <w:bookmarkEnd w:id="508"/>
      <w:bookmarkEnd w:id="509"/>
      <w:bookmarkEnd w:id="510"/>
      <w:bookmarkEnd w:id="511"/>
    </w:p>
    <w:p>
      <w:pPr>
        <w:pStyle w:val="Heading5"/>
      </w:pPr>
      <w:bookmarkStart w:id="512" w:name="_Toc200095492"/>
      <w:bookmarkStart w:id="513" w:name="_Toc192857214"/>
      <w:r>
        <w:rPr>
          <w:rStyle w:val="CharSectno"/>
        </w:rPr>
        <w:t>124</w:t>
      </w:r>
      <w:r>
        <w:t>.</w:t>
      </w:r>
      <w:r>
        <w:tab/>
        <w:t>Unauthorised explosives</w:t>
      </w:r>
      <w:bookmarkEnd w:id="512"/>
      <w:bookmarkEnd w:id="513"/>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514" w:name="_Toc200095493"/>
      <w:bookmarkStart w:id="515" w:name="_Toc192857215"/>
      <w:r>
        <w:rPr>
          <w:rStyle w:val="CharSectno"/>
        </w:rPr>
        <w:t>125</w:t>
      </w:r>
      <w:r>
        <w:t>.</w:t>
      </w:r>
      <w:r>
        <w:tab/>
        <w:t>Authorised explosives, licences authorising use of</w:t>
      </w:r>
      <w:bookmarkEnd w:id="514"/>
      <w:bookmarkEnd w:id="515"/>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125 amended: Gazette 5 Feb 2016 p. 348.]</w:t>
      </w:r>
    </w:p>
    <w:p>
      <w:pPr>
        <w:pStyle w:val="Heading3"/>
      </w:pPr>
      <w:bookmarkStart w:id="516" w:name="_Toc200031687"/>
      <w:bookmarkStart w:id="517" w:name="_Toc200036675"/>
      <w:bookmarkStart w:id="518" w:name="_Toc200095494"/>
      <w:bookmarkStart w:id="519" w:name="_Toc192852836"/>
      <w:bookmarkStart w:id="520" w:name="_Toc192853930"/>
      <w:bookmarkStart w:id="521" w:name="_Toc192857216"/>
      <w:r>
        <w:rPr>
          <w:rStyle w:val="CharDivNo"/>
        </w:rPr>
        <w:t>Division 3</w:t>
      </w:r>
      <w:r>
        <w:t> — </w:t>
      </w:r>
      <w:r>
        <w:rPr>
          <w:rStyle w:val="CharDivText"/>
        </w:rPr>
        <w:t>General requirements</w:t>
      </w:r>
      <w:bookmarkEnd w:id="516"/>
      <w:bookmarkEnd w:id="517"/>
      <w:bookmarkEnd w:id="518"/>
      <w:bookmarkEnd w:id="519"/>
      <w:bookmarkEnd w:id="520"/>
      <w:bookmarkEnd w:id="521"/>
    </w:p>
    <w:p>
      <w:pPr>
        <w:pStyle w:val="Heading5"/>
      </w:pPr>
      <w:bookmarkStart w:id="522" w:name="_Toc200095495"/>
      <w:bookmarkStart w:id="523" w:name="_Toc192857217"/>
      <w:r>
        <w:rPr>
          <w:rStyle w:val="CharSectno"/>
        </w:rPr>
        <w:t>126</w:t>
      </w:r>
      <w:r>
        <w:t>.</w:t>
      </w:r>
      <w:r>
        <w:tab/>
        <w:t>Occupier’s permission needed for use</w:t>
      </w:r>
      <w:bookmarkEnd w:id="522"/>
      <w:bookmarkEnd w:id="523"/>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524" w:name="_Toc200095496"/>
      <w:bookmarkStart w:id="525" w:name="_Toc192857218"/>
      <w:r>
        <w:rPr>
          <w:rStyle w:val="CharSectno"/>
        </w:rPr>
        <w:t>127</w:t>
      </w:r>
      <w:r>
        <w:t>.</w:t>
      </w:r>
      <w:r>
        <w:tab/>
        <w:t>Manufacturer’s instructions for use to be followed</w:t>
      </w:r>
      <w:bookmarkEnd w:id="524"/>
      <w:bookmarkEnd w:id="525"/>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26" w:name="_Toc200095497"/>
      <w:bookmarkStart w:id="527" w:name="_Toc192857219"/>
      <w:r>
        <w:rPr>
          <w:rStyle w:val="CharSectno"/>
        </w:rPr>
        <w:t>128</w:t>
      </w:r>
      <w:r>
        <w:t>.</w:t>
      </w:r>
      <w:r>
        <w:tab/>
        <w:t>Children using explosives</w:t>
      </w:r>
      <w:bookmarkEnd w:id="526"/>
      <w:bookmarkEnd w:id="527"/>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528" w:name="_Toc200031691"/>
      <w:bookmarkStart w:id="529" w:name="_Toc200036679"/>
      <w:bookmarkStart w:id="530" w:name="_Toc200095498"/>
      <w:bookmarkStart w:id="531" w:name="_Toc192852840"/>
      <w:bookmarkStart w:id="532" w:name="_Toc192853934"/>
      <w:bookmarkStart w:id="533" w:name="_Toc192857220"/>
      <w:r>
        <w:rPr>
          <w:rStyle w:val="CharDivNo"/>
        </w:rPr>
        <w:t>Division 4</w:t>
      </w:r>
      <w:r>
        <w:t> — </w:t>
      </w:r>
      <w:r>
        <w:rPr>
          <w:rStyle w:val="CharDivText"/>
        </w:rPr>
        <w:t>Using explosives to blast, damage, destroy or demolish</w:t>
      </w:r>
      <w:bookmarkEnd w:id="528"/>
      <w:bookmarkEnd w:id="529"/>
      <w:bookmarkEnd w:id="530"/>
      <w:bookmarkEnd w:id="531"/>
      <w:bookmarkEnd w:id="532"/>
      <w:bookmarkEnd w:id="533"/>
    </w:p>
    <w:p>
      <w:pPr>
        <w:pStyle w:val="Heading5"/>
      </w:pPr>
      <w:bookmarkStart w:id="534" w:name="_Toc200095499"/>
      <w:bookmarkStart w:id="535" w:name="_Toc192857221"/>
      <w:r>
        <w:rPr>
          <w:rStyle w:val="CharSectno"/>
        </w:rPr>
        <w:t>129</w:t>
      </w:r>
      <w:r>
        <w:t>.</w:t>
      </w:r>
      <w:r>
        <w:tab/>
        <w:t>No use without blast plan</w:t>
      </w:r>
      <w:bookmarkEnd w:id="534"/>
      <w:bookmarkEnd w:id="535"/>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Ednotesubsection"/>
      </w:pPr>
      <w:r>
        <w:tab/>
        <w:t>[(2)</w:t>
      </w:r>
      <w:r>
        <w:tab/>
        <w:t>deleted]</w:t>
      </w:r>
    </w:p>
    <w:p>
      <w:pPr>
        <w:pStyle w:val="Footnotesection"/>
      </w:pPr>
      <w:r>
        <w:tab/>
        <w:t>[Regulation 129 amended: Gazette 5 Feb 2016 p. 349.]</w:t>
      </w:r>
    </w:p>
    <w:p>
      <w:pPr>
        <w:pStyle w:val="Heading5"/>
      </w:pPr>
      <w:bookmarkStart w:id="536" w:name="_Toc200095500"/>
      <w:bookmarkStart w:id="537" w:name="_Toc192857222"/>
      <w:r>
        <w:rPr>
          <w:rStyle w:val="CharSectno"/>
        </w:rPr>
        <w:t>130</w:t>
      </w:r>
      <w:r>
        <w:t>.</w:t>
      </w:r>
      <w:r>
        <w:tab/>
        <w:t>Blast plans, content of</w:t>
      </w:r>
      <w:bookmarkEnd w:id="536"/>
      <w:bookmarkEnd w:id="537"/>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Gazette 16 Mar 2012 p. 1184.]</w:t>
      </w:r>
    </w:p>
    <w:p>
      <w:pPr>
        <w:pStyle w:val="Heading5"/>
        <w:spacing w:before="240"/>
      </w:pPr>
      <w:bookmarkStart w:id="538" w:name="_Toc200095501"/>
      <w:bookmarkStart w:id="539" w:name="_Toc192857223"/>
      <w:r>
        <w:rPr>
          <w:rStyle w:val="CharSectno"/>
        </w:rPr>
        <w:t>131</w:t>
      </w:r>
      <w:r>
        <w:t>.</w:t>
      </w:r>
      <w:r>
        <w:tab/>
        <w:t>Blasting in townsite, permit required for</w:t>
      </w:r>
      <w:bookmarkEnd w:id="538"/>
      <w:bookmarkEnd w:id="539"/>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540" w:name="_Toc200095502"/>
      <w:bookmarkStart w:id="541" w:name="_Toc192857224"/>
      <w:r>
        <w:rPr>
          <w:rStyle w:val="CharSectno"/>
        </w:rPr>
        <w:t>132</w:t>
      </w:r>
      <w:r>
        <w:t>.</w:t>
      </w:r>
      <w:r>
        <w:tab/>
        <w:t>General requirements for use</w:t>
      </w:r>
      <w:bookmarkEnd w:id="540"/>
      <w:bookmarkEnd w:id="54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Gazette 2 Dec 2013 p.</w:t>
      </w:r>
      <w:r>
        <w:rPr>
          <w:sz w:val="19"/>
        </w:rPr>
        <w:t> </w:t>
      </w:r>
      <w:r>
        <w:t>5601.]</w:t>
      </w:r>
    </w:p>
    <w:p>
      <w:pPr>
        <w:pStyle w:val="Heading5"/>
      </w:pPr>
      <w:bookmarkStart w:id="542" w:name="_Toc200095503"/>
      <w:bookmarkStart w:id="543" w:name="_Toc192857225"/>
      <w:r>
        <w:rPr>
          <w:rStyle w:val="CharSectno"/>
        </w:rPr>
        <w:t>133</w:t>
      </w:r>
      <w:r>
        <w:t>.</w:t>
      </w:r>
      <w:r>
        <w:tab/>
        <w:t>Blast plans to be obeyed etc.</w:t>
      </w:r>
      <w:bookmarkEnd w:id="542"/>
      <w:bookmarkEnd w:id="543"/>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544" w:name="_Toc200095504"/>
      <w:bookmarkStart w:id="545" w:name="_Toc192857226"/>
      <w:r>
        <w:rPr>
          <w:rStyle w:val="CharSectno"/>
        </w:rPr>
        <w:t>134</w:t>
      </w:r>
      <w:r>
        <w:t>.</w:t>
      </w:r>
      <w:r>
        <w:tab/>
        <w:t>Records to be kept about blasts</w:t>
      </w:r>
      <w:bookmarkEnd w:id="544"/>
      <w:bookmarkEnd w:id="54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546" w:name="_Toc200031698"/>
      <w:bookmarkStart w:id="547" w:name="_Toc200036686"/>
      <w:bookmarkStart w:id="548" w:name="_Toc200095505"/>
      <w:bookmarkStart w:id="549" w:name="_Toc192852847"/>
      <w:bookmarkStart w:id="550" w:name="_Toc192853941"/>
      <w:bookmarkStart w:id="551" w:name="_Toc192857227"/>
      <w:r>
        <w:rPr>
          <w:rStyle w:val="CharDivNo"/>
        </w:rPr>
        <w:t>Division 5</w:t>
      </w:r>
      <w:r>
        <w:t> — </w:t>
      </w:r>
      <w:r>
        <w:rPr>
          <w:rStyle w:val="CharDivText"/>
        </w:rPr>
        <w:t>Use of explosives under pyrotechnics (special use) licence</w:t>
      </w:r>
      <w:bookmarkEnd w:id="546"/>
      <w:bookmarkEnd w:id="547"/>
      <w:bookmarkEnd w:id="548"/>
      <w:bookmarkEnd w:id="549"/>
      <w:bookmarkEnd w:id="550"/>
      <w:bookmarkEnd w:id="551"/>
    </w:p>
    <w:p>
      <w:pPr>
        <w:pStyle w:val="Heading5"/>
      </w:pPr>
      <w:bookmarkStart w:id="552" w:name="_Toc200095506"/>
      <w:bookmarkStart w:id="553" w:name="_Toc192857228"/>
      <w:r>
        <w:rPr>
          <w:rStyle w:val="CharSectno"/>
        </w:rPr>
        <w:t>135</w:t>
      </w:r>
      <w:r>
        <w:t>.</w:t>
      </w:r>
      <w:r>
        <w:tab/>
        <w:t>Holder of pyrotechnics (special use) licence, duties of</w:t>
      </w:r>
      <w:bookmarkEnd w:id="552"/>
      <w:bookmarkEnd w:id="553"/>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554" w:name="_Toc200031700"/>
      <w:bookmarkStart w:id="555" w:name="_Toc200036688"/>
      <w:bookmarkStart w:id="556" w:name="_Toc200095507"/>
      <w:bookmarkStart w:id="557" w:name="_Toc192852849"/>
      <w:bookmarkStart w:id="558" w:name="_Toc192853943"/>
      <w:bookmarkStart w:id="559" w:name="_Toc192857229"/>
      <w:r>
        <w:rPr>
          <w:rStyle w:val="CharPartNo"/>
        </w:rPr>
        <w:t>Part 13</w:t>
      </w:r>
      <w:r>
        <w:t> — </w:t>
      </w:r>
      <w:r>
        <w:rPr>
          <w:rStyle w:val="CharPartText"/>
        </w:rPr>
        <w:t>Use of fireworks</w:t>
      </w:r>
      <w:bookmarkEnd w:id="554"/>
      <w:bookmarkEnd w:id="555"/>
      <w:bookmarkEnd w:id="556"/>
      <w:bookmarkEnd w:id="557"/>
      <w:bookmarkEnd w:id="558"/>
      <w:bookmarkEnd w:id="559"/>
    </w:p>
    <w:p>
      <w:pPr>
        <w:pStyle w:val="Heading3"/>
      </w:pPr>
      <w:bookmarkStart w:id="560" w:name="_Toc200031701"/>
      <w:bookmarkStart w:id="561" w:name="_Toc200036689"/>
      <w:bookmarkStart w:id="562" w:name="_Toc200095508"/>
      <w:bookmarkStart w:id="563" w:name="_Toc192852850"/>
      <w:bookmarkStart w:id="564" w:name="_Toc192853944"/>
      <w:bookmarkStart w:id="565" w:name="_Toc192857230"/>
      <w:r>
        <w:rPr>
          <w:rStyle w:val="CharDivNo"/>
        </w:rPr>
        <w:t>Division 1</w:t>
      </w:r>
      <w:r>
        <w:t> — </w:t>
      </w:r>
      <w:r>
        <w:rPr>
          <w:rStyle w:val="CharDivText"/>
        </w:rPr>
        <w:t>Preliminary matters</w:t>
      </w:r>
      <w:bookmarkEnd w:id="560"/>
      <w:bookmarkEnd w:id="561"/>
      <w:bookmarkEnd w:id="562"/>
      <w:bookmarkEnd w:id="563"/>
      <w:bookmarkEnd w:id="564"/>
      <w:bookmarkEnd w:id="565"/>
    </w:p>
    <w:p>
      <w:pPr>
        <w:pStyle w:val="Heading5"/>
      </w:pPr>
      <w:bookmarkStart w:id="566" w:name="_Toc200095509"/>
      <w:bookmarkStart w:id="567" w:name="_Toc192857231"/>
      <w:r>
        <w:rPr>
          <w:rStyle w:val="CharSectno"/>
        </w:rPr>
        <w:t>136</w:t>
      </w:r>
      <w:r>
        <w:t>.</w:t>
      </w:r>
      <w:r>
        <w:tab/>
        <w:t>Terms used</w:t>
      </w:r>
      <w:bookmarkEnd w:id="566"/>
      <w:bookmarkEnd w:id="567"/>
    </w:p>
    <w:p>
      <w:pPr>
        <w:pStyle w:val="Subsection"/>
      </w:pPr>
      <w:r>
        <w:tab/>
      </w:r>
      <w:r>
        <w:tab/>
        <w:t xml:space="preserve">In this Part — </w:t>
      </w:r>
    </w:p>
    <w:p>
      <w:pPr>
        <w:pStyle w:val="Defstart"/>
      </w:pPr>
      <w:r>
        <w:tab/>
      </w:r>
      <w:r>
        <w:rPr>
          <w:rStyle w:val="CharDefText"/>
        </w:rPr>
        <w:t>close proximity firework</w:t>
      </w:r>
      <w:r>
        <w:t xml:space="preserve"> means a firework, whether designed and labelled to be used indoors or outdoors, that is — </w:t>
      </w:r>
    </w:p>
    <w:p>
      <w:pPr>
        <w:pStyle w:val="Defpara"/>
      </w:pPr>
      <w:r>
        <w:tab/>
        <w:t>(a)</w:t>
      </w:r>
      <w:r>
        <w:tab/>
        <w:t xml:space="preserve">designed to be ignited by using electricity only; and </w:t>
      </w:r>
    </w:p>
    <w:p>
      <w:pPr>
        <w:pStyle w:val="Defpara"/>
      </w:pPr>
      <w:r>
        <w:tab/>
        <w:t>(b)</w:t>
      </w:r>
      <w:r>
        <w:tab/>
        <w:t xml:space="preserve">either — </w:t>
      </w:r>
    </w:p>
    <w:p>
      <w:pPr>
        <w:pStyle w:val="Defsubpara"/>
      </w:pPr>
      <w:r>
        <w:tab/>
        <w:t>(i)</w:t>
      </w:r>
      <w:r>
        <w:tab/>
        <w:t>manufactured commercially and is designed and labelled as suitable to be used in close proximity to a person; or</w:t>
      </w:r>
    </w:p>
    <w:p>
      <w:pPr>
        <w:pStyle w:val="Defsubpara"/>
      </w:pPr>
      <w:r>
        <w:tab/>
        <w:t>(ii)</w:t>
      </w:r>
      <w:r>
        <w:tab/>
        <w:t>manufactured from commercially available constituents that are designed and labelled as suitable to manufacture fireworks to be used in close proximity to a person;</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close proximity firework used where people are present or proximate to create a theatrical effect for the purposes of a concert or theatrical performance; or</w:t>
      </w:r>
    </w:p>
    <w:p>
      <w:pPr>
        <w:pStyle w:val="Defpara"/>
        <w:keepNext/>
      </w:pPr>
      <w:r>
        <w:tab/>
        <w:t>(e)</w:t>
      </w:r>
      <w:r>
        <w:tab/>
        <w:t>a cracker chain used under regulation 144 at a public ceremony.</w:t>
      </w:r>
    </w:p>
    <w:p>
      <w:pPr>
        <w:pStyle w:val="Footnotesection"/>
      </w:pPr>
      <w:r>
        <w:tab/>
        <w:t>[Regulation 136 amended: Gazette 16 Mar 2012 p. 1184; 2 Dec 2013 p. 5601; 20 Mar 2018 p. 1001</w:t>
      </w:r>
      <w:r>
        <w:noBreakHyphen/>
        <w:t>2.]</w:t>
      </w:r>
    </w:p>
    <w:p>
      <w:pPr>
        <w:pStyle w:val="Heading3"/>
      </w:pPr>
      <w:bookmarkStart w:id="568" w:name="_Toc200031703"/>
      <w:bookmarkStart w:id="569" w:name="_Toc200036691"/>
      <w:bookmarkStart w:id="570" w:name="_Toc200095510"/>
      <w:bookmarkStart w:id="571" w:name="_Toc192852852"/>
      <w:bookmarkStart w:id="572" w:name="_Toc192853946"/>
      <w:bookmarkStart w:id="573" w:name="_Toc192857232"/>
      <w:r>
        <w:rPr>
          <w:rStyle w:val="CharDivNo"/>
        </w:rPr>
        <w:t>Division 2</w:t>
      </w:r>
      <w:r>
        <w:t> — </w:t>
      </w:r>
      <w:r>
        <w:rPr>
          <w:rStyle w:val="CharDivText"/>
        </w:rPr>
        <w:t>Licensing requirements</w:t>
      </w:r>
      <w:bookmarkEnd w:id="568"/>
      <w:bookmarkEnd w:id="569"/>
      <w:bookmarkEnd w:id="570"/>
      <w:bookmarkEnd w:id="571"/>
      <w:bookmarkEnd w:id="572"/>
      <w:bookmarkEnd w:id="573"/>
    </w:p>
    <w:p>
      <w:pPr>
        <w:pStyle w:val="Heading5"/>
      </w:pPr>
      <w:bookmarkStart w:id="574" w:name="_Toc200095511"/>
      <w:bookmarkStart w:id="575" w:name="_Toc192857233"/>
      <w:r>
        <w:rPr>
          <w:rStyle w:val="CharSectno"/>
        </w:rPr>
        <w:t>137</w:t>
      </w:r>
      <w:r>
        <w:t>.</w:t>
      </w:r>
      <w:r>
        <w:tab/>
        <w:t>Unauthorised explosives</w:t>
      </w:r>
      <w:bookmarkEnd w:id="574"/>
      <w:bookmarkEnd w:id="575"/>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576" w:name="_Toc200095512"/>
      <w:bookmarkStart w:id="577" w:name="_Toc192857234"/>
      <w:r>
        <w:rPr>
          <w:rStyle w:val="CharSectno"/>
        </w:rPr>
        <w:t>138</w:t>
      </w:r>
      <w:r>
        <w:t>.</w:t>
      </w:r>
      <w:r>
        <w:tab/>
        <w:t>Fireworks, licences authorising use of</w:t>
      </w:r>
      <w:bookmarkEnd w:id="576"/>
      <w:bookmarkEnd w:id="577"/>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keepNext/>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keepNext/>
      </w:pPr>
      <w:r>
        <w:tab/>
      </w:r>
      <w:r>
        <w:tab/>
        <w:t>The Act s. 11 (Unlicensed person involved with dangerous goods).</w:t>
      </w:r>
    </w:p>
    <w:p>
      <w:pPr>
        <w:pStyle w:val="Footnotesection"/>
      </w:pPr>
      <w:r>
        <w:tab/>
        <w:t>[Regulation 138 amended: Gazette 16 Mar 2012 p. 1184</w:t>
      </w:r>
      <w:r>
        <w:noBreakHyphen/>
        <w:t>5.]</w:t>
      </w:r>
    </w:p>
    <w:p>
      <w:pPr>
        <w:pStyle w:val="Heading5"/>
      </w:pPr>
      <w:bookmarkStart w:id="578" w:name="_Toc200095513"/>
      <w:bookmarkStart w:id="579" w:name="_Toc192857235"/>
      <w:r>
        <w:rPr>
          <w:rStyle w:val="CharSectno"/>
        </w:rPr>
        <w:t>139</w:t>
      </w:r>
      <w:r>
        <w:t>.</w:t>
      </w:r>
      <w:r>
        <w:tab/>
        <w:t>Using certain fireworks outdoors other than at fireworks events</w:t>
      </w:r>
      <w:bookmarkEnd w:id="578"/>
      <w:bookmarkEnd w:id="579"/>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close proximity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the FES Commissioner; and</w:t>
      </w:r>
    </w:p>
    <w:p>
      <w:pPr>
        <w:pStyle w:val="Indenta"/>
      </w:pPr>
      <w:r>
        <w:tab/>
        <w:t>(b)</w:t>
      </w:r>
      <w:r>
        <w:tab/>
        <w:t>the local government of the district in which the firework will be used.</w:t>
      </w:r>
    </w:p>
    <w:p>
      <w:pPr>
        <w:pStyle w:val="Penstart"/>
      </w:pPr>
      <w:r>
        <w:tab/>
        <w:t>Penalty: a level 2 fine.</w:t>
      </w:r>
    </w:p>
    <w:p>
      <w:pPr>
        <w:pStyle w:val="Subsection"/>
        <w:keepNext/>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keepNext/>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the FES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FES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The FES Commissioner or a local government may amend or cancel a notice it has given to a person under this regulation by advising the person in writing.</w:t>
      </w:r>
    </w:p>
    <w:p>
      <w:pPr>
        <w:pStyle w:val="Subsection"/>
        <w:keepNext/>
      </w:pPr>
      <w:r>
        <w:tab/>
        <w:t>(7)</w:t>
      </w:r>
      <w:r>
        <w:tab/>
        <w:t>A person who is given a written notice under subregulation (4) must comply with it.</w:t>
      </w:r>
    </w:p>
    <w:p>
      <w:pPr>
        <w:pStyle w:val="Penstart"/>
        <w:keepNext/>
      </w:pPr>
      <w:r>
        <w:tab/>
        <w:t>Penalty: a level 2 fine.</w:t>
      </w:r>
    </w:p>
    <w:p>
      <w:pPr>
        <w:pStyle w:val="Footnotesection"/>
      </w:pPr>
      <w:r>
        <w:tab/>
        <w:t>[Regulation 139 inserted: Gazette 16 Mar 2012 p. 1185</w:t>
      </w:r>
      <w:r>
        <w:noBreakHyphen/>
        <w:t>7; amended: Gazette 19 Feb 2013 p. 985; 20 Mar 2018 p 1002.]</w:t>
      </w:r>
    </w:p>
    <w:p>
      <w:pPr>
        <w:pStyle w:val="Ednotesection"/>
      </w:pPr>
      <w:r>
        <w:t>[</w:t>
      </w:r>
      <w:r>
        <w:rPr>
          <w:b/>
        </w:rPr>
        <w:t>140.</w:t>
      </w:r>
      <w:r>
        <w:tab/>
        <w:t>Deleted: Gazette 16 Mar 2012 p. 1187.]</w:t>
      </w:r>
    </w:p>
    <w:p>
      <w:pPr>
        <w:pStyle w:val="Heading3"/>
      </w:pPr>
      <w:bookmarkStart w:id="580" w:name="_Toc200031707"/>
      <w:bookmarkStart w:id="581" w:name="_Toc200036695"/>
      <w:bookmarkStart w:id="582" w:name="_Toc200095514"/>
      <w:bookmarkStart w:id="583" w:name="_Toc192852856"/>
      <w:bookmarkStart w:id="584" w:name="_Toc192853950"/>
      <w:bookmarkStart w:id="585" w:name="_Toc192857236"/>
      <w:r>
        <w:rPr>
          <w:rStyle w:val="CharDivNo"/>
        </w:rPr>
        <w:t>Division 3</w:t>
      </w:r>
      <w:r>
        <w:t> — </w:t>
      </w:r>
      <w:r>
        <w:rPr>
          <w:rStyle w:val="CharDivText"/>
        </w:rPr>
        <w:t>General requirements</w:t>
      </w:r>
      <w:bookmarkEnd w:id="580"/>
      <w:bookmarkEnd w:id="581"/>
      <w:bookmarkEnd w:id="582"/>
      <w:bookmarkEnd w:id="583"/>
      <w:bookmarkEnd w:id="584"/>
      <w:bookmarkEnd w:id="585"/>
    </w:p>
    <w:p>
      <w:pPr>
        <w:pStyle w:val="Heading5"/>
      </w:pPr>
      <w:bookmarkStart w:id="586" w:name="_Toc200095515"/>
      <w:bookmarkStart w:id="587" w:name="_Toc192857237"/>
      <w:r>
        <w:rPr>
          <w:rStyle w:val="CharSectno"/>
        </w:rPr>
        <w:t>141</w:t>
      </w:r>
      <w:r>
        <w:t>.</w:t>
      </w:r>
      <w:r>
        <w:tab/>
        <w:t>Occupier’s permission needed for use</w:t>
      </w:r>
      <w:bookmarkEnd w:id="586"/>
      <w:bookmarkEnd w:id="58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588" w:name="_Toc200095516"/>
      <w:bookmarkStart w:id="589" w:name="_Toc192857238"/>
      <w:r>
        <w:rPr>
          <w:rStyle w:val="CharSectno"/>
        </w:rPr>
        <w:t>142</w:t>
      </w:r>
      <w:r>
        <w:t>.</w:t>
      </w:r>
      <w:r>
        <w:tab/>
        <w:t>Manufacturer’s instructions for use to be followed</w:t>
      </w:r>
      <w:bookmarkEnd w:id="588"/>
      <w:bookmarkEnd w:id="589"/>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90" w:name="_Toc200095517"/>
      <w:bookmarkStart w:id="591" w:name="_Toc192857239"/>
      <w:r>
        <w:rPr>
          <w:rStyle w:val="CharSectno"/>
        </w:rPr>
        <w:t>143</w:t>
      </w:r>
      <w:r>
        <w:t>.</w:t>
      </w:r>
      <w:r>
        <w:tab/>
        <w:t>General requirements for use</w:t>
      </w:r>
      <w:bookmarkEnd w:id="590"/>
      <w:bookmarkEnd w:id="591"/>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Gazette 2 Dec 2013 p.</w:t>
      </w:r>
      <w:r>
        <w:rPr>
          <w:sz w:val="19"/>
        </w:rPr>
        <w:t> </w:t>
      </w:r>
      <w:r>
        <w:t>5602.]</w:t>
      </w:r>
    </w:p>
    <w:p>
      <w:pPr>
        <w:pStyle w:val="Heading5"/>
      </w:pPr>
      <w:bookmarkStart w:id="592" w:name="_Toc200095518"/>
      <w:bookmarkStart w:id="593" w:name="_Toc192857240"/>
      <w:r>
        <w:rPr>
          <w:rStyle w:val="CharSectno"/>
        </w:rPr>
        <w:t>144</w:t>
      </w:r>
      <w:r>
        <w:t>.</w:t>
      </w:r>
      <w:r>
        <w:tab/>
        <w:t>Cracker chains, use of</w:t>
      </w:r>
      <w:bookmarkEnd w:id="592"/>
      <w:bookmarkEnd w:id="593"/>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594" w:name="_Toc200095519"/>
      <w:bookmarkStart w:id="595" w:name="_Toc192857241"/>
      <w:r>
        <w:rPr>
          <w:rStyle w:val="CharSectno"/>
        </w:rPr>
        <w:t>145</w:t>
      </w:r>
      <w:r>
        <w:t>.</w:t>
      </w:r>
      <w:r>
        <w:tab/>
        <w:t>Records to be kept by fireworks contractors</w:t>
      </w:r>
      <w:bookmarkEnd w:id="594"/>
      <w:bookmarkEnd w:id="595"/>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596" w:name="_Toc200031713"/>
      <w:bookmarkStart w:id="597" w:name="_Toc200036701"/>
      <w:bookmarkStart w:id="598" w:name="_Toc200095520"/>
      <w:bookmarkStart w:id="599" w:name="_Toc192852862"/>
      <w:bookmarkStart w:id="600" w:name="_Toc192853956"/>
      <w:bookmarkStart w:id="601" w:name="_Toc192857242"/>
      <w:r>
        <w:rPr>
          <w:rStyle w:val="CharDivNo"/>
        </w:rPr>
        <w:t>Division 4</w:t>
      </w:r>
      <w:r>
        <w:t> — </w:t>
      </w:r>
      <w:r>
        <w:rPr>
          <w:rStyle w:val="CharDivText"/>
        </w:rPr>
        <w:t>Fireworks events</w:t>
      </w:r>
      <w:bookmarkEnd w:id="596"/>
      <w:bookmarkEnd w:id="597"/>
      <w:bookmarkEnd w:id="598"/>
      <w:bookmarkEnd w:id="599"/>
      <w:bookmarkEnd w:id="600"/>
      <w:bookmarkEnd w:id="601"/>
    </w:p>
    <w:p>
      <w:pPr>
        <w:pStyle w:val="Heading5"/>
      </w:pPr>
      <w:bookmarkStart w:id="602" w:name="_Toc200095521"/>
      <w:bookmarkStart w:id="603" w:name="_Toc192857243"/>
      <w:r>
        <w:rPr>
          <w:rStyle w:val="CharSectno"/>
        </w:rPr>
        <w:t>146</w:t>
      </w:r>
      <w:r>
        <w:t>.</w:t>
      </w:r>
      <w:r>
        <w:tab/>
        <w:t>Term used: event firework</w:t>
      </w:r>
      <w:bookmarkEnd w:id="602"/>
      <w:bookmarkEnd w:id="603"/>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604" w:name="_Toc200095522"/>
      <w:bookmarkStart w:id="605" w:name="_Toc192857244"/>
      <w:r>
        <w:rPr>
          <w:rStyle w:val="CharSectno"/>
        </w:rPr>
        <w:t>147</w:t>
      </w:r>
      <w:r>
        <w:t>.</w:t>
      </w:r>
      <w:r>
        <w:tab/>
        <w:t>Fireworks used at fireworks events, requirements for</w:t>
      </w:r>
      <w:bookmarkEnd w:id="604"/>
      <w:bookmarkEnd w:id="605"/>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606" w:name="_Toc200095523"/>
      <w:bookmarkStart w:id="607" w:name="_Toc192857245"/>
      <w:r>
        <w:rPr>
          <w:rStyle w:val="CharSectno"/>
        </w:rPr>
        <w:t>148</w:t>
      </w:r>
      <w:r>
        <w:t>.</w:t>
      </w:r>
      <w:r>
        <w:tab/>
        <w:t>Fireworks event permits, preliminary matters</w:t>
      </w:r>
      <w:bookmarkEnd w:id="606"/>
      <w:bookmarkEnd w:id="607"/>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the FES Commissioner;</w:t>
      </w:r>
    </w:p>
    <w:p>
      <w:pPr>
        <w:pStyle w:val="Indenta"/>
      </w:pPr>
      <w:r>
        <w:tab/>
        <w:t>(c)</w:t>
      </w:r>
      <w:r>
        <w:tab/>
        <w:t>the local government of the district in which the event will occur.</w:t>
      </w:r>
    </w:p>
    <w:p>
      <w:pPr>
        <w:pStyle w:val="Ednotepara"/>
      </w:pPr>
      <w:r>
        <w:tab/>
        <w:t>[(d)</w:t>
      </w:r>
      <w:r>
        <w:tab/>
        <w:t>deleted]</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the FES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the FES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Gazette 16 Mar 2012 p. 1187; 19 Feb 2013 p. 985-6; 20 Mar 2018 p. 1002.]</w:t>
      </w:r>
    </w:p>
    <w:p>
      <w:pPr>
        <w:pStyle w:val="Heading5"/>
      </w:pPr>
      <w:bookmarkStart w:id="608" w:name="_Toc200095524"/>
      <w:bookmarkStart w:id="609" w:name="_Toc192857246"/>
      <w:r>
        <w:rPr>
          <w:rStyle w:val="CharSectno"/>
        </w:rPr>
        <w:t>149</w:t>
      </w:r>
      <w:r>
        <w:t>.</w:t>
      </w:r>
      <w:r>
        <w:tab/>
        <w:t>Application for fireworks event permit</w:t>
      </w:r>
      <w:bookmarkEnd w:id="608"/>
      <w:bookmarkEnd w:id="609"/>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i"/>
      </w:pPr>
      <w:r>
        <w:tab/>
        <w:t>(iv)</w:t>
      </w:r>
      <w:r>
        <w:tab/>
        <w:t>if an explosives management plan for the purposes of the applicant’s fireworks contractor licence is not provided to the Chief Officer within the period of 5 years ending on the day on which the application is made — an explosives management plan that complies with the requirements set out in regulation 164(2)(f)(i) to (iii);</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$41.00.</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Gazette 16 Mar 2012 p. 1187</w:t>
      </w:r>
      <w:r>
        <w:noBreakHyphen/>
        <w:t>8; 2 Dec 2013 p. 5602</w:t>
      </w:r>
      <w:r>
        <w:noBreakHyphen/>
        <w:t>3; 26 Jun 2015 p. 2267; 24 Jun 2016 p. 2326; 23 Jun 2017 p. 3284; 25 Jun 2018 p. 2298; 18 Jun 2019 p. 2040; SL 2022/122 r. 4.]</w:t>
      </w:r>
    </w:p>
    <w:p>
      <w:pPr>
        <w:pStyle w:val="Heading5"/>
      </w:pPr>
      <w:bookmarkStart w:id="610" w:name="_Toc200095525"/>
      <w:bookmarkStart w:id="611" w:name="_Toc192857247"/>
      <w:r>
        <w:rPr>
          <w:rStyle w:val="CharSectno"/>
        </w:rPr>
        <w:t>150</w:t>
      </w:r>
      <w:r>
        <w:t>.</w:t>
      </w:r>
      <w:r>
        <w:tab/>
        <w:t>Dealing with applications for fireworks event permits</w:t>
      </w:r>
      <w:bookmarkEnd w:id="610"/>
      <w:bookmarkEnd w:id="611"/>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keepNext/>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spacing w:before="120"/>
      </w:pPr>
      <w:r>
        <w:tab/>
        <w:t>(7)</w:t>
      </w:r>
      <w:r>
        <w:tab/>
        <w:t>A fireworks event permit may be issued subject to conditions decided by the Chief Officer and specified in it.</w:t>
      </w:r>
    </w:p>
    <w:p>
      <w:pPr>
        <w:pStyle w:val="Subsection"/>
        <w:keepNext/>
        <w:spacing w:before="120"/>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spacing w:before="60"/>
      </w:pPr>
      <w:r>
        <w:tab/>
        <w:t>(f)</w:t>
      </w:r>
      <w:r>
        <w:tab/>
        <w:t>any condition that is reasonably necessary to minimise any risk in relation to the fireworks that will be used in the event in relation to people, property and the environment;</w:t>
      </w:r>
    </w:p>
    <w:p>
      <w:pPr>
        <w:pStyle w:val="Indenta"/>
        <w:spacing w:before="60"/>
      </w:pPr>
      <w:r>
        <w:tab/>
        <w:t>(g)</w:t>
      </w:r>
      <w:r>
        <w:tab/>
        <w:t>any reasonable condition specified in a response made by a person under regulation 148;</w:t>
      </w:r>
    </w:p>
    <w:p>
      <w:pPr>
        <w:pStyle w:val="Indenta"/>
        <w:spacing w:before="60"/>
      </w:pPr>
      <w:r>
        <w:tab/>
        <w:t>(h)</w:t>
      </w:r>
      <w:r>
        <w:tab/>
        <w:t xml:space="preserve">any condition — </w:t>
      </w:r>
    </w:p>
    <w:p>
      <w:pPr>
        <w:pStyle w:val="Indenti"/>
        <w:spacing w:before="60"/>
      </w:pPr>
      <w:r>
        <w:tab/>
        <w:t>(i)</w:t>
      </w:r>
      <w:r>
        <w:tab/>
        <w:t>to ensure people in the vicinity of the proposed event are notified of it;</w:t>
      </w:r>
    </w:p>
    <w:p>
      <w:pPr>
        <w:pStyle w:val="Indenti"/>
        <w:spacing w:before="60"/>
      </w:pPr>
      <w:r>
        <w:tab/>
        <w:t>(ii)</w:t>
      </w:r>
      <w:r>
        <w:tab/>
        <w:t>to minimise any disturbance of those people.</w:t>
      </w:r>
    </w:p>
    <w:p>
      <w:pPr>
        <w:pStyle w:val="Subsection"/>
        <w:spacing w:before="120"/>
      </w:pPr>
      <w:r>
        <w:tab/>
        <w:t>(9)</w:t>
      </w:r>
      <w:r>
        <w:tab/>
        <w:t>The Chief Officer must give an applicant written notice of a decision made under this regulation as soon as practicable after it is made.</w:t>
      </w:r>
    </w:p>
    <w:p>
      <w:pPr>
        <w:pStyle w:val="Footnotesection"/>
        <w:spacing w:before="80"/>
        <w:ind w:left="890" w:hanging="890"/>
      </w:pPr>
      <w:r>
        <w:tab/>
        <w:t>[Regulation 150 amended: Gazette 16 Mar 2012 p. 1188.]</w:t>
      </w:r>
    </w:p>
    <w:p>
      <w:pPr>
        <w:pStyle w:val="Heading5"/>
      </w:pPr>
      <w:bookmarkStart w:id="612" w:name="_Toc200095526"/>
      <w:bookmarkStart w:id="613" w:name="_Toc192857248"/>
      <w:r>
        <w:rPr>
          <w:rStyle w:val="CharSectno"/>
        </w:rPr>
        <w:t>151</w:t>
      </w:r>
      <w:r>
        <w:t>.</w:t>
      </w:r>
      <w:r>
        <w:tab/>
        <w:t>Amending, suspending and cancelling fireworks event permits</w:t>
      </w:r>
      <w:bookmarkEnd w:id="612"/>
      <w:bookmarkEnd w:id="613"/>
    </w:p>
    <w:p>
      <w:pPr>
        <w:pStyle w:val="Subsection"/>
      </w:pPr>
      <w:r>
        <w:tab/>
      </w:r>
      <w:r>
        <w:tab/>
        <w:t>The Chief Officer may amend, suspend or cancel a fireworks event permit by advising the permit holder in writing.</w:t>
      </w:r>
    </w:p>
    <w:p>
      <w:pPr>
        <w:pStyle w:val="Heading5"/>
      </w:pPr>
      <w:bookmarkStart w:id="614" w:name="_Toc200095527"/>
      <w:bookmarkStart w:id="615" w:name="_Toc192857249"/>
      <w:r>
        <w:rPr>
          <w:rStyle w:val="CharSectno"/>
        </w:rPr>
        <w:t>152</w:t>
      </w:r>
      <w:r>
        <w:t>.</w:t>
      </w:r>
      <w:r>
        <w:tab/>
        <w:t>Fireworks event, conduct of</w:t>
      </w:r>
      <w:bookmarkEnd w:id="614"/>
      <w:bookmarkEnd w:id="615"/>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616" w:name="_Toc200095528"/>
      <w:bookmarkStart w:id="617" w:name="_Toc192857250"/>
      <w:r>
        <w:rPr>
          <w:rStyle w:val="CharSectno"/>
        </w:rPr>
        <w:t>153</w:t>
      </w:r>
      <w:r>
        <w:t>.</w:t>
      </w:r>
      <w:r>
        <w:tab/>
        <w:t>Records to be kept by fireworks event permit holders</w:t>
      </w:r>
      <w:bookmarkEnd w:id="616"/>
      <w:bookmarkEnd w:id="617"/>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618" w:name="_Toc200031722"/>
      <w:bookmarkStart w:id="619" w:name="_Toc200036710"/>
      <w:bookmarkStart w:id="620" w:name="_Toc200095529"/>
      <w:bookmarkStart w:id="621" w:name="_Toc192852871"/>
      <w:bookmarkStart w:id="622" w:name="_Toc192853965"/>
      <w:bookmarkStart w:id="623" w:name="_Toc192857251"/>
      <w:r>
        <w:rPr>
          <w:rStyle w:val="CharPartNo"/>
        </w:rPr>
        <w:t>Part 14</w:t>
      </w:r>
      <w:r>
        <w:rPr>
          <w:rStyle w:val="CharDivNo"/>
        </w:rPr>
        <w:t> </w:t>
      </w:r>
      <w:r>
        <w:t>—</w:t>
      </w:r>
      <w:r>
        <w:rPr>
          <w:rStyle w:val="CharDivText"/>
        </w:rPr>
        <w:t> </w:t>
      </w:r>
      <w:r>
        <w:rPr>
          <w:rStyle w:val="CharPartText"/>
        </w:rPr>
        <w:t>Disposal of explosives</w:t>
      </w:r>
      <w:bookmarkEnd w:id="618"/>
      <w:bookmarkEnd w:id="619"/>
      <w:bookmarkEnd w:id="620"/>
      <w:bookmarkEnd w:id="621"/>
      <w:bookmarkEnd w:id="622"/>
      <w:bookmarkEnd w:id="623"/>
    </w:p>
    <w:p>
      <w:pPr>
        <w:pStyle w:val="Heading5"/>
      </w:pPr>
      <w:bookmarkStart w:id="624" w:name="_Toc200095530"/>
      <w:bookmarkStart w:id="625" w:name="_Toc192857252"/>
      <w:r>
        <w:rPr>
          <w:rStyle w:val="CharSectno"/>
        </w:rPr>
        <w:t>154</w:t>
      </w:r>
      <w:r>
        <w:t>.</w:t>
      </w:r>
      <w:r>
        <w:tab/>
        <w:t>Who can dispose of explosives</w:t>
      </w:r>
      <w:bookmarkEnd w:id="624"/>
      <w:bookmarkEnd w:id="625"/>
    </w:p>
    <w:p>
      <w:pPr>
        <w:pStyle w:val="Subsection"/>
      </w:pPr>
      <w:r>
        <w:tab/>
      </w:r>
      <w:r>
        <w:tab/>
        <w:t>A person must not destroy or dispose of an explosive unless the person has a licence that authorises the person to use the explosive.</w:t>
      </w:r>
    </w:p>
    <w:p>
      <w:pPr>
        <w:pStyle w:val="Heading5"/>
      </w:pPr>
      <w:bookmarkStart w:id="626" w:name="_Toc200095531"/>
      <w:bookmarkStart w:id="627" w:name="_Toc192857253"/>
      <w:r>
        <w:rPr>
          <w:rStyle w:val="CharSectno"/>
        </w:rPr>
        <w:t>155</w:t>
      </w:r>
      <w:r>
        <w:t>.</w:t>
      </w:r>
      <w:r>
        <w:tab/>
        <w:t>Improper disposal of explosives</w:t>
      </w:r>
      <w:bookmarkEnd w:id="626"/>
      <w:bookmarkEnd w:id="627"/>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628" w:name="_Toc200031725"/>
      <w:bookmarkStart w:id="629" w:name="_Toc200036713"/>
      <w:bookmarkStart w:id="630" w:name="_Toc200095532"/>
      <w:bookmarkStart w:id="631" w:name="_Toc192852874"/>
      <w:bookmarkStart w:id="632" w:name="_Toc192853968"/>
      <w:bookmarkStart w:id="633" w:name="_Toc192857254"/>
      <w:r>
        <w:rPr>
          <w:rStyle w:val="CharPartNo"/>
        </w:rPr>
        <w:t>Part 15</w:t>
      </w:r>
      <w:r>
        <w:t> — </w:t>
      </w:r>
      <w:r>
        <w:rPr>
          <w:rStyle w:val="CharPartText"/>
        </w:rPr>
        <w:t>Licences</w:t>
      </w:r>
      <w:bookmarkEnd w:id="628"/>
      <w:bookmarkEnd w:id="629"/>
      <w:bookmarkEnd w:id="630"/>
      <w:bookmarkEnd w:id="631"/>
      <w:bookmarkEnd w:id="632"/>
      <w:bookmarkEnd w:id="633"/>
    </w:p>
    <w:p>
      <w:pPr>
        <w:pStyle w:val="Heading3"/>
      </w:pPr>
      <w:bookmarkStart w:id="634" w:name="_Toc200031726"/>
      <w:bookmarkStart w:id="635" w:name="_Toc200036714"/>
      <w:bookmarkStart w:id="636" w:name="_Toc200095533"/>
      <w:bookmarkStart w:id="637" w:name="_Toc192852875"/>
      <w:bookmarkStart w:id="638" w:name="_Toc192853969"/>
      <w:bookmarkStart w:id="639" w:name="_Toc192857255"/>
      <w:r>
        <w:rPr>
          <w:rStyle w:val="CharDivNo"/>
        </w:rPr>
        <w:t>Division 1</w:t>
      </w:r>
      <w:r>
        <w:t> — </w:t>
      </w:r>
      <w:r>
        <w:rPr>
          <w:rStyle w:val="CharDivText"/>
        </w:rPr>
        <w:t>Preliminary matters</w:t>
      </w:r>
      <w:bookmarkEnd w:id="634"/>
      <w:bookmarkEnd w:id="635"/>
      <w:bookmarkEnd w:id="636"/>
      <w:bookmarkEnd w:id="637"/>
      <w:bookmarkEnd w:id="638"/>
      <w:bookmarkEnd w:id="639"/>
    </w:p>
    <w:p>
      <w:pPr>
        <w:pStyle w:val="Heading5"/>
      </w:pPr>
      <w:bookmarkStart w:id="640" w:name="_Toc200095534"/>
      <w:bookmarkStart w:id="641" w:name="_Toc192857256"/>
      <w:r>
        <w:rPr>
          <w:rStyle w:val="CharSectno"/>
        </w:rPr>
        <w:t>156</w:t>
      </w:r>
      <w:r>
        <w:t>.</w:t>
      </w:r>
      <w:r>
        <w:tab/>
        <w:t>Terms used</w:t>
      </w:r>
      <w:bookmarkEnd w:id="640"/>
      <w:bookmarkEnd w:id="641"/>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642" w:name="_Toc200031728"/>
      <w:bookmarkStart w:id="643" w:name="_Toc200036716"/>
      <w:bookmarkStart w:id="644" w:name="_Toc200095535"/>
      <w:bookmarkStart w:id="645" w:name="_Toc192852877"/>
      <w:bookmarkStart w:id="646" w:name="_Toc192853971"/>
      <w:bookmarkStart w:id="647" w:name="_Toc192857257"/>
      <w:r>
        <w:rPr>
          <w:rStyle w:val="CharDivNo"/>
        </w:rPr>
        <w:t>Division 2</w:t>
      </w:r>
      <w:r>
        <w:t> — </w:t>
      </w:r>
      <w:r>
        <w:rPr>
          <w:rStyle w:val="CharDivText"/>
        </w:rPr>
        <w:t>General matters</w:t>
      </w:r>
      <w:bookmarkEnd w:id="642"/>
      <w:bookmarkEnd w:id="643"/>
      <w:bookmarkEnd w:id="644"/>
      <w:bookmarkEnd w:id="645"/>
      <w:bookmarkEnd w:id="646"/>
      <w:bookmarkEnd w:id="647"/>
    </w:p>
    <w:p>
      <w:pPr>
        <w:pStyle w:val="Heading5"/>
      </w:pPr>
      <w:bookmarkStart w:id="648" w:name="_Toc200095536"/>
      <w:bookmarkStart w:id="649" w:name="_Toc192857258"/>
      <w:r>
        <w:rPr>
          <w:rStyle w:val="CharSectno"/>
        </w:rPr>
        <w:t>157</w:t>
      </w:r>
      <w:r>
        <w:t>.</w:t>
      </w:r>
      <w:r>
        <w:tab/>
        <w:t>Applying for licence</w:t>
      </w:r>
      <w:bookmarkEnd w:id="648"/>
      <w:bookmarkEnd w:id="649"/>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keepNext/>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keepNext/>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Ednotesubsection"/>
      </w:pPr>
      <w:r>
        <w:tab/>
        <w:t>[(6)</w:t>
      </w:r>
      <w:r>
        <w:tab/>
        <w:t>deleted]</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Gazette 16 Mar 2012 p. 1188 and p. 1263</w:t>
      </w:r>
      <w:r>
        <w:noBreakHyphen/>
        <w:t>4; 2 Dec 2013 p. 5603</w:t>
      </w:r>
      <w:r>
        <w:noBreakHyphen/>
        <w:t>5; 5 Feb 2016 p. 349.]</w:t>
      </w:r>
    </w:p>
    <w:p>
      <w:pPr>
        <w:pStyle w:val="Heading5"/>
      </w:pPr>
      <w:bookmarkStart w:id="650" w:name="_Toc200095537"/>
      <w:bookmarkStart w:id="651" w:name="_Toc192857259"/>
      <w:r>
        <w:rPr>
          <w:rStyle w:val="CharSectno"/>
        </w:rPr>
        <w:t>158</w:t>
      </w:r>
      <w:r>
        <w:t>.</w:t>
      </w:r>
      <w:r>
        <w:tab/>
        <w:t>Medical evidence</w:t>
      </w:r>
      <w:bookmarkEnd w:id="650"/>
      <w:bookmarkEnd w:id="651"/>
    </w:p>
    <w:p>
      <w:pPr>
        <w:pStyle w:val="Subsection"/>
        <w:keepNext/>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Gazette 24 Nov 2009 p. 4739; 2 Dec 2013 p. 5605.]</w:t>
      </w:r>
    </w:p>
    <w:p>
      <w:pPr>
        <w:pStyle w:val="Heading5"/>
      </w:pPr>
      <w:bookmarkStart w:id="652" w:name="_Toc200095538"/>
      <w:bookmarkStart w:id="653" w:name="_Toc192857260"/>
      <w:r>
        <w:rPr>
          <w:rStyle w:val="CharSectno"/>
        </w:rPr>
        <w:t>159</w:t>
      </w:r>
      <w:r>
        <w:t>.</w:t>
      </w:r>
      <w:r>
        <w:tab/>
        <w:t>Competency evidence</w:t>
      </w:r>
      <w:bookmarkEnd w:id="652"/>
      <w:bookmarkEnd w:id="653"/>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654" w:name="_Toc200095539"/>
      <w:bookmarkStart w:id="655" w:name="_Toc192857261"/>
      <w:r>
        <w:rPr>
          <w:rStyle w:val="CharSectno"/>
        </w:rPr>
        <w:t>160</w:t>
      </w:r>
      <w:r>
        <w:t>.</w:t>
      </w:r>
      <w:r>
        <w:tab/>
        <w:t>Driver licence evidence</w:t>
      </w:r>
      <w:bookmarkEnd w:id="654"/>
      <w:bookmarkEnd w:id="655"/>
    </w:p>
    <w:p>
      <w:pPr>
        <w:pStyle w:val="Subsection"/>
      </w:pPr>
      <w:r>
        <w:tab/>
        <w:t>(1)</w:t>
      </w:r>
      <w:r>
        <w:tab/>
        <w:t xml:space="preserve">In this regulation — </w:t>
      </w:r>
    </w:p>
    <w:p>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p>
    <w:p>
      <w:pPr>
        <w:pStyle w:val="Defstart"/>
      </w:pPr>
      <w:r>
        <w:tab/>
      </w:r>
      <w:r>
        <w:rPr>
          <w:rStyle w:val="CharDefText"/>
        </w:rPr>
        <w:t>provisional licence</w:t>
      </w:r>
      <w:r>
        <w:t xml:space="preserve"> has the meaning given in the </w:t>
      </w:r>
      <w:r>
        <w:rPr>
          <w:i/>
        </w:rPr>
        <w:t>Road Traffic (Authorisation to Drive) Act 2008</w:t>
      </w:r>
      <w:r>
        <w:t xml:space="preserve"> section 3(1).</w:t>
      </w:r>
    </w:p>
    <w:p>
      <w:pPr>
        <w:pStyle w:val="Subsection"/>
      </w:pPr>
      <w:r>
        <w:tab/>
        <w:t>(2)</w:t>
      </w:r>
      <w:r>
        <w:tab/>
        <w:t>The driver licence evidence for an application, or a renewal application, for an explosives driver licence is —</w:t>
      </w:r>
    </w:p>
    <w:p>
      <w:pPr>
        <w:pStyle w:val="Indenta"/>
      </w:pPr>
      <w:r>
        <w:tab/>
        <w:t>(a)</w:t>
      </w:r>
      <w:r>
        <w:tab/>
        <w:t>a copy of the applicant’s driver licence;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Gazette 8 Jan 2015 p. 130; 5 Feb 2016 p. 349.]</w:t>
      </w:r>
    </w:p>
    <w:p>
      <w:pPr>
        <w:pStyle w:val="Heading5"/>
      </w:pPr>
      <w:bookmarkStart w:id="656" w:name="_Toc200095540"/>
      <w:bookmarkStart w:id="657" w:name="_Toc192857262"/>
      <w:r>
        <w:rPr>
          <w:rStyle w:val="CharSectno"/>
        </w:rPr>
        <w:t>161</w:t>
      </w:r>
      <w:r>
        <w:t>.</w:t>
      </w:r>
      <w:r>
        <w:tab/>
        <w:t>Explosives management plans</w:t>
      </w:r>
      <w:bookmarkEnd w:id="656"/>
      <w:bookmarkEnd w:id="657"/>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keepNext/>
      </w:pPr>
      <w:r>
        <w:tab/>
        <w:t>(2A)</w:t>
      </w:r>
      <w:r>
        <w:tab/>
        <w:t>In subregulations (2) and (4) —</w:t>
      </w:r>
    </w:p>
    <w:p>
      <w:pPr>
        <w:pStyle w:val="Defstart"/>
      </w:pPr>
      <w:r>
        <w:tab/>
      </w:r>
      <w:r>
        <w:rPr>
          <w:rStyle w:val="CharDefText"/>
        </w:rPr>
        <w:t>explosive</w:t>
      </w:r>
      <w:r>
        <w:t xml:space="preserve"> includes a constituent of an explosive that is a security sensitive ammonium nitrate.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keepNext/>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keepNext/>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keepNext/>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Gazette 16 Mar 2012 p. 1188</w:t>
      </w:r>
      <w:r>
        <w:noBreakHyphen/>
        <w:t>9; 5 Feb 2016 p. 349.]</w:t>
      </w:r>
    </w:p>
    <w:p>
      <w:pPr>
        <w:pStyle w:val="Heading5"/>
      </w:pPr>
      <w:bookmarkStart w:id="658" w:name="_Toc200095541"/>
      <w:bookmarkStart w:id="659" w:name="_Toc192857263"/>
      <w:r>
        <w:rPr>
          <w:rStyle w:val="CharSectno"/>
        </w:rPr>
        <w:t>162</w:t>
      </w:r>
      <w:r>
        <w:t>.</w:t>
      </w:r>
      <w:r>
        <w:tab/>
        <w:t>Chief Officer’s powers for dealing with applications for licences</w:t>
      </w:r>
      <w:bookmarkEnd w:id="658"/>
      <w:bookmarkEnd w:id="659"/>
    </w:p>
    <w:p>
      <w:pPr>
        <w:pStyle w:val="Subsection"/>
      </w:pPr>
      <w:r>
        <w:tab/>
        <w:t>(1)</w:t>
      </w:r>
      <w:r>
        <w:tab/>
        <w:t>For the purposes of deciding an application for a licence, the Chief Officer may request the applicant to do 1 or more of the following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does not comply with the requirements set out in regulation 164(2)(f)(i) to (iii);</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Gazette 24 Nov 2009 p. 4740; 2 Dec 2013 p. 5606; SL 2022/122 r. 5.]</w:t>
      </w:r>
    </w:p>
    <w:p>
      <w:pPr>
        <w:pStyle w:val="Heading5"/>
      </w:pPr>
      <w:bookmarkStart w:id="660" w:name="_Toc200095542"/>
      <w:bookmarkStart w:id="661" w:name="_Toc192857264"/>
      <w:r>
        <w:rPr>
          <w:rStyle w:val="CharSectno"/>
        </w:rPr>
        <w:t>163</w:t>
      </w:r>
      <w:r>
        <w:t>.</w:t>
      </w:r>
      <w:r>
        <w:tab/>
        <w:t>Licence for place that is or may be major hazard facility</w:t>
      </w:r>
      <w:bookmarkEnd w:id="660"/>
      <w:bookmarkEnd w:id="661"/>
    </w:p>
    <w:p>
      <w:pPr>
        <w:pStyle w:val="Subsection"/>
        <w:spacing w:before="120"/>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spacing w:before="120"/>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spacing w:before="120"/>
      </w:pPr>
      <w:r>
        <w:tab/>
        <w:t>(3)</w:t>
      </w:r>
      <w:r>
        <w:tab/>
        <w:t xml:space="preserve">If — </w:t>
      </w:r>
    </w:p>
    <w:p>
      <w:pPr>
        <w:pStyle w:val="Indenta"/>
        <w:spacing w:before="60"/>
      </w:pPr>
      <w:r>
        <w:tab/>
        <w:t>(a)</w:t>
      </w:r>
      <w:r>
        <w:tab/>
        <w:t>an application is made for an explosives manufacture licence, or an explosives storage licence, in respect of a dangerous goods site that, under the MHF Regulations, is not an MHF; but</w:t>
      </w:r>
    </w:p>
    <w:p>
      <w:pPr>
        <w:pStyle w:val="Indenta"/>
        <w:spacing w:before="60"/>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spacing w:before="120"/>
      </w:pPr>
      <w:r>
        <w:tab/>
      </w:r>
      <w:r>
        <w:tab/>
        <w:t xml:space="preserve">the Chief Officer may refuse to decide the application until either — </w:t>
      </w:r>
    </w:p>
    <w:p>
      <w:pPr>
        <w:pStyle w:val="Indenta"/>
        <w:spacing w:before="60"/>
      </w:pPr>
      <w:r>
        <w:tab/>
        <w:t>(c)</w:t>
      </w:r>
      <w:r>
        <w:tab/>
        <w:t>a decision is made not to classify the site as an MHF; or</w:t>
      </w:r>
    </w:p>
    <w:p>
      <w:pPr>
        <w:pStyle w:val="Indenta"/>
        <w:spacing w:before="60"/>
      </w:pPr>
      <w:r>
        <w:tab/>
        <w:t>(d)</w:t>
      </w:r>
      <w:r>
        <w:tab/>
        <w:t>the site is classified as an MHF and a safety report for the site is approved under those regulations.</w:t>
      </w:r>
    </w:p>
    <w:p>
      <w:pPr>
        <w:pStyle w:val="Footnotesection"/>
        <w:spacing w:before="80"/>
        <w:ind w:left="890" w:hanging="890"/>
      </w:pPr>
      <w:r>
        <w:tab/>
        <w:t>[Regulation 163 amended: Gazette 16 Mar 2012 p. 1264.]</w:t>
      </w:r>
    </w:p>
    <w:p>
      <w:pPr>
        <w:pStyle w:val="Heading5"/>
      </w:pPr>
      <w:bookmarkStart w:id="662" w:name="_Toc200095543"/>
      <w:bookmarkStart w:id="663" w:name="_Toc192857265"/>
      <w:r>
        <w:rPr>
          <w:rStyle w:val="CharSectno"/>
        </w:rPr>
        <w:t>164</w:t>
      </w:r>
      <w:r>
        <w:t>.</w:t>
      </w:r>
      <w:r>
        <w:tab/>
        <w:t>Deciding applications for licences</w:t>
      </w:r>
      <w:bookmarkEnd w:id="662"/>
      <w:bookmarkEnd w:id="66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spacing w:before="80"/>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spacing w:before="80"/>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spacing w:before="120"/>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spacing w:before="120"/>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Gazette 16 Mar 2012 p. 1189</w:t>
      </w:r>
      <w:r>
        <w:noBreakHyphen/>
        <w:t>90; 2 Dec 2013 p. 5606</w:t>
      </w:r>
      <w:r>
        <w:noBreakHyphen/>
        <w:t>7.]</w:t>
      </w:r>
    </w:p>
    <w:p>
      <w:pPr>
        <w:pStyle w:val="Heading5"/>
        <w:spacing w:before="180"/>
      </w:pPr>
      <w:bookmarkStart w:id="664" w:name="_Toc200095544"/>
      <w:bookmarkStart w:id="665" w:name="_Toc192857266"/>
      <w:r>
        <w:rPr>
          <w:rStyle w:val="CharSectno"/>
        </w:rPr>
        <w:t>165</w:t>
      </w:r>
      <w:r>
        <w:t>.</w:t>
      </w:r>
      <w:r>
        <w:tab/>
        <w:t>Body corporate and partnership to have qualified officer</w:t>
      </w:r>
      <w:bookmarkEnd w:id="664"/>
      <w:bookmarkEnd w:id="665"/>
      <w:r>
        <w:t xml:space="preserve"> </w:t>
      </w:r>
    </w:p>
    <w:p>
      <w:pPr>
        <w:pStyle w:val="Subsection"/>
        <w:keepNext/>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has reached 21 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spacing w:before="120"/>
      </w:pPr>
      <w:r>
        <w:tab/>
        <w:t>(3)</w:t>
      </w:r>
      <w:r>
        <w:tab/>
        <w:t>A body corporate or a partnership that holds a licence must keep a proper record of at least one of its qualified officers.</w:t>
      </w:r>
    </w:p>
    <w:p>
      <w:pPr>
        <w:pStyle w:val="Penstart"/>
      </w:pPr>
      <w:r>
        <w:tab/>
        <w:t>Penalty: a level 3 fine.</w:t>
      </w:r>
    </w:p>
    <w:p>
      <w:pPr>
        <w:pStyle w:val="Subsection"/>
        <w:spacing w:before="120"/>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Gazette 2 Dec 2013 p.</w:t>
      </w:r>
      <w:r>
        <w:rPr>
          <w:sz w:val="19"/>
        </w:rPr>
        <w:t> </w:t>
      </w:r>
      <w:r>
        <w:t>5607</w:t>
      </w:r>
      <w:r>
        <w:noBreakHyphen/>
        <w:t>8; amended: Gazette 5 Feb 2016 p. 350.]</w:t>
      </w:r>
    </w:p>
    <w:p>
      <w:pPr>
        <w:pStyle w:val="Heading5"/>
      </w:pPr>
      <w:bookmarkStart w:id="666" w:name="_Toc200095545"/>
      <w:bookmarkStart w:id="667" w:name="_Toc192857267"/>
      <w:r>
        <w:rPr>
          <w:rStyle w:val="CharSectno"/>
        </w:rPr>
        <w:t>165A</w:t>
      </w:r>
      <w:r>
        <w:t>.</w:t>
      </w:r>
      <w:r>
        <w:tab/>
        <w:t>Fireworks contractor licence requirements</w:t>
      </w:r>
      <w:bookmarkEnd w:id="666"/>
      <w:bookmarkEnd w:id="667"/>
    </w:p>
    <w:p>
      <w:pPr>
        <w:pStyle w:val="Subsection"/>
      </w:pPr>
      <w:r>
        <w:tab/>
        <w:t>(1)</w:t>
      </w:r>
      <w:r>
        <w:tab/>
        <w:t>An individual who holds a fireworks contractor licence must hold a fireworks operator licence.</w:t>
      </w:r>
    </w:p>
    <w:p>
      <w:pPr>
        <w:pStyle w:val="Penstart"/>
      </w:pPr>
      <w:r>
        <w:tab/>
        <w:t>Penalty for this subregulation: a level 3 fine.</w:t>
      </w:r>
    </w:p>
    <w:p>
      <w:pPr>
        <w:pStyle w:val="Subsection"/>
      </w:pPr>
      <w:r>
        <w:tab/>
        <w:t>(2)</w:t>
      </w:r>
      <w:r>
        <w:tab/>
        <w:t>A body corporate or a partnership that holds a fireworks contractor licence must have at least one individual who is concerned in the management of, or employed by, the body or partnership who holds a fireworks operator licence.</w:t>
      </w:r>
    </w:p>
    <w:p>
      <w:pPr>
        <w:pStyle w:val="Penstart"/>
      </w:pPr>
      <w:r>
        <w:tab/>
        <w:t>Penalty for this subregulation: a level 3 fine.</w:t>
      </w:r>
    </w:p>
    <w:p>
      <w:pPr>
        <w:pStyle w:val="Footnotesection"/>
      </w:pPr>
      <w:r>
        <w:tab/>
        <w:t>[Regulation 165A inserted: Gazette 5 Feb 2016 p. 350.]</w:t>
      </w:r>
    </w:p>
    <w:p>
      <w:pPr>
        <w:pStyle w:val="Heading5"/>
      </w:pPr>
      <w:bookmarkStart w:id="668" w:name="_Toc200095546"/>
      <w:bookmarkStart w:id="669" w:name="_Toc192857268"/>
      <w:r>
        <w:rPr>
          <w:rStyle w:val="CharSectno"/>
        </w:rPr>
        <w:t>166</w:t>
      </w:r>
      <w:r>
        <w:t>.</w:t>
      </w:r>
      <w:r>
        <w:tab/>
        <w:t>Conditions of licences</w:t>
      </w:r>
      <w:bookmarkEnd w:id="668"/>
      <w:bookmarkEnd w:id="669"/>
    </w:p>
    <w:p>
      <w:pPr>
        <w:pStyle w:val="Subsection"/>
        <w:spacing w:before="180"/>
      </w:pPr>
      <w:r>
        <w:tab/>
        <w:t>(1)</w:t>
      </w:r>
      <w:r>
        <w:tab/>
        <w:t>A licence may be subject to conditions decided by the Chief Officer and imposed when it is issued or while it has effect.</w:t>
      </w:r>
    </w:p>
    <w:p>
      <w:pPr>
        <w:pStyle w:val="Subsection"/>
        <w:spacing w:before="180"/>
      </w:pPr>
      <w:r>
        <w:tab/>
        <w:t>(2)</w:t>
      </w:r>
      <w:r>
        <w:tab/>
        <w:t>Any such conditions must be specified in the licence.</w:t>
      </w:r>
    </w:p>
    <w:p>
      <w:pPr>
        <w:pStyle w:val="Subsection"/>
        <w:keepNext/>
        <w:spacing w:before="180"/>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spacing w:before="180"/>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keepNext/>
        <w:spacing w:before="120"/>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670" w:name="_Toc200095547"/>
      <w:bookmarkStart w:id="671" w:name="_Toc192857269"/>
      <w:r>
        <w:rPr>
          <w:rStyle w:val="CharSectno"/>
        </w:rPr>
        <w:t>167</w:t>
      </w:r>
      <w:r>
        <w:t>.</w:t>
      </w:r>
      <w:r>
        <w:tab/>
        <w:t>Duration of licences</w:t>
      </w:r>
      <w:bookmarkEnd w:id="670"/>
      <w:bookmarkEnd w:id="671"/>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for 5 years commencing on the date on which it was issued, unless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dies.</w:t>
      </w:r>
    </w:p>
    <w:p>
      <w:pPr>
        <w:pStyle w:val="Footnotesection"/>
      </w:pPr>
      <w:r>
        <w:tab/>
        <w:t>[Regulation 167 amended: Gazette 16 Mar 2012 p. 1264</w:t>
      </w:r>
      <w:r>
        <w:noBreakHyphen/>
        <w:t>5; 2 Dec 2013 p. 5609; 24 Oct 2014 p. 4121; amended: Gazette 5 Feb 2016 p. 350.]</w:t>
      </w:r>
    </w:p>
    <w:p>
      <w:pPr>
        <w:pStyle w:val="Heading5"/>
      </w:pPr>
      <w:bookmarkStart w:id="672" w:name="_Toc200095548"/>
      <w:bookmarkStart w:id="673" w:name="_Toc192857270"/>
      <w:r>
        <w:rPr>
          <w:rStyle w:val="CharSectno"/>
        </w:rPr>
        <w:t>168A</w:t>
      </w:r>
      <w:r>
        <w:t>.</w:t>
      </w:r>
      <w:r>
        <w:tab/>
        <w:t>Licence suspended in certain circumstances</w:t>
      </w:r>
      <w:bookmarkEnd w:id="672"/>
      <w:bookmarkEnd w:id="673"/>
    </w:p>
    <w:p>
      <w:pPr>
        <w:pStyle w:val="Subsection"/>
      </w:pPr>
      <w:r>
        <w:tab/>
        <w:t>(1)</w:t>
      </w:r>
      <w:r>
        <w:tab/>
        <w:t>A licence is to be taken to have been suspended for any period during which the holder, being an individual, does not have a security clearance.</w:t>
      </w:r>
    </w:p>
    <w:p>
      <w:pPr>
        <w:pStyle w:val="Subsection"/>
      </w:pPr>
      <w:r>
        <w:tab/>
        <w:t>(2)</w:t>
      </w:r>
      <w:r>
        <w:tab/>
        <w:t xml:space="preserve">A fireworks contractor licence is to be taken to have been suspended for any period during which — </w:t>
      </w:r>
    </w:p>
    <w:p>
      <w:pPr>
        <w:pStyle w:val="Indenta"/>
      </w:pPr>
      <w:r>
        <w:tab/>
        <w:t>(a)</w:t>
      </w:r>
      <w:r>
        <w:tab/>
        <w:t>the licence holder, being an individual, does not hold a fireworks operator licence; or</w:t>
      </w:r>
    </w:p>
    <w:p>
      <w:pPr>
        <w:pStyle w:val="Indenta"/>
      </w:pPr>
      <w:r>
        <w:tab/>
        <w:t>(b)</w:t>
      </w:r>
      <w:r>
        <w:tab/>
        <w:t>the licence holder, being a body corporate or a partnership, does not have an individual who holds a fireworks operator licence concerned in the management of, or employed by, the body or partnership.</w:t>
      </w:r>
    </w:p>
    <w:p>
      <w:pPr>
        <w:pStyle w:val="Footnotesection"/>
      </w:pPr>
      <w:r>
        <w:tab/>
        <w:t>[Regulation 168A inserted: Gazette 5 Feb 2016 p. 351.]</w:t>
      </w:r>
    </w:p>
    <w:p>
      <w:pPr>
        <w:pStyle w:val="Heading5"/>
        <w:spacing w:before="180"/>
      </w:pPr>
      <w:bookmarkStart w:id="674" w:name="_Toc200095549"/>
      <w:bookmarkStart w:id="675" w:name="_Toc192857271"/>
      <w:r>
        <w:rPr>
          <w:rStyle w:val="CharSectno"/>
        </w:rPr>
        <w:t>168</w:t>
      </w:r>
      <w:r>
        <w:t>.</w:t>
      </w:r>
      <w:r>
        <w:tab/>
        <w:t>Form of licences</w:t>
      </w:r>
      <w:bookmarkEnd w:id="674"/>
      <w:bookmarkEnd w:id="675"/>
    </w:p>
    <w:p>
      <w:pPr>
        <w:pStyle w:val="Subsection"/>
      </w:pPr>
      <w:r>
        <w:tab/>
        <w:t>(1)</w:t>
      </w:r>
      <w:r>
        <w:tab/>
        <w:t>A licence must be in such form as the Chief Officer decides.</w:t>
      </w:r>
    </w:p>
    <w:p>
      <w:pPr>
        <w:pStyle w:val="Ednotesubsection"/>
      </w:pPr>
      <w:r>
        <w:tab/>
        <w:t>[(2)</w:t>
      </w:r>
      <w:r>
        <w:tab/>
        <w:t>deleted]</w:t>
      </w:r>
    </w:p>
    <w:p>
      <w:pPr>
        <w:pStyle w:val="Footnotesection"/>
      </w:pPr>
      <w:r>
        <w:tab/>
        <w:t>[Regulation 168 amended: Gazette 5 Feb 2016 p. 351.]</w:t>
      </w:r>
    </w:p>
    <w:p>
      <w:pPr>
        <w:pStyle w:val="Heading5"/>
        <w:spacing w:before="180"/>
      </w:pPr>
      <w:bookmarkStart w:id="676" w:name="_Toc200095550"/>
      <w:bookmarkStart w:id="677" w:name="_Toc192857272"/>
      <w:r>
        <w:rPr>
          <w:rStyle w:val="CharSectno"/>
        </w:rPr>
        <w:t>169</w:t>
      </w:r>
      <w:r>
        <w:t>.</w:t>
      </w:r>
      <w:r>
        <w:tab/>
        <w:t>Licences not transferable etc.</w:t>
      </w:r>
      <w:bookmarkEnd w:id="676"/>
      <w:bookmarkEnd w:id="677"/>
    </w:p>
    <w:p>
      <w:pPr>
        <w:pStyle w:val="Subsection"/>
        <w:keepNext/>
      </w:pPr>
      <w:r>
        <w:tab/>
        <w:t>(1)</w:t>
      </w:r>
      <w:r>
        <w:tab/>
        <w:t>A licence is valid only for the person to whom it is issued.</w:t>
      </w:r>
    </w:p>
    <w:p>
      <w:pPr>
        <w:pStyle w:val="Subsection"/>
        <w:keepNext/>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678" w:name="_Toc200095551"/>
      <w:bookmarkStart w:id="679" w:name="_Toc192857273"/>
      <w:r>
        <w:rPr>
          <w:rStyle w:val="CharSectno"/>
        </w:rPr>
        <w:t>170</w:t>
      </w:r>
      <w:r>
        <w:t>.</w:t>
      </w:r>
      <w:r>
        <w:tab/>
        <w:t>Licences may be surrendered</w:t>
      </w:r>
      <w:bookmarkEnd w:id="678"/>
      <w:bookmarkEnd w:id="679"/>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spacing w:before="240"/>
      </w:pPr>
      <w:bookmarkStart w:id="680" w:name="_Toc200095552"/>
      <w:bookmarkStart w:id="681" w:name="_Toc192857274"/>
      <w:r>
        <w:rPr>
          <w:rStyle w:val="CharSectno"/>
        </w:rPr>
        <w:t>171</w:t>
      </w:r>
      <w:r>
        <w:t>.</w:t>
      </w:r>
      <w:r>
        <w:tab/>
        <w:t>Lost licences may be replaced</w:t>
      </w:r>
      <w:bookmarkEnd w:id="680"/>
      <w:bookmarkEnd w:id="681"/>
    </w:p>
    <w:p>
      <w:pPr>
        <w:pStyle w:val="Subsection"/>
      </w:pPr>
      <w:r>
        <w:tab/>
        <w:t>(1)</w:t>
      </w:r>
      <w:r>
        <w:tab/>
        <w:t>If the Chief Officer is satisfied that a licence has been destroyed, lost or stolen, the Chief Officer may issue a replacement.</w:t>
      </w:r>
    </w:p>
    <w:p>
      <w:pPr>
        <w:pStyle w:val="Ednotesubsection"/>
      </w:pPr>
      <w:r>
        <w:tab/>
        <w:t>[(2)</w:t>
      </w:r>
      <w:r>
        <w:tab/>
        <w:t>deleted]</w:t>
      </w:r>
    </w:p>
    <w:p>
      <w:pPr>
        <w:pStyle w:val="Subsection"/>
      </w:pPr>
      <w:r>
        <w:tab/>
        <w:t>(3)</w:t>
      </w:r>
      <w:r>
        <w:tab/>
        <w:t>No fee is to be charged for issuing a replacement under subregulation (1).</w:t>
      </w:r>
    </w:p>
    <w:p>
      <w:pPr>
        <w:pStyle w:val="Footnotesection"/>
      </w:pPr>
      <w:r>
        <w:tab/>
        <w:t>[Regulation 171 amended: Gazette 2 Dec 2013 p.</w:t>
      </w:r>
      <w:r>
        <w:rPr>
          <w:sz w:val="19"/>
        </w:rPr>
        <w:t> </w:t>
      </w:r>
      <w:r>
        <w:t>5609; 5 Feb 2016 p. 351.]</w:t>
      </w:r>
    </w:p>
    <w:p>
      <w:pPr>
        <w:pStyle w:val="Heading5"/>
        <w:spacing w:before="240"/>
      </w:pPr>
      <w:bookmarkStart w:id="682" w:name="_Toc200095553"/>
      <w:bookmarkStart w:id="683" w:name="_Toc192857275"/>
      <w:r>
        <w:rPr>
          <w:rStyle w:val="CharSectno"/>
        </w:rPr>
        <w:t>172</w:t>
      </w:r>
      <w:r>
        <w:t>.</w:t>
      </w:r>
      <w:r>
        <w:tab/>
        <w:t>Amending licences</w:t>
      </w:r>
      <w:bookmarkEnd w:id="682"/>
      <w:bookmarkEnd w:id="683"/>
    </w:p>
    <w:p>
      <w:pPr>
        <w:pStyle w:val="Subsection"/>
        <w:keepNext/>
        <w:spacing w:before="180"/>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spacing w:before="180"/>
      </w:pPr>
      <w:r>
        <w:tab/>
        <w:t>(2)</w:t>
      </w:r>
      <w:r>
        <w:tab/>
        <w:t>A licence holder may apply to amend the licence.</w:t>
      </w:r>
    </w:p>
    <w:p>
      <w:pPr>
        <w:pStyle w:val="Subsection"/>
        <w:spacing w:before="180"/>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Gazette 16 Mar 2012 p. 1265; 19 Feb 2013 p. 986; 2 Dec 2013 p. 5609</w:t>
      </w:r>
      <w:r>
        <w:noBreakHyphen/>
        <w:t>10.]</w:t>
      </w:r>
    </w:p>
    <w:p>
      <w:pPr>
        <w:pStyle w:val="Heading5"/>
      </w:pPr>
      <w:bookmarkStart w:id="684" w:name="_Toc200095554"/>
      <w:bookmarkStart w:id="685" w:name="_Toc192857276"/>
      <w:r>
        <w:rPr>
          <w:rStyle w:val="CharSectno"/>
        </w:rPr>
        <w:t>173</w:t>
      </w:r>
      <w:r>
        <w:t>.</w:t>
      </w:r>
      <w:r>
        <w:tab/>
        <w:t>Procedure for renewing licences</w:t>
      </w:r>
      <w:bookmarkEnd w:id="684"/>
      <w:bookmarkEnd w:id="685"/>
    </w:p>
    <w:p>
      <w:pPr>
        <w:pStyle w:val="Subsection"/>
        <w:keepNext/>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keepNext/>
        <w:keepLines/>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Ednotepara"/>
      </w:pPr>
      <w:r>
        <w:tab/>
        <w:t>[(g)</w:t>
      </w:r>
      <w:r>
        <w:tab/>
        <w:t>deleted]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Regulation 164(2)(c)(ii), as applied by subregulation (5), does not have effect in relation to the renewal application but, if the renewal application is granted, the licence continues to be suspended under regulation 168A.</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Gazette 16 Mar 2012 p. 1266; 2 Dec 2013 p. 5610; 24 Oct 2014 p. 4121; 5 Feb 2016 p. 352; SL 2022/122 r. 6.]</w:t>
      </w:r>
    </w:p>
    <w:p>
      <w:pPr>
        <w:pStyle w:val="Heading5"/>
        <w:keepNext w:val="0"/>
        <w:keepLines w:val="0"/>
      </w:pPr>
      <w:bookmarkStart w:id="686" w:name="_Toc200095555"/>
      <w:bookmarkStart w:id="687" w:name="_Toc192857277"/>
      <w:r>
        <w:rPr>
          <w:rStyle w:val="CharSectno"/>
        </w:rPr>
        <w:t>174A</w:t>
      </w:r>
      <w:r>
        <w:t>.</w:t>
      </w:r>
      <w:r>
        <w:tab/>
        <w:t>Trading licences, renewal of</w:t>
      </w:r>
      <w:bookmarkEnd w:id="686"/>
      <w:bookmarkEnd w:id="687"/>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Gazette 16 Mar 2012 p. 1266.]</w:t>
      </w:r>
    </w:p>
    <w:p>
      <w:pPr>
        <w:pStyle w:val="Heading3"/>
      </w:pPr>
      <w:bookmarkStart w:id="688" w:name="_Toc200031749"/>
      <w:bookmarkStart w:id="689" w:name="_Toc200036737"/>
      <w:bookmarkStart w:id="690" w:name="_Toc200095556"/>
      <w:bookmarkStart w:id="691" w:name="_Toc192852898"/>
      <w:bookmarkStart w:id="692" w:name="_Toc192853992"/>
      <w:bookmarkStart w:id="693" w:name="_Toc192857278"/>
      <w:r>
        <w:rPr>
          <w:rStyle w:val="CharDivNo"/>
        </w:rPr>
        <w:t>Division 3</w:t>
      </w:r>
      <w:r>
        <w:t> — </w:t>
      </w:r>
      <w:r>
        <w:rPr>
          <w:rStyle w:val="CharDivText"/>
        </w:rPr>
        <w:t>Suspending and cancelling licences</w:t>
      </w:r>
      <w:bookmarkEnd w:id="688"/>
      <w:bookmarkEnd w:id="689"/>
      <w:bookmarkEnd w:id="690"/>
      <w:bookmarkEnd w:id="691"/>
      <w:bookmarkEnd w:id="692"/>
      <w:bookmarkEnd w:id="693"/>
    </w:p>
    <w:p>
      <w:pPr>
        <w:pStyle w:val="Heading5"/>
      </w:pPr>
      <w:bookmarkStart w:id="694" w:name="_Toc200095557"/>
      <w:bookmarkStart w:id="695" w:name="_Toc192857279"/>
      <w:r>
        <w:rPr>
          <w:rStyle w:val="CharSectno"/>
        </w:rPr>
        <w:t>174</w:t>
      </w:r>
      <w:r>
        <w:t>.</w:t>
      </w:r>
      <w:r>
        <w:tab/>
        <w:t>Grounds for suspending or cancelling</w:t>
      </w:r>
      <w:bookmarkEnd w:id="694"/>
      <w:bookmarkEnd w:id="695"/>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keepNext/>
      </w:pPr>
      <w:r>
        <w:tab/>
        <w:t>(2)</w:t>
      </w:r>
      <w:r>
        <w:tab/>
        <w:t xml:space="preserve">Grounds to suspend or cancel a licence exist if — </w:t>
      </w:r>
    </w:p>
    <w:p>
      <w:pPr>
        <w:pStyle w:val="Indenta"/>
        <w:keepNext/>
      </w:pPr>
      <w:r>
        <w:tab/>
        <w:t>(a)</w:t>
      </w:r>
      <w:r>
        <w:tab/>
        <w:t>either —</w:t>
      </w:r>
    </w:p>
    <w:p>
      <w:pPr>
        <w:pStyle w:val="Indenti"/>
      </w:pPr>
      <w:r>
        <w:tab/>
        <w:t>(i)</w:t>
      </w:r>
      <w:r>
        <w:tab/>
        <w:t>the holder; or</w:t>
      </w:r>
    </w:p>
    <w:p>
      <w:pPr>
        <w:pStyle w:val="Indenti"/>
        <w:keepNext/>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Gazette 16 Mar 2012 p. 1190 and p. 1266</w:t>
      </w:r>
      <w:r>
        <w:noBreakHyphen/>
        <w:t>7; 2 Dec 2013 p. 5610</w:t>
      </w:r>
      <w:r>
        <w:noBreakHyphen/>
        <w:t>11.]</w:t>
      </w:r>
    </w:p>
    <w:p>
      <w:pPr>
        <w:pStyle w:val="Heading5"/>
      </w:pPr>
      <w:bookmarkStart w:id="696" w:name="_Toc200095558"/>
      <w:bookmarkStart w:id="697" w:name="_Toc192857280"/>
      <w:r>
        <w:rPr>
          <w:rStyle w:val="CharSectno"/>
        </w:rPr>
        <w:t>175</w:t>
      </w:r>
      <w:r>
        <w:t>.</w:t>
      </w:r>
      <w:r>
        <w:tab/>
        <w:t>Procedure for suspending or cancelling</w:t>
      </w:r>
      <w:bookmarkEnd w:id="696"/>
      <w:bookmarkEnd w:id="697"/>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698" w:name="_Toc200095559"/>
      <w:bookmarkStart w:id="699" w:name="_Toc192857281"/>
      <w:r>
        <w:rPr>
          <w:rStyle w:val="CharSectno"/>
        </w:rPr>
        <w:t>176</w:t>
      </w:r>
      <w:r>
        <w:t>.</w:t>
      </w:r>
      <w:r>
        <w:tab/>
        <w:t>Suspension in urgent circumstances</w:t>
      </w:r>
      <w:bookmarkEnd w:id="698"/>
      <w:bookmarkEnd w:id="699"/>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700" w:name="_Toc200095560"/>
      <w:bookmarkStart w:id="701" w:name="_Toc192857282"/>
      <w:r>
        <w:rPr>
          <w:rStyle w:val="CharSectno"/>
        </w:rPr>
        <w:t>177</w:t>
      </w:r>
      <w:r>
        <w:t>.</w:t>
      </w:r>
      <w:r>
        <w:tab/>
        <w:t>Licences etc. to be returned on cancellation etc.</w:t>
      </w:r>
      <w:bookmarkEnd w:id="700"/>
      <w:bookmarkEnd w:id="701"/>
    </w:p>
    <w:p>
      <w:pPr>
        <w:pStyle w:val="Subsection"/>
        <w:spacing w:before="120"/>
      </w:pPr>
      <w:r>
        <w:tab/>
      </w:r>
      <w:r>
        <w:tab/>
        <w:t>If the Chief Officer suspends or cancels a licence, the holder must return the licence to the Chief Officer within 14 days after the date of receiving notice of the suspension or cancellation.</w:t>
      </w:r>
    </w:p>
    <w:p>
      <w:pPr>
        <w:pStyle w:val="Penstart"/>
        <w:spacing w:before="60"/>
      </w:pPr>
      <w:r>
        <w:tab/>
        <w:t>Penalty: a level 3 fine.</w:t>
      </w:r>
    </w:p>
    <w:p>
      <w:pPr>
        <w:pStyle w:val="Footnotesection"/>
      </w:pPr>
      <w:r>
        <w:tab/>
        <w:t>[Regulation 177 amended: Gazette 5 Feb 2016 p. 352.]</w:t>
      </w:r>
    </w:p>
    <w:p>
      <w:pPr>
        <w:pStyle w:val="Heading5"/>
        <w:spacing w:before="180"/>
      </w:pPr>
      <w:bookmarkStart w:id="702" w:name="_Toc200095561"/>
      <w:bookmarkStart w:id="703" w:name="_Toc192857283"/>
      <w:r>
        <w:rPr>
          <w:rStyle w:val="CharSectno"/>
        </w:rPr>
        <w:t>178</w:t>
      </w:r>
      <w:r>
        <w:t>.</w:t>
      </w:r>
      <w:r>
        <w:tab/>
        <w:t>Suspension may be terminated</w:t>
      </w:r>
      <w:bookmarkEnd w:id="702"/>
      <w:bookmarkEnd w:id="703"/>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704" w:name="_Toc200031755"/>
      <w:bookmarkStart w:id="705" w:name="_Toc200036743"/>
      <w:bookmarkStart w:id="706" w:name="_Toc200095562"/>
      <w:bookmarkStart w:id="707" w:name="_Toc192852904"/>
      <w:bookmarkStart w:id="708" w:name="_Toc192853998"/>
      <w:bookmarkStart w:id="709" w:name="_Toc192857284"/>
      <w:r>
        <w:rPr>
          <w:rStyle w:val="CharDivNo"/>
        </w:rPr>
        <w:t>Division 4</w:t>
      </w:r>
      <w:r>
        <w:t> — </w:t>
      </w:r>
      <w:r>
        <w:rPr>
          <w:rStyle w:val="CharDivText"/>
        </w:rPr>
        <w:t>Duties of licence holders</w:t>
      </w:r>
      <w:bookmarkEnd w:id="704"/>
      <w:bookmarkEnd w:id="705"/>
      <w:bookmarkEnd w:id="706"/>
      <w:bookmarkEnd w:id="707"/>
      <w:bookmarkEnd w:id="708"/>
      <w:bookmarkEnd w:id="709"/>
    </w:p>
    <w:p>
      <w:pPr>
        <w:pStyle w:val="Heading5"/>
        <w:spacing w:before="180"/>
      </w:pPr>
      <w:bookmarkStart w:id="710" w:name="_Toc200095563"/>
      <w:bookmarkStart w:id="711" w:name="_Toc192857285"/>
      <w:r>
        <w:rPr>
          <w:rStyle w:val="CharSectno"/>
        </w:rPr>
        <w:t>179A</w:t>
      </w:r>
      <w:r>
        <w:t>.</w:t>
      </w:r>
      <w:r>
        <w:tab/>
        <w:t>Annual fees for trading licences</w:t>
      </w:r>
      <w:bookmarkEnd w:id="710"/>
      <w:bookmarkEnd w:id="711"/>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$41.00.</w:t>
      </w:r>
    </w:p>
    <w:p>
      <w:pPr>
        <w:pStyle w:val="Footnotesection"/>
      </w:pPr>
      <w:r>
        <w:tab/>
        <w:t>[Regulation 179A inserted: Gazette 16 Mar 2012 p. 1267; amended: Gazette 2 Dec 2013 p. 5611; 26 Jun 2015 p. 2267; 24 Jun 2016 p. 2326; 23 Jun 2017 p. 3284; 25 Jun 2018 p. 2298; 18 Jun 2019 p. 2040.]</w:t>
      </w:r>
    </w:p>
    <w:p>
      <w:pPr>
        <w:pStyle w:val="Heading5"/>
      </w:pPr>
      <w:bookmarkStart w:id="712" w:name="_Toc200095564"/>
      <w:bookmarkStart w:id="713" w:name="_Toc192857286"/>
      <w:r>
        <w:rPr>
          <w:rStyle w:val="CharSectno"/>
        </w:rPr>
        <w:t>179</w:t>
      </w:r>
      <w:r>
        <w:t>.</w:t>
      </w:r>
      <w:r>
        <w:tab/>
        <w:t>Wrong information, duty to correct</w:t>
      </w:r>
      <w:bookmarkEnd w:id="712"/>
      <w:bookmarkEnd w:id="713"/>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714" w:name="_Toc200095565"/>
      <w:bookmarkStart w:id="715" w:name="_Toc192857287"/>
      <w:r>
        <w:rPr>
          <w:rStyle w:val="CharSectno"/>
        </w:rPr>
        <w:t>180</w:t>
      </w:r>
      <w:r>
        <w:t>.</w:t>
      </w:r>
      <w:r>
        <w:tab/>
        <w:t>Licence holder to notify Chief Officer of certain convictions and charges</w:t>
      </w:r>
      <w:bookmarkEnd w:id="714"/>
      <w:bookmarkEnd w:id="715"/>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Gazette 2 Dec 2013 p.</w:t>
      </w:r>
      <w:r>
        <w:rPr>
          <w:sz w:val="19"/>
        </w:rPr>
        <w:t> </w:t>
      </w:r>
      <w:r>
        <w:t>5611</w:t>
      </w:r>
      <w:r>
        <w:noBreakHyphen/>
        <w:t>12.]</w:t>
      </w:r>
    </w:p>
    <w:p>
      <w:pPr>
        <w:pStyle w:val="Heading5"/>
      </w:pPr>
      <w:bookmarkStart w:id="716" w:name="_Toc200095566"/>
      <w:bookmarkStart w:id="717" w:name="_Toc192857288"/>
      <w:r>
        <w:rPr>
          <w:rStyle w:val="CharSectno"/>
        </w:rPr>
        <w:t>181</w:t>
      </w:r>
      <w:r>
        <w:t>.</w:t>
      </w:r>
      <w:r>
        <w:tab/>
        <w:t>Licences relating to places, notification of development</w:t>
      </w:r>
      <w:bookmarkEnd w:id="716"/>
      <w:bookmarkEnd w:id="717"/>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Gazette 2 Dec 2013 p.</w:t>
      </w:r>
      <w:r>
        <w:rPr>
          <w:sz w:val="19"/>
        </w:rPr>
        <w:t> </w:t>
      </w:r>
      <w:r>
        <w:t>5612.]</w:t>
      </w:r>
    </w:p>
    <w:p>
      <w:pPr>
        <w:pStyle w:val="Heading5"/>
      </w:pPr>
      <w:bookmarkStart w:id="718" w:name="_Toc200095567"/>
      <w:bookmarkStart w:id="719" w:name="_Toc192857289"/>
      <w:r>
        <w:rPr>
          <w:rStyle w:val="CharSectno"/>
        </w:rPr>
        <w:t>182</w:t>
      </w:r>
      <w:r>
        <w:t>.</w:t>
      </w:r>
      <w:r>
        <w:tab/>
        <w:t>Condition of licence, contravening</w:t>
      </w:r>
      <w:bookmarkEnd w:id="718"/>
      <w:bookmarkEnd w:id="719"/>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Gazette 16 Mar 2012 p. 1190.]</w:t>
      </w:r>
    </w:p>
    <w:p>
      <w:pPr>
        <w:pStyle w:val="Heading3"/>
      </w:pPr>
      <w:bookmarkStart w:id="720" w:name="_Toc200031761"/>
      <w:bookmarkStart w:id="721" w:name="_Toc200036749"/>
      <w:bookmarkStart w:id="722" w:name="_Toc200095568"/>
      <w:bookmarkStart w:id="723" w:name="_Toc192852910"/>
      <w:bookmarkStart w:id="724" w:name="_Toc192854004"/>
      <w:bookmarkStart w:id="725" w:name="_Toc192857290"/>
      <w:r>
        <w:rPr>
          <w:rStyle w:val="CharDivNo"/>
        </w:rPr>
        <w:t>Division 4A</w:t>
      </w:r>
      <w:r>
        <w:t> — </w:t>
      </w:r>
      <w:r>
        <w:rPr>
          <w:rStyle w:val="CharDivText"/>
        </w:rPr>
        <w:t>Mutual recognition</w:t>
      </w:r>
      <w:bookmarkEnd w:id="720"/>
      <w:bookmarkEnd w:id="721"/>
      <w:bookmarkEnd w:id="722"/>
      <w:bookmarkEnd w:id="723"/>
      <w:bookmarkEnd w:id="724"/>
      <w:bookmarkEnd w:id="725"/>
    </w:p>
    <w:p>
      <w:pPr>
        <w:pStyle w:val="Footnoteheading"/>
      </w:pPr>
      <w:r>
        <w:tab/>
        <w:t>[Heading inserted: Gazette 5 Feb 2016 p. 352.]</w:t>
      </w:r>
    </w:p>
    <w:p>
      <w:pPr>
        <w:pStyle w:val="Heading5"/>
      </w:pPr>
      <w:bookmarkStart w:id="726" w:name="_Toc200095569"/>
      <w:bookmarkStart w:id="727" w:name="_Toc192857291"/>
      <w:r>
        <w:rPr>
          <w:rStyle w:val="CharSectno"/>
        </w:rPr>
        <w:t>182A</w:t>
      </w:r>
      <w:r>
        <w:t>.</w:t>
      </w:r>
      <w:r>
        <w:tab/>
        <w:t>Terms used</w:t>
      </w:r>
      <w:bookmarkEnd w:id="726"/>
      <w:bookmarkEnd w:id="727"/>
    </w:p>
    <w:p>
      <w:pPr>
        <w:pStyle w:val="Subsection"/>
      </w:pPr>
      <w:r>
        <w:tab/>
      </w:r>
      <w:r>
        <w:tab/>
        <w:t xml:space="preserve">In this Division — </w:t>
      </w:r>
    </w:p>
    <w:p>
      <w:pPr>
        <w:pStyle w:val="Defstart"/>
      </w:pPr>
      <w:r>
        <w:tab/>
      </w:r>
      <w:r>
        <w:rPr>
          <w:rStyle w:val="CharDefText"/>
        </w:rPr>
        <w:t>another participating jurisdiction</w:t>
      </w:r>
      <w:r>
        <w:t xml:space="preserve"> means a participating jurisdiction other than this State;</w:t>
      </w:r>
    </w:p>
    <w:p>
      <w:pPr>
        <w:pStyle w:val="Defstart"/>
      </w:pPr>
      <w:r>
        <w:tab/>
      </w:r>
      <w:r>
        <w:rPr>
          <w:rStyle w:val="CharDefText"/>
        </w:rPr>
        <w:t>corresponding law</w:t>
      </w:r>
      <w:r>
        <w:t xml:space="preserve"> means a law of another State or a Territory corresponding, or substantially corresponding, to these regulations;</w:t>
      </w:r>
    </w:p>
    <w:p>
      <w:pPr>
        <w:pStyle w:val="Defstart"/>
      </w:pPr>
      <w:r>
        <w:tab/>
      </w:r>
      <w:r>
        <w:rPr>
          <w:rStyle w:val="CharDefText"/>
        </w:rPr>
        <w:t>participating jurisdiction</w:t>
      </w:r>
      <w:r>
        <w:t xml:space="preserve"> means — </w:t>
      </w:r>
    </w:p>
    <w:p>
      <w:pPr>
        <w:pStyle w:val="Defpara"/>
      </w:pPr>
      <w:r>
        <w:tab/>
        <w:t>(a)</w:t>
      </w:r>
      <w:r>
        <w:tab/>
        <w:t>this State; and</w:t>
      </w:r>
    </w:p>
    <w:p>
      <w:pPr>
        <w:pStyle w:val="Defpara"/>
      </w:pPr>
      <w:r>
        <w:tab/>
        <w:t>(b)</w:t>
      </w:r>
      <w:r>
        <w:tab/>
        <w:t>another State or a Territory that has a corresponding law;</w:t>
      </w:r>
    </w:p>
    <w:p>
      <w:pPr>
        <w:pStyle w:val="Defstart"/>
      </w:pPr>
      <w:r>
        <w:tab/>
      </w:r>
      <w:r>
        <w:rPr>
          <w:rStyle w:val="CharDefText"/>
        </w:rPr>
        <w:t>relevant licence</w:t>
      </w:r>
      <w:r>
        <w:t xml:space="preserve"> means — </w:t>
      </w:r>
    </w:p>
    <w:p>
      <w:pPr>
        <w:pStyle w:val="Defpara"/>
      </w:pPr>
      <w:r>
        <w:tab/>
        <w:t>(a)</w:t>
      </w:r>
      <w:r>
        <w:tab/>
        <w:t>an explosives driver licence;</w:t>
      </w:r>
    </w:p>
    <w:p>
      <w:pPr>
        <w:pStyle w:val="Defpara"/>
      </w:pPr>
      <w:r>
        <w:tab/>
        <w:t>(b)</w:t>
      </w:r>
      <w:r>
        <w:tab/>
        <w:t>a shotfiring licence;</w:t>
      </w:r>
    </w:p>
    <w:p>
      <w:pPr>
        <w:pStyle w:val="Defpara"/>
      </w:pPr>
      <w:r>
        <w:tab/>
        <w:t>(c)</w:t>
      </w:r>
      <w:r>
        <w:tab/>
        <w:t>a fireworks operator licence;</w:t>
      </w:r>
    </w:p>
    <w:p>
      <w:pPr>
        <w:pStyle w:val="Defpara"/>
      </w:pPr>
      <w:r>
        <w:tab/>
        <w:t>(d)</w:t>
      </w:r>
      <w:r>
        <w:tab/>
        <w:t>a pyrotechnics (special use) licence.</w:t>
      </w:r>
    </w:p>
    <w:p>
      <w:pPr>
        <w:pStyle w:val="Footnotesection"/>
      </w:pPr>
      <w:r>
        <w:tab/>
        <w:t>[Regulation 182A inserted: Gazette 5 Feb 2016 p. 352</w:t>
      </w:r>
      <w:r>
        <w:noBreakHyphen/>
        <w:t>3.]</w:t>
      </w:r>
    </w:p>
    <w:p>
      <w:pPr>
        <w:pStyle w:val="Heading5"/>
      </w:pPr>
      <w:bookmarkStart w:id="728" w:name="_Toc200095570"/>
      <w:bookmarkStart w:id="729" w:name="_Toc192857292"/>
      <w:r>
        <w:rPr>
          <w:rStyle w:val="CharSectno"/>
        </w:rPr>
        <w:t>182B</w:t>
      </w:r>
      <w:r>
        <w:t>.</w:t>
      </w:r>
      <w:r>
        <w:tab/>
        <w:t>Recognition of licences granted in other participating jurisdiction</w:t>
      </w:r>
      <w:bookmarkEnd w:id="728"/>
      <w:bookmarkEnd w:id="729"/>
    </w:p>
    <w:p>
      <w:pPr>
        <w:pStyle w:val="Subsection"/>
      </w:pPr>
      <w:r>
        <w:tab/>
        <w:t>(1)</w:t>
      </w:r>
      <w:r>
        <w:tab/>
        <w:t xml:space="preserve">This regulation applies to a licence granted in another participating jurisdiction if — </w:t>
      </w:r>
    </w:p>
    <w:p>
      <w:pPr>
        <w:pStyle w:val="Indenta"/>
      </w:pPr>
      <w:r>
        <w:tab/>
        <w:t>(a)</w:t>
      </w:r>
      <w:r>
        <w:tab/>
        <w:t>the licence is granted under a provision of a corresponding law; and</w:t>
      </w:r>
    </w:p>
    <w:p>
      <w:pPr>
        <w:pStyle w:val="Indenta"/>
      </w:pPr>
      <w:r>
        <w:tab/>
        <w:t>(b)</w:t>
      </w:r>
      <w:r>
        <w:tab/>
        <w:t>the licence authorises the holder to carry out the activities that would be authorised by a relevant licence; and</w:t>
      </w:r>
    </w:p>
    <w:p>
      <w:pPr>
        <w:pStyle w:val="Indenta"/>
      </w:pPr>
      <w:r>
        <w:tab/>
        <w:t>(c)</w:t>
      </w:r>
      <w:r>
        <w:tab/>
        <w:t>in the case of a licence held by an individual — the licence authorises the holder to have unsupervised access to an explosive or an SSAN; and</w:t>
      </w:r>
    </w:p>
    <w:p>
      <w:pPr>
        <w:pStyle w:val="Indenta"/>
      </w:pPr>
      <w:r>
        <w:tab/>
        <w:t>(d)</w:t>
      </w:r>
      <w:r>
        <w:tab/>
        <w:t>the licence has effect in the other jurisdiction.</w:t>
      </w:r>
    </w:p>
    <w:p>
      <w:pPr>
        <w:pStyle w:val="Subsection"/>
      </w:pPr>
      <w:r>
        <w:tab/>
        <w:t>(2)</w:t>
      </w:r>
      <w:r>
        <w:tab/>
        <w:t xml:space="preserve">Except for circumstances that do not exist in this State, the licence has effect in this State as if it were a relevant licence granted by the Chief Officer under regulation 164. </w:t>
      </w:r>
    </w:p>
    <w:p>
      <w:pPr>
        <w:pStyle w:val="Footnotesection"/>
      </w:pPr>
      <w:r>
        <w:tab/>
        <w:t>[Regulation 182B inserted: Gazette 5 Feb 2016 p. 353.]</w:t>
      </w:r>
    </w:p>
    <w:p>
      <w:pPr>
        <w:pStyle w:val="Heading3"/>
      </w:pPr>
      <w:bookmarkStart w:id="730" w:name="_Toc200031764"/>
      <w:bookmarkStart w:id="731" w:name="_Toc200036752"/>
      <w:bookmarkStart w:id="732" w:name="_Toc200095571"/>
      <w:bookmarkStart w:id="733" w:name="_Toc192852913"/>
      <w:bookmarkStart w:id="734" w:name="_Toc192854007"/>
      <w:bookmarkStart w:id="735" w:name="_Toc192857293"/>
      <w:r>
        <w:rPr>
          <w:rStyle w:val="CharDivNo"/>
        </w:rPr>
        <w:t>Division 5</w:t>
      </w:r>
      <w:r>
        <w:t> — </w:t>
      </w:r>
      <w:r>
        <w:rPr>
          <w:rStyle w:val="CharDivText"/>
        </w:rPr>
        <w:t>Miscellaneous matters</w:t>
      </w:r>
      <w:bookmarkEnd w:id="730"/>
      <w:bookmarkEnd w:id="731"/>
      <w:bookmarkEnd w:id="732"/>
      <w:bookmarkEnd w:id="733"/>
      <w:bookmarkEnd w:id="734"/>
      <w:bookmarkEnd w:id="735"/>
    </w:p>
    <w:p>
      <w:pPr>
        <w:pStyle w:val="Heading5"/>
      </w:pPr>
      <w:bookmarkStart w:id="736" w:name="_Toc200095572"/>
      <w:bookmarkStart w:id="737" w:name="_Toc192857294"/>
      <w:r>
        <w:rPr>
          <w:rStyle w:val="CharSectno"/>
        </w:rPr>
        <w:t>183</w:t>
      </w:r>
      <w:r>
        <w:t>.</w:t>
      </w:r>
      <w:r>
        <w:tab/>
        <w:t>Register of licences</w:t>
      </w:r>
      <w:bookmarkEnd w:id="736"/>
      <w:bookmarkEnd w:id="737"/>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Gazette 2 Dec 2013 p.</w:t>
      </w:r>
      <w:r>
        <w:rPr>
          <w:sz w:val="19"/>
        </w:rPr>
        <w:t> </w:t>
      </w:r>
      <w:r>
        <w:t>5612</w:t>
      </w:r>
      <w:r>
        <w:noBreakHyphen/>
        <w:t>13.]</w:t>
      </w:r>
    </w:p>
    <w:p>
      <w:pPr>
        <w:pStyle w:val="Ednotesection"/>
      </w:pPr>
      <w:r>
        <w:t>[</w:t>
      </w:r>
      <w:r>
        <w:rPr>
          <w:b/>
        </w:rPr>
        <w:t>184.</w:t>
      </w:r>
      <w:r>
        <w:tab/>
        <w:t>Deleted: Gazette 16 Mar 2012 p. 1267]</w:t>
      </w:r>
    </w:p>
    <w:p>
      <w:pPr>
        <w:pStyle w:val="Heading2"/>
      </w:pPr>
      <w:bookmarkStart w:id="738" w:name="_Toc200031766"/>
      <w:bookmarkStart w:id="739" w:name="_Toc200036754"/>
      <w:bookmarkStart w:id="740" w:name="_Toc200095573"/>
      <w:bookmarkStart w:id="741" w:name="_Toc192852915"/>
      <w:bookmarkStart w:id="742" w:name="_Toc192854009"/>
      <w:bookmarkStart w:id="743" w:name="_Toc192857295"/>
      <w:r>
        <w:rPr>
          <w:rStyle w:val="CharPartNo"/>
        </w:rPr>
        <w:t>Part 16</w:t>
      </w:r>
      <w:r>
        <w:rPr>
          <w:rStyle w:val="CharDivNo"/>
        </w:rPr>
        <w:t> </w:t>
      </w:r>
      <w:r>
        <w:t>—</w:t>
      </w:r>
      <w:r>
        <w:rPr>
          <w:rStyle w:val="CharDivText"/>
        </w:rPr>
        <w:t> </w:t>
      </w:r>
      <w:r>
        <w:rPr>
          <w:rStyle w:val="CharPartText"/>
        </w:rPr>
        <w:t>Fees for using State explosives facilities</w:t>
      </w:r>
      <w:bookmarkEnd w:id="738"/>
      <w:bookmarkEnd w:id="739"/>
      <w:bookmarkEnd w:id="740"/>
      <w:bookmarkEnd w:id="741"/>
      <w:bookmarkEnd w:id="742"/>
      <w:bookmarkEnd w:id="743"/>
    </w:p>
    <w:p>
      <w:pPr>
        <w:pStyle w:val="Heading5"/>
      </w:pPr>
      <w:bookmarkStart w:id="744" w:name="_Toc200095574"/>
      <w:bookmarkStart w:id="745" w:name="_Toc192857296"/>
      <w:r>
        <w:rPr>
          <w:rStyle w:val="CharSectno"/>
        </w:rPr>
        <w:t>185</w:t>
      </w:r>
      <w:r>
        <w:t>.</w:t>
      </w:r>
      <w:r>
        <w:tab/>
        <w:t>Terms used</w:t>
      </w:r>
      <w:bookmarkEnd w:id="744"/>
      <w:bookmarkEnd w:id="745"/>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746" w:name="_Toc200095575"/>
      <w:bookmarkStart w:id="747" w:name="_Toc192857297"/>
      <w:r>
        <w:rPr>
          <w:rStyle w:val="CharSectno"/>
        </w:rPr>
        <w:t>186</w:t>
      </w:r>
      <w:r>
        <w:t>.</w:t>
      </w:r>
      <w:r>
        <w:tab/>
        <w:t>Application of this Part</w:t>
      </w:r>
      <w:bookmarkEnd w:id="746"/>
      <w:bookmarkEnd w:id="747"/>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748" w:name="_Toc200095576"/>
      <w:bookmarkStart w:id="749" w:name="_Toc192857298"/>
      <w:r>
        <w:rPr>
          <w:rStyle w:val="CharSectno"/>
        </w:rPr>
        <w:t>187</w:t>
      </w:r>
      <w:r>
        <w:t>.</w:t>
      </w:r>
      <w:r>
        <w:tab/>
        <w:t>Fees to be paid annually</w:t>
      </w:r>
      <w:bookmarkEnd w:id="748"/>
      <w:bookmarkEnd w:id="749"/>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Gazette 16 Mar 2012 p. 1268.]</w:t>
      </w:r>
    </w:p>
    <w:p>
      <w:pPr>
        <w:pStyle w:val="Heading5"/>
        <w:spacing w:before="240"/>
      </w:pPr>
      <w:bookmarkStart w:id="750" w:name="_Toc200095577"/>
      <w:bookmarkStart w:id="751" w:name="_Toc192857299"/>
      <w:r>
        <w:rPr>
          <w:rStyle w:val="CharSectno"/>
        </w:rPr>
        <w:t>188</w:t>
      </w:r>
      <w:r>
        <w:t>.</w:t>
      </w:r>
      <w:r>
        <w:tab/>
        <w:t>Fees for using SEF to manufacture explosives</w:t>
      </w:r>
      <w:bookmarkEnd w:id="750"/>
      <w:bookmarkEnd w:id="751"/>
    </w:p>
    <w:p>
      <w:pPr>
        <w:pStyle w:val="Subsection"/>
        <w:spacing w:before="180"/>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Gazette 25 Jun 2010 p. 2876; 16 Mar 2012 p. 1268; 11 Jan 2013 p. 54; 28 Jun 2013 p. 2823; </w:t>
      </w:r>
      <w:r>
        <w:rPr>
          <w:sz w:val="22"/>
        </w:rPr>
        <w:t>17 Jun 2014 p. 1</w:t>
      </w:r>
      <w:r>
        <w:t>989.]</w:t>
      </w:r>
    </w:p>
    <w:p>
      <w:pPr>
        <w:pStyle w:val="Heading5"/>
        <w:spacing w:before="240"/>
      </w:pPr>
      <w:bookmarkStart w:id="752" w:name="_Toc200095578"/>
      <w:bookmarkStart w:id="753" w:name="_Toc192857300"/>
      <w:r>
        <w:rPr>
          <w:rStyle w:val="CharSectno"/>
        </w:rPr>
        <w:t>189</w:t>
      </w:r>
      <w:r>
        <w:t>.</w:t>
      </w:r>
      <w:r>
        <w:tab/>
        <w:t>Fees for using SEF to store explosives</w:t>
      </w:r>
      <w:bookmarkEnd w:id="752"/>
      <w:bookmarkEnd w:id="753"/>
    </w:p>
    <w:p>
      <w:pPr>
        <w:pStyle w:val="Subsection"/>
        <w:spacing w:before="180"/>
      </w:pPr>
      <w:r>
        <w:tab/>
      </w:r>
      <w:r>
        <w:tab/>
        <w:t>The holder of an explosives storage licence that authorises the storage of an explosive at an SEF must pay for each year a fee being —</w:t>
      </w:r>
    </w:p>
    <w:p>
      <w:pPr>
        <w:pStyle w:val="Indenta"/>
        <w:spacing w:before="100"/>
      </w:pPr>
      <w:r>
        <w:tab/>
        <w:t>(a)</w:t>
      </w:r>
      <w:r>
        <w:tab/>
        <w:t>if the explosive is stored in a magazine provided by the State at a type A facility —</w:t>
      </w:r>
    </w:p>
    <w:p>
      <w:pPr>
        <w:pStyle w:val="Indenti"/>
        <w:spacing w:before="100"/>
      </w:pPr>
      <w:r>
        <w:tab/>
        <w:t>(i)</w:t>
      </w:r>
      <w:r>
        <w:tab/>
        <w:t>if the licence authorises the storage of less than 100 kg of explosive — $270;</w:t>
      </w:r>
    </w:p>
    <w:p>
      <w:pPr>
        <w:pStyle w:val="Indenti"/>
        <w:keepNext/>
        <w:keepLines/>
        <w:spacing w:before="100"/>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ind w:left="890" w:hanging="890"/>
      </w:pPr>
      <w:r>
        <w:tab/>
        <w:t>[Regulation 189 amended: Gazette 25 Jun 2010 p. 2876; 16 Mar 2012 p. 1268</w:t>
      </w:r>
      <w:r>
        <w:noBreakHyphen/>
        <w:t xml:space="preserve">9; 11 Jan 2013 p. 54; 28 Jun 2013 p. 2824; </w:t>
      </w:r>
      <w:r>
        <w:rPr>
          <w:sz w:val="22"/>
        </w:rPr>
        <w:t>17 Jun 2014 p. 1</w:t>
      </w:r>
      <w:r>
        <w:t>989.]</w:t>
      </w:r>
    </w:p>
    <w:p>
      <w:pPr>
        <w:pStyle w:val="Heading5"/>
        <w:spacing w:before="240"/>
      </w:pPr>
      <w:bookmarkStart w:id="754" w:name="_Toc200095579"/>
      <w:bookmarkStart w:id="755" w:name="_Toc192857301"/>
      <w:r>
        <w:rPr>
          <w:rStyle w:val="CharSectno"/>
        </w:rPr>
        <w:t>190</w:t>
      </w:r>
      <w:r>
        <w:t>.</w:t>
      </w:r>
      <w:r>
        <w:tab/>
        <w:t>Fees for using SEF to manufacture or store SRSs</w:t>
      </w:r>
      <w:bookmarkEnd w:id="754"/>
      <w:bookmarkEnd w:id="755"/>
    </w:p>
    <w:p>
      <w:pPr>
        <w:pStyle w:val="Subsection"/>
      </w:pPr>
      <w:r>
        <w:tab/>
        <w:t>(1)</w:t>
      </w:r>
      <w:r>
        <w:tab/>
        <w:t xml:space="preserve">In this regulation — </w:t>
      </w:r>
    </w:p>
    <w:p>
      <w:pPr>
        <w:pStyle w:val="Defstart"/>
      </w:pPr>
      <w:r>
        <w:tab/>
      </w:r>
      <w:r>
        <w:rPr>
          <w:rStyle w:val="CharDefText"/>
        </w:rPr>
        <w:t>SSAN licence</w:t>
      </w:r>
      <w:r>
        <w:t xml:space="preserve"> means either of the following licences issued under the </w:t>
      </w:r>
      <w:r>
        <w:rPr>
          <w:i/>
        </w:rPr>
        <w:t>Dangerous Goods Safety (Security Sensitive Ammonium Nitrate) Regulations 2007</w:t>
      </w:r>
      <w:r>
        <w:t xml:space="preserve"> — </w:t>
      </w:r>
    </w:p>
    <w:p>
      <w:pPr>
        <w:pStyle w:val="Defpara"/>
      </w:pPr>
      <w:r>
        <w:tab/>
        <w:t>(a)</w:t>
      </w:r>
      <w:r>
        <w:tab/>
        <w:t>an SSAN manufacture licence;</w:t>
      </w:r>
    </w:p>
    <w:p>
      <w:pPr>
        <w:pStyle w:val="Defpara"/>
      </w:pPr>
      <w:r>
        <w:tab/>
        <w:t>(b)</w:t>
      </w:r>
      <w:r>
        <w:tab/>
        <w:t>an SSAN storage licence.</w:t>
      </w:r>
    </w:p>
    <w:p>
      <w:pPr>
        <w:pStyle w:val="Subsection"/>
      </w:pPr>
      <w:r>
        <w:tab/>
        <w:t>(2)</w:t>
      </w:r>
      <w:r>
        <w:tab/>
        <w:t>The holder of an SSAN licence that authorises the manufacture or storage of an SSAN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keepLines w:val="0"/>
        <w:ind w:left="890" w:hanging="890"/>
      </w:pPr>
      <w:r>
        <w:tab/>
        <w:t xml:space="preserve">[Regulation 190 amended: Gazette 25 Jun 2010 p. 2876; 16 Mar 2012 p. 1269; 11 Jan 2013 p. 54-5; 28 Jun 2013 p. 2824; </w:t>
      </w:r>
      <w:r>
        <w:rPr>
          <w:sz w:val="22"/>
        </w:rPr>
        <w:t>17 Jun 2014 p. 1</w:t>
      </w:r>
      <w:r>
        <w:t>989; 5 Feb 2016 p. 354.]</w:t>
      </w:r>
    </w:p>
    <w:p>
      <w:pPr>
        <w:pStyle w:val="Heading2"/>
      </w:pPr>
      <w:bookmarkStart w:id="756" w:name="_Toc200031773"/>
      <w:bookmarkStart w:id="757" w:name="_Toc200036761"/>
      <w:bookmarkStart w:id="758" w:name="_Toc200095580"/>
      <w:bookmarkStart w:id="759" w:name="_Toc192852922"/>
      <w:bookmarkStart w:id="760" w:name="_Toc192854016"/>
      <w:bookmarkStart w:id="761" w:name="_Toc192857302"/>
      <w:r>
        <w:rPr>
          <w:rStyle w:val="CharPartNo"/>
        </w:rPr>
        <w:t>Part 17</w:t>
      </w:r>
      <w:r>
        <w:rPr>
          <w:rStyle w:val="CharDivNo"/>
        </w:rPr>
        <w:t> </w:t>
      </w:r>
      <w:r>
        <w:t>—</w:t>
      </w:r>
      <w:r>
        <w:rPr>
          <w:rStyle w:val="CharDivText"/>
        </w:rPr>
        <w:t> </w:t>
      </w:r>
      <w:r>
        <w:rPr>
          <w:rStyle w:val="CharPartText"/>
        </w:rPr>
        <w:t>Miscellaneous matters</w:t>
      </w:r>
      <w:bookmarkEnd w:id="756"/>
      <w:bookmarkEnd w:id="757"/>
      <w:bookmarkEnd w:id="758"/>
      <w:bookmarkEnd w:id="759"/>
      <w:bookmarkEnd w:id="760"/>
      <w:bookmarkEnd w:id="761"/>
    </w:p>
    <w:p>
      <w:pPr>
        <w:pStyle w:val="Ednotesection"/>
        <w:spacing w:before="160"/>
      </w:pPr>
      <w:r>
        <w:t>[</w:t>
      </w:r>
      <w:r>
        <w:rPr>
          <w:b/>
        </w:rPr>
        <w:t>191.</w:t>
      </w:r>
      <w:r>
        <w:tab/>
        <w:t>Deleted: Gazette 5 Feb 2016 p. 354.]</w:t>
      </w:r>
    </w:p>
    <w:p>
      <w:pPr>
        <w:pStyle w:val="Heading5"/>
        <w:spacing w:before="160"/>
      </w:pPr>
      <w:bookmarkStart w:id="762" w:name="_Toc200095581"/>
      <w:bookmarkStart w:id="763" w:name="_Toc192857303"/>
      <w:r>
        <w:rPr>
          <w:rStyle w:val="CharSectno"/>
        </w:rPr>
        <w:t>192</w:t>
      </w:r>
      <w:r>
        <w:t>.</w:t>
      </w:r>
      <w:r>
        <w:tab/>
        <w:t>Safety management documents prescribed (Act s. 3)</w:t>
      </w:r>
      <w:bookmarkEnd w:id="762"/>
      <w:bookmarkEnd w:id="763"/>
    </w:p>
    <w:p>
      <w:pPr>
        <w:pStyle w:val="Subsection"/>
        <w:spacing w:before="12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60"/>
      </w:pPr>
      <w:r>
        <w:tab/>
        <w:t>(a)</w:t>
      </w:r>
      <w:r>
        <w:tab/>
        <w:t>an explosives management plan referred to in regulation 161;</w:t>
      </w:r>
    </w:p>
    <w:p>
      <w:pPr>
        <w:pStyle w:val="Indenta"/>
        <w:spacing w:before="60"/>
      </w:pPr>
      <w:r>
        <w:tab/>
        <w:t>(b)</w:t>
      </w:r>
      <w:r>
        <w:tab/>
        <w:t>a blast plan referred to in regulation 130 and required to be prepared for the use of an explosive.</w:t>
      </w:r>
    </w:p>
    <w:p>
      <w:pPr>
        <w:pStyle w:val="Footnotesection"/>
        <w:spacing w:before="60"/>
        <w:ind w:left="890" w:hanging="890"/>
        <w:rPr>
          <w:rStyle w:val="CharSectno"/>
        </w:rPr>
      </w:pPr>
      <w:r>
        <w:tab/>
        <w:t>[Regulation 192 amended: SL 2022/122 r. 7.]</w:t>
      </w:r>
    </w:p>
    <w:p>
      <w:pPr>
        <w:pStyle w:val="Heading5"/>
        <w:spacing w:before="160"/>
      </w:pPr>
      <w:bookmarkStart w:id="764" w:name="_Toc200095582"/>
      <w:bookmarkStart w:id="765" w:name="_Toc192857304"/>
      <w:r>
        <w:rPr>
          <w:rStyle w:val="CharSectno"/>
        </w:rPr>
        <w:t>193</w:t>
      </w:r>
      <w:r>
        <w:t>.</w:t>
      </w:r>
      <w:r>
        <w:tab/>
        <w:t>False or misleading information, offences</w:t>
      </w:r>
      <w:bookmarkEnd w:id="764"/>
      <w:bookmarkEnd w:id="765"/>
    </w:p>
    <w:p>
      <w:pPr>
        <w:pStyle w:val="Subsection"/>
        <w:spacing w:before="120"/>
      </w:pPr>
      <w:r>
        <w:tab/>
        <w:t>(1)</w:t>
      </w:r>
      <w:r>
        <w:tab/>
        <w:t>A person must not record any information that the person knows is false or misleading in a plan, record or report that is required to be kept or made under these regulations.</w:t>
      </w:r>
    </w:p>
    <w:p>
      <w:pPr>
        <w:pStyle w:val="Penstart"/>
        <w:spacing w:before="60"/>
      </w:pPr>
      <w:r>
        <w:tab/>
        <w:t>Penalty: a level 1 fine and imprisonment for 10 months.</w:t>
      </w:r>
    </w:p>
    <w:p>
      <w:pPr>
        <w:pStyle w:val="Subsection"/>
        <w:spacing w:before="100"/>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keepNext/>
        <w:keepLines/>
        <w:spacing w:before="60"/>
      </w:pPr>
      <w:r>
        <w:tab/>
        <w:t>Penalty: a level 1 fine and imprisonment for 10 months.</w:t>
      </w:r>
    </w:p>
    <w:p>
      <w:pPr>
        <w:pStyle w:val="Footnotesection"/>
        <w:spacing w:before="60"/>
        <w:ind w:left="890" w:hanging="890"/>
      </w:pPr>
      <w:r>
        <w:tab/>
        <w:t>[Regulation 193 amended: Gazette 2 Dec 2013 p.</w:t>
      </w:r>
      <w:r>
        <w:rPr>
          <w:sz w:val="19"/>
        </w:rPr>
        <w:t> </w:t>
      </w:r>
      <w:r>
        <w:t>5613.]</w:t>
      </w:r>
    </w:p>
    <w:p>
      <w:pPr>
        <w:pStyle w:val="Heading5"/>
        <w:keepLines w:val="0"/>
        <w:spacing w:before="160"/>
      </w:pPr>
      <w:bookmarkStart w:id="766" w:name="_Toc200095583"/>
      <w:bookmarkStart w:id="767" w:name="_Toc192857305"/>
      <w:r>
        <w:rPr>
          <w:rStyle w:val="CharSectno"/>
        </w:rPr>
        <w:t>194</w:t>
      </w:r>
      <w:r>
        <w:t>.</w:t>
      </w:r>
      <w:r>
        <w:tab/>
        <w:t>Duties in respect of explosives management plan</w:t>
      </w:r>
      <w:bookmarkEnd w:id="766"/>
      <w:bookmarkEnd w:id="767"/>
    </w:p>
    <w:p>
      <w:pPr>
        <w:pStyle w:val="Subsection"/>
        <w:keepNext/>
      </w:pPr>
      <w:r>
        <w:tab/>
        <w:t>(1)</w:t>
      </w:r>
      <w:r>
        <w:tab/>
        <w:t xml:space="preserve">In this regulation — </w:t>
      </w:r>
    </w:p>
    <w:p>
      <w:pPr>
        <w:pStyle w:val="Defstart"/>
        <w:keepNext/>
      </w:pPr>
      <w:r>
        <w:tab/>
      </w:r>
      <w:r>
        <w:rPr>
          <w:rStyle w:val="CharDefText"/>
        </w:rPr>
        <w:t>relevant licence</w:t>
      </w:r>
      <w:r>
        <w:t xml:space="preserve"> means — </w:t>
      </w:r>
    </w:p>
    <w:p>
      <w:pPr>
        <w:pStyle w:val="Defpara"/>
      </w:pPr>
      <w:r>
        <w:tab/>
        <w:t>(a)</w:t>
      </w:r>
      <w:r>
        <w:tab/>
        <w:t>an explosives manufacture licence; or</w:t>
      </w:r>
    </w:p>
    <w:p>
      <w:pPr>
        <w:pStyle w:val="Defpara"/>
      </w:pPr>
      <w:r>
        <w:tab/>
        <w:t>(b)</w:t>
      </w:r>
      <w:r>
        <w:tab/>
        <w:t>an explosives manufacture (MPU) licence; or</w:t>
      </w:r>
    </w:p>
    <w:p>
      <w:pPr>
        <w:pStyle w:val="Defpara"/>
      </w:pPr>
      <w:r>
        <w:tab/>
        <w:t>(c)</w:t>
      </w:r>
      <w:r>
        <w:tab/>
        <w:t>an explosives storage licence; or</w:t>
      </w:r>
    </w:p>
    <w:p>
      <w:pPr>
        <w:pStyle w:val="Defpara"/>
      </w:pPr>
      <w:r>
        <w:tab/>
        <w:t>(d)</w:t>
      </w:r>
      <w:r>
        <w:tab/>
        <w:t>an explosives transport licence; or</w:t>
      </w:r>
    </w:p>
    <w:p>
      <w:pPr>
        <w:pStyle w:val="Defpara"/>
      </w:pPr>
      <w:r>
        <w:tab/>
        <w:t>(e)</w:t>
      </w:r>
      <w:r>
        <w:tab/>
        <w:t>a fireworks contractor licence.</w:t>
      </w:r>
    </w:p>
    <w:p>
      <w:pPr>
        <w:pStyle w:val="Subsection"/>
      </w:pPr>
      <w:r>
        <w:tab/>
        <w:t>(2)</w:t>
      </w:r>
      <w:r>
        <w:tab/>
        <w:t>It is a condition of a relevant licence that the holder obey the explosives management plan for the purposes of the licence.</w:t>
      </w:r>
    </w:p>
    <w:p>
      <w:pPr>
        <w:pStyle w:val="Subsection"/>
      </w:pPr>
      <w:r>
        <w:tab/>
        <w:t>(3)</w:t>
      </w:r>
      <w:r>
        <w:tab/>
        <w:t>If a body corporate or a partnership is the holder of a relevant licence, each individual who, under regulation 165, is, and is recorded by the holder as, a qualified officer of the holder must ensure the explosives management plan for the purposes of the licence is complied with by the body corporate or partnership.</w:t>
      </w:r>
    </w:p>
    <w:p>
      <w:pPr>
        <w:pStyle w:val="Penstart"/>
      </w:pPr>
      <w:r>
        <w:tab/>
        <w:t>Penalty for this subregulation: a level 2 fine.</w:t>
      </w:r>
    </w:p>
    <w:p>
      <w:pPr>
        <w:pStyle w:val="Subsection"/>
      </w:pPr>
      <w:r>
        <w:tab/>
        <w:t>(4)</w:t>
      </w:r>
      <w:r>
        <w:tab/>
        <w:t>If the holder of a relevant licence is a body corporate or a partnership, each individual concerned in the management of, or employed by, the body or partnership must obey the explosives management plan for the purposes of the licence.</w:t>
      </w:r>
    </w:p>
    <w:p>
      <w:pPr>
        <w:pStyle w:val="Penstart"/>
      </w:pPr>
      <w:r>
        <w:tab/>
        <w:t>Penalty for this subregulation: a level 2 fine.</w:t>
      </w:r>
    </w:p>
    <w:p>
      <w:pPr>
        <w:pStyle w:val="Subsection"/>
      </w:pPr>
      <w:r>
        <w:tab/>
        <w:t>(5)</w:t>
      </w:r>
      <w:r>
        <w:tab/>
        <w:t xml:space="preserve">Subregulation (6) applies if a person works at a place — </w:t>
      </w:r>
    </w:p>
    <w:p>
      <w:pPr>
        <w:pStyle w:val="Indenta"/>
      </w:pPr>
      <w:r>
        <w:tab/>
        <w:t>(a)</w:t>
      </w:r>
      <w:r>
        <w:tab/>
        <w:t>to which an explosives manufacture licence or explosives storage licence relates; or</w:t>
      </w:r>
    </w:p>
    <w:p>
      <w:pPr>
        <w:pStyle w:val="Indenta"/>
      </w:pPr>
      <w:r>
        <w:tab/>
        <w:t>(b)</w:t>
      </w:r>
      <w:r>
        <w:tab/>
        <w:t>where the loading or unloading of explosives in connection with transporting them is carried out in connection with an explosives transport licence.</w:t>
      </w:r>
    </w:p>
    <w:p>
      <w:pPr>
        <w:pStyle w:val="Subsection"/>
        <w:keepNext/>
      </w:pPr>
      <w:r>
        <w:tab/>
        <w:t>(6)</w:t>
      </w:r>
      <w:r>
        <w:tab/>
        <w:t>The person must comply with the explosives management plan for the purposes of the explosives manufacture licence, explosives storage licence or explosives transport licence.</w:t>
      </w:r>
    </w:p>
    <w:p>
      <w:pPr>
        <w:pStyle w:val="Penstart"/>
        <w:keepNext/>
      </w:pPr>
      <w:r>
        <w:tab/>
        <w:t>Penalty for this subregulation: a level 2 fine.</w:t>
      </w:r>
    </w:p>
    <w:p>
      <w:pPr>
        <w:pStyle w:val="Footnotesection"/>
      </w:pPr>
      <w:r>
        <w:tab/>
        <w:t>[Regulation 194 amended: Gazette 2 Dec 2013 p.</w:t>
      </w:r>
      <w:r>
        <w:rPr>
          <w:sz w:val="19"/>
        </w:rPr>
        <w:t> </w:t>
      </w:r>
      <w:r>
        <w:t>5613</w:t>
      </w:r>
      <w:r>
        <w:noBreakHyphen/>
        <w:t xml:space="preserve">14; 5 Feb 2016 p. 354; SL 2022/122 r. 8.] </w:t>
      </w:r>
    </w:p>
    <w:p>
      <w:pPr>
        <w:pStyle w:val="Heading5"/>
        <w:spacing w:before="180"/>
      </w:pPr>
      <w:bookmarkStart w:id="768" w:name="_Toc200095584"/>
      <w:bookmarkStart w:id="769" w:name="_Toc192857306"/>
      <w:r>
        <w:rPr>
          <w:rStyle w:val="CharSectno"/>
        </w:rPr>
        <w:t>195</w:t>
      </w:r>
      <w:r>
        <w:t>.</w:t>
      </w:r>
      <w:r>
        <w:tab/>
        <w:t>Conditions of a permit, contravening</w:t>
      </w:r>
      <w:bookmarkEnd w:id="768"/>
      <w:bookmarkEnd w:id="769"/>
    </w:p>
    <w:p>
      <w:pPr>
        <w:pStyle w:val="Subsection"/>
        <w:spacing w:before="120"/>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keepNext/>
      </w:pPr>
      <w:r>
        <w:tab/>
        <w:t>(c)</w:t>
      </w:r>
      <w:r>
        <w:tab/>
        <w:t>a permit issued under regulation 131,</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ind w:left="890" w:hanging="890"/>
      </w:pPr>
      <w:r>
        <w:tab/>
        <w:t>[Regulation 195 amended: Gazette 16 Mar 2012 p. 1191.]</w:t>
      </w:r>
    </w:p>
    <w:p>
      <w:pPr>
        <w:pStyle w:val="Heading5"/>
        <w:spacing w:before="180"/>
      </w:pPr>
      <w:bookmarkStart w:id="770" w:name="_Toc200095585"/>
      <w:bookmarkStart w:id="771" w:name="_Toc192857307"/>
      <w:r>
        <w:rPr>
          <w:rStyle w:val="CharSectno"/>
        </w:rPr>
        <w:t>196</w:t>
      </w:r>
      <w:r>
        <w:t>.</w:t>
      </w:r>
      <w:r>
        <w:tab/>
        <w:t>Permits have no effect if holder’s licence ceases to have effect</w:t>
      </w:r>
      <w:bookmarkEnd w:id="770"/>
      <w:bookmarkEnd w:id="771"/>
    </w:p>
    <w:p>
      <w:pPr>
        <w:pStyle w:val="Subsection"/>
      </w:pPr>
      <w:r>
        <w:tab/>
      </w:r>
      <w:r>
        <w:tab/>
        <w:t>If, when a licence ceases to have effect, the holder also holds a permit issued under these regulations, the permit ceases to have effect at the same time.</w:t>
      </w:r>
    </w:p>
    <w:p>
      <w:pPr>
        <w:pStyle w:val="Heading5"/>
        <w:spacing w:before="180"/>
      </w:pPr>
      <w:bookmarkStart w:id="772" w:name="_Toc200095586"/>
      <w:bookmarkStart w:id="773" w:name="_Toc192857308"/>
      <w:r>
        <w:rPr>
          <w:rStyle w:val="CharSectno"/>
        </w:rPr>
        <w:t>197</w:t>
      </w:r>
      <w:r>
        <w:t>.</w:t>
      </w:r>
      <w:r>
        <w:tab/>
        <w:t>Prescribed offences and modified penalties (Act s. 56)</w:t>
      </w:r>
      <w:bookmarkEnd w:id="772"/>
      <w:bookmarkEnd w:id="773"/>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pPr>
      <w:r>
        <w:tab/>
        <w:t>(b)</w:t>
      </w:r>
      <w:r>
        <w:tab/>
        <w:t>the modified penalty for each such prescribed offence is 10% of the maximum fine for the offence under these regulations.</w:t>
      </w:r>
    </w:p>
    <w:p>
      <w:pPr>
        <w:pStyle w:val="MiscellaneousHeading"/>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194(6)</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keepNext w:val="0"/>
        <w:spacing w:before="120"/>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Footnotesection"/>
      </w:pPr>
      <w:r>
        <w:tab/>
        <w:t>[Regulation 197 amended: SL 2022/122 r. 9.]</w:t>
      </w:r>
    </w:p>
    <w:p>
      <w:pPr>
        <w:pStyle w:val="Ednotesection"/>
      </w:pPr>
      <w:r>
        <w:t>[</w:t>
      </w:r>
      <w:r>
        <w:rPr>
          <w:b/>
        </w:rPr>
        <w:t>197A.</w:t>
      </w:r>
      <w:r>
        <w:tab/>
        <w:t>Deleted: SL 2021/85 r. 5.]</w:t>
      </w:r>
    </w:p>
    <w:p>
      <w:pPr>
        <w:pStyle w:val="Heading2"/>
      </w:pPr>
      <w:bookmarkStart w:id="774" w:name="_Toc200031780"/>
      <w:bookmarkStart w:id="775" w:name="_Toc200036768"/>
      <w:bookmarkStart w:id="776" w:name="_Toc200095587"/>
      <w:bookmarkStart w:id="777" w:name="_Toc192852929"/>
      <w:bookmarkStart w:id="778" w:name="_Toc192854023"/>
      <w:bookmarkStart w:id="779" w:name="_Toc192857309"/>
      <w:r>
        <w:rPr>
          <w:rStyle w:val="CharPartNo"/>
        </w:rPr>
        <w:t>Part 18</w:t>
      </w:r>
      <w:r>
        <w:rPr>
          <w:rStyle w:val="CharDivNo"/>
        </w:rPr>
        <w:t> </w:t>
      </w:r>
      <w:r>
        <w:t>—</w:t>
      </w:r>
      <w:r>
        <w:rPr>
          <w:rStyle w:val="CharDivText"/>
        </w:rPr>
        <w:t> </w:t>
      </w:r>
      <w:r>
        <w:rPr>
          <w:rStyle w:val="CharPartText"/>
        </w:rPr>
        <w:t>Transitional matters</w:t>
      </w:r>
      <w:bookmarkEnd w:id="774"/>
      <w:bookmarkEnd w:id="775"/>
      <w:bookmarkEnd w:id="776"/>
      <w:bookmarkEnd w:id="777"/>
      <w:bookmarkEnd w:id="778"/>
      <w:bookmarkEnd w:id="779"/>
    </w:p>
    <w:p>
      <w:pPr>
        <w:pStyle w:val="Heading5"/>
      </w:pPr>
      <w:bookmarkStart w:id="780" w:name="_Toc200095588"/>
      <w:bookmarkStart w:id="781" w:name="_Toc192857310"/>
      <w:r>
        <w:rPr>
          <w:rStyle w:val="CharSectno"/>
        </w:rPr>
        <w:t>198</w:t>
      </w:r>
      <w:r>
        <w:t>.</w:t>
      </w:r>
      <w:r>
        <w:tab/>
        <w:t>Transitional status of secure employees</w:t>
      </w:r>
      <w:bookmarkEnd w:id="780"/>
      <w:bookmarkEnd w:id="781"/>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Gazette 2 Dec 2013 p.</w:t>
      </w:r>
      <w:r>
        <w:rPr>
          <w:sz w:val="19"/>
        </w:rPr>
        <w:t> </w:t>
      </w:r>
      <w:r>
        <w:t>5614.]</w:t>
      </w:r>
    </w:p>
    <w:p>
      <w:pPr>
        <w:pStyle w:val="Heading5"/>
      </w:pPr>
      <w:bookmarkStart w:id="782" w:name="_Toc200095589"/>
      <w:bookmarkStart w:id="783" w:name="_Toc192857311"/>
      <w:r>
        <w:rPr>
          <w:rStyle w:val="CharSectno"/>
        </w:rPr>
        <w:t>199</w:t>
      </w:r>
      <w:r>
        <w:t>.</w:t>
      </w:r>
      <w:r>
        <w:tab/>
        <w:t>Assessing fitness to drive</w:t>
      </w:r>
      <w:bookmarkEnd w:id="782"/>
      <w:bookmarkEnd w:id="783"/>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Gazette 2 Dec 2013 p.</w:t>
      </w:r>
      <w:r>
        <w:rPr>
          <w:sz w:val="19"/>
        </w:rPr>
        <w:t> </w:t>
      </w:r>
      <w:r>
        <w:t>5614.]</w:t>
      </w:r>
    </w:p>
    <w:p>
      <w:pPr>
        <w:pStyle w:val="Ednotesection"/>
        <w:ind w:left="890" w:hanging="890"/>
      </w:pPr>
      <w:r>
        <w:t>[</w:t>
      </w:r>
      <w:r>
        <w:rPr>
          <w:b/>
        </w:rPr>
        <w:t>200</w:t>
      </w:r>
      <w:r>
        <w:rPr>
          <w:b/>
        </w:rPr>
        <w:noBreakHyphen/>
        <w:t>206.</w:t>
      </w:r>
      <w:r>
        <w:tab/>
        <w:t>Deleted: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84" w:name="_Toc200031783"/>
      <w:bookmarkStart w:id="785" w:name="_Toc200036771"/>
      <w:bookmarkStart w:id="786" w:name="_Toc200095590"/>
      <w:bookmarkStart w:id="787" w:name="_Toc192852932"/>
      <w:bookmarkStart w:id="788" w:name="_Toc192854026"/>
      <w:bookmarkStart w:id="789" w:name="_Toc192857312"/>
      <w:r>
        <w:rPr>
          <w:rStyle w:val="CharSchNo"/>
        </w:rPr>
        <w:t>Schedule 1</w:t>
      </w:r>
      <w:r>
        <w:t> — </w:t>
      </w:r>
      <w:r>
        <w:rPr>
          <w:rStyle w:val="CharSchText"/>
        </w:rPr>
        <w:t>Fees</w:t>
      </w:r>
      <w:bookmarkEnd w:id="784"/>
      <w:bookmarkEnd w:id="785"/>
      <w:bookmarkEnd w:id="786"/>
      <w:bookmarkEnd w:id="787"/>
      <w:bookmarkEnd w:id="788"/>
      <w:bookmarkEnd w:id="789"/>
    </w:p>
    <w:p>
      <w:pPr>
        <w:pStyle w:val="yShoulderClause"/>
      </w:pPr>
      <w:r>
        <w:t>[r. 3]</w:t>
      </w:r>
    </w:p>
    <w:p>
      <w:pPr>
        <w:pStyle w:val="yFootnoteheading"/>
      </w:pPr>
      <w:r>
        <w:tab/>
        <w:t>[Heading inserted: SL 2024/97 r. 4.]</w:t>
      </w:r>
    </w:p>
    <w:tbl>
      <w:tblPr>
        <w:tblW w:w="6804" w:type="dxa"/>
        <w:tblInd w:w="142"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Matter</w:t>
            </w:r>
          </w:p>
        </w:tc>
        <w:tc>
          <w:tcPr>
            <w:tcW w:w="1134" w:type="dxa"/>
            <w:tcBorders>
              <w:top w:val="single" w:sz="4" w:space="0" w:color="auto"/>
              <w:bottom w:val="single" w:sz="4" w:space="0" w:color="auto"/>
            </w:tcBorders>
            <w:noWrap/>
          </w:tcPr>
          <w:p>
            <w:pPr>
              <w:pStyle w:val="yTableNAm"/>
              <w:ind w:right="-106"/>
              <w:jc w:val="center"/>
              <w:rPr>
                <w:b/>
              </w:rPr>
            </w:pPr>
            <w:r>
              <w:rPr>
                <w:b/>
              </w:rPr>
              <w:t>Column 2</w:t>
            </w:r>
          </w:p>
          <w:p>
            <w:pPr>
              <w:pStyle w:val="yTableNAm"/>
              <w:jc w:val="center"/>
              <w:rPr>
                <w:b/>
              </w:rPr>
            </w:pPr>
            <w:r>
              <w:rPr>
                <w:b/>
              </w:rPr>
              <w:t>Fee</w:t>
            </w:r>
          </w:p>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rPr>
                <w:rStyle w:val="DraftersNotes"/>
                <w:b w:val="0"/>
                <w:i w:val="0"/>
              </w:rPr>
            </w:pPr>
            <w:r>
              <w:t>Application for a security card (r. 17(3)(d))</w:t>
            </w:r>
          </w:p>
        </w:tc>
        <w:tc>
          <w:tcPr>
            <w:tcW w:w="1134" w:type="dxa"/>
            <w:noWrap/>
            <w:vAlign w:val="bottom"/>
          </w:tcPr>
          <w:p>
            <w:pPr>
              <w:pStyle w:val="yTableNAm"/>
              <w:jc w:val="right"/>
            </w:pPr>
            <w:r>
              <w:t>185.00</w:t>
            </w:r>
          </w:p>
        </w:tc>
      </w:tr>
      <w:tr>
        <w:trPr>
          <w:cantSplit/>
        </w:trPr>
        <w:tc>
          <w:tcPr>
            <w:tcW w:w="709" w:type="dxa"/>
            <w:noWrap/>
          </w:tcPr>
          <w:p>
            <w:pPr>
              <w:pStyle w:val="yTableNAm"/>
            </w:pPr>
            <w:r>
              <w:t>2.</w:t>
            </w:r>
          </w:p>
        </w:tc>
        <w:tc>
          <w:tcPr>
            <w:tcW w:w="4961" w:type="dxa"/>
            <w:noWrap/>
          </w:tcPr>
          <w:p>
            <w:pPr>
              <w:pStyle w:val="yTableNAm"/>
            </w:pPr>
            <w:r>
              <w:t>Application to extend period for which a security card is valid (r. 21A(2)(c))</w:t>
            </w:r>
          </w:p>
        </w:tc>
        <w:tc>
          <w:tcPr>
            <w:tcW w:w="1134" w:type="dxa"/>
            <w:noWrap/>
            <w:vAlign w:val="bottom"/>
          </w:tcPr>
          <w:p>
            <w:pPr>
              <w:pStyle w:val="yTableNAm"/>
              <w:jc w:val="right"/>
            </w:pPr>
            <w:r>
              <w:t>54.50</w:t>
            </w:r>
          </w:p>
        </w:tc>
      </w:tr>
      <w:tr>
        <w:trPr>
          <w:cantSplit/>
        </w:trPr>
        <w:tc>
          <w:tcPr>
            <w:tcW w:w="709" w:type="dxa"/>
            <w:noWrap/>
          </w:tcPr>
          <w:p>
            <w:pPr>
              <w:pStyle w:val="yTableNAm"/>
            </w:pPr>
            <w:r>
              <w:t>3.</w:t>
            </w:r>
          </w:p>
        </w:tc>
        <w:tc>
          <w:tcPr>
            <w:tcW w:w="4961" w:type="dxa"/>
            <w:noWrap/>
          </w:tcPr>
          <w:p>
            <w:pPr>
              <w:pStyle w:val="yTableNAm"/>
            </w:pPr>
            <w:r>
              <w:t>Application for a test permit for an unauthorised explosive (r. 27(2)(d))</w:t>
            </w:r>
          </w:p>
        </w:tc>
        <w:tc>
          <w:tcPr>
            <w:tcW w:w="1134" w:type="dxa"/>
            <w:noWrap/>
            <w:vAlign w:val="bottom"/>
          </w:tcPr>
          <w:p>
            <w:pPr>
              <w:pStyle w:val="yTableNAm"/>
              <w:jc w:val="right"/>
            </w:pPr>
            <w:r>
              <w:t>225.00</w:t>
            </w:r>
          </w:p>
        </w:tc>
      </w:tr>
      <w:tr>
        <w:trPr>
          <w:cantSplit/>
        </w:trPr>
        <w:tc>
          <w:tcPr>
            <w:tcW w:w="709" w:type="dxa"/>
            <w:noWrap/>
          </w:tcPr>
          <w:p>
            <w:pPr>
              <w:pStyle w:val="yTableNAm"/>
            </w:pPr>
            <w:r>
              <w:t>4.</w:t>
            </w:r>
          </w:p>
        </w:tc>
        <w:tc>
          <w:tcPr>
            <w:tcW w:w="4961" w:type="dxa"/>
            <w:noWrap/>
          </w:tcPr>
          <w:p>
            <w:pPr>
              <w:pStyle w:val="yTableNAm"/>
              <w:rPr>
                <w:rStyle w:val="DraftersNotes"/>
                <w:b w:val="0"/>
                <w:i w:val="0"/>
              </w:rPr>
            </w:pPr>
            <w:r>
              <w:t>Application to have an explosive authorised (r. 30(2)(j))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if the explosive is authorised under an interstate law (as defined in r. 30(1A))</w:t>
            </w:r>
          </w:p>
        </w:tc>
        <w:tc>
          <w:tcPr>
            <w:tcW w:w="1134" w:type="dxa"/>
            <w:noWrap/>
            <w:vAlign w:val="bottom"/>
          </w:tcPr>
          <w:p>
            <w:pPr>
              <w:pStyle w:val="yTableNAm"/>
              <w:jc w:val="right"/>
              <w:rPr>
                <w:highlight w:val="yellow"/>
              </w:rPr>
            </w:pPr>
            <w:r>
              <w:t>182.00</w:t>
            </w:r>
          </w:p>
        </w:tc>
      </w:tr>
      <w:tr>
        <w:trPr>
          <w:cantSplit/>
        </w:trPr>
        <w:tc>
          <w:tcPr>
            <w:tcW w:w="709" w:type="dxa"/>
            <w:noWrap/>
          </w:tcPr>
          <w:p>
            <w:pPr>
              <w:pStyle w:val="yTableNAm"/>
            </w:pPr>
          </w:p>
        </w:tc>
        <w:tc>
          <w:tcPr>
            <w:tcW w:w="4961" w:type="dxa"/>
            <w:noWrap/>
          </w:tcPr>
          <w:p>
            <w:pPr>
              <w:pStyle w:val="yTableNAm"/>
              <w:ind w:left="459" w:hanging="425"/>
            </w:pPr>
            <w:r>
              <w:t>(b)</w:t>
            </w:r>
            <w:r>
              <w:tab/>
              <w:t>otherwise</w:t>
            </w:r>
          </w:p>
        </w:tc>
        <w:tc>
          <w:tcPr>
            <w:tcW w:w="1134" w:type="dxa"/>
            <w:noWrap/>
            <w:vAlign w:val="bottom"/>
          </w:tcPr>
          <w:p>
            <w:pPr>
              <w:pStyle w:val="yTableNAm"/>
              <w:jc w:val="right"/>
              <w:rPr>
                <w:highlight w:val="yellow"/>
              </w:rPr>
            </w:pPr>
            <w:r>
              <w:t>735.00</w:t>
            </w:r>
          </w:p>
        </w:tc>
      </w:tr>
      <w:tr>
        <w:trPr>
          <w:cantSplit/>
        </w:trPr>
        <w:tc>
          <w:tcPr>
            <w:tcW w:w="709" w:type="dxa"/>
            <w:noWrap/>
          </w:tcPr>
          <w:p>
            <w:pPr>
              <w:pStyle w:val="yTableNAm"/>
            </w:pPr>
            <w:r>
              <w:t>5.</w:t>
            </w:r>
          </w:p>
        </w:tc>
        <w:tc>
          <w:tcPr>
            <w:tcW w:w="4961" w:type="dxa"/>
            <w:noWrap/>
          </w:tcPr>
          <w:p>
            <w:pPr>
              <w:pStyle w:val="yTableNAm"/>
            </w:pPr>
            <w:r>
              <w:t>Application for a berth to be declared a special berth (explosives) (r. 111L(2)(e)(iii))</w:t>
            </w:r>
          </w:p>
        </w:tc>
        <w:tc>
          <w:tcPr>
            <w:tcW w:w="1134" w:type="dxa"/>
            <w:noWrap/>
            <w:vAlign w:val="bottom"/>
          </w:tcPr>
          <w:p>
            <w:pPr>
              <w:pStyle w:val="yTableNAm"/>
              <w:jc w:val="right"/>
            </w:pPr>
            <w:r>
              <w:t>5 380.00</w:t>
            </w:r>
          </w:p>
        </w:tc>
      </w:tr>
      <w:tr>
        <w:trPr>
          <w:cantSplit/>
        </w:trPr>
        <w:tc>
          <w:tcPr>
            <w:tcW w:w="709" w:type="dxa"/>
            <w:noWrap/>
          </w:tcPr>
          <w:p>
            <w:pPr>
              <w:pStyle w:val="yTableNAm"/>
              <w:keepNext/>
            </w:pPr>
            <w:r>
              <w:t>6.</w:t>
            </w:r>
          </w:p>
        </w:tc>
        <w:tc>
          <w:tcPr>
            <w:tcW w:w="4961" w:type="dxa"/>
            <w:noWrap/>
          </w:tcPr>
          <w:p>
            <w:pPr>
              <w:pStyle w:val="yTableNAm"/>
              <w:keepNext/>
            </w:pPr>
            <w:r>
              <w:t xml:space="preserve">Application for a fireworks event permit (r. 149(1)(e)) — </w:t>
            </w:r>
          </w:p>
        </w:tc>
        <w:tc>
          <w:tcPr>
            <w:tcW w:w="1134" w:type="dxa"/>
            <w:noWrap/>
            <w:vAlign w:val="bottom"/>
          </w:tcPr>
          <w:p>
            <w:pPr>
              <w:pStyle w:val="yTableNAm"/>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if the event fireworks include a ground display but no aerial shells</w:t>
            </w:r>
          </w:p>
        </w:tc>
        <w:tc>
          <w:tcPr>
            <w:tcW w:w="1134" w:type="dxa"/>
            <w:noWrap/>
            <w:vAlign w:val="bottom"/>
          </w:tcPr>
          <w:p>
            <w:pPr>
              <w:pStyle w:val="yTableNAm"/>
              <w:jc w:val="right"/>
              <w:rPr>
                <w:highlight w:val="yellow"/>
              </w:rPr>
            </w:pPr>
            <w:r>
              <w:rPr>
                <w:szCs w:val="22"/>
              </w:rPr>
              <w:t>182.00</w:t>
            </w:r>
          </w:p>
        </w:tc>
      </w:tr>
      <w:tr>
        <w:trPr>
          <w:cantSplit/>
        </w:trPr>
        <w:tc>
          <w:tcPr>
            <w:tcW w:w="709" w:type="dxa"/>
            <w:noWrap/>
          </w:tcPr>
          <w:p>
            <w:pPr>
              <w:pStyle w:val="yTableNAm"/>
            </w:pPr>
          </w:p>
        </w:tc>
        <w:tc>
          <w:tcPr>
            <w:tcW w:w="4961" w:type="dxa"/>
            <w:noWrap/>
          </w:tcPr>
          <w:p>
            <w:pPr>
              <w:pStyle w:val="yTableNAm"/>
              <w:ind w:left="459" w:hanging="425"/>
            </w:pPr>
            <w:r>
              <w:t>(b)</w:t>
            </w:r>
            <w:r>
              <w:tab/>
              <w:t>if the event fireworks include aerial shells but not more than 3 000 aerial shells</w:t>
            </w:r>
          </w:p>
        </w:tc>
        <w:tc>
          <w:tcPr>
            <w:tcW w:w="1134" w:type="dxa"/>
            <w:noWrap/>
            <w:vAlign w:val="bottom"/>
          </w:tcPr>
          <w:p>
            <w:pPr>
              <w:pStyle w:val="yTableNAm"/>
              <w:jc w:val="right"/>
              <w:rPr>
                <w:highlight w:val="yellow"/>
              </w:rPr>
            </w:pPr>
            <w:r>
              <w:rPr>
                <w:szCs w:val="22"/>
              </w:rPr>
              <w:t>368.00</w:t>
            </w:r>
          </w:p>
        </w:tc>
      </w:tr>
      <w:tr>
        <w:trPr>
          <w:cantSplit/>
        </w:trPr>
        <w:tc>
          <w:tcPr>
            <w:tcW w:w="709" w:type="dxa"/>
            <w:noWrap/>
          </w:tcPr>
          <w:p>
            <w:pPr>
              <w:pStyle w:val="yTableNAm"/>
            </w:pPr>
          </w:p>
        </w:tc>
        <w:tc>
          <w:tcPr>
            <w:tcW w:w="4961" w:type="dxa"/>
            <w:noWrap/>
          </w:tcPr>
          <w:p>
            <w:pPr>
              <w:pStyle w:val="yTableNAm"/>
              <w:ind w:left="459" w:hanging="425"/>
            </w:pPr>
            <w:r>
              <w:t>(c)</w:t>
            </w:r>
            <w:r>
              <w:tab/>
              <w:t>if the event fireworks include more than 3 000 aerial shells</w:t>
            </w:r>
          </w:p>
        </w:tc>
        <w:tc>
          <w:tcPr>
            <w:tcW w:w="1134" w:type="dxa"/>
            <w:noWrap/>
            <w:vAlign w:val="bottom"/>
          </w:tcPr>
          <w:p>
            <w:pPr>
              <w:pStyle w:val="yTableNAm"/>
              <w:jc w:val="right"/>
              <w:rPr>
                <w:highlight w:val="yellow"/>
              </w:rPr>
            </w:pPr>
            <w:r>
              <w:rPr>
                <w:szCs w:val="22"/>
              </w:rPr>
              <w:t>5 248.00</w:t>
            </w:r>
          </w:p>
        </w:tc>
      </w:tr>
      <w:tr>
        <w:trPr>
          <w:cantSplit/>
        </w:trPr>
        <w:tc>
          <w:tcPr>
            <w:tcW w:w="709" w:type="dxa"/>
            <w:noWrap/>
          </w:tcPr>
          <w:p>
            <w:pPr>
              <w:pStyle w:val="yTableNAm"/>
            </w:pPr>
            <w:r>
              <w:t>7.</w:t>
            </w:r>
          </w:p>
        </w:tc>
        <w:tc>
          <w:tcPr>
            <w:tcW w:w="4961" w:type="dxa"/>
            <w:noWrap/>
          </w:tcPr>
          <w:p>
            <w:pPr>
              <w:pStyle w:val="yTableNAm"/>
              <w:rPr>
                <w:rStyle w:val="DraftersNotes"/>
                <w:b w:val="0"/>
                <w:i w:val="0"/>
              </w:rPr>
            </w:pPr>
            <w:r>
              <w:t>Application for a licence (other than a trading licence) (r. 157(1)(c))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ind w:left="459" w:hanging="425"/>
            </w:pPr>
            <w:r>
              <w:t>(a)</w:t>
            </w:r>
            <w:r>
              <w:tab/>
              <w:t>explosives driver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(b)</w:t>
            </w:r>
            <w:r>
              <w:tab/>
              <w:t>shotfiring licence</w:t>
            </w:r>
          </w:p>
        </w:tc>
        <w:tc>
          <w:tcPr>
            <w:tcW w:w="1134" w:type="dxa"/>
            <w:noWrap/>
            <w:vAlign w:val="bottom"/>
          </w:tcPr>
          <w:p>
            <w:pPr>
              <w:pStyle w:val="yTableNAm"/>
              <w:jc w:val="right"/>
            </w:pPr>
            <w:r>
              <w:t>129.00</w:t>
            </w:r>
          </w:p>
        </w:tc>
      </w:tr>
      <w:tr>
        <w:trPr>
          <w:cantSplit/>
        </w:trPr>
        <w:tc>
          <w:tcPr>
            <w:tcW w:w="709" w:type="dxa"/>
            <w:noWrap/>
          </w:tcPr>
          <w:p>
            <w:pPr>
              <w:pStyle w:val="yTableNAm"/>
            </w:pPr>
          </w:p>
        </w:tc>
        <w:tc>
          <w:tcPr>
            <w:tcW w:w="4961" w:type="dxa"/>
            <w:noWrap/>
          </w:tcPr>
          <w:p>
            <w:pPr>
              <w:pStyle w:val="yTableNAm"/>
              <w:ind w:left="459" w:hanging="425"/>
            </w:pPr>
            <w:r>
              <w:t>(c)</w:t>
            </w:r>
            <w:r>
              <w:tab/>
              <w:t>fireworks contractor licence</w:t>
            </w:r>
          </w:p>
        </w:tc>
        <w:tc>
          <w:tcPr>
            <w:tcW w:w="1134" w:type="dxa"/>
            <w:noWrap/>
            <w:vAlign w:val="bottom"/>
          </w:tcPr>
          <w:p>
            <w:pPr>
              <w:pStyle w:val="yTableNAm"/>
              <w:jc w:val="right"/>
              <w:rPr>
                <w:highlight w:val="yellow"/>
              </w:rPr>
            </w:pPr>
            <w:r>
              <w:t>569.00</w:t>
            </w:r>
          </w:p>
        </w:tc>
      </w:tr>
      <w:tr>
        <w:trPr>
          <w:cantSplit/>
        </w:trPr>
        <w:tc>
          <w:tcPr>
            <w:tcW w:w="709" w:type="dxa"/>
            <w:noWrap/>
          </w:tcPr>
          <w:p>
            <w:pPr>
              <w:pStyle w:val="yTableNAm"/>
            </w:pPr>
          </w:p>
        </w:tc>
        <w:tc>
          <w:tcPr>
            <w:tcW w:w="4961" w:type="dxa"/>
            <w:noWrap/>
          </w:tcPr>
          <w:p>
            <w:pPr>
              <w:pStyle w:val="yTableNAm"/>
              <w:ind w:left="459" w:hanging="425"/>
            </w:pPr>
            <w:r>
              <w:t>(d)</w:t>
            </w:r>
            <w:r>
              <w:tab/>
              <w:t>fireworks operator licence</w:t>
            </w:r>
          </w:p>
        </w:tc>
        <w:tc>
          <w:tcPr>
            <w:tcW w:w="1134" w:type="dxa"/>
            <w:noWrap/>
            <w:vAlign w:val="bottom"/>
          </w:tcPr>
          <w:p>
            <w:pPr>
              <w:pStyle w:val="yTableNAm"/>
              <w:jc w:val="right"/>
              <w:rPr>
                <w:highlight w:val="yellow"/>
              </w:rPr>
            </w:pPr>
            <w:r>
              <w:t>141.00</w:t>
            </w:r>
          </w:p>
        </w:tc>
      </w:tr>
      <w:tr>
        <w:trPr>
          <w:cantSplit/>
        </w:trPr>
        <w:tc>
          <w:tcPr>
            <w:tcW w:w="709" w:type="dxa"/>
            <w:noWrap/>
          </w:tcPr>
          <w:p>
            <w:pPr>
              <w:pStyle w:val="yTableNAm"/>
            </w:pPr>
          </w:p>
        </w:tc>
        <w:tc>
          <w:tcPr>
            <w:tcW w:w="4961" w:type="dxa"/>
            <w:noWrap/>
          </w:tcPr>
          <w:p>
            <w:pPr>
              <w:pStyle w:val="yTableNAm"/>
              <w:ind w:left="459" w:hanging="425"/>
            </w:pPr>
            <w:r>
              <w:t>(e)</w:t>
            </w:r>
            <w:r>
              <w:tab/>
              <w:t>pyrotechnics (special use) licence</w:t>
            </w:r>
          </w:p>
        </w:tc>
        <w:tc>
          <w:tcPr>
            <w:tcW w:w="1134" w:type="dxa"/>
            <w:noWrap/>
            <w:vAlign w:val="bottom"/>
          </w:tcPr>
          <w:p>
            <w:pPr>
              <w:pStyle w:val="yTableNAm"/>
              <w:jc w:val="right"/>
              <w:rPr>
                <w:highlight w:val="yellow"/>
              </w:rPr>
            </w:pPr>
            <w:r>
              <w:t>141.00</w:t>
            </w:r>
          </w:p>
        </w:tc>
      </w:tr>
      <w:tr>
        <w:trPr>
          <w:cantSplit/>
        </w:trPr>
        <w:tc>
          <w:tcPr>
            <w:tcW w:w="709" w:type="dxa"/>
            <w:noWrap/>
          </w:tcPr>
          <w:p>
            <w:pPr>
              <w:pStyle w:val="yTableNAm"/>
              <w:keepNext/>
            </w:pPr>
            <w:r>
              <w:t>8.</w:t>
            </w:r>
          </w:p>
        </w:tc>
        <w:tc>
          <w:tcPr>
            <w:tcW w:w="4961" w:type="dxa"/>
            <w:noWrap/>
          </w:tcPr>
          <w:p>
            <w:pPr>
              <w:pStyle w:val="yTableNAm"/>
              <w:keepNext/>
              <w:rPr>
                <w:rStyle w:val="DraftersNotes"/>
                <w:b w:val="0"/>
                <w:i w:val="0"/>
              </w:rPr>
            </w:pPr>
            <w:r>
              <w:t xml:space="preserve">Annual fee for a trading licence (r. 157(1)(da)(i) and 179A) — </w:t>
            </w:r>
          </w:p>
        </w:tc>
        <w:tc>
          <w:tcPr>
            <w:tcW w:w="1134" w:type="dxa"/>
            <w:noWrap/>
            <w:vAlign w:val="bottom"/>
          </w:tcPr>
          <w:p>
            <w:pPr>
              <w:pStyle w:val="yTableNAm"/>
              <w:keepNext/>
              <w:jc w:val="right"/>
              <w:rPr>
                <w:highlight w:val="yellow"/>
              </w:rPr>
            </w:pPr>
          </w:p>
        </w:tc>
      </w:tr>
      <w:tr>
        <w:trPr>
          <w:cantSplit/>
        </w:trPr>
        <w:tc>
          <w:tcPr>
            <w:tcW w:w="709" w:type="dxa"/>
            <w:noWrap/>
          </w:tcPr>
          <w:p>
            <w:pPr>
              <w:pStyle w:val="yTableNAm"/>
              <w:keepNext/>
            </w:pPr>
          </w:p>
        </w:tc>
        <w:tc>
          <w:tcPr>
            <w:tcW w:w="4961" w:type="dxa"/>
            <w:noWrap/>
          </w:tcPr>
          <w:p>
            <w:pPr>
              <w:pStyle w:val="yTableNAm"/>
              <w:keepNext/>
              <w:ind w:left="459" w:hanging="425"/>
            </w:pPr>
            <w:r>
              <w:t>(a)</w:t>
            </w:r>
            <w:r>
              <w:tab/>
              <w:t>explosives import/export licence</w:t>
            </w:r>
          </w:p>
        </w:tc>
        <w:tc>
          <w:tcPr>
            <w:tcW w:w="1134" w:type="dxa"/>
            <w:noWrap/>
            <w:vAlign w:val="bottom"/>
          </w:tcPr>
          <w:p>
            <w:pPr>
              <w:pStyle w:val="yTableNAm"/>
              <w:keepNext/>
              <w:jc w:val="right"/>
              <w:rPr>
                <w:highlight w:val="yellow"/>
              </w:rPr>
            </w:pPr>
            <w:r>
              <w:t>232.00</w:t>
            </w:r>
          </w:p>
        </w:tc>
      </w:tr>
      <w:tr>
        <w:trPr>
          <w:cantSplit/>
        </w:trPr>
        <w:tc>
          <w:tcPr>
            <w:tcW w:w="709" w:type="dxa"/>
            <w:noWrap/>
          </w:tcPr>
          <w:p>
            <w:pPr>
              <w:pStyle w:val="yTableNAm"/>
            </w:pPr>
          </w:p>
        </w:tc>
        <w:tc>
          <w:tcPr>
            <w:tcW w:w="4961" w:type="dxa"/>
            <w:noWrap/>
          </w:tcPr>
          <w:p>
            <w:pPr>
              <w:pStyle w:val="yTableNAm"/>
              <w:keepNext/>
              <w:ind w:left="459" w:hanging="425"/>
            </w:pPr>
            <w:r>
              <w:t>(b)</w:t>
            </w:r>
            <w:r>
              <w:tab/>
              <w:t>explosives manufacture licence</w:t>
            </w:r>
          </w:p>
        </w:tc>
        <w:tc>
          <w:tcPr>
            <w:tcW w:w="1134" w:type="dxa"/>
            <w:noWrap/>
            <w:vAlign w:val="bottom"/>
          </w:tcPr>
          <w:p>
            <w:pPr>
              <w:pStyle w:val="yTableNAm"/>
              <w:jc w:val="right"/>
              <w:rPr>
                <w:highlight w:val="yellow"/>
              </w:rPr>
            </w:pPr>
            <w:r>
              <w:t>489.00</w:t>
            </w:r>
          </w:p>
        </w:tc>
      </w:tr>
      <w:tr>
        <w:trPr>
          <w:cantSplit/>
        </w:trPr>
        <w:tc>
          <w:tcPr>
            <w:tcW w:w="709" w:type="dxa"/>
            <w:noWrap/>
          </w:tcPr>
          <w:p>
            <w:pPr>
              <w:pStyle w:val="yTableNAm"/>
            </w:pPr>
          </w:p>
        </w:tc>
        <w:tc>
          <w:tcPr>
            <w:tcW w:w="4961" w:type="dxa"/>
            <w:noWrap/>
          </w:tcPr>
          <w:p>
            <w:pPr>
              <w:pStyle w:val="yTableNAm"/>
              <w:ind w:left="459" w:hanging="425"/>
            </w:pPr>
            <w:r>
              <w:t>(c)</w:t>
            </w:r>
            <w:r>
              <w:tab/>
              <w:t>explosives manufacture (MPU) licence</w:t>
            </w:r>
          </w:p>
        </w:tc>
        <w:tc>
          <w:tcPr>
            <w:tcW w:w="1134" w:type="dxa"/>
            <w:noWrap/>
            <w:vAlign w:val="bottom"/>
          </w:tcPr>
          <w:p>
            <w:pPr>
              <w:pStyle w:val="yTableNAm"/>
              <w:jc w:val="right"/>
              <w:rPr>
                <w:highlight w:val="yellow"/>
              </w:rPr>
            </w:pPr>
            <w:r>
              <w:t>1 130.00</w:t>
            </w:r>
          </w:p>
        </w:tc>
      </w:tr>
      <w:tr>
        <w:trPr>
          <w:cantSplit/>
        </w:trPr>
        <w:tc>
          <w:tcPr>
            <w:tcW w:w="709" w:type="dxa"/>
            <w:noWrap/>
          </w:tcPr>
          <w:p>
            <w:pPr>
              <w:pStyle w:val="yTableNAm"/>
            </w:pPr>
          </w:p>
        </w:tc>
        <w:tc>
          <w:tcPr>
            <w:tcW w:w="4961" w:type="dxa"/>
            <w:noWrap/>
          </w:tcPr>
          <w:p>
            <w:pPr>
              <w:pStyle w:val="yTableNAm"/>
              <w:ind w:left="459" w:hanging="425"/>
            </w:pPr>
            <w:r>
              <w:t>(d)</w:t>
            </w:r>
            <w:r>
              <w:tab/>
              <w:t>explosives storage licence —</w:t>
            </w:r>
          </w:p>
        </w:tc>
        <w:tc>
          <w:tcPr>
            <w:tcW w:w="1134" w:type="dxa"/>
            <w:noWrap/>
            <w:vAlign w:val="bottom"/>
          </w:tcPr>
          <w:p>
            <w:pPr>
              <w:pStyle w:val="yTableNAm"/>
              <w:jc w:val="right"/>
              <w:rPr>
                <w:highlight w:val="yellow"/>
              </w:rPr>
            </w:pP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w:t>
            </w:r>
            <w:r>
              <w:tab/>
              <w:t>for less than 1 tonne of explosives</w:t>
            </w:r>
          </w:p>
        </w:tc>
        <w:tc>
          <w:tcPr>
            <w:tcW w:w="1134" w:type="dxa"/>
            <w:noWrap/>
            <w:vAlign w:val="bottom"/>
          </w:tcPr>
          <w:p>
            <w:pPr>
              <w:pStyle w:val="yTableNAm"/>
              <w:jc w:val="right"/>
              <w:rPr>
                <w:highlight w:val="yellow"/>
              </w:rPr>
            </w:pPr>
            <w:r>
              <w:t>144.00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w:t>
            </w:r>
            <w:r>
              <w:tab/>
              <w:t>for 1 tonne or more but less than 5 tonnes of explosives</w:t>
            </w:r>
          </w:p>
        </w:tc>
        <w:tc>
          <w:tcPr>
            <w:tcW w:w="1134" w:type="dxa"/>
            <w:noWrap/>
            <w:vAlign w:val="bottom"/>
          </w:tcPr>
          <w:p>
            <w:pPr>
              <w:pStyle w:val="yTableNAm"/>
              <w:jc w:val="right"/>
              <w:rPr>
                <w:highlight w:val="yellow"/>
              </w:rPr>
            </w:pPr>
            <w:r>
              <w:t>172.00</w:t>
            </w:r>
          </w:p>
        </w:tc>
      </w:tr>
      <w:tr>
        <w:trPr>
          <w:cantSplit/>
        </w:trPr>
        <w:tc>
          <w:tcPr>
            <w:tcW w:w="709" w:type="dxa"/>
            <w:noWrap/>
          </w:tcPr>
          <w:p>
            <w:pPr>
              <w:pStyle w:val="yTableNAm"/>
            </w:pPr>
          </w:p>
        </w:tc>
        <w:tc>
          <w:tcPr>
            <w:tcW w:w="4961" w:type="dxa"/>
            <w:noWrap/>
          </w:tcPr>
          <w:p>
            <w:pPr>
              <w:pStyle w:val="yTableNAm"/>
              <w:tabs>
                <w:tab w:val="clear" w:pos="567"/>
                <w:tab w:val="left" w:pos="601"/>
              </w:tabs>
              <w:ind w:left="884" w:hanging="425"/>
            </w:pPr>
            <w:r>
              <w:t>(iii)</w:t>
            </w:r>
            <w:r>
              <w:tab/>
              <w:t>for 5 tonnes or more of explosives</w:t>
            </w:r>
          </w:p>
        </w:tc>
        <w:tc>
          <w:tcPr>
            <w:tcW w:w="1134" w:type="dxa"/>
            <w:noWrap/>
            <w:vAlign w:val="bottom"/>
          </w:tcPr>
          <w:p>
            <w:pPr>
              <w:pStyle w:val="yTableNAm"/>
              <w:jc w:val="right"/>
              <w:rPr>
                <w:highlight w:val="yellow"/>
              </w:rPr>
            </w:pPr>
            <w:r>
              <w:t>463.00</w:t>
            </w:r>
          </w:p>
        </w:tc>
      </w:tr>
      <w:tr>
        <w:trPr>
          <w:cantSplit/>
        </w:trPr>
        <w:tc>
          <w:tcPr>
            <w:tcW w:w="709" w:type="dxa"/>
            <w:noWrap/>
          </w:tcPr>
          <w:p>
            <w:pPr>
              <w:pStyle w:val="yTableNAm"/>
              <w:keepNext/>
              <w:keepLines/>
            </w:pPr>
          </w:p>
        </w:tc>
        <w:tc>
          <w:tcPr>
            <w:tcW w:w="4961" w:type="dxa"/>
            <w:noWrap/>
          </w:tcPr>
          <w:p>
            <w:pPr>
              <w:pStyle w:val="yTableNAm"/>
              <w:keepNext/>
              <w:keepLines/>
              <w:ind w:left="459" w:hanging="425"/>
            </w:pPr>
            <w:r>
              <w:t>(e)</w:t>
            </w:r>
            <w:r>
              <w:tab/>
              <w:t>explosives transport licence</w:t>
            </w:r>
          </w:p>
        </w:tc>
        <w:tc>
          <w:tcPr>
            <w:tcW w:w="1134" w:type="dxa"/>
            <w:noWrap/>
            <w:vAlign w:val="bottom"/>
          </w:tcPr>
          <w:p>
            <w:pPr>
              <w:pStyle w:val="yTableNAm"/>
              <w:keepNext/>
              <w:keepLines/>
              <w:jc w:val="right"/>
              <w:rPr>
                <w:highlight w:val="yellow"/>
              </w:rPr>
            </w:pPr>
            <w:r>
              <w:t>1 150.00</w:t>
            </w:r>
          </w:p>
        </w:tc>
      </w:tr>
      <w:tr>
        <w:trPr>
          <w:cantSplit/>
        </w:trPr>
        <w:tc>
          <w:tcPr>
            <w:tcW w:w="709" w:type="dxa"/>
            <w:noWrap/>
          </w:tcPr>
          <w:p>
            <w:pPr>
              <w:pStyle w:val="yTableNAm"/>
            </w:pPr>
          </w:p>
        </w:tc>
        <w:tc>
          <w:tcPr>
            <w:tcW w:w="4961" w:type="dxa"/>
            <w:noWrap/>
          </w:tcPr>
          <w:p>
            <w:pPr>
              <w:pStyle w:val="yTableNAm"/>
              <w:ind w:left="459" w:hanging="425"/>
            </w:pPr>
            <w:r>
              <w:t>(f)</w:t>
            </w:r>
            <w:r>
              <w:tab/>
              <w:t>explosives supply licence</w:t>
            </w:r>
          </w:p>
        </w:tc>
        <w:tc>
          <w:tcPr>
            <w:tcW w:w="1134" w:type="dxa"/>
            <w:noWrap/>
            <w:vAlign w:val="bottom"/>
          </w:tcPr>
          <w:p>
            <w:pPr>
              <w:pStyle w:val="yTableNAm"/>
              <w:jc w:val="right"/>
              <w:rPr>
                <w:highlight w:val="yellow"/>
              </w:rPr>
            </w:pPr>
            <w:r>
              <w:t>78.50</w:t>
            </w:r>
          </w:p>
        </w:tc>
      </w:tr>
      <w:tr>
        <w:trPr>
          <w:cantSplit/>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spacing w:after="120"/>
            </w:pPr>
            <w:r>
              <w:t>Application for renewal of a licence (other than a trading licence) (r. 173(3)(i))</w:t>
            </w:r>
          </w:p>
        </w:tc>
        <w:tc>
          <w:tcPr>
            <w:tcW w:w="1134" w:type="dxa"/>
            <w:tcBorders>
              <w:bottom w:val="single" w:sz="4" w:space="0" w:color="auto"/>
            </w:tcBorders>
            <w:noWrap/>
          </w:tcPr>
          <w:p>
            <w:pPr>
              <w:pStyle w:val="yTableNAm"/>
              <w:spacing w:after="120"/>
              <w:ind w:right="-106"/>
              <w:rPr>
                <w:szCs w:val="22"/>
                <w:highlight w:val="yellow"/>
              </w:rPr>
            </w:pPr>
            <w:r>
              <w:t>The fee in item 7 for the licence</w:t>
            </w:r>
          </w:p>
        </w:tc>
      </w:tr>
    </w:tbl>
    <w:p>
      <w:pPr>
        <w:pStyle w:val="yFootnotesection"/>
      </w:pPr>
      <w:r>
        <w:tab/>
        <w:t>[Schedule 1 inserted: SL 2024/97 r. 4.]</w:t>
      </w:r>
    </w:p>
    <w:p>
      <w:pPr>
        <w:pStyle w:val="yFootnotesection"/>
        <w:rPr>
          <w:i w:val="0"/>
        </w:rPr>
        <w:sectPr>
          <w:headerReference w:type="even" r:id="rId21"/>
          <w:headerReference w:type="default" r:id="rId22"/>
          <w:endnotePr>
            <w:numFmt w:val="decimal"/>
          </w:endnotePr>
          <w:pgSz w:w="11907" w:h="16840" w:code="9"/>
          <w:pgMar w:top="2381" w:right="2410" w:bottom="3544" w:left="2410" w:header="720" w:footer="3544" w:gutter="0"/>
          <w:cols w:space="720"/>
          <w:noEndnote/>
          <w:docGrid w:linePitch="326"/>
        </w:sectPr>
      </w:pPr>
    </w:p>
    <w:p>
      <w:pPr>
        <w:pStyle w:val="yScheduleHeading"/>
      </w:pPr>
      <w:bookmarkStart w:id="791" w:name="_Toc200031784"/>
      <w:bookmarkStart w:id="792" w:name="_Toc200036772"/>
      <w:bookmarkStart w:id="793" w:name="_Toc200095591"/>
      <w:bookmarkStart w:id="794" w:name="_Toc192852933"/>
      <w:bookmarkStart w:id="795" w:name="_Toc192854027"/>
      <w:bookmarkStart w:id="796" w:name="_Toc192857313"/>
      <w:r>
        <w:rPr>
          <w:rStyle w:val="CharSchNo"/>
        </w:rPr>
        <w:t>Schedule 2</w:t>
      </w:r>
      <w:r>
        <w:rPr>
          <w:rStyle w:val="CharSDivNo"/>
        </w:rPr>
        <w:t> </w:t>
      </w:r>
      <w:r>
        <w:t>—</w:t>
      </w:r>
      <w:r>
        <w:rPr>
          <w:rStyle w:val="CharSDivText"/>
        </w:rPr>
        <w:t> </w:t>
      </w:r>
      <w:r>
        <w:rPr>
          <w:rStyle w:val="CharSchText"/>
        </w:rPr>
        <w:t>Prohibited explosives</w:t>
      </w:r>
      <w:bookmarkEnd w:id="791"/>
      <w:bookmarkEnd w:id="792"/>
      <w:bookmarkEnd w:id="793"/>
      <w:bookmarkEnd w:id="794"/>
      <w:bookmarkEnd w:id="795"/>
      <w:bookmarkEnd w:id="796"/>
    </w:p>
    <w:p>
      <w:pPr>
        <w:pStyle w:val="yShoulderClause"/>
      </w:pPr>
      <w:r>
        <w:t>[r. 3]</w:t>
      </w:r>
    </w:p>
    <w:p>
      <w:pPr>
        <w:pStyle w:val="yHeading5"/>
      </w:pPr>
      <w:bookmarkStart w:id="797" w:name="_Toc200095592"/>
      <w:bookmarkStart w:id="798" w:name="_Toc192857314"/>
      <w:r>
        <w:rPr>
          <w:rStyle w:val="CharSClsNo"/>
        </w:rPr>
        <w:t>1</w:t>
      </w:r>
      <w:r>
        <w:t>.</w:t>
      </w:r>
      <w:r>
        <w:tab/>
        <w:t>Explosive containing chlorate etc.</w:t>
      </w:r>
      <w:bookmarkEnd w:id="797"/>
      <w:bookmarkEnd w:id="798"/>
    </w:p>
    <w:p>
      <w:pPr>
        <w:pStyle w:val="ySubsection"/>
      </w:pPr>
      <w:r>
        <w:tab/>
      </w:r>
      <w:r>
        <w:tab/>
        <w:t>An explosive that contains a chlorate mixed with an ammonium salt is a prohibited explosive.</w:t>
      </w:r>
    </w:p>
    <w:p>
      <w:pPr>
        <w:pStyle w:val="yHeading5"/>
      </w:pPr>
      <w:bookmarkStart w:id="799" w:name="_Toc200095593"/>
      <w:bookmarkStart w:id="800" w:name="_Toc192857315"/>
      <w:r>
        <w:rPr>
          <w:rStyle w:val="CharSClsNo"/>
        </w:rPr>
        <w:t>2</w:t>
      </w:r>
      <w:r>
        <w:t>.</w:t>
      </w:r>
      <w:r>
        <w:tab/>
        <w:t>Fireworks, various types of</w:t>
      </w:r>
      <w:bookmarkEnd w:id="799"/>
      <w:bookmarkEnd w:id="800"/>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Gazette 16 Mar 2012 p. 1191.]</w:t>
      </w:r>
    </w:p>
    <w:p>
      <w:pPr>
        <w:sectPr>
          <w:headerReference w:type="even" r:id="rId23"/>
          <w:headerReference w:type="default" r:id="rId24"/>
          <w:endnotePr>
            <w:numFmt w:val="decimal"/>
          </w:endnotePr>
          <w:pgSz w:w="11907" w:h="16840" w:code="9"/>
          <w:pgMar w:top="2381" w:right="2410" w:bottom="3544" w:left="2410" w:header="720" w:footer="3544" w:gutter="0"/>
          <w:cols w:space="720"/>
          <w:noEndnote/>
          <w:docGrid w:linePitch="326"/>
        </w:sectPr>
      </w:pPr>
    </w:p>
    <w:p>
      <w:pPr>
        <w:pStyle w:val="yScheduleHeading"/>
      </w:pPr>
      <w:bookmarkStart w:id="801" w:name="_Toc200031787"/>
      <w:bookmarkStart w:id="802" w:name="_Toc200036775"/>
      <w:bookmarkStart w:id="803" w:name="_Toc200095594"/>
      <w:bookmarkStart w:id="804" w:name="_Toc192852936"/>
      <w:bookmarkStart w:id="805" w:name="_Toc192854030"/>
      <w:bookmarkStart w:id="806" w:name="_Toc192857316"/>
      <w:r>
        <w:rPr>
          <w:rStyle w:val="CharSchNo"/>
        </w:rPr>
        <w:t>Schedule 3</w:t>
      </w:r>
      <w:r>
        <w:rPr>
          <w:rStyle w:val="CharSDivNo"/>
          <w:sz w:val="28"/>
        </w:rPr>
        <w:t> </w:t>
      </w:r>
      <w:r>
        <w:t>—</w:t>
      </w:r>
      <w:r>
        <w:rPr>
          <w:rStyle w:val="CharSDivText"/>
          <w:sz w:val="28"/>
        </w:rPr>
        <w:t> </w:t>
      </w:r>
      <w:r>
        <w:rPr>
          <w:rStyle w:val="CharSchText"/>
        </w:rPr>
        <w:t>Unrestricted fireworks</w:t>
      </w:r>
      <w:bookmarkEnd w:id="801"/>
      <w:bookmarkEnd w:id="802"/>
      <w:bookmarkEnd w:id="803"/>
      <w:bookmarkEnd w:id="804"/>
      <w:bookmarkEnd w:id="805"/>
      <w:bookmarkEnd w:id="806"/>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NAm"/>
              <w:rPr>
                <w:b/>
              </w:rPr>
            </w:pPr>
            <w:r>
              <w:rPr>
                <w:b/>
              </w:rPr>
              <w:t>Item</w:t>
            </w:r>
          </w:p>
        </w:tc>
        <w:tc>
          <w:tcPr>
            <w:tcW w:w="6430" w:type="dxa"/>
            <w:tcBorders>
              <w:top w:val="single" w:sz="4" w:space="0" w:color="auto"/>
              <w:bottom w:val="single" w:sz="4" w:space="0" w:color="auto"/>
            </w:tcBorders>
          </w:tcPr>
          <w:p>
            <w:pPr>
              <w:pStyle w:val="yTableNAm"/>
              <w:rPr>
                <w:b/>
              </w:rPr>
            </w:pPr>
            <w:r>
              <w:rPr>
                <w:b/>
              </w:rPr>
              <w:t>Description of article</w:t>
            </w:r>
          </w:p>
        </w:tc>
      </w:tr>
      <w:tr>
        <w:tc>
          <w:tcPr>
            <w:tcW w:w="658" w:type="dxa"/>
          </w:tcPr>
          <w:p>
            <w:pPr>
              <w:pStyle w:val="yTableNAm"/>
            </w:pPr>
            <w:r>
              <w:t>1.</w:t>
            </w:r>
          </w:p>
        </w:tc>
        <w:tc>
          <w:tcPr>
            <w:tcW w:w="6430" w:type="dxa"/>
          </w:tcPr>
          <w:p>
            <w:pPr>
              <w:pStyle w:val="yTableNAm"/>
            </w:pPr>
            <w:r>
              <w:t>Party popper (also called a streamer cone) in which the NEQ is not more than 1.6 g per 1 000 of such articles.</w:t>
            </w:r>
          </w:p>
        </w:tc>
      </w:tr>
      <w:tr>
        <w:tc>
          <w:tcPr>
            <w:tcW w:w="658" w:type="dxa"/>
          </w:tcPr>
          <w:p>
            <w:pPr>
              <w:pStyle w:val="yTableNAm"/>
            </w:pPr>
            <w:r>
              <w:t>2.</w:t>
            </w:r>
          </w:p>
        </w:tc>
        <w:tc>
          <w:tcPr>
            <w:tcW w:w="6430" w:type="dxa"/>
          </w:tcPr>
          <w:p>
            <w:pPr>
              <w:pStyle w:val="yTableNAm"/>
            </w:pPr>
            <w:r>
              <w:t>Percussion cap for a toy pistol (also called an amorce).</w:t>
            </w:r>
          </w:p>
        </w:tc>
      </w:tr>
      <w:tr>
        <w:tc>
          <w:tcPr>
            <w:tcW w:w="658" w:type="dxa"/>
          </w:tcPr>
          <w:p>
            <w:pPr>
              <w:pStyle w:val="yTableNAm"/>
            </w:pPr>
            <w:r>
              <w:t>3.</w:t>
            </w:r>
          </w:p>
        </w:tc>
        <w:tc>
          <w:tcPr>
            <w:tcW w:w="6430" w:type="dxa"/>
          </w:tcPr>
          <w:p>
            <w:pPr>
              <w:pStyle w:val="yTableNAm"/>
            </w:pPr>
            <w:r>
              <w:t>Percussion cap for a starting pistol.</w:t>
            </w:r>
          </w:p>
        </w:tc>
      </w:tr>
      <w:tr>
        <w:tc>
          <w:tcPr>
            <w:tcW w:w="658" w:type="dxa"/>
          </w:tcPr>
          <w:p>
            <w:pPr>
              <w:pStyle w:val="yTableNAm"/>
            </w:pPr>
            <w:r>
              <w:t>4.</w:t>
            </w:r>
          </w:p>
        </w:tc>
        <w:tc>
          <w:tcPr>
            <w:tcW w:w="6430" w:type="dxa"/>
          </w:tcPr>
          <w:p>
            <w:pPr>
              <w:pStyle w:val="yTableNAm"/>
            </w:pPr>
            <w:r>
              <w:t>Snap for either a bonbon or Christmas cracker in which the NEQ is not more than 1.6 g per 1 000 of such articles.</w:t>
            </w:r>
          </w:p>
        </w:tc>
      </w:tr>
      <w:tr>
        <w:tc>
          <w:tcPr>
            <w:tcW w:w="658" w:type="dxa"/>
            <w:tcBorders>
              <w:bottom w:val="single" w:sz="4" w:space="0" w:color="auto"/>
            </w:tcBorders>
          </w:tcPr>
          <w:p>
            <w:pPr>
              <w:pStyle w:val="yTableNAm"/>
            </w:pPr>
            <w:r>
              <w:t>5.</w:t>
            </w:r>
          </w:p>
        </w:tc>
        <w:tc>
          <w:tcPr>
            <w:tcW w:w="6430" w:type="dxa"/>
            <w:tcBorders>
              <w:bottom w:val="single" w:sz="4" w:space="0" w:color="auto"/>
            </w:tcBorders>
          </w:tcPr>
          <w:p>
            <w:pPr>
              <w:pStyle w:val="yTableNAm"/>
            </w:pPr>
            <w:r>
              <w:t>Throwdown in which the NEQ is not more than 2.6 g per 1 000 of such articles.</w:t>
            </w:r>
          </w:p>
        </w:tc>
      </w:tr>
    </w:tbl>
    <w:p>
      <w:pPr>
        <w:sectPr>
          <w:headerReference w:type="even" r:id="rId25"/>
          <w:headerReference w:type="default" r:id="rId26"/>
          <w:endnotePr>
            <w:numFmt w:val="decimal"/>
          </w:endnotePr>
          <w:pgSz w:w="11907" w:h="16840" w:code="9"/>
          <w:pgMar w:top="2381" w:right="2410" w:bottom="3544" w:left="2410" w:header="720" w:footer="3544" w:gutter="0"/>
          <w:cols w:space="720"/>
          <w:noEndnote/>
          <w:docGrid w:linePitch="326"/>
        </w:sectPr>
      </w:pPr>
    </w:p>
    <w:p>
      <w:pPr>
        <w:pStyle w:val="yScheduleHeading"/>
      </w:pPr>
      <w:bookmarkStart w:id="807" w:name="_Toc200031788"/>
      <w:bookmarkStart w:id="808" w:name="_Toc200036776"/>
      <w:bookmarkStart w:id="809" w:name="_Toc200095595"/>
      <w:bookmarkStart w:id="810" w:name="_Toc192852937"/>
      <w:bookmarkStart w:id="811" w:name="_Toc192854031"/>
      <w:bookmarkStart w:id="812" w:name="_Toc192857317"/>
      <w:r>
        <w:rPr>
          <w:rStyle w:val="CharSchNo"/>
        </w:rPr>
        <w:t>Schedule 4</w:t>
      </w:r>
      <w:r>
        <w:rPr>
          <w:rStyle w:val="CharSDivNo"/>
        </w:rPr>
        <w:t> </w:t>
      </w:r>
      <w:r>
        <w:t>—</w:t>
      </w:r>
      <w:r>
        <w:rPr>
          <w:rStyle w:val="CharSDivText"/>
        </w:rPr>
        <w:t> </w:t>
      </w:r>
      <w:r>
        <w:rPr>
          <w:rStyle w:val="CharSchText"/>
        </w:rPr>
        <w:t>Explosives that may be possessed without a licence</w:t>
      </w:r>
      <w:bookmarkEnd w:id="807"/>
      <w:bookmarkEnd w:id="808"/>
      <w:bookmarkEnd w:id="809"/>
      <w:bookmarkEnd w:id="810"/>
      <w:bookmarkEnd w:id="811"/>
      <w:bookmarkEnd w:id="812"/>
    </w:p>
    <w:p>
      <w:pPr>
        <w:pStyle w:val="yShoulderClause"/>
      </w:pPr>
      <w:r>
        <w:t>[r. 46]</w:t>
      </w:r>
    </w:p>
    <w:p>
      <w:pPr>
        <w:pStyle w:val="yHeading5"/>
      </w:pPr>
      <w:bookmarkStart w:id="813" w:name="_Toc200095596"/>
      <w:bookmarkStart w:id="814" w:name="_Toc192857318"/>
      <w:r>
        <w:rPr>
          <w:rStyle w:val="CharSClsNo"/>
        </w:rPr>
        <w:t>1</w:t>
      </w:r>
      <w:r>
        <w:t>.</w:t>
      </w:r>
      <w:r>
        <w:rPr>
          <w:b w:val="0"/>
        </w:rPr>
        <w:tab/>
      </w:r>
      <w:r>
        <w:t>Sparklers</w:t>
      </w:r>
      <w:bookmarkEnd w:id="813"/>
      <w:bookmarkEnd w:id="814"/>
    </w:p>
    <w:p>
      <w:pPr>
        <w:pStyle w:val="ySubsection"/>
      </w:pPr>
      <w:r>
        <w:tab/>
      </w:r>
      <w:r>
        <w:tab/>
        <w:t>A person may possess a sparkler.</w:t>
      </w:r>
    </w:p>
    <w:p>
      <w:pPr>
        <w:pStyle w:val="yFootnotesection"/>
      </w:pPr>
      <w:r>
        <w:tab/>
        <w:t>[Clause 1 inserted: Gazette 16 Mar 2012 p. 1191.]</w:t>
      </w:r>
    </w:p>
    <w:p>
      <w:pPr>
        <w:pStyle w:val="yHeading5"/>
      </w:pPr>
      <w:bookmarkStart w:id="815" w:name="_Toc200095597"/>
      <w:bookmarkStart w:id="816" w:name="_Toc192857319"/>
      <w:r>
        <w:rPr>
          <w:rStyle w:val="CharSClsNo"/>
        </w:rPr>
        <w:t>2</w:t>
      </w:r>
      <w:r>
        <w:t>.</w:t>
      </w:r>
      <w:r>
        <w:tab/>
        <w:t>Cartridges for safety devices etc.</w:t>
      </w:r>
      <w:bookmarkEnd w:id="815"/>
      <w:bookmarkEnd w:id="816"/>
    </w:p>
    <w:p>
      <w:pPr>
        <w:pStyle w:val="ySubsection"/>
      </w:pPr>
      <w:r>
        <w:tab/>
      </w:r>
      <w:r>
        <w:tab/>
        <w:t>A person may possess a power device cartridge if in the circumstances the person has a reasonable reason to possess it.</w:t>
      </w:r>
    </w:p>
    <w:p>
      <w:pPr>
        <w:pStyle w:val="yHeading5"/>
      </w:pPr>
      <w:bookmarkStart w:id="817" w:name="_Toc200095598"/>
      <w:bookmarkStart w:id="818" w:name="_Toc192857320"/>
      <w:r>
        <w:rPr>
          <w:rStyle w:val="CharSClsNo"/>
        </w:rPr>
        <w:t>3</w:t>
      </w:r>
      <w:r>
        <w:t>.</w:t>
      </w:r>
      <w:r>
        <w:tab/>
        <w:t>Cartridges for nail guns etc.</w:t>
      </w:r>
      <w:bookmarkEnd w:id="817"/>
      <w:bookmarkEnd w:id="818"/>
    </w:p>
    <w:p>
      <w:pPr>
        <w:pStyle w:val="ySubsection"/>
      </w:pPr>
      <w:r>
        <w:tab/>
      </w:r>
      <w:r>
        <w:tab/>
        <w:t>A person may possess a power tool cartridge if in the circumstances the person has a reasonable reason to possess it.</w:t>
      </w:r>
    </w:p>
    <w:p>
      <w:pPr>
        <w:pStyle w:val="yHeading5"/>
      </w:pPr>
      <w:bookmarkStart w:id="819" w:name="_Toc200095599"/>
      <w:bookmarkStart w:id="820" w:name="_Toc192857321"/>
      <w:r>
        <w:rPr>
          <w:rStyle w:val="CharSClsNo"/>
        </w:rPr>
        <w:t>4</w:t>
      </w:r>
      <w:r>
        <w:t>.</w:t>
      </w:r>
      <w:r>
        <w:rPr>
          <w:b w:val="0"/>
        </w:rPr>
        <w:tab/>
      </w:r>
      <w:r>
        <w:t>Emergency devices</w:t>
      </w:r>
      <w:bookmarkEnd w:id="819"/>
      <w:bookmarkEnd w:id="820"/>
    </w:p>
    <w:p>
      <w:pPr>
        <w:pStyle w:val="ySubsection"/>
      </w:pPr>
      <w:r>
        <w:tab/>
      </w:r>
      <w:r>
        <w:tab/>
        <w:t>A person may possess an emergency device if in the circumstances the person has a reasonable reason to possess it.</w:t>
      </w:r>
    </w:p>
    <w:p>
      <w:pPr>
        <w:pStyle w:val="yFootnotesection"/>
      </w:pPr>
      <w:r>
        <w:tab/>
        <w:t>[Clause 4 inserted: Gazette 16 Mar 2012 p. 1192.]</w:t>
      </w:r>
    </w:p>
    <w:p>
      <w:pPr>
        <w:pStyle w:val="yHeading5"/>
      </w:pPr>
      <w:bookmarkStart w:id="821" w:name="_Toc200095600"/>
      <w:bookmarkStart w:id="822" w:name="_Toc185415250"/>
      <w:bookmarkStart w:id="823" w:name="_Toc185415414"/>
      <w:bookmarkStart w:id="824" w:name="_Toc185580893"/>
      <w:bookmarkStart w:id="825" w:name="_Toc192857322"/>
      <w:r>
        <w:rPr>
          <w:rStyle w:val="CharSClsNo"/>
        </w:rPr>
        <w:t>5</w:t>
      </w:r>
      <w:r>
        <w:t>.</w:t>
      </w:r>
      <w:r>
        <w:tab/>
        <w:t>Ammunition, ammunition propellant and black powder</w:t>
      </w:r>
      <w:bookmarkEnd w:id="821"/>
      <w:bookmarkEnd w:id="822"/>
      <w:bookmarkEnd w:id="823"/>
      <w:bookmarkEnd w:id="824"/>
      <w:bookmarkEnd w:id="825"/>
    </w:p>
    <w:p>
      <w:pPr>
        <w:pStyle w:val="ySubsection"/>
      </w:pPr>
      <w:r>
        <w:tab/>
      </w:r>
      <w:r>
        <w:tab/>
        <w:t xml:space="preserve">A person may possess ammunition, ammunition propellant or black powder if authorised under the </w:t>
      </w:r>
      <w:r>
        <w:rPr>
          <w:i/>
          <w:iCs/>
        </w:rPr>
        <w:t>Firearms Act 2024</w:t>
      </w:r>
      <w:r>
        <w:t xml:space="preserve"> to do so.</w:t>
      </w:r>
    </w:p>
    <w:p>
      <w:pPr>
        <w:pStyle w:val="yFootnotesection"/>
      </w:pPr>
      <w:r>
        <w:tab/>
        <w:t>[Clause 5 inserted: SL 2024/295 r. 5.]</w:t>
      </w:r>
    </w:p>
    <w:p>
      <w:pPr>
        <w:pStyle w:val="yHeading5"/>
      </w:pPr>
      <w:bookmarkStart w:id="826" w:name="_Toc200095601"/>
      <w:bookmarkStart w:id="827" w:name="_Toc192857323"/>
      <w:r>
        <w:rPr>
          <w:rStyle w:val="CharSClsNo"/>
        </w:rPr>
        <w:t>6</w:t>
      </w:r>
      <w:r>
        <w:t>.</w:t>
      </w:r>
      <w:r>
        <w:rPr>
          <w:b w:val="0"/>
        </w:rPr>
        <w:tab/>
      </w:r>
      <w:r>
        <w:t>Model rocket motors</w:t>
      </w:r>
      <w:bookmarkEnd w:id="826"/>
      <w:bookmarkEnd w:id="827"/>
    </w:p>
    <w:p>
      <w:pPr>
        <w:pStyle w:val="ySubsection"/>
      </w:pPr>
      <w:r>
        <w:tab/>
      </w:r>
      <w:r>
        <w:tab/>
        <w:t>A person may possess a model rocket motor if the NEQ in the motor is not more than 62.5 g.</w:t>
      </w:r>
    </w:p>
    <w:p>
      <w:pPr>
        <w:pStyle w:val="yFootnotesection"/>
      </w:pPr>
      <w:r>
        <w:tab/>
        <w:t>[Clause 6 inserted: Gazette 16 Mar 2012 p. 1192.]</w:t>
      </w:r>
    </w:p>
    <w:p>
      <w:pPr>
        <w:pStyle w:val="yHeading5"/>
      </w:pPr>
      <w:bookmarkStart w:id="828" w:name="_Toc200095602"/>
      <w:bookmarkStart w:id="829" w:name="_Toc192857324"/>
      <w:r>
        <w:rPr>
          <w:rStyle w:val="CharSClsNo"/>
        </w:rPr>
        <w:t>7</w:t>
      </w:r>
      <w:r>
        <w:t>.</w:t>
      </w:r>
      <w:r>
        <w:tab/>
        <w:t>Smoke generators</w:t>
      </w:r>
      <w:bookmarkEnd w:id="828"/>
      <w:bookmarkEnd w:id="829"/>
    </w:p>
    <w:p>
      <w:pPr>
        <w:pStyle w:val="ySubsection"/>
        <w:keepNext/>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Gazette 2 Dec 2013 p. 5616.]</w:t>
      </w:r>
    </w:p>
    <w:p>
      <w:pPr>
        <w:pStyle w:val="yHeading5"/>
      </w:pPr>
      <w:bookmarkStart w:id="830" w:name="_Toc200095603"/>
      <w:bookmarkStart w:id="831" w:name="_Toc192857325"/>
      <w:r>
        <w:rPr>
          <w:rStyle w:val="CharSClsNo"/>
        </w:rPr>
        <w:t>8</w:t>
      </w:r>
      <w:r>
        <w:t>.</w:t>
      </w:r>
      <w:r>
        <w:tab/>
        <w:t>Thermite igniters</w:t>
      </w:r>
      <w:bookmarkEnd w:id="830"/>
      <w:bookmarkEnd w:id="831"/>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Gazette 2 Dec 2013 p. 5616.]</w:t>
      </w:r>
    </w:p>
    <w:p>
      <w:pPr>
        <w:pStyle w:val="yScheduleHeading"/>
      </w:pPr>
      <w:bookmarkStart w:id="832" w:name="_Toc200031797"/>
      <w:bookmarkStart w:id="833" w:name="_Toc200036785"/>
      <w:bookmarkStart w:id="834" w:name="_Toc200095604"/>
      <w:bookmarkStart w:id="835" w:name="_Toc192852946"/>
      <w:bookmarkStart w:id="836" w:name="_Toc192854040"/>
      <w:bookmarkStart w:id="837" w:name="_Toc192857326"/>
      <w:r>
        <w:rPr>
          <w:rStyle w:val="CharSchNo"/>
        </w:rPr>
        <w:t>Schedule 5</w:t>
      </w:r>
      <w:r>
        <w:rPr>
          <w:rStyle w:val="CharSDivNo"/>
        </w:rPr>
        <w:t> </w:t>
      </w:r>
      <w:r>
        <w:t>—</w:t>
      </w:r>
      <w:r>
        <w:rPr>
          <w:rStyle w:val="CharSDivText"/>
        </w:rPr>
        <w:t> </w:t>
      </w:r>
      <w:r>
        <w:rPr>
          <w:rStyle w:val="CharSchText"/>
        </w:rPr>
        <w:t>Explosives that may be manufactured without a licence</w:t>
      </w:r>
      <w:bookmarkEnd w:id="832"/>
      <w:bookmarkEnd w:id="833"/>
      <w:bookmarkEnd w:id="834"/>
      <w:bookmarkEnd w:id="835"/>
      <w:bookmarkEnd w:id="836"/>
      <w:bookmarkEnd w:id="837"/>
    </w:p>
    <w:p>
      <w:pPr>
        <w:pStyle w:val="yShoulderClause"/>
      </w:pPr>
      <w:r>
        <w:t>[r. 64]</w:t>
      </w:r>
    </w:p>
    <w:p>
      <w:pPr>
        <w:pStyle w:val="yHeading5"/>
      </w:pPr>
      <w:bookmarkStart w:id="838" w:name="_Toc200095605"/>
      <w:bookmarkStart w:id="839" w:name="_Toc192857327"/>
      <w:r>
        <w:rPr>
          <w:rStyle w:val="CharSClsNo"/>
        </w:rPr>
        <w:t>1</w:t>
      </w:r>
      <w:r>
        <w:t>.</w:t>
      </w:r>
      <w:r>
        <w:tab/>
        <w:t>Ammunition for private use</w:t>
      </w:r>
      <w:bookmarkEnd w:id="838"/>
      <w:bookmarkEnd w:id="839"/>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is authorised under the </w:t>
      </w:r>
      <w:r>
        <w:rPr>
          <w:i/>
          <w:iCs/>
        </w:rPr>
        <w:t>Firearms Act 2024</w:t>
      </w:r>
      <w:r>
        <w:t xml:space="preserve"> to manufacture the ammunition; and</w:t>
      </w:r>
    </w:p>
    <w:p>
      <w:pPr>
        <w:pStyle w:val="yIndenta"/>
      </w:pPr>
      <w:r>
        <w:tab/>
        <w:t>(c)</w:t>
      </w:r>
      <w:r>
        <w:tab/>
        <w:t>the ammunition is not sold.</w:t>
      </w:r>
    </w:p>
    <w:p>
      <w:pPr>
        <w:pStyle w:val="yFootnotesection"/>
      </w:pPr>
      <w:r>
        <w:tab/>
        <w:t>[Clause 1 amended: SL 2024/295 r. 6.]</w:t>
      </w:r>
    </w:p>
    <w:p>
      <w:pPr>
        <w:pStyle w:val="yScheduleHeading"/>
      </w:pPr>
      <w:bookmarkStart w:id="840" w:name="_Toc200031799"/>
      <w:bookmarkStart w:id="841" w:name="_Toc200036787"/>
      <w:bookmarkStart w:id="842" w:name="_Toc200095606"/>
      <w:bookmarkStart w:id="843" w:name="_Toc192852948"/>
      <w:bookmarkStart w:id="844" w:name="_Toc192854042"/>
      <w:bookmarkStart w:id="845" w:name="_Toc192857328"/>
      <w:r>
        <w:rPr>
          <w:rStyle w:val="CharSchNo"/>
        </w:rPr>
        <w:t>Schedule 6</w:t>
      </w:r>
      <w:r>
        <w:rPr>
          <w:rStyle w:val="CharSDivNo"/>
        </w:rPr>
        <w:t> </w:t>
      </w:r>
      <w:r>
        <w:t>—</w:t>
      </w:r>
      <w:r>
        <w:rPr>
          <w:rStyle w:val="CharSDivText"/>
        </w:rPr>
        <w:t> </w:t>
      </w:r>
      <w:r>
        <w:rPr>
          <w:rStyle w:val="CharSchText"/>
        </w:rPr>
        <w:t>Explosives that may be stored without a licence</w:t>
      </w:r>
      <w:bookmarkEnd w:id="840"/>
      <w:bookmarkEnd w:id="841"/>
      <w:bookmarkEnd w:id="842"/>
      <w:bookmarkEnd w:id="843"/>
      <w:bookmarkEnd w:id="844"/>
      <w:bookmarkEnd w:id="845"/>
    </w:p>
    <w:p>
      <w:pPr>
        <w:pStyle w:val="yShoulderClause"/>
      </w:pPr>
      <w:r>
        <w:t>[r. 76]</w:t>
      </w:r>
    </w:p>
    <w:p>
      <w:pPr>
        <w:pStyle w:val="yHeading5"/>
      </w:pPr>
      <w:bookmarkStart w:id="846" w:name="_Toc200095607"/>
      <w:bookmarkStart w:id="847" w:name="_Toc192857329"/>
      <w:r>
        <w:rPr>
          <w:rStyle w:val="CharSClsNo"/>
        </w:rPr>
        <w:t>1</w:t>
      </w:r>
      <w:r>
        <w:t>.</w:t>
      </w:r>
      <w:r>
        <w:rPr>
          <w:b w:val="0"/>
        </w:rPr>
        <w:tab/>
      </w:r>
      <w:r>
        <w:t>Sparklers</w:t>
      </w:r>
      <w:bookmarkEnd w:id="846"/>
      <w:bookmarkEnd w:id="847"/>
    </w:p>
    <w:p>
      <w:pPr>
        <w:pStyle w:val="ySubsection"/>
      </w:pPr>
      <w:r>
        <w:tab/>
      </w:r>
      <w:r>
        <w:tab/>
        <w:t>A person may store a sparkler at any place.</w:t>
      </w:r>
    </w:p>
    <w:p>
      <w:pPr>
        <w:pStyle w:val="yFootnotesection"/>
      </w:pPr>
      <w:r>
        <w:tab/>
        <w:t>[Clause 1 inserted: Gazette 16 Mar 2012 p. 1192.]</w:t>
      </w:r>
    </w:p>
    <w:p>
      <w:pPr>
        <w:pStyle w:val="yHeading5"/>
      </w:pPr>
      <w:bookmarkStart w:id="848" w:name="_Toc200095608"/>
      <w:bookmarkStart w:id="849" w:name="_Toc192857330"/>
      <w:r>
        <w:rPr>
          <w:rStyle w:val="CharSClsNo"/>
        </w:rPr>
        <w:t>2</w:t>
      </w:r>
      <w:r>
        <w:t>.</w:t>
      </w:r>
      <w:r>
        <w:tab/>
        <w:t>Cartridges for safety devices etc.</w:t>
      </w:r>
      <w:bookmarkEnd w:id="848"/>
      <w:bookmarkEnd w:id="849"/>
    </w:p>
    <w:p>
      <w:pPr>
        <w:pStyle w:val="ySubsection"/>
      </w:pPr>
      <w:r>
        <w:tab/>
      </w:r>
      <w:r>
        <w:tab/>
        <w:t>A person may store a power device cartridge at any place.</w:t>
      </w:r>
    </w:p>
    <w:p>
      <w:pPr>
        <w:pStyle w:val="yHeading5"/>
      </w:pPr>
      <w:bookmarkStart w:id="850" w:name="_Toc200095609"/>
      <w:bookmarkStart w:id="851" w:name="_Toc192857331"/>
      <w:r>
        <w:rPr>
          <w:rStyle w:val="CharSClsNo"/>
        </w:rPr>
        <w:t>3</w:t>
      </w:r>
      <w:r>
        <w:t>.</w:t>
      </w:r>
      <w:r>
        <w:tab/>
        <w:t>Cartridges for nail guns etc.</w:t>
      </w:r>
      <w:bookmarkEnd w:id="850"/>
      <w:bookmarkEnd w:id="851"/>
    </w:p>
    <w:p>
      <w:pPr>
        <w:pStyle w:val="ySubsection"/>
      </w:pPr>
      <w:r>
        <w:tab/>
      </w:r>
      <w:r>
        <w:tab/>
        <w:t>A person may store a power tool cartridge at any place.</w:t>
      </w:r>
    </w:p>
    <w:p>
      <w:pPr>
        <w:pStyle w:val="yHeading5"/>
      </w:pPr>
      <w:bookmarkStart w:id="852" w:name="_Toc200095610"/>
      <w:bookmarkStart w:id="853" w:name="_Toc192857332"/>
      <w:r>
        <w:rPr>
          <w:rStyle w:val="CharSClsNo"/>
        </w:rPr>
        <w:t>4</w:t>
      </w:r>
      <w:r>
        <w:t>.</w:t>
      </w:r>
      <w:r>
        <w:tab/>
        <w:t>Emergency devices</w:t>
      </w:r>
      <w:bookmarkEnd w:id="852"/>
      <w:bookmarkEnd w:id="853"/>
    </w:p>
    <w:p>
      <w:pPr>
        <w:pStyle w:val="ySubsection"/>
      </w:pPr>
      <w:r>
        <w:tab/>
      </w:r>
      <w:r>
        <w:tab/>
        <w:t>A person may store an emergency device at any place if —</w:t>
      </w:r>
    </w:p>
    <w:p>
      <w:pPr>
        <w:pStyle w:val="yIndenta"/>
      </w:pPr>
      <w:r>
        <w:tab/>
        <w:t>(a)</w:t>
      </w:r>
      <w:r>
        <w:tab/>
        <w:t>the gross weight of emergency devices with a classification code of 1.1 or 1.2 at the place is not more than 2.5 kg; and</w:t>
      </w:r>
    </w:p>
    <w:p>
      <w:pPr>
        <w:pStyle w:val="yIndenta"/>
      </w:pPr>
      <w:r>
        <w:tab/>
        <w:t>(b)</w:t>
      </w:r>
      <w:r>
        <w:tab/>
        <w:t>the gross weight of emergency devices with a classification code of 1.3 at the place is not more than 15 kg; and</w:t>
      </w:r>
    </w:p>
    <w:p>
      <w:pPr>
        <w:pStyle w:val="yIndenta"/>
      </w:pPr>
      <w:r>
        <w:tab/>
        <w:t>(c)</w:t>
      </w:r>
      <w:r>
        <w:tab/>
        <w:t>the gross weight of emergency devices with a classification code of 1.4 at the place is not more than 30 kg.</w:t>
      </w:r>
    </w:p>
    <w:p>
      <w:pPr>
        <w:pStyle w:val="yFootnotesection"/>
      </w:pPr>
      <w:r>
        <w:tab/>
        <w:t>[Clause 4 amended: Gazette 20 Mar 2018 p. 1002.]</w:t>
      </w:r>
    </w:p>
    <w:p>
      <w:pPr>
        <w:pStyle w:val="yHeading5"/>
      </w:pPr>
      <w:bookmarkStart w:id="854" w:name="_Toc200095611"/>
      <w:bookmarkStart w:id="855" w:name="_Toc192857333"/>
      <w:r>
        <w:rPr>
          <w:rStyle w:val="CharSClsNo"/>
        </w:rPr>
        <w:t>5</w:t>
      </w:r>
      <w:r>
        <w:t>.</w:t>
      </w:r>
      <w:r>
        <w:tab/>
        <w:t>Ammunition, ammunition propellant and black powder</w:t>
      </w:r>
      <w:bookmarkEnd w:id="854"/>
      <w:bookmarkEnd w:id="855"/>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 NEQ of black powder at the place is not more than 4 kg.</w:t>
      </w:r>
    </w:p>
    <w:p>
      <w:pPr>
        <w:pStyle w:val="yFootnotesection"/>
      </w:pPr>
      <w:r>
        <w:tab/>
        <w:t>[Clause 5 amended: Gazette 20 Mar 2018 p. 1002.]</w:t>
      </w:r>
    </w:p>
    <w:p>
      <w:pPr>
        <w:pStyle w:val="yHeading5"/>
      </w:pPr>
      <w:bookmarkStart w:id="856" w:name="_Toc200095612"/>
      <w:bookmarkStart w:id="857" w:name="_Toc192857334"/>
      <w:r>
        <w:rPr>
          <w:rStyle w:val="CharSClsNo"/>
        </w:rPr>
        <w:t>6</w:t>
      </w:r>
      <w:r>
        <w:t>.</w:t>
      </w:r>
      <w:r>
        <w:rPr>
          <w:b w:val="0"/>
        </w:rPr>
        <w:tab/>
      </w:r>
      <w:r>
        <w:t>Model rocket motors</w:t>
      </w:r>
      <w:bookmarkEnd w:id="856"/>
      <w:bookmarkEnd w:id="857"/>
    </w:p>
    <w:p>
      <w:pPr>
        <w:pStyle w:val="ySubsection"/>
      </w:pPr>
      <w:r>
        <w:tab/>
      </w:r>
      <w:r>
        <w:tab/>
        <w:t>A person may store a model rocket motor at any place if the NEQ in the motor is not more than 62.5 g.</w:t>
      </w:r>
    </w:p>
    <w:p>
      <w:pPr>
        <w:pStyle w:val="yFootnotesection"/>
      </w:pPr>
      <w:r>
        <w:tab/>
        <w:t>[Clause 6 inserted: Gazette 16 Mar 2012 p. 1193.]</w:t>
      </w:r>
    </w:p>
    <w:p>
      <w:pPr>
        <w:pStyle w:val="yHeading5"/>
      </w:pPr>
      <w:bookmarkStart w:id="858" w:name="_Toc200095613"/>
      <w:bookmarkStart w:id="859" w:name="_Toc192857335"/>
      <w:r>
        <w:rPr>
          <w:rStyle w:val="CharSClsNo"/>
        </w:rPr>
        <w:t>7</w:t>
      </w:r>
      <w:r>
        <w:t>.</w:t>
      </w:r>
      <w:r>
        <w:tab/>
        <w:t>Smoke generators</w:t>
      </w:r>
      <w:bookmarkEnd w:id="858"/>
      <w:bookmarkEnd w:id="859"/>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 gross weight of such articles at the place is not more than 250 kg.</w:t>
      </w:r>
    </w:p>
    <w:p>
      <w:pPr>
        <w:pStyle w:val="yFootnotesection"/>
      </w:pPr>
      <w:r>
        <w:tab/>
        <w:t>[Clause 7 inserted: Gazette 2 Dec 2013 p. 5616; amended: Gazette 20 Mar 2018 p. 1002.]</w:t>
      </w:r>
    </w:p>
    <w:p>
      <w:pPr>
        <w:pStyle w:val="yScheduleHeading"/>
      </w:pPr>
      <w:bookmarkStart w:id="860" w:name="_Toc200031807"/>
      <w:bookmarkStart w:id="861" w:name="_Toc200036795"/>
      <w:bookmarkStart w:id="862" w:name="_Toc200095614"/>
      <w:bookmarkStart w:id="863" w:name="_Toc192852956"/>
      <w:bookmarkStart w:id="864" w:name="_Toc192854050"/>
      <w:bookmarkStart w:id="865" w:name="_Toc192857336"/>
      <w:r>
        <w:rPr>
          <w:rStyle w:val="CharSchNo"/>
        </w:rPr>
        <w:t>Schedule 7</w:t>
      </w:r>
      <w:r>
        <w:rPr>
          <w:rStyle w:val="CharSDivNo"/>
        </w:rPr>
        <w:t> </w:t>
      </w:r>
      <w:r>
        <w:t>—</w:t>
      </w:r>
      <w:r>
        <w:rPr>
          <w:rStyle w:val="CharSDivText"/>
        </w:rPr>
        <w:t> </w:t>
      </w:r>
      <w:r>
        <w:rPr>
          <w:rStyle w:val="CharSchText"/>
        </w:rPr>
        <w:t>Explosives that may be transported without a licence</w:t>
      </w:r>
      <w:bookmarkEnd w:id="860"/>
      <w:bookmarkEnd w:id="861"/>
      <w:bookmarkEnd w:id="862"/>
      <w:bookmarkEnd w:id="863"/>
      <w:bookmarkEnd w:id="864"/>
      <w:bookmarkEnd w:id="865"/>
    </w:p>
    <w:p>
      <w:pPr>
        <w:pStyle w:val="yShoulderClause"/>
      </w:pPr>
      <w:r>
        <w:t>[r. 97]</w:t>
      </w:r>
    </w:p>
    <w:p>
      <w:pPr>
        <w:pStyle w:val="yHeading5"/>
      </w:pPr>
      <w:bookmarkStart w:id="866" w:name="_Toc200095615"/>
      <w:bookmarkStart w:id="867" w:name="_Toc192857337"/>
      <w:r>
        <w:rPr>
          <w:rStyle w:val="CharSClsNo"/>
        </w:rPr>
        <w:t>1</w:t>
      </w:r>
      <w:r>
        <w:t>.</w:t>
      </w:r>
      <w:r>
        <w:tab/>
        <w:t>Sparklers</w:t>
      </w:r>
      <w:bookmarkEnd w:id="866"/>
      <w:bookmarkEnd w:id="867"/>
    </w:p>
    <w:p>
      <w:pPr>
        <w:pStyle w:val="ySubsection"/>
      </w:pPr>
      <w:r>
        <w:tab/>
      </w:r>
      <w:r>
        <w:tab/>
        <w:t>A person may transport any quantity of sparklers that have a classification code of 1.4G or 1.4S.</w:t>
      </w:r>
    </w:p>
    <w:p>
      <w:pPr>
        <w:pStyle w:val="yHeading5"/>
      </w:pPr>
      <w:bookmarkStart w:id="868" w:name="_Toc200095616"/>
      <w:bookmarkStart w:id="869" w:name="_Toc192857338"/>
      <w:r>
        <w:rPr>
          <w:rStyle w:val="CharSClsNo"/>
        </w:rPr>
        <w:t>2</w:t>
      </w:r>
      <w:r>
        <w:t>.</w:t>
      </w:r>
      <w:r>
        <w:tab/>
        <w:t>Cartridges for safety devices</w:t>
      </w:r>
      <w:bookmarkEnd w:id="868"/>
      <w:bookmarkEnd w:id="869"/>
    </w:p>
    <w:p>
      <w:pPr>
        <w:pStyle w:val="ySubsection"/>
      </w:pPr>
      <w:r>
        <w:tab/>
      </w:r>
      <w:r>
        <w:tab/>
        <w:t>A person may transport any quantity of power device cartridges.</w:t>
      </w:r>
    </w:p>
    <w:p>
      <w:pPr>
        <w:pStyle w:val="yHeading5"/>
      </w:pPr>
      <w:bookmarkStart w:id="870" w:name="_Toc200095617"/>
      <w:bookmarkStart w:id="871" w:name="_Toc192857339"/>
      <w:r>
        <w:rPr>
          <w:rStyle w:val="CharSClsNo"/>
        </w:rPr>
        <w:t>3</w:t>
      </w:r>
      <w:r>
        <w:t>.</w:t>
      </w:r>
      <w:r>
        <w:tab/>
        <w:t>Cartridges for nail guns etc.</w:t>
      </w:r>
      <w:bookmarkEnd w:id="870"/>
      <w:bookmarkEnd w:id="871"/>
    </w:p>
    <w:p>
      <w:pPr>
        <w:pStyle w:val="ySubsection"/>
      </w:pPr>
      <w:r>
        <w:tab/>
      </w:r>
      <w:r>
        <w:tab/>
        <w:t>A person may transport any quantity of power tool cartridges.</w:t>
      </w:r>
    </w:p>
    <w:p>
      <w:pPr>
        <w:pStyle w:val="yHeading5"/>
      </w:pPr>
      <w:bookmarkStart w:id="872" w:name="_Toc200095618"/>
      <w:bookmarkStart w:id="873" w:name="_Toc192857340"/>
      <w:r>
        <w:rPr>
          <w:rStyle w:val="CharSClsNo"/>
        </w:rPr>
        <w:t>4</w:t>
      </w:r>
      <w:r>
        <w:t>.</w:t>
      </w:r>
      <w:r>
        <w:tab/>
        <w:t>Emergency devices</w:t>
      </w:r>
      <w:bookmarkEnd w:id="872"/>
      <w:bookmarkEnd w:id="873"/>
    </w:p>
    <w:p>
      <w:pPr>
        <w:pStyle w:val="ySubsection"/>
      </w:pPr>
      <w:r>
        <w:tab/>
      </w:r>
      <w:r>
        <w:tab/>
        <w:t xml:space="preserve">A person may transport an emergency device if — </w:t>
      </w:r>
    </w:p>
    <w:p>
      <w:pPr>
        <w:pStyle w:val="yIndenta"/>
      </w:pPr>
      <w:r>
        <w:tab/>
        <w:t>(a)</w:t>
      </w:r>
      <w:r>
        <w:tab/>
        <w:t>the gross weight of emergency devices with a classification code of 1.3G in the vehicle is not more than 50 kg; and</w:t>
      </w:r>
    </w:p>
    <w:p>
      <w:pPr>
        <w:pStyle w:val="yIndenta"/>
      </w:pPr>
      <w:r>
        <w:tab/>
        <w:t>(b)</w:t>
      </w:r>
      <w:r>
        <w:tab/>
        <w:t>the gross weight of emergency devices with a classification code of 1.4 in the vehicle is not more than 250 kg.</w:t>
      </w:r>
    </w:p>
    <w:p>
      <w:pPr>
        <w:pStyle w:val="yFootnotesection"/>
      </w:pPr>
      <w:r>
        <w:tab/>
        <w:t>[Clause 4 amended: Gazette 16 Mar 2012 p. 1193; 20 Mar 2018 p. 1003.]</w:t>
      </w:r>
    </w:p>
    <w:p>
      <w:pPr>
        <w:pStyle w:val="yHeading5"/>
      </w:pPr>
      <w:bookmarkStart w:id="874" w:name="_Toc200095619"/>
      <w:bookmarkStart w:id="875" w:name="_Toc192857341"/>
      <w:r>
        <w:rPr>
          <w:rStyle w:val="CharSClsNo"/>
        </w:rPr>
        <w:t>5</w:t>
      </w:r>
      <w:r>
        <w:t>.</w:t>
      </w:r>
      <w:r>
        <w:tab/>
        <w:t>Ammunition, ammunition propellant and black powder</w:t>
      </w:r>
      <w:bookmarkEnd w:id="874"/>
      <w:bookmarkEnd w:id="875"/>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 NEQ of black powder in the vehicle is not more than 4 kg.</w:t>
      </w:r>
    </w:p>
    <w:p>
      <w:pPr>
        <w:pStyle w:val="yFootnotesection"/>
      </w:pPr>
      <w:r>
        <w:tab/>
        <w:t>[Clause 5 amended: Gazette 16 Mar 2012 p. 1193; 20 Mar 2018 p. 1003.]</w:t>
      </w:r>
    </w:p>
    <w:p>
      <w:pPr>
        <w:pStyle w:val="yHeading5"/>
      </w:pPr>
      <w:bookmarkStart w:id="876" w:name="_Toc200095620"/>
      <w:bookmarkStart w:id="877" w:name="_Toc192857342"/>
      <w:r>
        <w:rPr>
          <w:rStyle w:val="CharSClsNo"/>
        </w:rPr>
        <w:t>6</w:t>
      </w:r>
      <w:r>
        <w:t>.</w:t>
      </w:r>
      <w:r>
        <w:rPr>
          <w:b w:val="0"/>
        </w:rPr>
        <w:tab/>
      </w:r>
      <w:r>
        <w:t>Model rocket motors</w:t>
      </w:r>
      <w:bookmarkEnd w:id="876"/>
      <w:bookmarkEnd w:id="877"/>
    </w:p>
    <w:p>
      <w:pPr>
        <w:pStyle w:val="ySubsection"/>
        <w:keepNext/>
        <w:keepLines/>
      </w:pPr>
      <w:r>
        <w:tab/>
      </w:r>
      <w:r>
        <w:tab/>
        <w:t>A person may transport any quantity of model rocket motors if the NEQ in each motor is not more than 62.5 g.</w:t>
      </w:r>
    </w:p>
    <w:p>
      <w:pPr>
        <w:pStyle w:val="yFootnotesection"/>
      </w:pPr>
      <w:r>
        <w:tab/>
        <w:t>[Clause 6 inserted: Gazette 16 Mar 2012 p. 1193.]</w:t>
      </w:r>
    </w:p>
    <w:p>
      <w:pPr>
        <w:pStyle w:val="yHeading5"/>
      </w:pPr>
      <w:bookmarkStart w:id="878" w:name="_Toc200095621"/>
      <w:bookmarkStart w:id="879" w:name="_Toc192857343"/>
      <w:r>
        <w:rPr>
          <w:rStyle w:val="CharSClsNo"/>
        </w:rPr>
        <w:t>7</w:t>
      </w:r>
      <w:r>
        <w:t>.</w:t>
      </w:r>
      <w:r>
        <w:tab/>
        <w:t>Smoke generators</w:t>
      </w:r>
      <w:bookmarkEnd w:id="878"/>
      <w:bookmarkEnd w:id="879"/>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 gross weight of such articles in the vehicle is not more than 250 kg.</w:t>
      </w:r>
    </w:p>
    <w:p>
      <w:pPr>
        <w:pStyle w:val="yFootnotesection"/>
      </w:pPr>
      <w:r>
        <w:tab/>
        <w:t>[Clause 7 inserted: Gazette 2 Dec 2013 p. 5617; amended: Gazette 20 Mar 2018 p. 1003.]</w:t>
      </w:r>
    </w:p>
    <w:p>
      <w:pPr>
        <w:pStyle w:val="yHeading5"/>
      </w:pPr>
      <w:bookmarkStart w:id="880" w:name="_Toc200095622"/>
      <w:bookmarkStart w:id="881" w:name="_Toc192857344"/>
      <w:r>
        <w:rPr>
          <w:rStyle w:val="CharSClsNo"/>
        </w:rPr>
        <w:t>8</w:t>
      </w:r>
      <w:r>
        <w:t>.</w:t>
      </w:r>
      <w:r>
        <w:tab/>
        <w:t>Thermite igniters</w:t>
      </w:r>
      <w:bookmarkEnd w:id="880"/>
      <w:bookmarkEnd w:id="881"/>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Gazette 2 Dec 2013 p. 5617.]</w:t>
      </w:r>
    </w:p>
    <w:p>
      <w:pPr>
        <w:pStyle w:val="yScheduleHeading"/>
      </w:pPr>
      <w:bookmarkStart w:id="882" w:name="_Toc200031816"/>
      <w:bookmarkStart w:id="883" w:name="_Toc200036804"/>
      <w:bookmarkStart w:id="884" w:name="_Toc200095623"/>
      <w:bookmarkStart w:id="885" w:name="_Toc192852965"/>
      <w:bookmarkStart w:id="886" w:name="_Toc192854059"/>
      <w:bookmarkStart w:id="887" w:name="_Toc192857345"/>
      <w:r>
        <w:rPr>
          <w:rStyle w:val="CharSchNo"/>
        </w:rPr>
        <w:t>Schedule 8</w:t>
      </w:r>
      <w:r>
        <w:rPr>
          <w:rStyle w:val="CharSDivNo"/>
        </w:rPr>
        <w:t> </w:t>
      </w:r>
      <w:r>
        <w:t>—</w:t>
      </w:r>
      <w:r>
        <w:rPr>
          <w:rStyle w:val="CharSDivText"/>
        </w:rPr>
        <w:t> </w:t>
      </w:r>
      <w:r>
        <w:rPr>
          <w:rStyle w:val="CharSchText"/>
        </w:rPr>
        <w:t>Explosives that may be supplied without a licence</w:t>
      </w:r>
      <w:bookmarkEnd w:id="882"/>
      <w:bookmarkEnd w:id="883"/>
      <w:bookmarkEnd w:id="884"/>
      <w:bookmarkEnd w:id="885"/>
      <w:bookmarkEnd w:id="886"/>
      <w:bookmarkEnd w:id="887"/>
    </w:p>
    <w:p>
      <w:pPr>
        <w:pStyle w:val="yShoulderClause"/>
      </w:pPr>
      <w:r>
        <w:t>[r. 112]</w:t>
      </w:r>
    </w:p>
    <w:p>
      <w:pPr>
        <w:pStyle w:val="yHeading5"/>
      </w:pPr>
      <w:bookmarkStart w:id="888" w:name="_Toc200095624"/>
      <w:bookmarkStart w:id="889" w:name="_Toc192857346"/>
      <w:r>
        <w:rPr>
          <w:rStyle w:val="CharSClsNo"/>
        </w:rPr>
        <w:t>1</w:t>
      </w:r>
      <w:r>
        <w:t>.</w:t>
      </w:r>
      <w:r>
        <w:tab/>
        <w:t>Sparklers</w:t>
      </w:r>
      <w:bookmarkEnd w:id="888"/>
      <w:bookmarkEnd w:id="889"/>
    </w:p>
    <w:p>
      <w:pPr>
        <w:pStyle w:val="ySubsection"/>
      </w:pPr>
      <w:r>
        <w:tab/>
      </w:r>
      <w:r>
        <w:tab/>
        <w:t>A person may supply a sparkler.</w:t>
      </w:r>
    </w:p>
    <w:p>
      <w:pPr>
        <w:pStyle w:val="yHeading5"/>
      </w:pPr>
      <w:bookmarkStart w:id="890" w:name="_Toc200095625"/>
      <w:bookmarkStart w:id="891" w:name="_Toc192857347"/>
      <w:r>
        <w:rPr>
          <w:rStyle w:val="CharSClsNo"/>
        </w:rPr>
        <w:t>2</w:t>
      </w:r>
      <w:r>
        <w:t>.</w:t>
      </w:r>
      <w:r>
        <w:tab/>
        <w:t>Cartridges for safety devices etc.</w:t>
      </w:r>
      <w:bookmarkEnd w:id="890"/>
      <w:bookmarkEnd w:id="891"/>
    </w:p>
    <w:p>
      <w:pPr>
        <w:pStyle w:val="ySubsection"/>
      </w:pPr>
      <w:r>
        <w:tab/>
      </w:r>
      <w:r>
        <w:tab/>
        <w:t>A person may supply a power device cartridge.</w:t>
      </w:r>
    </w:p>
    <w:p>
      <w:pPr>
        <w:pStyle w:val="yHeading5"/>
      </w:pPr>
      <w:bookmarkStart w:id="892" w:name="_Toc200095626"/>
      <w:bookmarkStart w:id="893" w:name="_Toc192857348"/>
      <w:r>
        <w:rPr>
          <w:rStyle w:val="CharSClsNo"/>
        </w:rPr>
        <w:t>3</w:t>
      </w:r>
      <w:r>
        <w:t>.</w:t>
      </w:r>
      <w:r>
        <w:tab/>
        <w:t>Cartridges for nail guns etc.</w:t>
      </w:r>
      <w:bookmarkEnd w:id="892"/>
      <w:bookmarkEnd w:id="893"/>
    </w:p>
    <w:p>
      <w:pPr>
        <w:pStyle w:val="ySubsection"/>
      </w:pPr>
      <w:r>
        <w:tab/>
      </w:r>
      <w:r>
        <w:tab/>
        <w:t>A person may supply a power tool cartridge.</w:t>
      </w:r>
    </w:p>
    <w:p>
      <w:pPr>
        <w:pStyle w:val="yHeading5"/>
      </w:pPr>
      <w:bookmarkStart w:id="894" w:name="_Toc200095627"/>
      <w:bookmarkStart w:id="895" w:name="_Toc192857349"/>
      <w:r>
        <w:rPr>
          <w:rStyle w:val="CharSClsNo"/>
        </w:rPr>
        <w:t>4</w:t>
      </w:r>
      <w:r>
        <w:t>.</w:t>
      </w:r>
      <w:r>
        <w:tab/>
        <w:t>Emergency devices</w:t>
      </w:r>
      <w:bookmarkEnd w:id="894"/>
      <w:bookmarkEnd w:id="895"/>
    </w:p>
    <w:p>
      <w:pPr>
        <w:pStyle w:val="ySubsection"/>
      </w:pPr>
      <w:r>
        <w:tab/>
      </w:r>
      <w:r>
        <w:tab/>
        <w:t>A person may supply an emergency device.</w:t>
      </w:r>
    </w:p>
    <w:p>
      <w:pPr>
        <w:pStyle w:val="yHeading5"/>
      </w:pPr>
      <w:bookmarkStart w:id="896" w:name="_Toc200095628"/>
      <w:bookmarkStart w:id="897" w:name="_Toc192857350"/>
      <w:r>
        <w:rPr>
          <w:rStyle w:val="CharSClsNo"/>
        </w:rPr>
        <w:t>5</w:t>
      </w:r>
      <w:r>
        <w:t>.</w:t>
      </w:r>
      <w:r>
        <w:rPr>
          <w:b w:val="0"/>
        </w:rPr>
        <w:tab/>
      </w:r>
      <w:r>
        <w:t>Ammunition, ammunition propellant and black powder</w:t>
      </w:r>
      <w:bookmarkEnd w:id="896"/>
      <w:bookmarkEnd w:id="897"/>
    </w:p>
    <w:p>
      <w:pPr>
        <w:pStyle w:val="ySubsection"/>
      </w:pPr>
      <w:r>
        <w:tab/>
      </w:r>
      <w:r>
        <w:tab/>
        <w:t xml:space="preserve">A person may supply ammunition, ammunition propellant or black powder if authorised under the </w:t>
      </w:r>
      <w:r>
        <w:rPr>
          <w:i/>
        </w:rPr>
        <w:t>Firearms Act 2024</w:t>
      </w:r>
      <w:r>
        <w:t xml:space="preserve"> to do so.</w:t>
      </w:r>
    </w:p>
    <w:p>
      <w:pPr>
        <w:pStyle w:val="yFootnotesection"/>
      </w:pPr>
      <w:r>
        <w:tab/>
        <w:t>[Clause 5 inserted: Gazette 16 Mar 2012 p. 1193; amended: SL 2024/295 r. 7.]</w:t>
      </w:r>
    </w:p>
    <w:p>
      <w:pPr>
        <w:pStyle w:val="yHeading5"/>
      </w:pPr>
      <w:bookmarkStart w:id="898" w:name="_Toc200095629"/>
      <w:bookmarkStart w:id="899" w:name="_Toc192857351"/>
      <w:r>
        <w:rPr>
          <w:rStyle w:val="CharSClsNo"/>
        </w:rPr>
        <w:t>6</w:t>
      </w:r>
      <w:r>
        <w:t>.</w:t>
      </w:r>
      <w:r>
        <w:tab/>
        <w:t>Smoke generators</w:t>
      </w:r>
      <w:bookmarkEnd w:id="898"/>
      <w:bookmarkEnd w:id="899"/>
    </w:p>
    <w:p>
      <w:pPr>
        <w:pStyle w:val="ySubsection"/>
      </w:pPr>
      <w:r>
        <w:tab/>
      </w:r>
      <w:r>
        <w:tab/>
        <w:t>A person may supply an article that generates smoke signals if the article has a classification code of 1.4G or 1.4S.</w:t>
      </w:r>
    </w:p>
    <w:p>
      <w:pPr>
        <w:pStyle w:val="yFootnotesection"/>
      </w:pPr>
      <w:r>
        <w:tab/>
        <w:t>[Clause 6 inserted: Gazette 2 Dec 2013 p. 5617.]</w:t>
      </w:r>
    </w:p>
    <w:p>
      <w:pPr>
        <w:pStyle w:val="yHeading5"/>
      </w:pPr>
      <w:bookmarkStart w:id="900" w:name="_Toc200095630"/>
      <w:bookmarkStart w:id="901" w:name="_Toc192857352"/>
      <w:r>
        <w:rPr>
          <w:rStyle w:val="CharSClsNo"/>
        </w:rPr>
        <w:t>7</w:t>
      </w:r>
      <w:r>
        <w:t>.</w:t>
      </w:r>
      <w:r>
        <w:tab/>
        <w:t>Thermite igniters</w:t>
      </w:r>
      <w:bookmarkEnd w:id="900"/>
      <w:bookmarkEnd w:id="901"/>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Gazette 2 Dec 2013 p. 5617</w:t>
      </w:r>
      <w:r>
        <w:noBreakHyphen/>
        <w:t>18.]</w:t>
      </w:r>
    </w:p>
    <w:p>
      <w:pPr>
        <w:pStyle w:val="yScheduleHeading"/>
      </w:pPr>
      <w:bookmarkStart w:id="902" w:name="_Toc200031824"/>
      <w:bookmarkStart w:id="903" w:name="_Toc200036812"/>
      <w:bookmarkStart w:id="904" w:name="_Toc200095631"/>
      <w:bookmarkStart w:id="905" w:name="_Toc192852973"/>
      <w:bookmarkStart w:id="906" w:name="_Toc192854067"/>
      <w:bookmarkStart w:id="907" w:name="_Toc192857353"/>
      <w:r>
        <w:rPr>
          <w:rStyle w:val="CharSchNo"/>
        </w:rPr>
        <w:t>Schedule 9</w:t>
      </w:r>
      <w:r>
        <w:rPr>
          <w:rStyle w:val="CharSDivNo"/>
        </w:rPr>
        <w:t> </w:t>
      </w:r>
      <w:r>
        <w:t>—</w:t>
      </w:r>
      <w:r>
        <w:rPr>
          <w:rStyle w:val="CharSDivText"/>
        </w:rPr>
        <w:t> </w:t>
      </w:r>
      <w:r>
        <w:rPr>
          <w:rStyle w:val="CharSchText"/>
        </w:rPr>
        <w:t>Explosives that may be used without a licence</w:t>
      </w:r>
      <w:bookmarkEnd w:id="902"/>
      <w:bookmarkEnd w:id="903"/>
      <w:bookmarkEnd w:id="904"/>
      <w:bookmarkEnd w:id="905"/>
      <w:bookmarkEnd w:id="906"/>
      <w:bookmarkEnd w:id="907"/>
    </w:p>
    <w:p>
      <w:pPr>
        <w:pStyle w:val="yShoulderClause"/>
      </w:pPr>
      <w:r>
        <w:t>[r. 125(1)]</w:t>
      </w:r>
    </w:p>
    <w:p>
      <w:pPr>
        <w:pStyle w:val="yHeading5"/>
      </w:pPr>
      <w:bookmarkStart w:id="908" w:name="_Toc200095632"/>
      <w:bookmarkStart w:id="909" w:name="_Toc192857354"/>
      <w:r>
        <w:rPr>
          <w:rStyle w:val="CharSClsNo"/>
        </w:rPr>
        <w:t>1</w:t>
      </w:r>
      <w:r>
        <w:t>.</w:t>
      </w:r>
      <w:r>
        <w:tab/>
        <w:t>Sparklers</w:t>
      </w:r>
      <w:bookmarkEnd w:id="908"/>
      <w:bookmarkEnd w:id="909"/>
    </w:p>
    <w:p>
      <w:pPr>
        <w:pStyle w:val="ySubsection"/>
      </w:pPr>
      <w:r>
        <w:tab/>
      </w:r>
      <w:r>
        <w:tab/>
        <w:t>A person may use a sparkler.</w:t>
      </w:r>
    </w:p>
    <w:p>
      <w:pPr>
        <w:pStyle w:val="yHeading5"/>
      </w:pPr>
      <w:bookmarkStart w:id="910" w:name="_Toc200095633"/>
      <w:bookmarkStart w:id="911" w:name="_Toc192857355"/>
      <w:r>
        <w:rPr>
          <w:rStyle w:val="CharSClsNo"/>
        </w:rPr>
        <w:t>2</w:t>
      </w:r>
      <w:r>
        <w:t>.</w:t>
      </w:r>
      <w:r>
        <w:tab/>
        <w:t>Cartridges for safety devices etc.</w:t>
      </w:r>
      <w:bookmarkEnd w:id="910"/>
      <w:bookmarkEnd w:id="911"/>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912" w:name="_Toc200095634"/>
      <w:bookmarkStart w:id="913" w:name="_Toc192857356"/>
      <w:r>
        <w:rPr>
          <w:rStyle w:val="CharSClsNo"/>
        </w:rPr>
        <w:t>3</w:t>
      </w:r>
      <w:r>
        <w:t>.</w:t>
      </w:r>
      <w:r>
        <w:tab/>
        <w:t>Cartridges for nail guns etc.</w:t>
      </w:r>
      <w:bookmarkEnd w:id="912"/>
      <w:bookmarkEnd w:id="913"/>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914" w:name="_Toc200095635"/>
      <w:bookmarkStart w:id="915" w:name="_Toc192857357"/>
      <w:r>
        <w:rPr>
          <w:rStyle w:val="CharSClsNo"/>
        </w:rPr>
        <w:t>4</w:t>
      </w:r>
      <w:r>
        <w:t>.</w:t>
      </w:r>
      <w:r>
        <w:tab/>
        <w:t>Emergency devices</w:t>
      </w:r>
      <w:bookmarkEnd w:id="914"/>
      <w:bookmarkEnd w:id="915"/>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Gazette 16 Mar 2012 p. 1194.]</w:t>
      </w:r>
    </w:p>
    <w:p>
      <w:pPr>
        <w:pStyle w:val="yHeading5"/>
      </w:pPr>
      <w:bookmarkStart w:id="916" w:name="_Toc200095636"/>
      <w:bookmarkStart w:id="917" w:name="_Toc192857358"/>
      <w:r>
        <w:rPr>
          <w:rStyle w:val="CharSClsNo"/>
        </w:rPr>
        <w:t>5</w:t>
      </w:r>
      <w:r>
        <w:t>.</w:t>
      </w:r>
      <w:r>
        <w:tab/>
        <w:t>Ammunition</w:t>
      </w:r>
      <w:bookmarkEnd w:id="916"/>
      <w:bookmarkEnd w:id="917"/>
    </w:p>
    <w:p>
      <w:pPr>
        <w:pStyle w:val="ySubsection"/>
      </w:pPr>
      <w:r>
        <w:tab/>
        <w:t>(1)</w:t>
      </w:r>
      <w:r>
        <w:tab/>
        <w:t xml:space="preserve">A person may use ammunition if authorised under the </w:t>
      </w:r>
      <w:r>
        <w:rPr>
          <w:i/>
          <w:iCs/>
        </w:rPr>
        <w:t xml:space="preserve">Firearms Act 2024 </w:t>
      </w:r>
      <w:r>
        <w:t>to do so.</w:t>
      </w:r>
    </w:p>
    <w:p>
      <w:pPr>
        <w:pStyle w:val="ySubsection"/>
      </w:pPr>
      <w:r>
        <w:tab/>
        <w:t>(2)</w:t>
      </w:r>
      <w:r>
        <w:tab/>
        <w:t>A person may use ammunition propellant if it is in ammunition that is used under subclause (1).</w:t>
      </w:r>
    </w:p>
    <w:p>
      <w:pPr>
        <w:pStyle w:val="ySubsection"/>
        <w:keepNext/>
      </w:pPr>
      <w:r>
        <w:tab/>
        <w:t>(3)</w:t>
      </w:r>
      <w:r>
        <w:tab/>
        <w:t xml:space="preserve">A person may use black powder if the person is authorised under the </w:t>
      </w:r>
      <w:r>
        <w:rPr>
          <w:i/>
          <w:iCs/>
        </w:rPr>
        <w:t>Firearms Act 2024</w:t>
      </w:r>
      <w:r>
        <w:t xml:space="preserve"> to possess a firearm that uses black powder and uses the powder in that firearm.</w:t>
      </w:r>
    </w:p>
    <w:p>
      <w:pPr>
        <w:pStyle w:val="yFootnotesection"/>
      </w:pPr>
      <w:r>
        <w:tab/>
        <w:t>[Clause 5 amended: SL 2024/295 r. 8.]</w:t>
      </w:r>
    </w:p>
    <w:p>
      <w:pPr>
        <w:pStyle w:val="yHeading5"/>
      </w:pPr>
      <w:bookmarkStart w:id="918" w:name="_Toc200095637"/>
      <w:bookmarkStart w:id="919" w:name="_Toc192857359"/>
      <w:r>
        <w:rPr>
          <w:rStyle w:val="CharSClsNo"/>
        </w:rPr>
        <w:t>6</w:t>
      </w:r>
      <w:r>
        <w:t>.</w:t>
      </w:r>
      <w:r>
        <w:rPr>
          <w:b w:val="0"/>
        </w:rPr>
        <w:tab/>
      </w:r>
      <w:r>
        <w:t>Model rocket motors</w:t>
      </w:r>
      <w:bookmarkEnd w:id="918"/>
      <w:bookmarkEnd w:id="919"/>
    </w:p>
    <w:p>
      <w:pPr>
        <w:pStyle w:val="ySubsection"/>
      </w:pPr>
      <w:r>
        <w:tab/>
      </w:r>
      <w:r>
        <w:tab/>
        <w:t>A person may use a model rocket motor if the NEQ in the motor is not more than 62.5 g.</w:t>
      </w:r>
    </w:p>
    <w:p>
      <w:pPr>
        <w:pStyle w:val="yFootnotesection"/>
      </w:pPr>
      <w:r>
        <w:tab/>
        <w:t>[Clause 6 inserted: Gazette 16 Mar 2012 p. 1194.]</w:t>
      </w:r>
    </w:p>
    <w:p>
      <w:pPr>
        <w:pStyle w:val="yHeading5"/>
      </w:pPr>
      <w:bookmarkStart w:id="920" w:name="_Toc200095638"/>
      <w:bookmarkStart w:id="921" w:name="_Toc192857360"/>
      <w:r>
        <w:rPr>
          <w:rStyle w:val="CharSClsNo"/>
        </w:rPr>
        <w:t>7</w:t>
      </w:r>
      <w:r>
        <w:t>.</w:t>
      </w:r>
      <w:r>
        <w:tab/>
        <w:t>Smoke generators</w:t>
      </w:r>
      <w:bookmarkEnd w:id="920"/>
      <w:bookmarkEnd w:id="921"/>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Gazette 2 Dec 2013 p. 5618.]</w:t>
      </w:r>
    </w:p>
    <w:p>
      <w:pPr>
        <w:pStyle w:val="yHeading5"/>
      </w:pPr>
      <w:bookmarkStart w:id="922" w:name="_Toc200095639"/>
      <w:bookmarkStart w:id="923" w:name="_Toc192857361"/>
      <w:r>
        <w:rPr>
          <w:rStyle w:val="CharSClsNo"/>
        </w:rPr>
        <w:t>8</w:t>
      </w:r>
      <w:r>
        <w:t>.</w:t>
      </w:r>
      <w:r>
        <w:tab/>
        <w:t>Thermite igniters</w:t>
      </w:r>
      <w:bookmarkEnd w:id="922"/>
      <w:bookmarkEnd w:id="923"/>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Gazette 2 Dec 2013 p. 5618.]</w:t>
      </w:r>
    </w:p>
    <w:p>
      <w:pPr>
        <w:pStyle w:val="yScheduleHeading"/>
      </w:pPr>
      <w:bookmarkStart w:id="924" w:name="_Toc200031833"/>
      <w:bookmarkStart w:id="925" w:name="_Toc200036821"/>
      <w:bookmarkStart w:id="926" w:name="_Toc200095640"/>
      <w:bookmarkStart w:id="927" w:name="_Toc192852982"/>
      <w:bookmarkStart w:id="928" w:name="_Toc192854076"/>
      <w:bookmarkStart w:id="929" w:name="_Toc192857362"/>
      <w:r>
        <w:rPr>
          <w:rStyle w:val="CharSchNo"/>
        </w:rPr>
        <w:t>Schedule 10</w:t>
      </w:r>
      <w:r>
        <w:t> — </w:t>
      </w:r>
      <w:r>
        <w:rPr>
          <w:rStyle w:val="CharSchText"/>
        </w:rPr>
        <w:t>Provisions for required plans</w:t>
      </w:r>
      <w:bookmarkEnd w:id="924"/>
      <w:bookmarkEnd w:id="925"/>
      <w:bookmarkEnd w:id="926"/>
      <w:bookmarkEnd w:id="927"/>
      <w:bookmarkEnd w:id="928"/>
      <w:bookmarkEnd w:id="929"/>
    </w:p>
    <w:p>
      <w:pPr>
        <w:pStyle w:val="yShoulderClause"/>
      </w:pPr>
      <w:r>
        <w:t>[r. 161]</w:t>
      </w:r>
    </w:p>
    <w:p>
      <w:pPr>
        <w:pStyle w:val="yHeading5"/>
      </w:pPr>
      <w:bookmarkStart w:id="930" w:name="_Toc200095641"/>
      <w:bookmarkStart w:id="931" w:name="_Toc192857363"/>
      <w:r>
        <w:rPr>
          <w:rStyle w:val="CharSClsNo"/>
        </w:rPr>
        <w:t>1</w:t>
      </w:r>
      <w:r>
        <w:t>.</w:t>
      </w:r>
      <w:r>
        <w:tab/>
        <w:t>Terms used</w:t>
      </w:r>
      <w:bookmarkEnd w:id="930"/>
      <w:bookmarkEnd w:id="931"/>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932" w:name="_Toc200095642"/>
      <w:bookmarkStart w:id="933" w:name="_Toc192857364"/>
      <w:r>
        <w:rPr>
          <w:rStyle w:val="CharSClsNo"/>
        </w:rPr>
        <w:t>2</w:t>
      </w:r>
      <w:r>
        <w:t>.</w:t>
      </w:r>
      <w:r>
        <w:rPr>
          <w:b w:val="0"/>
        </w:rPr>
        <w:tab/>
      </w:r>
      <w:r>
        <w:t>General matters</w:t>
      </w:r>
      <w:bookmarkEnd w:id="932"/>
      <w:bookmarkEnd w:id="933"/>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tabs>
          <w:tab w:val="left" w:pos="2552"/>
        </w:tabs>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Gazette 16 Mar 2012 p. 1194</w:t>
      </w:r>
      <w:r>
        <w:noBreakHyphen/>
        <w:t>5; amended: Gazette 2 Dec 2013 p. 5619.]</w:t>
      </w:r>
    </w:p>
    <w:p>
      <w:pPr>
        <w:pStyle w:val="yHeading5"/>
      </w:pPr>
      <w:bookmarkStart w:id="934" w:name="_Toc200095643"/>
      <w:bookmarkStart w:id="935" w:name="_Toc192857365"/>
      <w:r>
        <w:rPr>
          <w:rStyle w:val="CharSClsNo"/>
        </w:rPr>
        <w:t>3A</w:t>
      </w:r>
      <w:r>
        <w:t>.</w:t>
      </w:r>
      <w:r>
        <w:rPr>
          <w:b w:val="0"/>
        </w:rPr>
        <w:tab/>
      </w:r>
      <w:r>
        <w:t>Emergency management plans</w:t>
      </w:r>
      <w:bookmarkEnd w:id="934"/>
      <w:bookmarkEnd w:id="935"/>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Gazette 16 Mar 2012 p. 1195.]</w:t>
      </w:r>
    </w:p>
    <w:p>
      <w:pPr>
        <w:pStyle w:val="yHeading5"/>
      </w:pPr>
      <w:bookmarkStart w:id="936" w:name="_Toc200095644"/>
      <w:bookmarkStart w:id="937" w:name="_Toc192857366"/>
      <w:r>
        <w:rPr>
          <w:rStyle w:val="CharSClsNo"/>
        </w:rPr>
        <w:t>3</w:t>
      </w:r>
      <w:r>
        <w:t>.</w:t>
      </w:r>
      <w:r>
        <w:tab/>
        <w:t>Safety matters</w:t>
      </w:r>
      <w:bookmarkEnd w:id="936"/>
      <w:bookmarkEnd w:id="937"/>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938" w:name="_Toc200095645"/>
      <w:bookmarkStart w:id="939" w:name="_Toc192857367"/>
      <w:r>
        <w:rPr>
          <w:rStyle w:val="CharSClsNo"/>
        </w:rPr>
        <w:t>4</w:t>
      </w:r>
      <w:r>
        <w:t>.</w:t>
      </w:r>
      <w:r>
        <w:tab/>
        <w:t>Security matters</w:t>
      </w:r>
      <w:bookmarkEnd w:id="938"/>
      <w:bookmarkEnd w:id="939"/>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940" w:name="_Toc200031839"/>
      <w:bookmarkStart w:id="941" w:name="_Toc200036827"/>
      <w:bookmarkStart w:id="942" w:name="_Toc200095646"/>
      <w:bookmarkStart w:id="943" w:name="_Toc192852988"/>
      <w:bookmarkStart w:id="944" w:name="_Toc192854082"/>
      <w:bookmarkStart w:id="945" w:name="_Toc192857368"/>
      <w:r>
        <w:rPr>
          <w:rStyle w:val="CharSchNo"/>
        </w:rPr>
        <w:t>Schedule 11</w:t>
      </w:r>
      <w:r>
        <w:rPr>
          <w:rStyle w:val="CharSDivNo"/>
          <w:sz w:val="28"/>
        </w:rPr>
        <w:t> </w:t>
      </w:r>
      <w:r>
        <w:t>—</w:t>
      </w:r>
      <w:r>
        <w:rPr>
          <w:rStyle w:val="CharSDivText"/>
          <w:sz w:val="28"/>
        </w:rPr>
        <w:t> </w:t>
      </w:r>
      <w:r>
        <w:rPr>
          <w:rStyle w:val="CharSchText"/>
        </w:rPr>
        <w:t>Central business districts</w:t>
      </w:r>
      <w:bookmarkEnd w:id="940"/>
      <w:bookmarkEnd w:id="941"/>
      <w:bookmarkEnd w:id="942"/>
      <w:bookmarkEnd w:id="943"/>
      <w:bookmarkEnd w:id="944"/>
      <w:bookmarkEnd w:id="945"/>
    </w:p>
    <w:p>
      <w:pPr>
        <w:pStyle w:val="yShoulderClause"/>
      </w:pPr>
      <w:r>
        <w:t>[r. 107]</w:t>
      </w:r>
    </w:p>
    <w:p>
      <w:pPr>
        <w:pStyle w:val="yHeading5"/>
      </w:pPr>
      <w:bookmarkStart w:id="946" w:name="_Toc200095647"/>
      <w:bookmarkStart w:id="947" w:name="_Toc192857369"/>
      <w:r>
        <w:rPr>
          <w:rStyle w:val="CharSClsNo"/>
        </w:rPr>
        <w:t>1</w:t>
      </w:r>
      <w:r>
        <w:t>.</w:t>
      </w:r>
      <w:r>
        <w:tab/>
        <w:t>Fremantle central business district</w:t>
      </w:r>
      <w:bookmarkEnd w:id="946"/>
      <w:bookmarkEnd w:id="947"/>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Footnotesection"/>
      </w:pPr>
      <w:r>
        <w:tab/>
        <w:t>[Clause 1 amended: Gazette 16 Mar 2012 p. 1196.]</w:t>
      </w:r>
    </w:p>
    <w:p>
      <w:pPr>
        <w:pStyle w:val="yHeading5"/>
      </w:pPr>
      <w:bookmarkStart w:id="948" w:name="_Toc200095648"/>
      <w:bookmarkStart w:id="949" w:name="_Toc192857370"/>
      <w:r>
        <w:rPr>
          <w:rStyle w:val="CharSClsNo"/>
        </w:rPr>
        <w:t>2</w:t>
      </w:r>
      <w:r>
        <w:t>.</w:t>
      </w:r>
      <w:r>
        <w:tab/>
        <w:t>Perth central business district</w:t>
      </w:r>
      <w:bookmarkEnd w:id="948"/>
      <w:bookmarkEnd w:id="949"/>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keepNext/>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20" w:footer="3544" w:gutter="0"/>
          <w:cols w:space="720"/>
          <w:noEndnote/>
          <w:docGrid w:linePitch="326"/>
        </w:sectPr>
      </w:pPr>
    </w:p>
    <w:p>
      <w:pPr>
        <w:pStyle w:val="nHeading2"/>
      </w:pPr>
      <w:bookmarkStart w:id="950" w:name="_Toc200031842"/>
      <w:bookmarkStart w:id="951" w:name="_Toc200036830"/>
      <w:bookmarkStart w:id="952" w:name="_Toc200095649"/>
      <w:bookmarkStart w:id="953" w:name="_Toc192852991"/>
      <w:bookmarkStart w:id="954" w:name="_Toc192854085"/>
      <w:bookmarkStart w:id="955" w:name="_Toc192857371"/>
      <w:r>
        <w:t>Notes</w:t>
      </w:r>
      <w:bookmarkEnd w:id="950"/>
      <w:bookmarkEnd w:id="951"/>
      <w:bookmarkEnd w:id="952"/>
      <w:bookmarkEnd w:id="953"/>
      <w:bookmarkEnd w:id="954"/>
      <w:bookmarkEnd w:id="955"/>
    </w:p>
    <w:p>
      <w:pPr>
        <w:pStyle w:val="nStatement"/>
      </w:pPr>
      <w:r>
        <w:t xml:space="preserve">This is a compilation of the </w:t>
      </w:r>
      <w:r>
        <w:rPr>
          <w:i/>
          <w:noProof/>
        </w:rPr>
        <w:t>Dangerous Goods Safety (Explosives) Regulations 2007</w:t>
      </w:r>
      <w:r>
        <w:t xml:space="preserve"> and includes amendments made by other written laws. For provisions that have come into operation, and for information about any reprints, see the compilation table. </w:t>
      </w:r>
      <w:ins w:id="956" w:author="Master Repository Process" w:date="2025-06-10T13:31:00Z">
        <w:r>
          <w:t>For provisions that have not yet come into operation see the uncommenced provisions table.</w:t>
        </w:r>
      </w:ins>
    </w:p>
    <w:p>
      <w:pPr>
        <w:pStyle w:val="nHeading3"/>
      </w:pPr>
      <w:bookmarkStart w:id="957" w:name="_Toc200095650"/>
      <w:bookmarkStart w:id="958" w:name="_Toc192857372"/>
      <w:r>
        <w:t>Compilation table</w:t>
      </w:r>
      <w:bookmarkEnd w:id="957"/>
      <w:bookmarkEnd w:id="95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rPr>
          <w:cantSplit/>
        </w:trP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bCs/>
                <w:snapToGrid w:val="0"/>
                <w:spacing w:val="-2"/>
              </w:rPr>
            </w:pPr>
            <w:r>
              <w:rPr>
                <w:bCs/>
                <w:snapToGrid w:val="0"/>
                <w:spacing w:val="-2"/>
              </w:rPr>
              <w:t>r. 1 and 2: 24 Oct 2014 (see r. 2(a));</w:t>
            </w:r>
            <w:r>
              <w:rPr>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2</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Levies) Regulations 2016</w:t>
            </w:r>
            <w:r>
              <w:t xml:space="preserve"> Pt. 2</w:t>
            </w:r>
          </w:p>
        </w:tc>
        <w:tc>
          <w:tcPr>
            <w:tcW w:w="1276" w:type="dxa"/>
            <w:tcBorders>
              <w:top w:val="nil"/>
              <w:bottom w:val="nil"/>
            </w:tcBorders>
          </w:tcPr>
          <w:p>
            <w:pPr>
              <w:pStyle w:val="nTable"/>
              <w:spacing w:after="40"/>
            </w:pPr>
            <w:r>
              <w:t>24 Jun 2016 p. 2325-34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Dangerous Goods Safety (Explosives) Regulations 2007</w:t>
            </w:r>
            <w:r>
              <w:rPr>
                <w:b/>
                <w:bCs/>
                <w:snapToGrid w:val="0"/>
                <w:spacing w:val="-2"/>
              </w:rPr>
              <w:t xml:space="preserve"> as at 7 Oct 2016</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2017</w:t>
            </w:r>
            <w:r>
              <w:t xml:space="preserve"> Pt. 2</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bCs/>
                <w:snapToGrid w:val="0"/>
                <w:spacing w:val="-2"/>
              </w:rPr>
            </w:pPr>
            <w:r>
              <w:rPr>
                <w:bCs/>
                <w:snapToGrid w:val="0"/>
                <w:spacing w:val="-2"/>
              </w:rPr>
              <w:t>4 Mar 2017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pPr>
            <w:r>
              <w:rPr>
                <w:i/>
              </w:rPr>
              <w:t>Mines and Petroleum Regulations Amendment (Fees and Charges) Regulations 2017</w:t>
            </w:r>
            <w:r>
              <w:t xml:space="preserve"> Pt. 2</w:t>
            </w:r>
          </w:p>
        </w:tc>
        <w:tc>
          <w:tcPr>
            <w:tcW w:w="1276" w:type="dxa"/>
            <w:tcBorders>
              <w:top w:val="nil"/>
              <w:bottom w:val="nil"/>
            </w:tcBorders>
          </w:tcPr>
          <w:p>
            <w:pPr>
              <w:pStyle w:val="nTable"/>
              <w:keepNext/>
              <w:spacing w:after="40"/>
            </w:pPr>
            <w:r>
              <w:t>23 Jun 2017 p. 3279</w:t>
            </w:r>
            <w:r>
              <w:noBreakHyphen/>
              <w:t>309</w:t>
            </w:r>
          </w:p>
        </w:tc>
        <w:tc>
          <w:tcPr>
            <w:tcW w:w="2693" w:type="dxa"/>
            <w:tcBorders>
              <w:top w:val="nil"/>
              <w:bottom w:val="nil"/>
            </w:tcBorders>
          </w:tcPr>
          <w:p>
            <w:pPr>
              <w:pStyle w:val="nTable"/>
              <w:keepNext/>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(Explosives) Amendment Regulations 2017</w:t>
            </w:r>
          </w:p>
        </w:tc>
        <w:tc>
          <w:tcPr>
            <w:tcW w:w="1276" w:type="dxa"/>
            <w:tcBorders>
              <w:top w:val="nil"/>
              <w:bottom w:val="nil"/>
            </w:tcBorders>
          </w:tcPr>
          <w:p>
            <w:pPr>
              <w:pStyle w:val="nTable"/>
              <w:spacing w:after="40"/>
            </w:pPr>
            <w:r>
              <w:t>27 Jun 2017 p. 3431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27 Jun 2017 (see r. 2(a));</w:t>
            </w:r>
            <w:r>
              <w:rPr>
                <w:bCs/>
                <w:snapToGrid w:val="0"/>
                <w:spacing w:val="-2"/>
              </w:rPr>
              <w:br/>
              <w:t>Regulations other than r. 1 and 2: 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u w:val="single"/>
              </w:rPr>
            </w:pPr>
            <w:r>
              <w:rPr>
                <w:i/>
              </w:rPr>
              <w:t>Dangerous Goods Safety Regulations Amendment Regulations 2018</w:t>
            </w:r>
            <w:r>
              <w:t xml:space="preserve"> Pt. 2</w:t>
            </w:r>
          </w:p>
        </w:tc>
        <w:tc>
          <w:tcPr>
            <w:tcW w:w="1276" w:type="dxa"/>
            <w:tcBorders>
              <w:top w:val="nil"/>
              <w:bottom w:val="nil"/>
            </w:tcBorders>
          </w:tcPr>
          <w:p>
            <w:pPr>
              <w:pStyle w:val="nTable"/>
              <w:spacing w:after="40"/>
            </w:pPr>
            <w:r>
              <w:t>20 Mar 2018 p. 996</w:t>
            </w:r>
            <w:r>
              <w:noBreakHyphen/>
              <w:t>1005</w:t>
            </w:r>
          </w:p>
        </w:tc>
        <w:tc>
          <w:tcPr>
            <w:tcW w:w="2693" w:type="dxa"/>
            <w:tcBorders>
              <w:top w:val="nil"/>
              <w:bottom w:val="nil"/>
            </w:tcBorders>
          </w:tcPr>
          <w:p>
            <w:pPr>
              <w:pStyle w:val="nTable"/>
              <w:spacing w:after="40"/>
              <w:rPr>
                <w:bCs/>
                <w:snapToGrid w:val="0"/>
                <w:spacing w:val="-2"/>
              </w:rPr>
            </w:pPr>
            <w:r>
              <w:rPr>
                <w:bCs/>
                <w:snapToGrid w:val="0"/>
                <w:spacing w:val="-2"/>
              </w:rPr>
              <w:t>21 Mar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2018</w:t>
            </w:r>
            <w:r>
              <w:t xml:space="preserve"> Pt. 2</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2</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(COVID</w:t>
            </w:r>
            <w:r>
              <w:rPr>
                <w:i/>
              </w:rPr>
              <w:noBreakHyphen/>
              <w:t xml:space="preserve">19 Response) Regulations 2020 </w:t>
            </w:r>
            <w:r>
              <w:t>Pt. 2</w:t>
            </w:r>
          </w:p>
        </w:tc>
        <w:tc>
          <w:tcPr>
            <w:tcW w:w="1276" w:type="dxa"/>
            <w:tcBorders>
              <w:top w:val="nil"/>
              <w:bottom w:val="nil"/>
            </w:tcBorders>
          </w:tcPr>
          <w:p>
            <w:pPr>
              <w:pStyle w:val="nTable"/>
              <w:spacing w:after="40"/>
            </w:pPr>
            <w:r>
              <w:t xml:space="preserve">SL 2020/103 29 Jun 2020 </w:t>
            </w:r>
          </w:p>
        </w:tc>
        <w:tc>
          <w:tcPr>
            <w:tcW w:w="2693" w:type="dxa"/>
            <w:tcBorders>
              <w:top w:val="nil"/>
              <w:bottom w:val="nil"/>
            </w:tcBorders>
          </w:tcPr>
          <w:p>
            <w:pPr>
              <w:pStyle w:val="nTable"/>
              <w:spacing w:after="40"/>
            </w:pPr>
            <w:r>
              <w:t>Repealed by SL 2020/104 r. 3 prior to commencement</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19 Response) Repeal Regulations 2020</w:t>
            </w:r>
          </w:p>
        </w:tc>
        <w:tc>
          <w:tcPr>
            <w:tcW w:w="1276" w:type="dxa"/>
            <w:tcBorders>
              <w:top w:val="nil"/>
              <w:bottom w:val="nil"/>
            </w:tcBorders>
          </w:tcPr>
          <w:p>
            <w:pPr>
              <w:pStyle w:val="nTable"/>
              <w:spacing w:after="40"/>
            </w:pPr>
            <w:r>
              <w:t>SL 2020/104 29 Jun 2020</w:t>
            </w:r>
          </w:p>
        </w:tc>
        <w:tc>
          <w:tcPr>
            <w:tcW w:w="2693" w:type="dxa"/>
            <w:tcBorders>
              <w:top w:val="nil"/>
              <w:bottom w:val="nil"/>
            </w:tcBorders>
          </w:tcPr>
          <w:p>
            <w:pPr>
              <w:pStyle w:val="nTable"/>
              <w:spacing w:after="40"/>
            </w:pPr>
            <w:r>
              <w:t>29 Jun 2020 (see r. 2)</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(COVID</w:t>
            </w:r>
            <w:r>
              <w:rPr>
                <w:i/>
              </w:rPr>
              <w:noBreakHyphen/>
              <w:t xml:space="preserve">19 Response) Regulations (No. 2) 2020 </w:t>
            </w:r>
            <w:r>
              <w:t>Pt. 2</w:t>
            </w:r>
          </w:p>
        </w:tc>
        <w:tc>
          <w:tcPr>
            <w:tcW w:w="1276" w:type="dxa"/>
            <w:tcBorders>
              <w:top w:val="nil"/>
              <w:bottom w:val="nil"/>
            </w:tcBorders>
          </w:tcPr>
          <w:p>
            <w:pPr>
              <w:pStyle w:val="nTable"/>
              <w:spacing w:after="40"/>
            </w:pPr>
            <w:r>
              <w:t>SL 2020/197 27 Oct 2020</w:t>
            </w:r>
          </w:p>
        </w:tc>
        <w:tc>
          <w:tcPr>
            <w:tcW w:w="2693" w:type="dxa"/>
            <w:tcBorders>
              <w:top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2021</w:t>
            </w:r>
            <w:r>
              <w:t xml:space="preserve"> Pt. 2</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2022</w:t>
            </w:r>
            <w:r>
              <w:t xml:space="preserve"> Pt. 2</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Dangerous Goods Safety (Explosives) Amendment Regulations 2022</w:t>
            </w:r>
          </w:p>
        </w:tc>
        <w:tc>
          <w:tcPr>
            <w:tcW w:w="1276" w:type="dxa"/>
            <w:tcBorders>
              <w:top w:val="nil"/>
              <w:bottom w:val="nil"/>
            </w:tcBorders>
          </w:tcPr>
          <w:p>
            <w:pPr>
              <w:pStyle w:val="nTable"/>
              <w:spacing w:after="40"/>
            </w:pPr>
            <w:r>
              <w:t>SL 2022/122 30 Jun 2022</w:t>
            </w:r>
          </w:p>
        </w:tc>
        <w:tc>
          <w:tcPr>
            <w:tcW w:w="2693" w:type="dxa"/>
            <w:tcBorders>
              <w:top w:val="nil"/>
              <w:bottom w:val="nil"/>
            </w:tcBorders>
          </w:tcPr>
          <w:p>
            <w:pPr>
              <w:pStyle w:val="nTable"/>
              <w:spacing w:after="40"/>
            </w:pPr>
            <w:r>
              <w:t>r. 1 and 2: 30 Jun 2022 (see r. 2(a));</w:t>
            </w:r>
            <w:r>
              <w:br/>
              <w:t>Regulations other than r. 1 and 2: 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2023</w:t>
            </w:r>
            <w:r>
              <w:t xml:space="preserve"> Pt. 2</w:t>
            </w:r>
          </w:p>
        </w:tc>
        <w:tc>
          <w:tcPr>
            <w:tcW w:w="1276" w:type="dxa"/>
            <w:tcBorders>
              <w:top w:val="nil"/>
              <w:bottom w:val="nil"/>
            </w:tcBorders>
          </w:tcPr>
          <w:p>
            <w:pPr>
              <w:pStyle w:val="nTable"/>
              <w:spacing w:after="40"/>
            </w:pPr>
            <w:r>
              <w:t>SL 2023/36 5 May 2023</w:t>
            </w:r>
          </w:p>
        </w:tc>
        <w:tc>
          <w:tcPr>
            <w:tcW w:w="2693" w:type="dxa"/>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nil"/>
            </w:tcBorders>
          </w:tcPr>
          <w:p>
            <w:pPr>
              <w:pStyle w:val="nTable"/>
              <w:tabs>
                <w:tab w:val="left" w:pos="945"/>
              </w:tabs>
              <w:spacing w:after="40"/>
              <w:rPr>
                <w:i/>
              </w:rPr>
            </w:pPr>
            <w:r>
              <w:rPr>
                <w:i/>
              </w:rPr>
              <w:t>Mines and Petroleum Regulations Amendment (Fees and Charges) Regulations 2024</w:t>
            </w:r>
            <w:r>
              <w:rPr>
                <w:iCs/>
              </w:rPr>
              <w:t xml:space="preserve"> Pt. 2</w:t>
            </w:r>
          </w:p>
        </w:tc>
        <w:tc>
          <w:tcPr>
            <w:tcW w:w="1276" w:type="dxa"/>
            <w:tcBorders>
              <w:top w:val="nil"/>
              <w:bottom w:val="nil"/>
            </w:tcBorders>
          </w:tcPr>
          <w:p>
            <w:pPr>
              <w:pStyle w:val="nTable"/>
              <w:spacing w:after="40"/>
            </w:pPr>
            <w:r>
              <w:t>SL 2024/97 12 Jun 2024</w:t>
            </w:r>
          </w:p>
        </w:tc>
        <w:tc>
          <w:tcPr>
            <w:tcW w:w="2693" w:type="dxa"/>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tabs>
                <w:tab w:val="left" w:pos="945"/>
              </w:tabs>
              <w:spacing w:after="40"/>
              <w:rPr>
                <w:i/>
              </w:rPr>
            </w:pPr>
            <w:r>
              <w:rPr>
                <w:i/>
              </w:rPr>
              <w:t>Dangerous Goods Safety (Explosives) Amendment Regulations 2024</w:t>
            </w:r>
          </w:p>
        </w:tc>
        <w:tc>
          <w:tcPr>
            <w:tcW w:w="1276" w:type="dxa"/>
            <w:tcBorders>
              <w:top w:val="nil"/>
              <w:bottom w:val="single" w:sz="4" w:space="0" w:color="auto"/>
            </w:tcBorders>
          </w:tcPr>
          <w:p>
            <w:pPr>
              <w:pStyle w:val="nTable"/>
              <w:spacing w:after="40"/>
            </w:pPr>
            <w:r>
              <w:t>SL 2024/295 21 Dec 2024</w:t>
            </w:r>
          </w:p>
        </w:tc>
        <w:tc>
          <w:tcPr>
            <w:tcW w:w="2693" w:type="dxa"/>
            <w:tcBorders>
              <w:top w:val="nil"/>
              <w:bottom w:val="single" w:sz="4" w:space="0" w:color="auto"/>
            </w:tcBorders>
          </w:tcPr>
          <w:p>
            <w:pPr>
              <w:pStyle w:val="nTable"/>
              <w:spacing w:after="40"/>
            </w:pPr>
            <w:r>
              <w:t>r. 1 and 2: 21 Dec 2024 (see r. 2(a));</w:t>
            </w:r>
            <w:r>
              <w:br/>
              <w:t>Regulations other than r. 1 and 2: 31 Mar 2025 (see r. 2(b) and SL 2024/289 cl. 2)</w:t>
            </w:r>
          </w:p>
        </w:tc>
      </w:tr>
    </w:tbl>
    <w:p>
      <w:pPr>
        <w:rPr>
          <w:del w:id="959" w:author="Master Repository Process" w:date="2025-06-10T13:31:00Z"/>
        </w:rPr>
      </w:pPr>
      <w:bookmarkStart w:id="960" w:name="_Toc200095651"/>
    </w:p>
    <w:p>
      <w:pPr>
        <w:rPr>
          <w:del w:id="961" w:author="Master Repository Process" w:date="2025-06-10T13:31:00Z"/>
        </w:r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3"/>
        <w:rPr>
          <w:ins w:id="962" w:author="Master Repository Process" w:date="2025-06-10T13:31:00Z"/>
        </w:rPr>
      </w:pPr>
      <w:ins w:id="963" w:author="Master Repository Process" w:date="2025-06-10T13:31:00Z">
        <w:r>
          <w:t>Uncommenced provisions table</w:t>
        </w:r>
        <w:bookmarkEnd w:id="960"/>
      </w:ins>
    </w:p>
    <w:p>
      <w:pPr>
        <w:pStyle w:val="nStatement"/>
        <w:keepNext/>
        <w:spacing w:after="240"/>
        <w:rPr>
          <w:ins w:id="964" w:author="Master Repository Process" w:date="2025-06-10T13:31:00Z"/>
        </w:rPr>
      </w:pPr>
      <w:ins w:id="965" w:author="Master Repository Process" w:date="2025-06-10T13:3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66" w:author="Master Repository Process" w:date="2025-06-10T13:31:00Z"/>
        </w:trPr>
        <w:tc>
          <w:tcPr>
            <w:tcW w:w="3118" w:type="dxa"/>
          </w:tcPr>
          <w:p>
            <w:pPr>
              <w:pStyle w:val="nTable"/>
              <w:spacing w:after="40"/>
              <w:rPr>
                <w:ins w:id="967" w:author="Master Repository Process" w:date="2025-06-10T13:31:00Z"/>
                <w:b/>
              </w:rPr>
            </w:pPr>
            <w:ins w:id="968" w:author="Master Repository Process" w:date="2025-06-10T13:31:00Z">
              <w:r>
                <w:rPr>
                  <w:b/>
                </w:rPr>
                <w:t>Citation</w:t>
              </w:r>
            </w:ins>
          </w:p>
        </w:tc>
        <w:tc>
          <w:tcPr>
            <w:tcW w:w="1276" w:type="dxa"/>
          </w:tcPr>
          <w:p>
            <w:pPr>
              <w:pStyle w:val="nTable"/>
              <w:spacing w:after="40"/>
              <w:rPr>
                <w:ins w:id="969" w:author="Master Repository Process" w:date="2025-06-10T13:31:00Z"/>
                <w:b/>
              </w:rPr>
            </w:pPr>
            <w:ins w:id="970" w:author="Master Repository Process" w:date="2025-06-10T13:31:00Z">
              <w:r>
                <w:rPr>
                  <w:b/>
                </w:rPr>
                <w:t>Published</w:t>
              </w:r>
            </w:ins>
          </w:p>
        </w:tc>
        <w:tc>
          <w:tcPr>
            <w:tcW w:w="2693" w:type="dxa"/>
          </w:tcPr>
          <w:p>
            <w:pPr>
              <w:pStyle w:val="nTable"/>
              <w:spacing w:after="40"/>
              <w:rPr>
                <w:ins w:id="971" w:author="Master Repository Process" w:date="2025-06-10T13:31:00Z"/>
                <w:b/>
              </w:rPr>
            </w:pPr>
            <w:ins w:id="972" w:author="Master Repository Process" w:date="2025-06-10T13:31:00Z">
              <w:r>
                <w:rPr>
                  <w:b/>
                </w:rPr>
                <w:t>Commencement</w:t>
              </w:r>
            </w:ins>
          </w:p>
        </w:tc>
      </w:tr>
      <w:tr>
        <w:trPr>
          <w:ins w:id="973" w:author="Master Repository Process" w:date="2025-06-10T13:31:00Z"/>
        </w:trPr>
        <w:tc>
          <w:tcPr>
            <w:tcW w:w="3118" w:type="dxa"/>
          </w:tcPr>
          <w:p>
            <w:pPr>
              <w:pStyle w:val="nTable"/>
              <w:spacing w:after="40"/>
              <w:rPr>
                <w:ins w:id="974" w:author="Master Repository Process" w:date="2025-06-10T13:31:00Z"/>
              </w:rPr>
            </w:pPr>
            <w:ins w:id="975" w:author="Master Repository Process" w:date="2025-06-10T13:31:00Z">
              <w:r>
                <w:rPr>
                  <w:i/>
                </w:rPr>
                <w:t xml:space="preserve">Mines and Petroleum Regulations Amendment (Fees and Charges) Regulations 2025 </w:t>
              </w:r>
              <w:r>
                <w:rPr>
                  <w:iCs/>
                </w:rPr>
                <w:t>Pt. 2</w:t>
              </w:r>
            </w:ins>
          </w:p>
        </w:tc>
        <w:tc>
          <w:tcPr>
            <w:tcW w:w="1276" w:type="dxa"/>
          </w:tcPr>
          <w:p>
            <w:pPr>
              <w:pStyle w:val="nTable"/>
              <w:spacing w:after="40"/>
              <w:rPr>
                <w:ins w:id="976" w:author="Master Repository Process" w:date="2025-06-10T13:31:00Z"/>
              </w:rPr>
            </w:pPr>
            <w:ins w:id="977" w:author="Master Repository Process" w:date="2025-06-10T13:31:00Z">
              <w:r>
                <w:t>SL 2025/90 11 Jun 2025</w:t>
              </w:r>
            </w:ins>
          </w:p>
        </w:tc>
        <w:tc>
          <w:tcPr>
            <w:tcW w:w="2693" w:type="dxa"/>
          </w:tcPr>
          <w:p>
            <w:pPr>
              <w:pStyle w:val="nTable"/>
              <w:spacing w:after="40"/>
              <w:rPr>
                <w:ins w:id="978" w:author="Master Repository Process" w:date="2025-06-10T13:31:00Z"/>
              </w:rPr>
            </w:pPr>
            <w:ins w:id="979" w:author="Master Repository Process" w:date="2025-06-10T13:31:00Z">
              <w:r>
                <w:t>1 Jul 2025 (see r. 2(b))</w:t>
              </w:r>
            </w:ins>
          </w:p>
        </w:tc>
      </w:tr>
    </w:tbl>
    <w:p>
      <w:pPr>
        <w:rPr>
          <w:ins w:id="980" w:author="Master Repository Process" w:date="2025-06-10T13:31:00Z"/>
        </w:r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90" w:name="Schedule"/>
    <w:bookmarkEnd w:id="7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(Explosives)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81" w:name="Compilation"/>
    <w:bookmarkEnd w:id="98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2" w:name="Coversheet"/>
    <w:bookmarkEnd w:id="9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2"/>
  </w:num>
  <w:num w:numId="26">
    <w:abstractNumId w:val="20"/>
  </w:num>
  <w:num w:numId="27">
    <w:abstractNumId w:val="13"/>
  </w:num>
  <w:num w:numId="28">
    <w:abstractNumId w:val="11"/>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5515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 w:name="WAFER_20170125142729" w:val="RemoveTocBookmarks,RemoveUnusedBookmarks,RemoveLanguageTags,UsedStyles,ResetPageSize"/>
    <w:docVar w:name="WAFER_20170125142729_GUID" w:val="4e8a4b39-889f-48b5-b896-8084fd13ba62"/>
    <w:docVar w:name="WAFER_20170302142503" w:val="RemoveTocBookmarks,RemoveUnusedBookmarks,RemoveLanguageTags,UsedStyles,ResetPageSize"/>
    <w:docVar w:name="WAFER_20170302142503_GUID" w:val="7d5b21f8-5617-40b9-a397-21e35604df31"/>
    <w:docVar w:name="WAFER_20200629121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1856_GUID" w:val="e7dc3f9a-6981-49b6-ac8e-d7c82f6a923a"/>
    <w:docVar w:name="WAFER_20201026090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18_GUID" w:val="635d9eec-330b-4cbf-b00c-6096c7afd238"/>
    <w:docVar w:name="WAFER_20210618115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5103_GUID" w:val="cbcf292b-f557-4f60-bc23-9f1a0cea1870"/>
    <w:docVar w:name="WAFER_2021062410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5716_GUID" w:val="24a777d0-4a24-4ed4-b914-44347561d535"/>
    <w:docVar w:name="WAFER_20220517141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55_GUID" w:val="7c44c774-1b46-4682-ab42-faaa4a1967d3"/>
    <w:docVar w:name="WAFER_202206230925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01_GUID" w:val="831b0388-f504-4279-af02-f7482ffe57f5"/>
    <w:docVar w:name="WAFER_2023050214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836_GUID" w:val="25c562cc-8444-403e-a805-ba8110207c7d"/>
    <w:docVar w:name="WAFER_2023062611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542_GUID" w:val="473fb29f-0961-435f-8f7d-48e4a5392a12"/>
    <w:docVar w:name="WAFER_2023122716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59_GUID" w:val="62a49739-a63c-486e-9acc-9dffc1d9ebde"/>
    <w:docVar w:name="WAFER_20240607093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10_GUID" w:val="e4c3a506-89c0-4d38-ac4c-c6562bdd29e4"/>
    <w:docVar w:name="WAFER_20240625094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4408_GUID" w:val="21d5861c-a405-48d2-a4e8-3c4a132bf547"/>
    <w:docVar w:name="WAFER_20241218154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522_GUID" w:val="b803b05d-781b-4be4-9184-013855ffa163"/>
    <w:docVar w:name="WAFER_2025031413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4928_GUID" w:val="abb3977d-c24d-4804-bbb6-f9d67191a1b4"/>
    <w:docVar w:name="WAFER_20250605155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5153_GUID" w:val="a0de6ece-5a48-46de-a48b-8b7a3c29dc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03563">
      <w:bodyDiv w:val="1"/>
      <w:marLeft w:val="0"/>
      <w:marRight w:val="0"/>
      <w:marTop w:val="0"/>
      <w:marBottom w:val="0"/>
      <w:divBdr>
        <w:top w:val="none" w:sz="0" w:space="0" w:color="auto"/>
        <w:left w:val="none" w:sz="0" w:space="0" w:color="auto"/>
        <w:bottom w:val="none" w:sz="0" w:space="0" w:color="auto"/>
        <w:right w:val="none" w:sz="0" w:space="0" w:color="auto"/>
      </w:divBdr>
    </w:div>
    <w:div w:id="471601779">
      <w:bodyDiv w:val="1"/>
      <w:marLeft w:val="0"/>
      <w:marRight w:val="0"/>
      <w:marTop w:val="0"/>
      <w:marBottom w:val="0"/>
      <w:divBdr>
        <w:top w:val="none" w:sz="0" w:space="0" w:color="auto"/>
        <w:left w:val="none" w:sz="0" w:space="0" w:color="auto"/>
        <w:bottom w:val="none" w:sz="0" w:space="0" w:color="auto"/>
        <w:right w:val="none" w:sz="0" w:space="0" w:color="auto"/>
      </w:divBdr>
    </w:div>
    <w:div w:id="530925002">
      <w:bodyDiv w:val="1"/>
      <w:marLeft w:val="0"/>
      <w:marRight w:val="0"/>
      <w:marTop w:val="0"/>
      <w:marBottom w:val="0"/>
      <w:divBdr>
        <w:top w:val="none" w:sz="0" w:space="0" w:color="auto"/>
        <w:left w:val="none" w:sz="0" w:space="0" w:color="auto"/>
        <w:bottom w:val="none" w:sz="0" w:space="0" w:color="auto"/>
        <w:right w:val="none" w:sz="0" w:space="0" w:color="auto"/>
      </w:divBdr>
    </w:div>
    <w:div w:id="744961584">
      <w:bodyDiv w:val="1"/>
      <w:marLeft w:val="0"/>
      <w:marRight w:val="0"/>
      <w:marTop w:val="0"/>
      <w:marBottom w:val="0"/>
      <w:divBdr>
        <w:top w:val="none" w:sz="0" w:space="0" w:color="auto"/>
        <w:left w:val="none" w:sz="0" w:space="0" w:color="auto"/>
        <w:bottom w:val="none" w:sz="0" w:space="0" w:color="auto"/>
        <w:right w:val="none" w:sz="0" w:space="0" w:color="auto"/>
      </w:divBdr>
    </w:div>
    <w:div w:id="832917234">
      <w:bodyDiv w:val="1"/>
      <w:marLeft w:val="0"/>
      <w:marRight w:val="0"/>
      <w:marTop w:val="0"/>
      <w:marBottom w:val="0"/>
      <w:divBdr>
        <w:top w:val="none" w:sz="0" w:space="0" w:color="auto"/>
        <w:left w:val="none" w:sz="0" w:space="0" w:color="auto"/>
        <w:bottom w:val="none" w:sz="0" w:space="0" w:color="auto"/>
        <w:right w:val="none" w:sz="0" w:space="0" w:color="auto"/>
      </w:divBdr>
    </w:div>
    <w:div w:id="892932285">
      <w:bodyDiv w:val="1"/>
      <w:marLeft w:val="0"/>
      <w:marRight w:val="0"/>
      <w:marTop w:val="0"/>
      <w:marBottom w:val="0"/>
      <w:divBdr>
        <w:top w:val="none" w:sz="0" w:space="0" w:color="auto"/>
        <w:left w:val="none" w:sz="0" w:space="0" w:color="auto"/>
        <w:bottom w:val="none" w:sz="0" w:space="0" w:color="auto"/>
        <w:right w:val="none" w:sz="0" w:space="0" w:color="auto"/>
      </w:divBdr>
    </w:div>
    <w:div w:id="1129742286">
      <w:bodyDiv w:val="1"/>
      <w:marLeft w:val="0"/>
      <w:marRight w:val="0"/>
      <w:marTop w:val="0"/>
      <w:marBottom w:val="0"/>
      <w:divBdr>
        <w:top w:val="none" w:sz="0" w:space="0" w:color="auto"/>
        <w:left w:val="none" w:sz="0" w:space="0" w:color="auto"/>
        <w:bottom w:val="none" w:sz="0" w:space="0" w:color="auto"/>
        <w:right w:val="none" w:sz="0" w:space="0" w:color="auto"/>
      </w:divBdr>
    </w:div>
    <w:div w:id="1447196444">
      <w:bodyDiv w:val="1"/>
      <w:marLeft w:val="0"/>
      <w:marRight w:val="0"/>
      <w:marTop w:val="0"/>
      <w:marBottom w:val="0"/>
      <w:divBdr>
        <w:top w:val="none" w:sz="0" w:space="0" w:color="auto"/>
        <w:left w:val="none" w:sz="0" w:space="0" w:color="auto"/>
        <w:bottom w:val="none" w:sz="0" w:space="0" w:color="auto"/>
        <w:right w:val="none" w:sz="0" w:space="0" w:color="auto"/>
      </w:divBdr>
    </w:div>
    <w:div w:id="16864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C169-0D26-49EB-9929-241E0922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44998</Words>
  <Characters>214643</Characters>
  <Application>Microsoft Office Word</Application>
  <DocSecurity>0</DocSecurity>
  <Lines>5962</Lines>
  <Paragraphs>3709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02-r0-00 - 02-s0-00</dc:title>
  <dc:subject/>
  <dc:creator/>
  <cp:keywords/>
  <dc:description/>
  <cp:lastModifiedBy>Master Repository Process</cp:lastModifiedBy>
  <cp:revision>2</cp:revision>
  <cp:lastPrinted>2018-03-20T03:52:00Z</cp:lastPrinted>
  <dcterms:created xsi:type="dcterms:W3CDTF">2025-06-10T05:30:00Z</dcterms:created>
  <dcterms:modified xsi:type="dcterms:W3CDTF">2025-06-10T05:31:00Z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2016-10-06T16:00:00Z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20250611</vt:lpwstr>
  </property>
  <property fmtid="{D5CDD505-2E9C-101B-9397-08002B2CF9AE}" pid="9" name="CommencementAsAt">
    <vt:filetime>2025-06-10T16:00:00Z</vt:filetime>
  </property>
  <property fmtid="{D5CDD505-2E9C-101B-9397-08002B2CF9AE}" pid="10" name="CommencementYear">
    <vt:lpwstr>2025</vt:lpwstr>
  </property>
  <property fmtid="{D5CDD505-2E9C-101B-9397-08002B2CF9AE}" pid="11" name="FromSuffix">
    <vt:lpwstr>02-r0-00</vt:lpwstr>
  </property>
  <property fmtid="{D5CDD505-2E9C-101B-9397-08002B2CF9AE}" pid="12" name="FromAsAtDate">
    <vt:lpwstr>31 Mar 2025</vt:lpwstr>
  </property>
  <property fmtid="{D5CDD505-2E9C-101B-9397-08002B2CF9AE}" pid="13" name="ToSuffix">
    <vt:lpwstr>02-s0-00</vt:lpwstr>
  </property>
  <property fmtid="{D5CDD505-2E9C-101B-9397-08002B2CF9AE}" pid="14" name="ToAsAtDate">
    <vt:lpwstr>11 Jun 2025</vt:lpwstr>
  </property>
</Properties>
</file>