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200032617"/>
      <w:bookmarkStart w:id="2" w:name="_Toc200032921"/>
      <w:bookmarkStart w:id="3" w:name="_Toc200034001"/>
      <w:bookmarkStart w:id="4" w:name="_Toc170129248"/>
      <w:bookmarkStart w:id="5" w:name="_Toc170130597"/>
      <w:bookmarkStart w:id="6" w:name="_Toc170133167"/>
      <w:bookmarkStart w:id="7" w:name="_Toc170133763"/>
      <w:bookmarkStart w:id="8" w:name="_Toc1701979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00034002"/>
      <w:bookmarkStart w:id="10" w:name="_Toc170197932"/>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200034003"/>
      <w:bookmarkStart w:id="12" w:name="_Toc17019793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200034004"/>
      <w:bookmarkStart w:id="14" w:name="_Toc17019793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5" w:name="_Toc200032621"/>
      <w:bookmarkStart w:id="16" w:name="_Toc200032925"/>
      <w:bookmarkStart w:id="17" w:name="_Toc200034005"/>
      <w:bookmarkStart w:id="18" w:name="_Toc170129252"/>
      <w:bookmarkStart w:id="19" w:name="_Toc170130601"/>
      <w:bookmarkStart w:id="20" w:name="_Toc170133171"/>
      <w:bookmarkStart w:id="21" w:name="_Toc170133767"/>
      <w:bookmarkStart w:id="22" w:name="_Toc170197935"/>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5"/>
      <w:bookmarkEnd w:id="16"/>
      <w:bookmarkEnd w:id="17"/>
      <w:bookmarkEnd w:id="18"/>
      <w:bookmarkEnd w:id="19"/>
      <w:bookmarkEnd w:id="20"/>
      <w:bookmarkEnd w:id="21"/>
      <w:bookmarkEnd w:id="22"/>
    </w:p>
    <w:p>
      <w:pPr>
        <w:pStyle w:val="Heading5"/>
        <w:rPr>
          <w:snapToGrid w:val="0"/>
        </w:rPr>
      </w:pPr>
      <w:bookmarkStart w:id="23" w:name="_Toc200034006"/>
      <w:bookmarkStart w:id="24" w:name="_Toc170197936"/>
      <w:r>
        <w:rPr>
          <w:rStyle w:val="CharSectno"/>
        </w:rPr>
        <w:t>4</w:t>
      </w:r>
      <w:r>
        <w:rPr>
          <w:snapToGrid w:val="0"/>
        </w:rPr>
        <w:t>.</w:t>
      </w:r>
      <w:r>
        <w:rPr>
          <w:snapToGrid w:val="0"/>
        </w:rPr>
        <w:tab/>
        <w:t>Provisions prescribed for financial bodies (Act s. 4(3))</w:t>
      </w:r>
      <w:bookmarkEnd w:id="23"/>
      <w:bookmarkEnd w:id="24"/>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5" w:name="_Toc200034007"/>
      <w:bookmarkStart w:id="26" w:name="_Toc17019793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5"/>
      <w:bookmarkEnd w:id="2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7" w:name="_Toc200034008"/>
      <w:bookmarkStart w:id="28" w:name="_Toc170197938"/>
      <w:r>
        <w:rPr>
          <w:rStyle w:val="CharSectno"/>
        </w:rPr>
        <w:t>6</w:t>
      </w:r>
      <w:r>
        <w:rPr>
          <w:snapToGrid w:val="0"/>
        </w:rPr>
        <w:t>.</w:t>
      </w:r>
      <w:r>
        <w:rPr>
          <w:snapToGrid w:val="0"/>
        </w:rPr>
        <w:tab/>
        <w:t>Act s. 38(a) does not apply to sales to minors (Act s. 4(3))</w:t>
      </w:r>
      <w:bookmarkEnd w:id="27"/>
      <w:bookmarkEnd w:id="2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9" w:name="_Toc200034009"/>
      <w:bookmarkStart w:id="30" w:name="_Toc170197939"/>
      <w:r>
        <w:rPr>
          <w:rStyle w:val="CharSectno"/>
        </w:rPr>
        <w:t>7</w:t>
      </w:r>
      <w:r>
        <w:rPr>
          <w:snapToGrid w:val="0"/>
        </w:rPr>
        <w:t>.</w:t>
      </w:r>
      <w:r>
        <w:rPr>
          <w:snapToGrid w:val="0"/>
        </w:rPr>
        <w:tab/>
        <w:t>Act s. 39 does not apply in some cases (Act s. 4(3))</w:t>
      </w:r>
      <w:bookmarkEnd w:id="29"/>
      <w:bookmarkEnd w:id="3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31" w:name="_Toc200034010"/>
      <w:bookmarkStart w:id="32" w:name="_Toc170197940"/>
      <w:r>
        <w:rPr>
          <w:rStyle w:val="CharSectno"/>
        </w:rPr>
        <w:t>8</w:t>
      </w:r>
      <w:r>
        <w:rPr>
          <w:snapToGrid w:val="0"/>
        </w:rPr>
        <w:t>.</w:t>
      </w:r>
      <w:r>
        <w:rPr>
          <w:snapToGrid w:val="0"/>
        </w:rPr>
        <w:tab/>
        <w:t>Amount prescribed (Act s. 59(2)(b))</w:t>
      </w:r>
      <w:bookmarkEnd w:id="31"/>
      <w:bookmarkEnd w:id="3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3" w:name="_Toc200034011"/>
      <w:bookmarkStart w:id="34" w:name="_Toc170197941"/>
      <w:r>
        <w:rPr>
          <w:rStyle w:val="CharSectno"/>
        </w:rPr>
        <w:t>9</w:t>
      </w:r>
      <w:r>
        <w:rPr>
          <w:snapToGrid w:val="0"/>
        </w:rPr>
        <w:t>.</w:t>
      </w:r>
      <w:r>
        <w:rPr>
          <w:snapToGrid w:val="0"/>
        </w:rPr>
        <w:tab/>
        <w:t>Act s. 61 does not apply to certain goods (Act s. 4(3))</w:t>
      </w:r>
      <w:bookmarkEnd w:id="33"/>
      <w:bookmarkEnd w:id="3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5" w:name="_Toc200032628"/>
      <w:bookmarkStart w:id="36" w:name="_Toc200032932"/>
      <w:bookmarkStart w:id="37" w:name="_Toc200034012"/>
      <w:bookmarkStart w:id="38" w:name="_Toc170129259"/>
      <w:bookmarkStart w:id="39" w:name="_Toc170130608"/>
      <w:bookmarkStart w:id="40" w:name="_Toc170133178"/>
      <w:bookmarkStart w:id="41" w:name="_Toc170133774"/>
      <w:bookmarkStart w:id="42" w:name="_Toc170197942"/>
      <w:r>
        <w:rPr>
          <w:rStyle w:val="CharPartNo"/>
        </w:rPr>
        <w:t>Part 3</w:t>
      </w:r>
      <w:r>
        <w:rPr>
          <w:rStyle w:val="CharDivNo"/>
        </w:rPr>
        <w:t> </w:t>
      </w:r>
      <w:r>
        <w:t>—</w:t>
      </w:r>
      <w:r>
        <w:rPr>
          <w:rStyle w:val="CharDivText"/>
        </w:rPr>
        <w:t> </w:t>
      </w:r>
      <w:r>
        <w:rPr>
          <w:rStyle w:val="CharPartText"/>
        </w:rPr>
        <w:t>Matters prescribed for licence applications</w:t>
      </w:r>
      <w:bookmarkEnd w:id="35"/>
      <w:bookmarkEnd w:id="36"/>
      <w:bookmarkEnd w:id="37"/>
      <w:bookmarkEnd w:id="38"/>
      <w:bookmarkEnd w:id="39"/>
      <w:bookmarkEnd w:id="40"/>
      <w:bookmarkEnd w:id="41"/>
      <w:bookmarkEnd w:id="42"/>
    </w:p>
    <w:p>
      <w:pPr>
        <w:pStyle w:val="Heading5"/>
        <w:spacing w:before="180"/>
        <w:rPr>
          <w:snapToGrid w:val="0"/>
        </w:rPr>
      </w:pPr>
      <w:bookmarkStart w:id="43" w:name="_Toc200034013"/>
      <w:bookmarkStart w:id="44" w:name="_Toc17019794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3"/>
      <w:bookmarkEnd w:id="4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5" w:name="_Toc200034014"/>
      <w:bookmarkStart w:id="46" w:name="_Toc170197944"/>
      <w:r>
        <w:rPr>
          <w:rStyle w:val="CharSectno"/>
        </w:rPr>
        <w:t>11</w:t>
      </w:r>
      <w:r>
        <w:rPr>
          <w:snapToGrid w:val="0"/>
        </w:rPr>
        <w:t>.</w:t>
      </w:r>
      <w:r>
        <w:rPr>
          <w:snapToGrid w:val="0"/>
        </w:rPr>
        <w:tab/>
        <w:t xml:space="preserve">Other evidence to accompany applications prescribed </w:t>
      </w:r>
      <w:r>
        <w:rPr>
          <w:snapToGrid w:val="0"/>
          <w:spacing w:val="-4"/>
        </w:rPr>
        <w:t>(Act s. 14(f))</w:t>
      </w:r>
      <w:bookmarkEnd w:id="45"/>
      <w:bookmarkEnd w:id="4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7" w:name="_Toc200034015"/>
      <w:bookmarkStart w:id="48" w:name="_Toc17019794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7"/>
      <w:bookmarkEnd w:id="4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9" w:name="_Toc200032632"/>
      <w:bookmarkStart w:id="50" w:name="_Toc200032936"/>
      <w:bookmarkStart w:id="51" w:name="_Toc200034016"/>
      <w:bookmarkStart w:id="52" w:name="_Toc170129263"/>
      <w:bookmarkStart w:id="53" w:name="_Toc170130612"/>
      <w:bookmarkStart w:id="54" w:name="_Toc170133182"/>
      <w:bookmarkStart w:id="55" w:name="_Toc170133778"/>
      <w:bookmarkStart w:id="56" w:name="_Toc17019794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9"/>
      <w:bookmarkEnd w:id="50"/>
      <w:bookmarkEnd w:id="51"/>
      <w:bookmarkEnd w:id="52"/>
      <w:bookmarkEnd w:id="53"/>
      <w:bookmarkEnd w:id="54"/>
      <w:bookmarkEnd w:id="55"/>
      <w:bookmarkEnd w:id="56"/>
    </w:p>
    <w:p>
      <w:pPr>
        <w:pStyle w:val="Heading5"/>
        <w:rPr>
          <w:snapToGrid w:val="0"/>
        </w:rPr>
      </w:pPr>
      <w:bookmarkStart w:id="57" w:name="_Toc200034017"/>
      <w:bookmarkStart w:id="58" w:name="_Toc170197947"/>
      <w:r>
        <w:rPr>
          <w:rStyle w:val="CharSectno"/>
        </w:rPr>
        <w:t>13</w:t>
      </w:r>
      <w:r>
        <w:rPr>
          <w:snapToGrid w:val="0"/>
        </w:rPr>
        <w:t>.</w:t>
      </w:r>
      <w:r>
        <w:rPr>
          <w:snapToGrid w:val="0"/>
        </w:rPr>
        <w:tab/>
        <w:t xml:space="preserve">Means of verifying person’s identity prescribed </w:t>
      </w:r>
      <w:r>
        <w:rPr>
          <w:snapToGrid w:val="0"/>
          <w:spacing w:val="-4"/>
        </w:rPr>
        <w:t>(Act s. 39(b))</w:t>
      </w:r>
      <w:bookmarkEnd w:id="57"/>
      <w:bookmarkEnd w:id="5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 SL 2024/127 r. 4.]</w:t>
      </w:r>
    </w:p>
    <w:p>
      <w:pPr>
        <w:pStyle w:val="Heading5"/>
      </w:pPr>
      <w:bookmarkStart w:id="59" w:name="_Toc200034018"/>
      <w:bookmarkStart w:id="60" w:name="_Toc170197948"/>
      <w:r>
        <w:rPr>
          <w:rStyle w:val="CharSectno"/>
        </w:rPr>
        <w:t>13A</w:t>
      </w:r>
      <w:r>
        <w:t>.</w:t>
      </w:r>
      <w:r>
        <w:tab/>
        <w:t>Transaction cards, form and issue of</w:t>
      </w:r>
      <w:bookmarkEnd w:id="59"/>
      <w:bookmarkEnd w:id="6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61" w:name="_Toc200034019"/>
      <w:bookmarkStart w:id="62" w:name="_Toc170197949"/>
      <w:r>
        <w:rPr>
          <w:rStyle w:val="CharSectno"/>
        </w:rPr>
        <w:t>14</w:t>
      </w:r>
      <w:r>
        <w:rPr>
          <w:snapToGrid w:val="0"/>
        </w:rPr>
        <w:t>.</w:t>
      </w:r>
      <w:r>
        <w:rPr>
          <w:snapToGrid w:val="0"/>
        </w:rPr>
        <w:tab/>
        <w:t xml:space="preserve">Manner of keeping records prescribed </w:t>
      </w:r>
      <w:r>
        <w:rPr>
          <w:snapToGrid w:val="0"/>
          <w:spacing w:val="-4"/>
        </w:rPr>
        <w:t>(Act s. 45)</w:t>
      </w:r>
      <w:bookmarkEnd w:id="61"/>
      <w:bookmarkEnd w:id="6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3" w:name="_Toc200034020"/>
      <w:bookmarkStart w:id="64" w:name="_Toc170197950"/>
      <w:r>
        <w:rPr>
          <w:rStyle w:val="CharSectno"/>
        </w:rPr>
        <w:t>15</w:t>
      </w:r>
      <w:r>
        <w:rPr>
          <w:snapToGrid w:val="0"/>
        </w:rPr>
        <w:t>.</w:t>
      </w:r>
      <w:r>
        <w:rPr>
          <w:snapToGrid w:val="0"/>
        </w:rPr>
        <w:tab/>
      </w:r>
      <w:r>
        <w:rPr>
          <w:snapToGrid w:val="0"/>
          <w:spacing w:val="-4"/>
        </w:rPr>
        <w:t>Information prescribed (Act s. 79)</w:t>
      </w:r>
      <w:bookmarkEnd w:id="63"/>
      <w:bookmarkEnd w:id="6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5" w:name="_Toc200032637"/>
      <w:bookmarkStart w:id="66" w:name="_Toc200032941"/>
      <w:bookmarkStart w:id="67" w:name="_Toc200034021"/>
      <w:bookmarkStart w:id="68" w:name="_Toc170129268"/>
      <w:bookmarkStart w:id="69" w:name="_Toc170130617"/>
      <w:bookmarkStart w:id="70" w:name="_Toc170133187"/>
      <w:bookmarkStart w:id="71" w:name="_Toc170133783"/>
      <w:bookmarkStart w:id="72" w:name="_Toc170197951"/>
      <w:r>
        <w:rPr>
          <w:rStyle w:val="CharPartNo"/>
        </w:rPr>
        <w:t>Part 6</w:t>
      </w:r>
      <w:r>
        <w:rPr>
          <w:rStyle w:val="CharDivNo"/>
        </w:rPr>
        <w:t> </w:t>
      </w:r>
      <w:r>
        <w:t>—</w:t>
      </w:r>
      <w:r>
        <w:rPr>
          <w:rStyle w:val="CharDivText"/>
        </w:rPr>
        <w:t> </w:t>
      </w:r>
      <w:r>
        <w:rPr>
          <w:rStyle w:val="CharPartText"/>
        </w:rPr>
        <w:t>Fees</w:t>
      </w:r>
      <w:bookmarkEnd w:id="65"/>
      <w:bookmarkEnd w:id="66"/>
      <w:bookmarkEnd w:id="67"/>
      <w:bookmarkEnd w:id="68"/>
      <w:bookmarkEnd w:id="69"/>
      <w:bookmarkEnd w:id="70"/>
      <w:bookmarkEnd w:id="71"/>
      <w:bookmarkEnd w:id="72"/>
    </w:p>
    <w:p>
      <w:pPr>
        <w:pStyle w:val="Heading5"/>
        <w:rPr>
          <w:snapToGrid w:val="0"/>
        </w:rPr>
      </w:pPr>
      <w:bookmarkStart w:id="73" w:name="_Toc200034022"/>
      <w:bookmarkStart w:id="74" w:name="_Toc170197952"/>
      <w:r>
        <w:rPr>
          <w:rStyle w:val="CharSectno"/>
        </w:rPr>
        <w:t>28</w:t>
      </w:r>
      <w:r>
        <w:rPr>
          <w:snapToGrid w:val="0"/>
        </w:rPr>
        <w:t>.</w:t>
      </w:r>
      <w:r>
        <w:rPr>
          <w:snapToGrid w:val="0"/>
        </w:rPr>
        <w:tab/>
        <w:t>Fees prescribed for applications for licences (Act s. 13(b))</w:t>
      </w:r>
      <w:bookmarkEnd w:id="73"/>
      <w:bookmarkEnd w:id="74"/>
    </w:p>
    <w:p>
      <w:pPr>
        <w:pStyle w:val="Subsection"/>
      </w:pPr>
      <w:r>
        <w:tab/>
        <w:t>(1)</w:t>
      </w:r>
      <w:r>
        <w:tab/>
        <w:t xml:space="preserve">The fee to accompany an application for the issue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5 577</w:t>
            </w:r>
          </w:p>
        </w:tc>
        <w:tc>
          <w:tcPr>
            <w:tcW w:w="1417" w:type="dxa"/>
            <w:noWrap/>
            <w:vAlign w:val="bottom"/>
          </w:tcPr>
          <w:p>
            <w:pPr>
              <w:pStyle w:val="TableNAm"/>
              <w:jc w:val="center"/>
            </w:pPr>
            <w:r>
              <w:t>7 786</w:t>
            </w:r>
          </w:p>
        </w:tc>
        <w:tc>
          <w:tcPr>
            <w:tcW w:w="1417" w:type="dxa"/>
            <w:noWrap/>
            <w:vAlign w:val="bottom"/>
          </w:tcPr>
          <w:p>
            <w:pPr>
              <w:pStyle w:val="TableNAm"/>
              <w:jc w:val="center"/>
            </w:pPr>
            <w:r>
              <w:t>9 995</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2 789</w:t>
            </w:r>
          </w:p>
        </w:tc>
        <w:tc>
          <w:tcPr>
            <w:tcW w:w="1417" w:type="dxa"/>
            <w:noWrap/>
            <w:vAlign w:val="bottom"/>
          </w:tcPr>
          <w:p>
            <w:pPr>
              <w:pStyle w:val="TableNAm"/>
              <w:jc w:val="center"/>
            </w:pPr>
            <w:r>
              <w:t>3 893</w:t>
            </w:r>
          </w:p>
        </w:tc>
        <w:tc>
          <w:tcPr>
            <w:tcW w:w="1417" w:type="dxa"/>
            <w:noWrap/>
            <w:vAlign w:val="bottom"/>
          </w:tcPr>
          <w:p>
            <w:pPr>
              <w:pStyle w:val="TableNAm"/>
              <w:jc w:val="center"/>
            </w:pPr>
            <w:r>
              <w:t>4 998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1 394</w:t>
            </w:r>
          </w:p>
        </w:tc>
        <w:tc>
          <w:tcPr>
            <w:tcW w:w="1417" w:type="dxa"/>
            <w:noWrap/>
            <w:vAlign w:val="bottom"/>
          </w:tcPr>
          <w:p>
            <w:pPr>
              <w:pStyle w:val="TableNAm"/>
              <w:jc w:val="center"/>
            </w:pPr>
            <w:r>
              <w:t>1 947</w:t>
            </w:r>
          </w:p>
        </w:tc>
        <w:tc>
          <w:tcPr>
            <w:tcW w:w="1417" w:type="dxa"/>
            <w:noWrap/>
            <w:vAlign w:val="bottom"/>
          </w:tcPr>
          <w:p>
            <w:pPr>
              <w:pStyle w:val="TableNAm"/>
              <w:jc w:val="center"/>
            </w:pPr>
            <w:r>
              <w:t>2 499</w:t>
            </w:r>
          </w:p>
        </w:tc>
      </w:tr>
      <w:tr>
        <w:trPr>
          <w:cantSplit/>
        </w:trPr>
        <w:tc>
          <w:tcPr>
            <w:tcW w:w="739" w:type="dxa"/>
            <w:noWrap/>
          </w:tcPr>
          <w:p>
            <w:pPr>
              <w:pStyle w:val="TableNAm"/>
              <w:rPr>
                <w:b/>
                <w:bCs/>
              </w:rPr>
            </w:pPr>
            <w:r>
              <w:rPr>
                <w:b/>
                <w:bCs/>
              </w:rPr>
              <w:t>2.</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5 593</w:t>
            </w:r>
          </w:p>
        </w:tc>
        <w:tc>
          <w:tcPr>
            <w:tcW w:w="1417" w:type="dxa"/>
            <w:noWrap/>
            <w:vAlign w:val="bottom"/>
          </w:tcPr>
          <w:p>
            <w:pPr>
              <w:pStyle w:val="TableNAm"/>
              <w:jc w:val="center"/>
            </w:pPr>
            <w:r>
              <w:t>7 812</w:t>
            </w:r>
          </w:p>
        </w:tc>
        <w:tc>
          <w:tcPr>
            <w:tcW w:w="1417" w:type="dxa"/>
            <w:noWrap/>
            <w:vAlign w:val="bottom"/>
          </w:tcPr>
          <w:p>
            <w:pPr>
              <w:pStyle w:val="TableNAm"/>
              <w:jc w:val="center"/>
            </w:pPr>
            <w:r>
              <w:t>10 032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2 797</w:t>
            </w:r>
          </w:p>
        </w:tc>
        <w:tc>
          <w:tcPr>
            <w:tcW w:w="1417" w:type="dxa"/>
            <w:noWrap/>
            <w:vAlign w:val="bottom"/>
          </w:tcPr>
          <w:p>
            <w:pPr>
              <w:pStyle w:val="TableNAm"/>
              <w:jc w:val="center"/>
            </w:pPr>
            <w:r>
              <w:t>3 906</w:t>
            </w:r>
          </w:p>
        </w:tc>
        <w:tc>
          <w:tcPr>
            <w:tcW w:w="1417" w:type="dxa"/>
            <w:noWrap/>
            <w:vAlign w:val="bottom"/>
          </w:tcPr>
          <w:p>
            <w:pPr>
              <w:pStyle w:val="TableNAm"/>
              <w:jc w:val="center"/>
            </w:pPr>
            <w:r>
              <w:t>5 016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1 398</w:t>
            </w:r>
          </w:p>
        </w:tc>
        <w:tc>
          <w:tcPr>
            <w:tcW w:w="1417" w:type="dxa"/>
            <w:noWrap/>
            <w:vAlign w:val="bottom"/>
          </w:tcPr>
          <w:p>
            <w:pPr>
              <w:pStyle w:val="TableNAm"/>
              <w:jc w:val="center"/>
            </w:pPr>
            <w:r>
              <w:t>1 953</w:t>
            </w:r>
          </w:p>
        </w:tc>
        <w:tc>
          <w:tcPr>
            <w:tcW w:w="1417" w:type="dxa"/>
            <w:noWrap/>
            <w:vAlign w:val="bottom"/>
          </w:tcPr>
          <w:p>
            <w:pPr>
              <w:pStyle w:val="TableNAm"/>
              <w:jc w:val="center"/>
            </w:pPr>
            <w:r>
              <w:t>2 508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w:t>
      </w:r>
    </w:p>
    <w:p>
      <w:pPr>
        <w:pStyle w:val="Heading5"/>
        <w:rPr>
          <w:snapToGrid w:val="0"/>
          <w:spacing w:val="-4"/>
        </w:rPr>
      </w:pPr>
      <w:bookmarkStart w:id="75" w:name="_Toc200034023"/>
      <w:bookmarkStart w:id="76" w:name="_Toc17019795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5"/>
      <w:bookmarkEnd w:id="76"/>
    </w:p>
    <w:p>
      <w:pPr>
        <w:pStyle w:val="Subsection"/>
      </w:pPr>
      <w:r>
        <w:tab/>
        <w:t>(1)</w:t>
      </w:r>
      <w:r>
        <w:tab/>
        <w:t xml:space="preserve">The fee to accompany an application for the renewal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pPr>
        <w:pStyle w:val="Subsection"/>
        <w:keepNext/>
      </w:pPr>
      <w:r>
        <w:tab/>
        <w:t>(5)</w:t>
      </w:r>
      <w:r>
        <w:tab/>
        <w:t xml:space="preserve">For the purposes of calculating a fee set out in item 1 or 2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5 478</w:t>
            </w:r>
          </w:p>
        </w:tc>
        <w:tc>
          <w:tcPr>
            <w:tcW w:w="1418" w:type="dxa"/>
            <w:noWrap/>
            <w:vAlign w:val="bottom"/>
          </w:tcPr>
          <w:p>
            <w:pPr>
              <w:pStyle w:val="TableNAm"/>
              <w:jc w:val="center"/>
            </w:pPr>
            <w:r>
              <w:t>7 622</w:t>
            </w:r>
          </w:p>
        </w:tc>
        <w:tc>
          <w:tcPr>
            <w:tcW w:w="1416" w:type="dxa"/>
            <w:noWrap/>
            <w:vAlign w:val="bottom"/>
          </w:tcPr>
          <w:p>
            <w:pPr>
              <w:pStyle w:val="TableNAm"/>
              <w:jc w:val="center"/>
            </w:pPr>
            <w:r>
              <w:t>9 766</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2 739</w:t>
            </w:r>
          </w:p>
        </w:tc>
        <w:tc>
          <w:tcPr>
            <w:tcW w:w="1418" w:type="dxa"/>
            <w:noWrap/>
            <w:vAlign w:val="bottom"/>
          </w:tcPr>
          <w:p>
            <w:pPr>
              <w:pStyle w:val="TableNAm"/>
              <w:jc w:val="center"/>
            </w:pPr>
            <w:r>
              <w:t>3 811</w:t>
            </w:r>
          </w:p>
        </w:tc>
        <w:tc>
          <w:tcPr>
            <w:tcW w:w="1416" w:type="dxa"/>
            <w:noWrap/>
            <w:vAlign w:val="bottom"/>
          </w:tcPr>
          <w:p>
            <w:pPr>
              <w:pStyle w:val="TableNAm"/>
              <w:jc w:val="center"/>
            </w:pPr>
            <w:r>
              <w:t>4 883</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1 370</w:t>
            </w:r>
          </w:p>
        </w:tc>
        <w:tc>
          <w:tcPr>
            <w:tcW w:w="1418" w:type="dxa"/>
            <w:noWrap/>
            <w:vAlign w:val="bottom"/>
          </w:tcPr>
          <w:p>
            <w:pPr>
              <w:pStyle w:val="TableNAm"/>
              <w:jc w:val="center"/>
            </w:pPr>
            <w:r>
              <w:t>1 906</w:t>
            </w:r>
          </w:p>
        </w:tc>
        <w:tc>
          <w:tcPr>
            <w:tcW w:w="1416" w:type="dxa"/>
            <w:noWrap/>
            <w:vAlign w:val="bottom"/>
          </w:tcPr>
          <w:p>
            <w:pPr>
              <w:pStyle w:val="TableNAm"/>
              <w:jc w:val="center"/>
            </w:pPr>
            <w:r>
              <w:t>2 442</w:t>
            </w:r>
          </w:p>
        </w:tc>
      </w:tr>
      <w:tr>
        <w:trPr>
          <w:cantSplit/>
        </w:trPr>
        <w:tc>
          <w:tcPr>
            <w:tcW w:w="738" w:type="dxa"/>
            <w:noWrap/>
          </w:tcPr>
          <w:p>
            <w:pPr>
              <w:pStyle w:val="TableNAm"/>
              <w:rPr>
                <w:b/>
                <w:bCs/>
              </w:rPr>
            </w:pPr>
            <w:r>
              <w:rPr>
                <w:b/>
                <w:bCs/>
              </w:rPr>
              <w:t>2.</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5 494</w:t>
            </w:r>
          </w:p>
        </w:tc>
        <w:tc>
          <w:tcPr>
            <w:tcW w:w="1418" w:type="dxa"/>
            <w:noWrap/>
            <w:vAlign w:val="bottom"/>
          </w:tcPr>
          <w:p>
            <w:pPr>
              <w:pStyle w:val="TableNAm"/>
              <w:jc w:val="center"/>
            </w:pPr>
            <w:r>
              <w:t>7 648</w:t>
            </w:r>
          </w:p>
        </w:tc>
        <w:tc>
          <w:tcPr>
            <w:tcW w:w="1416" w:type="dxa"/>
            <w:noWrap/>
            <w:vAlign w:val="bottom"/>
          </w:tcPr>
          <w:p>
            <w:pPr>
              <w:pStyle w:val="TableNAm"/>
              <w:jc w:val="center"/>
            </w:pPr>
            <w:r>
              <w:t>9 802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2 747</w:t>
            </w:r>
          </w:p>
        </w:tc>
        <w:tc>
          <w:tcPr>
            <w:tcW w:w="1418" w:type="dxa"/>
            <w:noWrap/>
            <w:vAlign w:val="bottom"/>
          </w:tcPr>
          <w:p>
            <w:pPr>
              <w:pStyle w:val="TableNAm"/>
              <w:jc w:val="center"/>
            </w:pPr>
            <w:r>
              <w:t>3 824</w:t>
            </w:r>
          </w:p>
        </w:tc>
        <w:tc>
          <w:tcPr>
            <w:tcW w:w="1416" w:type="dxa"/>
            <w:noWrap/>
            <w:vAlign w:val="bottom"/>
          </w:tcPr>
          <w:p>
            <w:pPr>
              <w:pStyle w:val="TableNAm"/>
              <w:jc w:val="center"/>
            </w:pPr>
            <w:r>
              <w:t>4 901</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1 374</w:t>
            </w:r>
          </w:p>
        </w:tc>
        <w:tc>
          <w:tcPr>
            <w:tcW w:w="1418" w:type="dxa"/>
            <w:noWrap/>
            <w:vAlign w:val="bottom"/>
          </w:tcPr>
          <w:p>
            <w:pPr>
              <w:pStyle w:val="TableNAm"/>
              <w:jc w:val="center"/>
            </w:pPr>
            <w:r>
              <w:t>1 912</w:t>
            </w:r>
          </w:p>
        </w:tc>
        <w:tc>
          <w:tcPr>
            <w:tcW w:w="1416" w:type="dxa"/>
            <w:noWrap/>
            <w:vAlign w:val="bottom"/>
          </w:tcPr>
          <w:p>
            <w:pPr>
              <w:pStyle w:val="TableNAm"/>
              <w:jc w:val="center"/>
            </w:pPr>
            <w:r>
              <w:t>2 451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w:t>
      </w:r>
      <w:r>
        <w:t>.]</w:t>
      </w:r>
    </w:p>
    <w:p>
      <w:pPr>
        <w:pStyle w:val="Heading5"/>
        <w:rPr>
          <w:snapToGrid w:val="0"/>
        </w:rPr>
      </w:pPr>
      <w:bookmarkStart w:id="77" w:name="_Toc200034024"/>
      <w:bookmarkStart w:id="78" w:name="_Toc170197954"/>
      <w:r>
        <w:rPr>
          <w:rStyle w:val="CharSectno"/>
        </w:rPr>
        <w:t>30</w:t>
      </w:r>
      <w:r>
        <w:rPr>
          <w:snapToGrid w:val="0"/>
        </w:rPr>
        <w:t>.</w:t>
      </w:r>
      <w:r>
        <w:rPr>
          <w:snapToGrid w:val="0"/>
        </w:rPr>
        <w:tab/>
        <w:t>Refund of fees, when payable</w:t>
      </w:r>
      <w:bookmarkEnd w:id="77"/>
      <w:bookmarkEnd w:id="78"/>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79" w:name="_Toc200034025"/>
      <w:bookmarkStart w:id="80" w:name="_Toc170197955"/>
      <w:r>
        <w:rPr>
          <w:rStyle w:val="CharSectno"/>
          <w:spacing w:val="-4"/>
        </w:rPr>
        <w:t>31</w:t>
      </w:r>
      <w:r>
        <w:rPr>
          <w:snapToGrid w:val="0"/>
          <w:spacing w:val="-4"/>
        </w:rPr>
        <w:t>.</w:t>
      </w:r>
      <w:r>
        <w:rPr>
          <w:snapToGrid w:val="0"/>
          <w:spacing w:val="-4"/>
        </w:rPr>
        <w:tab/>
        <w:t>Fee prescribed for inspecting register (Act s. 28(2))</w:t>
      </w:r>
      <w:bookmarkEnd w:id="79"/>
      <w:bookmarkEnd w:id="80"/>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81" w:name="_Toc200032642"/>
      <w:bookmarkStart w:id="82" w:name="_Toc200032946"/>
      <w:bookmarkStart w:id="83" w:name="_Toc200034026"/>
      <w:bookmarkStart w:id="84" w:name="_Toc170129273"/>
      <w:bookmarkStart w:id="85" w:name="_Toc170130622"/>
      <w:bookmarkStart w:id="86" w:name="_Toc170133192"/>
      <w:bookmarkStart w:id="87" w:name="_Toc170133788"/>
      <w:bookmarkStart w:id="88" w:name="_Toc17019795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81"/>
      <w:bookmarkEnd w:id="82"/>
      <w:bookmarkEnd w:id="83"/>
      <w:bookmarkEnd w:id="84"/>
      <w:bookmarkEnd w:id="85"/>
      <w:bookmarkEnd w:id="86"/>
      <w:bookmarkEnd w:id="87"/>
      <w:bookmarkEnd w:id="88"/>
    </w:p>
    <w:p>
      <w:pPr>
        <w:pStyle w:val="Footnoteheading"/>
      </w:pPr>
      <w:r>
        <w:tab/>
        <w:t>[Heading inserted: Gazette 28 Jul 2000 p. 4025.]</w:t>
      </w:r>
    </w:p>
    <w:p>
      <w:pPr>
        <w:pStyle w:val="Heading5"/>
      </w:pPr>
      <w:bookmarkStart w:id="89" w:name="_Toc200034027"/>
      <w:bookmarkStart w:id="90" w:name="_Toc170197957"/>
      <w:r>
        <w:rPr>
          <w:rStyle w:val="CharSectno"/>
        </w:rPr>
        <w:t>32</w:t>
      </w:r>
      <w:r>
        <w:t>.</w:t>
      </w:r>
      <w:r>
        <w:tab/>
        <w:t>Offences and modified penalties prescribed (Act s. 90)</w:t>
      </w:r>
      <w:bookmarkEnd w:id="89"/>
      <w:bookmarkEnd w:id="9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91" w:name="_Toc200032644"/>
      <w:bookmarkStart w:id="92" w:name="_Toc200032948"/>
      <w:bookmarkStart w:id="93" w:name="_Toc200034028"/>
      <w:bookmarkStart w:id="94" w:name="_Toc170129275"/>
      <w:bookmarkStart w:id="95" w:name="_Toc170130624"/>
      <w:bookmarkStart w:id="96" w:name="_Toc170133194"/>
      <w:bookmarkStart w:id="97" w:name="_Toc170133790"/>
      <w:bookmarkStart w:id="98" w:name="_Toc170197958"/>
      <w:r>
        <w:rPr>
          <w:rStyle w:val="CharPartNo"/>
        </w:rPr>
        <w:t>Part 8</w:t>
      </w:r>
      <w:r>
        <w:rPr>
          <w:b w:val="0"/>
        </w:rPr>
        <w:t> </w:t>
      </w:r>
      <w:r>
        <w:t>—</w:t>
      </w:r>
      <w:r>
        <w:rPr>
          <w:b w:val="0"/>
        </w:rPr>
        <w:t> </w:t>
      </w:r>
      <w:r>
        <w:rPr>
          <w:rStyle w:val="CharPartText"/>
        </w:rPr>
        <w:t>Transitional provisions</w:t>
      </w:r>
      <w:bookmarkEnd w:id="91"/>
      <w:bookmarkEnd w:id="92"/>
      <w:bookmarkEnd w:id="93"/>
      <w:bookmarkEnd w:id="94"/>
      <w:bookmarkEnd w:id="95"/>
      <w:bookmarkEnd w:id="96"/>
      <w:bookmarkEnd w:id="97"/>
      <w:bookmarkEnd w:id="98"/>
    </w:p>
    <w:p>
      <w:pPr>
        <w:pStyle w:val="Footnoteheading"/>
      </w:pPr>
      <w:r>
        <w:tab/>
        <w:t>[Heading inserted: SL 2020/147 r. 10.]</w:t>
      </w:r>
    </w:p>
    <w:p>
      <w:pPr>
        <w:pStyle w:val="Heading5"/>
      </w:pPr>
      <w:bookmarkStart w:id="99" w:name="_Toc200034029"/>
      <w:bookmarkStart w:id="100" w:name="_Toc170197959"/>
      <w:r>
        <w:rPr>
          <w:rStyle w:val="CharSectno"/>
        </w:rPr>
        <w:t>33</w:t>
      </w:r>
      <w:r>
        <w:t>.</w:t>
      </w:r>
      <w:r>
        <w:tab/>
        <w:t xml:space="preserve">Transitional provisions relating to </w:t>
      </w:r>
      <w:r>
        <w:rPr>
          <w:i/>
        </w:rPr>
        <w:t>Pawnbrokers and Second</w:t>
      </w:r>
      <w:r>
        <w:rPr>
          <w:i/>
        </w:rPr>
        <w:noBreakHyphen/>
        <w:t>hand Dealers Amendment Regulations 2020</w:t>
      </w:r>
      <w:bookmarkEnd w:id="99"/>
      <w:bookmarkEnd w:id="10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01" w:name="_Toc200032646"/>
      <w:bookmarkStart w:id="102" w:name="_Toc200032950"/>
      <w:bookmarkStart w:id="103" w:name="_Toc200034030"/>
      <w:bookmarkStart w:id="104" w:name="_Toc170129277"/>
      <w:bookmarkStart w:id="105" w:name="_Toc170130626"/>
      <w:bookmarkStart w:id="106" w:name="_Toc170133196"/>
      <w:bookmarkStart w:id="107" w:name="_Toc170133792"/>
      <w:bookmarkStart w:id="108" w:name="_Toc170197960"/>
      <w:r>
        <w:t>Notes</w:t>
      </w:r>
      <w:bookmarkEnd w:id="101"/>
      <w:bookmarkEnd w:id="102"/>
      <w:bookmarkEnd w:id="103"/>
      <w:bookmarkEnd w:id="104"/>
      <w:bookmarkEnd w:id="105"/>
      <w:bookmarkEnd w:id="106"/>
      <w:bookmarkEnd w:id="107"/>
      <w:bookmarkEnd w:id="108"/>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ins w:id="109" w:author="Master Repository Process" w:date="2025-06-10T14:37:00Z">
        <w:r>
          <w:t xml:space="preserve"> For provisions that have not yet come into operation see the uncommenced provisions table.</w:t>
        </w:r>
      </w:ins>
    </w:p>
    <w:p>
      <w:pPr>
        <w:pStyle w:val="nHeading3"/>
      </w:pPr>
      <w:bookmarkStart w:id="110" w:name="_Toc200034031"/>
      <w:bookmarkStart w:id="111" w:name="_Toc170197961"/>
      <w:r>
        <w:t>Compilation table</w:t>
      </w:r>
      <w:bookmarkEnd w:id="110"/>
      <w:bookmarkEnd w:id="11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2024</w:t>
            </w:r>
          </w:p>
        </w:tc>
        <w:tc>
          <w:tcPr>
            <w:tcW w:w="1276" w:type="dxa"/>
            <w:tcBorders>
              <w:bottom w:val="single" w:sz="4" w:space="0" w:color="auto"/>
            </w:tcBorders>
            <w:shd w:val="clear" w:color="auto" w:fill="auto"/>
          </w:tcPr>
          <w:p>
            <w:pPr>
              <w:pStyle w:val="nTable"/>
              <w:spacing w:after="40"/>
            </w:pPr>
            <w:r>
              <w:t>SL 2024/127 26 Jun 2024</w:t>
            </w:r>
          </w:p>
        </w:tc>
        <w:tc>
          <w:tcPr>
            <w:tcW w:w="2693" w:type="dxa"/>
            <w:tcBorders>
              <w:bottom w:val="single" w:sz="4" w:space="0" w:color="auto"/>
            </w:tcBorders>
            <w:shd w:val="clear" w:color="auto" w:fill="auto"/>
          </w:tcPr>
          <w:p>
            <w:pPr>
              <w:pStyle w:val="nTable"/>
              <w:spacing w:after="40"/>
            </w:pPr>
            <w:r>
              <w:t>r. 1 and 2: 26 Jun 2024 (see r. 2(a));</w:t>
            </w:r>
            <w:r>
              <w:br/>
              <w:t>Regulations other than r. 1 and 2: 1 Jul 2024 (see r. 2(b))</w:t>
            </w:r>
          </w:p>
        </w:tc>
      </w:tr>
    </w:tbl>
    <w:p>
      <w:pPr>
        <w:pStyle w:val="nHeading3"/>
        <w:rPr>
          <w:ins w:id="112" w:author="Master Repository Process" w:date="2025-06-10T14:37:00Z"/>
        </w:rPr>
      </w:pPr>
      <w:bookmarkStart w:id="113" w:name="_Toc200034032"/>
      <w:ins w:id="114" w:author="Master Repository Process" w:date="2025-06-10T14:37:00Z">
        <w:r>
          <w:t>Uncommenced provisions table</w:t>
        </w:r>
        <w:bookmarkEnd w:id="113"/>
      </w:ins>
    </w:p>
    <w:p>
      <w:pPr>
        <w:pStyle w:val="nStatement"/>
        <w:keepNext/>
        <w:spacing w:after="240"/>
        <w:rPr>
          <w:ins w:id="115" w:author="Master Repository Process" w:date="2025-06-10T14:37:00Z"/>
        </w:rPr>
      </w:pPr>
      <w:ins w:id="116" w:author="Master Repository Process" w:date="2025-06-10T14:3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5-06-10T14:37:00Z"/>
        </w:trPr>
        <w:tc>
          <w:tcPr>
            <w:tcW w:w="3118" w:type="dxa"/>
          </w:tcPr>
          <w:p>
            <w:pPr>
              <w:pStyle w:val="nTable"/>
              <w:spacing w:after="40"/>
              <w:rPr>
                <w:ins w:id="118" w:author="Master Repository Process" w:date="2025-06-10T14:37:00Z"/>
                <w:b/>
              </w:rPr>
            </w:pPr>
            <w:ins w:id="119" w:author="Master Repository Process" w:date="2025-06-10T14:37:00Z">
              <w:r>
                <w:rPr>
                  <w:b/>
                </w:rPr>
                <w:t>Citation</w:t>
              </w:r>
            </w:ins>
          </w:p>
        </w:tc>
        <w:tc>
          <w:tcPr>
            <w:tcW w:w="1276" w:type="dxa"/>
          </w:tcPr>
          <w:p>
            <w:pPr>
              <w:pStyle w:val="nTable"/>
              <w:spacing w:after="40"/>
              <w:rPr>
                <w:ins w:id="120" w:author="Master Repository Process" w:date="2025-06-10T14:37:00Z"/>
                <w:b/>
              </w:rPr>
            </w:pPr>
            <w:ins w:id="121" w:author="Master Repository Process" w:date="2025-06-10T14:37:00Z">
              <w:r>
                <w:rPr>
                  <w:b/>
                </w:rPr>
                <w:t>Published</w:t>
              </w:r>
            </w:ins>
          </w:p>
        </w:tc>
        <w:tc>
          <w:tcPr>
            <w:tcW w:w="2693" w:type="dxa"/>
          </w:tcPr>
          <w:p>
            <w:pPr>
              <w:pStyle w:val="nTable"/>
              <w:spacing w:after="40"/>
              <w:rPr>
                <w:ins w:id="122" w:author="Master Repository Process" w:date="2025-06-10T14:37:00Z"/>
                <w:b/>
              </w:rPr>
            </w:pPr>
            <w:ins w:id="123" w:author="Master Repository Process" w:date="2025-06-10T14:37:00Z">
              <w:r>
                <w:rPr>
                  <w:b/>
                </w:rPr>
                <w:t>Commencement</w:t>
              </w:r>
            </w:ins>
          </w:p>
        </w:tc>
      </w:tr>
      <w:tr>
        <w:trPr>
          <w:ins w:id="124" w:author="Master Repository Process" w:date="2025-06-10T14:37:00Z"/>
        </w:trPr>
        <w:tc>
          <w:tcPr>
            <w:tcW w:w="3118" w:type="dxa"/>
          </w:tcPr>
          <w:p>
            <w:pPr>
              <w:pStyle w:val="nTable"/>
              <w:spacing w:after="40"/>
              <w:rPr>
                <w:ins w:id="125" w:author="Master Repository Process" w:date="2025-06-10T14:37:00Z"/>
              </w:rPr>
            </w:pPr>
            <w:ins w:id="126" w:author="Master Repository Process" w:date="2025-06-10T14:37:00Z">
              <w:r>
                <w:rPr>
                  <w:i/>
                </w:rPr>
                <w:t>Police Regulations Amendment (Fees and Charges) Regulations 2025</w:t>
              </w:r>
              <w:r>
                <w:rPr>
                  <w:iCs/>
                </w:rPr>
                <w:t xml:space="preserve"> Pt. 2</w:t>
              </w:r>
            </w:ins>
          </w:p>
        </w:tc>
        <w:tc>
          <w:tcPr>
            <w:tcW w:w="1276" w:type="dxa"/>
          </w:tcPr>
          <w:p>
            <w:pPr>
              <w:pStyle w:val="nTable"/>
              <w:spacing w:after="40"/>
              <w:rPr>
                <w:ins w:id="127" w:author="Master Repository Process" w:date="2025-06-10T14:37:00Z"/>
              </w:rPr>
            </w:pPr>
            <w:ins w:id="128" w:author="Master Repository Process" w:date="2025-06-10T14:37:00Z">
              <w:r>
                <w:t>SL 2025/86 11 Jun 2025</w:t>
              </w:r>
            </w:ins>
          </w:p>
        </w:tc>
        <w:tc>
          <w:tcPr>
            <w:tcW w:w="2693" w:type="dxa"/>
          </w:tcPr>
          <w:p>
            <w:pPr>
              <w:pStyle w:val="nTable"/>
              <w:spacing w:after="40"/>
              <w:rPr>
                <w:ins w:id="129" w:author="Master Repository Process" w:date="2025-06-10T14:37:00Z"/>
              </w:rPr>
            </w:pPr>
            <w:ins w:id="130" w:author="Master Repository Process" w:date="2025-06-10T14:37:00Z">
              <w:r>
                <w:t>1 Jul 2025 (see r. 2(b))</w:t>
              </w:r>
            </w:ins>
          </w:p>
        </w:tc>
      </w:tr>
    </w:tbl>
    <w:p>
      <w:pPr>
        <w:pStyle w:val="nHeading3"/>
      </w:pPr>
      <w:bookmarkStart w:id="131" w:name="_Toc200034033"/>
      <w:bookmarkStart w:id="132" w:name="_Toc170197962"/>
      <w:r>
        <w:t>Other notes</w:t>
      </w:r>
      <w:bookmarkEnd w:id="131"/>
      <w:bookmarkEnd w:id="132"/>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rPr>
          <w:del w:id="133" w:author="Master Repository Process" w:date="2025-06-10T14:37:00Z"/>
        </w:rPr>
      </w:pPr>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6-10T14:37:00Z">
                              <w:r>
                                <w:rPr>
                                  <w:sz w:val="16"/>
                                </w:rPr>
                                <w:delText>2024</w:delText>
                              </w:r>
                            </w:del>
                            <w:ins w:id="136" w:author="Master Repository Process" w:date="2025-06-10T14: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7" w:author="Master Repository Process" w:date="2025-06-10T14:37:00Z">
                              <w:r>
                                <w:rPr>
                                  <w:sz w:val="16"/>
                                </w:rPr>
                                <w:delText>2024</w:delText>
                              </w:r>
                            </w:del>
                            <w:ins w:id="138" w:author="Master Repository Process" w:date="2025-06-10T14: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9" w:author="Master Repository Process" w:date="2025-06-10T14:37:00Z">
                        <w:r>
                          <w:rPr>
                            <w:sz w:val="16"/>
                          </w:rPr>
                          <w:delText>2024</w:delText>
                        </w:r>
                      </w:del>
                      <w:ins w:id="140" w:author="Master Repository Process" w:date="2025-06-10T14:3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1" w:author="Master Repository Process" w:date="2025-06-10T14:37:00Z">
                        <w:r>
                          <w:rPr>
                            <w:sz w:val="16"/>
                          </w:rPr>
                          <w:delText>2024</w:delText>
                        </w:r>
                      </w:del>
                      <w:ins w:id="142" w:author="Master Repository Process" w:date="2025-06-10T14:3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1523"/>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6610</Words>
  <Characters>30937</Characters>
  <Application>Microsoft Office Word</Application>
  <DocSecurity>0</DocSecurity>
  <Lines>1546</Lines>
  <Paragraphs>798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05-r0-00 - 05-s0-00</dc:title>
  <dc:subject/>
  <dc:creator/>
  <cp:keywords/>
  <dc:description/>
  <cp:lastModifiedBy>Master Repository Process</cp:lastModifiedBy>
  <cp:revision>2</cp:revision>
  <cp:lastPrinted>2016-11-14T04:52:00Z</cp:lastPrinted>
  <dcterms:created xsi:type="dcterms:W3CDTF">2025-06-10T06:36:00Z</dcterms:created>
  <dcterms:modified xsi:type="dcterms:W3CDTF">2025-06-10T06:37:00Z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05-r0-00</vt:lpwstr>
  </property>
  <property fmtid="{D5CDD505-2E9C-101B-9397-08002B2CF9AE}" pid="12" name="FromAsAtDate">
    <vt:lpwstr>01 Jul 2024</vt:lpwstr>
  </property>
  <property fmtid="{D5CDD505-2E9C-101B-9397-08002B2CF9AE}" pid="13" name="ToSuffix">
    <vt:lpwstr>05-s0-00</vt:lpwstr>
  </property>
  <property fmtid="{D5CDD505-2E9C-101B-9397-08002B2CF9AE}" pid="14" name="ToAsAtDate">
    <vt:lpwstr>11 Jun 2025</vt:lpwstr>
  </property>
</Properties>
</file>