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2024</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10 Jun 2025</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 w:name="_Toc200459120"/>
      <w:bookmarkStart w:id="2" w:name="_Toc200459297"/>
      <w:bookmarkStart w:id="3" w:name="_Toc200524517"/>
      <w:bookmarkStart w:id="4" w:name="_Toc180569456"/>
      <w:bookmarkStart w:id="5" w:name="_Toc180575252"/>
      <w:bookmarkStart w:id="6" w:name="_Toc1805787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0524518"/>
      <w:bookmarkStart w:id="8" w:name="_Toc180578726"/>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9" w:name="_Toc200524519"/>
      <w:bookmarkStart w:id="10" w:name="_Toc180578727"/>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200524520"/>
      <w:bookmarkStart w:id="12" w:name="_Toc180578728"/>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approved policy</w:t>
      </w:r>
      <w:r>
        <w:t xml:space="preserve"> means a policy in effect under section 6A;</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lastRenderedPageBreak/>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 No. 4 of 2021 s. 122; No. 39 of 2024 s. 4.]</w:t>
      </w:r>
    </w:p>
    <w:p>
      <w:pPr>
        <w:pStyle w:val="Heading5"/>
      </w:pPr>
      <w:bookmarkStart w:id="13" w:name="_Toc200524521"/>
      <w:bookmarkStart w:id="14" w:name="_Toc180578729"/>
      <w:r>
        <w:rPr>
          <w:rStyle w:val="CharSectno"/>
        </w:rPr>
        <w:t>4</w:t>
      </w:r>
      <w:r>
        <w:t>.</w:t>
      </w:r>
      <w:r>
        <w:tab/>
        <w:t>Crown bound</w:t>
      </w:r>
      <w:bookmarkEnd w:id="13"/>
      <w:bookmarkEnd w:id="14"/>
    </w:p>
    <w:p>
      <w:pPr>
        <w:pStyle w:val="Subsection"/>
      </w:pPr>
      <w:r>
        <w:tab/>
      </w:r>
      <w:r>
        <w:tab/>
        <w:t>This Act binds the Crown.</w:t>
      </w:r>
    </w:p>
    <w:p>
      <w:pPr>
        <w:pStyle w:val="Heading2"/>
      </w:pPr>
      <w:bookmarkStart w:id="15" w:name="_Toc200459125"/>
      <w:bookmarkStart w:id="16" w:name="_Toc200459302"/>
      <w:bookmarkStart w:id="17" w:name="_Toc200524522"/>
      <w:bookmarkStart w:id="18" w:name="_Toc180569461"/>
      <w:bookmarkStart w:id="19" w:name="_Toc180575257"/>
      <w:bookmarkStart w:id="20" w:name="_Toc180578730"/>
      <w:r>
        <w:rPr>
          <w:rStyle w:val="CharPartNo"/>
        </w:rPr>
        <w:t>Part 2</w:t>
      </w:r>
      <w:r>
        <w:t> — </w:t>
      </w:r>
      <w:r>
        <w:rPr>
          <w:rStyle w:val="CharPartText"/>
        </w:rPr>
        <w:t>Complaints and conciliation</w:t>
      </w:r>
      <w:bookmarkEnd w:id="15"/>
      <w:bookmarkEnd w:id="16"/>
      <w:bookmarkEnd w:id="17"/>
      <w:bookmarkEnd w:id="18"/>
      <w:bookmarkEnd w:id="19"/>
      <w:bookmarkEnd w:id="20"/>
    </w:p>
    <w:p>
      <w:pPr>
        <w:pStyle w:val="Heading3"/>
      </w:pPr>
      <w:bookmarkStart w:id="21" w:name="_Toc200459126"/>
      <w:bookmarkStart w:id="22" w:name="_Toc200459303"/>
      <w:bookmarkStart w:id="23" w:name="_Toc200524523"/>
      <w:bookmarkStart w:id="24" w:name="_Toc180569462"/>
      <w:bookmarkStart w:id="25" w:name="_Toc180575258"/>
      <w:bookmarkStart w:id="26" w:name="_Toc180578731"/>
      <w:r>
        <w:rPr>
          <w:rStyle w:val="CharDivNo"/>
        </w:rPr>
        <w:t>Division 1</w:t>
      </w:r>
      <w:r>
        <w:t> — </w:t>
      </w:r>
      <w:r>
        <w:rPr>
          <w:rStyle w:val="CharDivText"/>
        </w:rPr>
        <w:t>Complaints about the carrying out of regulated building services or home building work contract matters</w:t>
      </w:r>
      <w:bookmarkEnd w:id="21"/>
      <w:bookmarkEnd w:id="22"/>
      <w:bookmarkEnd w:id="23"/>
      <w:bookmarkEnd w:id="24"/>
      <w:bookmarkEnd w:id="25"/>
      <w:bookmarkEnd w:id="26"/>
    </w:p>
    <w:p>
      <w:pPr>
        <w:pStyle w:val="Heading5"/>
        <w:spacing w:before="240"/>
      </w:pPr>
      <w:bookmarkStart w:id="27" w:name="_Toc200524524"/>
      <w:bookmarkStart w:id="28" w:name="_Toc180578732"/>
      <w:r>
        <w:rPr>
          <w:rStyle w:val="CharSectno"/>
        </w:rPr>
        <w:t>5</w:t>
      </w:r>
      <w:r>
        <w:t>.</w:t>
      </w:r>
      <w:r>
        <w:tab/>
        <w:t>Making complaint about building service or home building work contract matter</w:t>
      </w:r>
      <w:bookmarkEnd w:id="27"/>
      <w:bookmarkEnd w:id="28"/>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29" w:name="_Toc200524525"/>
      <w:bookmarkStart w:id="30" w:name="_Toc180578733"/>
      <w:r>
        <w:rPr>
          <w:rStyle w:val="CharSectno"/>
        </w:rPr>
        <w:t>6</w:t>
      </w:r>
      <w:r>
        <w:t>.</w:t>
      </w:r>
      <w:r>
        <w:tab/>
        <w:t>Time limit for complaint</w:t>
      </w:r>
      <w:bookmarkEnd w:id="29"/>
      <w:bookmarkEnd w:id="30"/>
    </w:p>
    <w:p>
      <w:pPr>
        <w:pStyle w:val="Subsection"/>
      </w:pPr>
      <w:r>
        <w:tab/>
        <w:t>(1)</w:t>
      </w:r>
      <w:r>
        <w:tab/>
        <w:t xml:space="preserve">A building service complaint is made out of time if the complaint is made — </w:t>
      </w:r>
    </w:p>
    <w:p>
      <w:pPr>
        <w:pStyle w:val="Indenta"/>
      </w:pPr>
      <w:r>
        <w:tab/>
        <w:t>(a)</w:t>
      </w:r>
      <w:r>
        <w:tab/>
        <w:t>for a complaint relating to the installation or use of a Typlex pipe — more than 15 years after the completion of the regulated building service to which the complaint relates; or</w:t>
      </w:r>
    </w:p>
    <w:p>
      <w:pPr>
        <w:pStyle w:val="Indenta"/>
      </w:pPr>
      <w:r>
        <w:tab/>
        <w:t>(b)</w:t>
      </w:r>
      <w:r>
        <w:tab/>
        <w:t>for a complaint relating to a matter other than the installation or use of a Typlex pipe — more than 6 years after the completion of the regulated building service to which the complaint relates.</w:t>
      </w:r>
    </w:p>
    <w:p>
      <w:pPr>
        <w:pStyle w:val="Subsection"/>
      </w:pPr>
      <w:r>
        <w:tab/>
        <w:t>(1A)</w:t>
      </w:r>
      <w:r>
        <w:tab/>
        <w:t>Subsection (1)(a) applies to a building service complaint relating to the installation or use of a Typlex pipe irrespective of whether the making of the complaint would, before the commencement of the</w:t>
      </w:r>
      <w:r>
        <w:rPr>
          <w:i/>
        </w:rPr>
        <w:t xml:space="preserve"> Building Services (Complaint Resolution and Administration) Amendment Act 2024</w:t>
      </w:r>
      <w:r>
        <w:rPr>
          <w:iCs/>
        </w:rPr>
        <w:t xml:space="preserve"> section 5(1), have been out of time.</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keepNext/>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Subsection"/>
      </w:pPr>
      <w:r>
        <w:tab/>
        <w:t>(4)</w:t>
      </w:r>
      <w:r>
        <w:tab/>
        <w:t xml:space="preserve">In this section — </w:t>
      </w:r>
    </w:p>
    <w:p>
      <w:pPr>
        <w:pStyle w:val="Defstart"/>
      </w:pPr>
      <w:r>
        <w:tab/>
      </w:r>
      <w:r>
        <w:rPr>
          <w:rStyle w:val="CharDefText"/>
        </w:rPr>
        <w:t>related body corporate</w:t>
      </w:r>
      <w:r>
        <w:t xml:space="preserve"> has the meaning given in the </w:t>
      </w:r>
      <w:r>
        <w:rPr>
          <w:i/>
          <w:iCs/>
        </w:rPr>
        <w:t>Corporations Act 2001</w:t>
      </w:r>
      <w:r>
        <w:t xml:space="preserve"> (Commonwealth) section 9;</w:t>
      </w:r>
    </w:p>
    <w:p>
      <w:pPr>
        <w:pStyle w:val="Defstart"/>
      </w:pPr>
      <w:r>
        <w:tab/>
      </w:r>
      <w:r>
        <w:rPr>
          <w:rStyle w:val="CharDefText"/>
        </w:rPr>
        <w:t>Typlex pipe</w:t>
      </w:r>
      <w:r>
        <w:t xml:space="preserve"> means a polybutylene pipe manufactured with Typlex</w:t>
      </w:r>
      <w:r>
        <w:noBreakHyphen/>
        <w:t>1050 resin by Fletcher Building Limited, ARBN 096 046 936, or a related body corporate of Fletcher Building Limited (including a former related body corporate).</w:t>
      </w:r>
    </w:p>
    <w:p>
      <w:pPr>
        <w:pStyle w:val="Footnotesection"/>
      </w:pPr>
      <w:bookmarkStart w:id="31" w:name="_Toc180525747"/>
      <w:r>
        <w:tab/>
        <w:t>[Section 6 amended: No. 39 of 2024 s. 5.]</w:t>
      </w:r>
    </w:p>
    <w:p>
      <w:pPr>
        <w:pStyle w:val="Heading5"/>
      </w:pPr>
      <w:bookmarkStart w:id="32" w:name="_Toc200524526"/>
      <w:bookmarkStart w:id="33" w:name="_Toc180578734"/>
      <w:r>
        <w:rPr>
          <w:rStyle w:val="CharSectno"/>
        </w:rPr>
        <w:t>6A</w:t>
      </w:r>
      <w:r>
        <w:t>.</w:t>
      </w:r>
      <w:r>
        <w:tab/>
        <w:t>Building Commissioner may approve policies for dealing with certain complaints</w:t>
      </w:r>
      <w:bookmarkEnd w:id="32"/>
      <w:bookmarkEnd w:id="31"/>
      <w:bookmarkEnd w:id="33"/>
    </w:p>
    <w:p>
      <w:pPr>
        <w:pStyle w:val="Subsection"/>
      </w:pPr>
      <w:r>
        <w:tab/>
        <w:t>(1)</w:t>
      </w:r>
      <w:r>
        <w:tab/>
        <w:t>The Building Commissioner may approve a policy for the purposes of dealing with building service complaints and HBWC complaints, which may include any of the following —</w:t>
      </w:r>
    </w:p>
    <w:p>
      <w:pPr>
        <w:pStyle w:val="Indenta"/>
      </w:pPr>
      <w:r>
        <w:tab/>
        <w:t>(a)</w:t>
      </w:r>
      <w:r>
        <w:tab/>
        <w:t>procedures for dealing with the complaints;</w:t>
      </w:r>
    </w:p>
    <w:p>
      <w:pPr>
        <w:pStyle w:val="Indenta"/>
      </w:pPr>
      <w:r>
        <w:tab/>
        <w:t>(b)</w:t>
      </w:r>
      <w:r>
        <w:tab/>
        <w:t>the kinds of remedies that may be specified in orders under Part 3 in relation to the regulated building services relating to the complaints;</w:t>
      </w:r>
    </w:p>
    <w:p>
      <w:pPr>
        <w:pStyle w:val="Indenta"/>
      </w:pPr>
      <w:r>
        <w:tab/>
        <w:t>(c)</w:t>
      </w:r>
      <w:r>
        <w:tab/>
        <w:t>other relevant matters.</w:t>
      </w:r>
    </w:p>
    <w:p>
      <w:pPr>
        <w:pStyle w:val="Subsection"/>
      </w:pPr>
      <w:r>
        <w:tab/>
        <w:t>(2)</w:t>
      </w:r>
      <w:r>
        <w:tab/>
        <w:t xml:space="preserve">The Building Commissioner must not approve a policy under subsection (1) unless satisfied that — </w:t>
      </w:r>
    </w:p>
    <w:p>
      <w:pPr>
        <w:pStyle w:val="Indenta"/>
      </w:pPr>
      <w:r>
        <w:tab/>
        <w:t>(a)</w:t>
      </w:r>
      <w:r>
        <w:tab/>
        <w:t>there are recurring circumstances or incidents of a similar kind relating to regulated building services; and</w:t>
      </w:r>
    </w:p>
    <w:p>
      <w:pPr>
        <w:pStyle w:val="Indenta"/>
      </w:pPr>
      <w:r>
        <w:tab/>
        <w:t>(b)</w:t>
      </w:r>
      <w:r>
        <w:tab/>
        <w:t>the policy is likely to assist the Building Commissioner to effectively deal with complaints under section 5 in relation to those circumstances or incidents.</w:t>
      </w:r>
    </w:p>
    <w:p>
      <w:pPr>
        <w:pStyle w:val="Subsection"/>
      </w:pPr>
      <w:r>
        <w:tab/>
        <w:t>(3)</w:t>
      </w:r>
      <w:r>
        <w:tab/>
        <w:t xml:space="preserve">A policy approved under subsection (1) — </w:t>
      </w:r>
    </w:p>
    <w:p>
      <w:pPr>
        <w:pStyle w:val="Indenta"/>
      </w:pPr>
      <w:r>
        <w:tab/>
        <w:t>(a)</w:t>
      </w:r>
      <w:r>
        <w:tab/>
        <w:t xml:space="preserve">must be published in accordance with the </w:t>
      </w:r>
      <w:r>
        <w:rPr>
          <w:i/>
        </w:rPr>
        <w:t>Interpretation Act 1984</w:t>
      </w:r>
      <w:r>
        <w:t xml:space="preserve"> section 41(1)(a); and</w:t>
      </w:r>
    </w:p>
    <w:p>
      <w:pPr>
        <w:pStyle w:val="Indenta"/>
      </w:pPr>
      <w:r>
        <w:tab/>
        <w:t>(b)</w:t>
      </w:r>
      <w:r>
        <w:tab/>
        <w:t>comes into operation on a day, as specified in the policy, occurring on or after the day on which the policy is published under paragraph (a); and</w:t>
      </w:r>
    </w:p>
    <w:p>
      <w:pPr>
        <w:pStyle w:val="Indenta"/>
      </w:pPr>
      <w:r>
        <w:tab/>
        <w:t>(c)</w:t>
      </w:r>
      <w:r>
        <w:tab/>
        <w:t xml:space="preserve">may be revoked by the Building Commissioner by notice published in accordance with the </w:t>
      </w:r>
      <w:r>
        <w:rPr>
          <w:i/>
        </w:rPr>
        <w:t>Interpretation Act 1984</w:t>
      </w:r>
      <w:r>
        <w:t xml:space="preserve"> section 41(1)(a).</w:t>
      </w:r>
    </w:p>
    <w:p>
      <w:pPr>
        <w:pStyle w:val="Subsection"/>
      </w:pPr>
      <w:r>
        <w:tab/>
        <w:t>(4)</w:t>
      </w:r>
      <w:r>
        <w:tab/>
        <w:t xml:space="preserve">If an approved policy is in effect at the time the Building Commissioner makes a reviewable decision (as defined in the </w:t>
      </w:r>
      <w:r>
        <w:rPr>
          <w:i/>
        </w:rPr>
        <w:t>State Administrative Tribunal Act 2004</w:t>
      </w:r>
      <w:r>
        <w:t xml:space="preserve"> section 17(3)), the policy is taken to be certified by the Minister as a statement of policy for the purposes of section 28 of that Act.</w:t>
      </w:r>
    </w:p>
    <w:p>
      <w:pPr>
        <w:pStyle w:val="Subsection"/>
      </w:pPr>
      <w:r>
        <w:tab/>
        <w:t>(5)</w:t>
      </w:r>
      <w:r>
        <w:tab/>
        <w:t>Sections 38(1A) and 43(1A) apply to an approved policy irrespective of whether the State Administrative Tribunal is dealing with a complaint made before or after the approved policy comes into operation.</w:t>
      </w:r>
    </w:p>
    <w:p>
      <w:pPr>
        <w:pStyle w:val="Subsection"/>
      </w:pPr>
      <w:r>
        <w:tab/>
        <w:t>(6)</w:t>
      </w:r>
      <w:r>
        <w:tab/>
        <w:t>Section 46(1)(ba) applies to an approved policy irrespective of whether the Building Commissioner is dealing with a complaint made before or after the approved policy comes into operation.</w:t>
      </w:r>
    </w:p>
    <w:p>
      <w:pPr>
        <w:pStyle w:val="Footnotesection"/>
      </w:pPr>
      <w:r>
        <w:tab/>
        <w:t>[Section 6A inserted: No. 39 of 2024 s. 6.]</w:t>
      </w:r>
    </w:p>
    <w:p>
      <w:pPr>
        <w:pStyle w:val="Heading5"/>
        <w:spacing w:before="240"/>
      </w:pPr>
      <w:bookmarkStart w:id="34" w:name="_Toc200524527"/>
      <w:bookmarkStart w:id="35" w:name="_Toc180578735"/>
      <w:r>
        <w:rPr>
          <w:rStyle w:val="CharSectno"/>
        </w:rPr>
        <w:t>7</w:t>
      </w:r>
      <w:r>
        <w:t>.</w:t>
      </w:r>
      <w:r>
        <w:tab/>
        <w:t>Preliminary decision by Building Commissioner</w:t>
      </w:r>
      <w:bookmarkEnd w:id="34"/>
      <w:bookmarkEnd w:id="35"/>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36" w:name="_Toc200524528"/>
      <w:bookmarkStart w:id="37" w:name="_Toc180578736"/>
      <w:r>
        <w:rPr>
          <w:rStyle w:val="CharSectno"/>
        </w:rPr>
        <w:t>8</w:t>
      </w:r>
      <w:r>
        <w:t>.</w:t>
      </w:r>
      <w:r>
        <w:tab/>
        <w:t>Further information and verification</w:t>
      </w:r>
      <w:bookmarkEnd w:id="36"/>
      <w:bookmarkEnd w:id="37"/>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8" w:name="_Toc200524529"/>
      <w:bookmarkStart w:id="39" w:name="_Toc180578737"/>
      <w:r>
        <w:rPr>
          <w:rStyle w:val="CharSectno"/>
        </w:rPr>
        <w:t>9</w:t>
      </w:r>
      <w:r>
        <w:t>.</w:t>
      </w:r>
      <w:r>
        <w:tab/>
        <w:t>Investigation</w:t>
      </w:r>
      <w:bookmarkEnd w:id="38"/>
      <w:bookmarkEnd w:id="39"/>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40" w:name="_Toc200524530"/>
      <w:bookmarkStart w:id="41" w:name="_Toc180578738"/>
      <w:r>
        <w:rPr>
          <w:rStyle w:val="CharSectno"/>
        </w:rPr>
        <w:t>10</w:t>
      </w:r>
      <w:r>
        <w:t>.</w:t>
      </w:r>
      <w:r>
        <w:tab/>
        <w:t>Report on complaint</w:t>
      </w:r>
      <w:bookmarkEnd w:id="40"/>
      <w:bookmarkEnd w:id="41"/>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42" w:name="_Toc200524531"/>
      <w:bookmarkStart w:id="43" w:name="_Toc180578739"/>
      <w:r>
        <w:rPr>
          <w:rStyle w:val="CharSectno"/>
        </w:rPr>
        <w:t>11</w:t>
      </w:r>
      <w:r>
        <w:t>.</w:t>
      </w:r>
      <w:r>
        <w:tab/>
        <w:t>Action after report</w:t>
      </w:r>
      <w:bookmarkEnd w:id="42"/>
      <w:bookmarkEnd w:id="43"/>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44" w:name="_Toc200524532"/>
      <w:bookmarkStart w:id="45" w:name="_Toc180578740"/>
      <w:r>
        <w:rPr>
          <w:rStyle w:val="CharSectno"/>
        </w:rPr>
        <w:t>12</w:t>
      </w:r>
      <w:r>
        <w:t>.</w:t>
      </w:r>
      <w:r>
        <w:tab/>
        <w:t>Building Commissioner not party to proceeding before State Administrative Tribunal</w:t>
      </w:r>
      <w:bookmarkEnd w:id="44"/>
      <w:bookmarkEnd w:id="45"/>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46" w:name="_Toc200524533"/>
      <w:bookmarkStart w:id="47" w:name="_Toc180578741"/>
      <w:r>
        <w:rPr>
          <w:rStyle w:val="CharSectno"/>
        </w:rPr>
        <w:t>13</w:t>
      </w:r>
      <w:r>
        <w:t>.</w:t>
      </w:r>
      <w:r>
        <w:tab/>
        <w:t>Withdrawal of complaint</w:t>
      </w:r>
      <w:bookmarkEnd w:id="46"/>
      <w:bookmarkEnd w:id="47"/>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48" w:name="_Toc200459137"/>
      <w:bookmarkStart w:id="49" w:name="_Toc200459314"/>
      <w:bookmarkStart w:id="50" w:name="_Toc200524534"/>
      <w:bookmarkStart w:id="51" w:name="_Toc180569472"/>
      <w:bookmarkStart w:id="52" w:name="_Toc180575269"/>
      <w:bookmarkStart w:id="53" w:name="_Toc180578742"/>
      <w:r>
        <w:rPr>
          <w:rStyle w:val="CharDivNo"/>
        </w:rPr>
        <w:t>Division 2</w:t>
      </w:r>
      <w:r>
        <w:t> — </w:t>
      </w:r>
      <w:r>
        <w:rPr>
          <w:rStyle w:val="CharDivText"/>
        </w:rPr>
        <w:t>Complaints about disciplinary matters</w:t>
      </w:r>
      <w:bookmarkEnd w:id="48"/>
      <w:bookmarkEnd w:id="49"/>
      <w:bookmarkEnd w:id="50"/>
      <w:bookmarkEnd w:id="51"/>
      <w:bookmarkEnd w:id="52"/>
      <w:bookmarkEnd w:id="53"/>
    </w:p>
    <w:p>
      <w:pPr>
        <w:pStyle w:val="Heading5"/>
      </w:pPr>
      <w:bookmarkStart w:id="54" w:name="_Toc200524535"/>
      <w:bookmarkStart w:id="55" w:name="_Toc180578743"/>
      <w:r>
        <w:rPr>
          <w:rStyle w:val="CharSectno"/>
        </w:rPr>
        <w:t>14</w:t>
      </w:r>
      <w:r>
        <w:t>.</w:t>
      </w:r>
      <w:r>
        <w:tab/>
        <w:t>Application of this Division</w:t>
      </w:r>
      <w:bookmarkEnd w:id="54"/>
      <w:bookmarkEnd w:id="55"/>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56" w:name="_Toc200524536"/>
      <w:bookmarkStart w:id="57" w:name="_Toc180578744"/>
      <w:r>
        <w:rPr>
          <w:rStyle w:val="CharSectno"/>
        </w:rPr>
        <w:t>15</w:t>
      </w:r>
      <w:r>
        <w:t>.</w:t>
      </w:r>
      <w:r>
        <w:tab/>
        <w:t>Making complaint about disciplinary matter</w:t>
      </w:r>
      <w:bookmarkEnd w:id="56"/>
      <w:bookmarkEnd w:id="57"/>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58" w:name="_Toc200524537"/>
      <w:bookmarkStart w:id="59" w:name="_Toc180578745"/>
      <w:r>
        <w:rPr>
          <w:rStyle w:val="CharSectno"/>
        </w:rPr>
        <w:t>16</w:t>
      </w:r>
      <w:r>
        <w:t>.</w:t>
      </w:r>
      <w:r>
        <w:tab/>
        <w:t>Preliminary decision by Building Commissioner</w:t>
      </w:r>
      <w:bookmarkEnd w:id="58"/>
      <w:bookmarkEnd w:id="59"/>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60" w:name="_Toc200524538"/>
      <w:bookmarkStart w:id="61" w:name="_Toc180578746"/>
      <w:r>
        <w:rPr>
          <w:rStyle w:val="CharSectno"/>
        </w:rPr>
        <w:t>17</w:t>
      </w:r>
      <w:r>
        <w:t>.</w:t>
      </w:r>
      <w:r>
        <w:tab/>
        <w:t>Building Commissioner may deal with matter as if it were subject of disciplinary complaint</w:t>
      </w:r>
      <w:bookmarkEnd w:id="60"/>
      <w:bookmarkEnd w:id="61"/>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62" w:name="_Toc200524539"/>
      <w:bookmarkStart w:id="63" w:name="_Toc180578747"/>
      <w:r>
        <w:rPr>
          <w:rStyle w:val="CharSectno"/>
        </w:rPr>
        <w:t>18</w:t>
      </w:r>
      <w:r>
        <w:t>.</w:t>
      </w:r>
      <w:r>
        <w:tab/>
        <w:t>Further information and verification</w:t>
      </w:r>
      <w:bookmarkEnd w:id="62"/>
      <w:bookmarkEnd w:id="63"/>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64" w:name="_Toc200524540"/>
      <w:bookmarkStart w:id="65" w:name="_Toc180578748"/>
      <w:r>
        <w:rPr>
          <w:rStyle w:val="CharSectno"/>
        </w:rPr>
        <w:t>19</w:t>
      </w:r>
      <w:r>
        <w:t>.</w:t>
      </w:r>
      <w:r>
        <w:tab/>
        <w:t>Action in respect of accepted disciplinary complaint</w:t>
      </w:r>
      <w:bookmarkEnd w:id="64"/>
      <w:bookmarkEnd w:id="65"/>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66" w:name="_Toc200524541"/>
      <w:bookmarkStart w:id="67" w:name="_Toc180578749"/>
      <w:r>
        <w:rPr>
          <w:rStyle w:val="CharSectno"/>
        </w:rPr>
        <w:t>20</w:t>
      </w:r>
      <w:r>
        <w:t>.</w:t>
      </w:r>
      <w:r>
        <w:tab/>
        <w:t>Report on complaint</w:t>
      </w:r>
      <w:bookmarkEnd w:id="66"/>
      <w:bookmarkEnd w:id="67"/>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68" w:name="_Toc200524542"/>
      <w:bookmarkStart w:id="69" w:name="_Toc180578750"/>
      <w:r>
        <w:rPr>
          <w:rStyle w:val="CharSectno"/>
        </w:rPr>
        <w:t>21</w:t>
      </w:r>
      <w:r>
        <w:t>.</w:t>
      </w:r>
      <w:r>
        <w:tab/>
        <w:t>Action after report</w:t>
      </w:r>
      <w:bookmarkEnd w:id="68"/>
      <w:bookmarkEnd w:id="69"/>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70" w:name="_Toc200524543"/>
      <w:bookmarkStart w:id="71" w:name="_Toc180578751"/>
      <w:r>
        <w:rPr>
          <w:rStyle w:val="CharSectno"/>
        </w:rPr>
        <w:t>22</w:t>
      </w:r>
      <w:r>
        <w:t>.</w:t>
      </w:r>
      <w:r>
        <w:tab/>
        <w:t>Withdrawal of complaint</w:t>
      </w:r>
      <w:bookmarkEnd w:id="70"/>
      <w:bookmarkEnd w:id="71"/>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72" w:name="_Toc200459147"/>
      <w:bookmarkStart w:id="73" w:name="_Toc200459324"/>
      <w:bookmarkStart w:id="74" w:name="_Toc200524544"/>
      <w:bookmarkStart w:id="75" w:name="_Toc180569482"/>
      <w:bookmarkStart w:id="76" w:name="_Toc180575279"/>
      <w:bookmarkStart w:id="77" w:name="_Toc180578752"/>
      <w:r>
        <w:rPr>
          <w:rStyle w:val="CharDivNo"/>
        </w:rPr>
        <w:t>Division 3</w:t>
      </w:r>
      <w:r>
        <w:t> — </w:t>
      </w:r>
      <w:r>
        <w:rPr>
          <w:rStyle w:val="CharDivText"/>
        </w:rPr>
        <w:t>Conciliation</w:t>
      </w:r>
      <w:bookmarkEnd w:id="72"/>
      <w:bookmarkEnd w:id="73"/>
      <w:bookmarkEnd w:id="74"/>
      <w:bookmarkEnd w:id="75"/>
      <w:bookmarkEnd w:id="76"/>
      <w:bookmarkEnd w:id="77"/>
    </w:p>
    <w:p>
      <w:pPr>
        <w:pStyle w:val="Heading5"/>
      </w:pPr>
      <w:bookmarkStart w:id="78" w:name="_Toc200524545"/>
      <w:bookmarkStart w:id="79" w:name="_Toc180578753"/>
      <w:r>
        <w:rPr>
          <w:rStyle w:val="CharSectno"/>
        </w:rPr>
        <w:t>23</w:t>
      </w:r>
      <w:r>
        <w:t>.</w:t>
      </w:r>
      <w:r>
        <w:tab/>
        <w:t>Role of conciliator</w:t>
      </w:r>
      <w:bookmarkEnd w:id="78"/>
      <w:bookmarkEnd w:id="79"/>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80" w:name="_Toc200524546"/>
      <w:bookmarkStart w:id="81" w:name="_Toc180578754"/>
      <w:r>
        <w:rPr>
          <w:rStyle w:val="CharSectno"/>
        </w:rPr>
        <w:t>24</w:t>
      </w:r>
      <w:r>
        <w:t>.</w:t>
      </w:r>
      <w:r>
        <w:tab/>
        <w:t>Parties to conciliation proceeding</w:t>
      </w:r>
      <w:bookmarkEnd w:id="80"/>
      <w:bookmarkEnd w:id="81"/>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82" w:name="_Toc200524547"/>
      <w:bookmarkStart w:id="83" w:name="_Toc180578755"/>
      <w:r>
        <w:rPr>
          <w:rStyle w:val="CharSectno"/>
        </w:rPr>
        <w:t>25</w:t>
      </w:r>
      <w:r>
        <w:t>.</w:t>
      </w:r>
      <w:r>
        <w:tab/>
        <w:t>Attendance at conciliation proceeding</w:t>
      </w:r>
      <w:bookmarkEnd w:id="82"/>
      <w:bookmarkEnd w:id="83"/>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84" w:name="_Toc200524548"/>
      <w:bookmarkStart w:id="85" w:name="_Toc180578756"/>
      <w:r>
        <w:rPr>
          <w:rStyle w:val="CharSectno"/>
        </w:rPr>
        <w:t>26</w:t>
      </w:r>
      <w:r>
        <w:t>.</w:t>
      </w:r>
      <w:r>
        <w:tab/>
        <w:t>Representation at conciliation proceeding</w:t>
      </w:r>
      <w:bookmarkEnd w:id="84"/>
      <w:bookmarkEnd w:id="85"/>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86" w:name="_Toc200524549"/>
      <w:bookmarkStart w:id="87" w:name="_Toc180578757"/>
      <w:r>
        <w:rPr>
          <w:rStyle w:val="CharSectno"/>
        </w:rPr>
        <w:t>27</w:t>
      </w:r>
      <w:r>
        <w:t>.</w:t>
      </w:r>
      <w:r>
        <w:tab/>
        <w:t>Building Commissioner may make orders to give effect to agreement</w:t>
      </w:r>
      <w:bookmarkEnd w:id="86"/>
      <w:bookmarkEnd w:id="87"/>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88" w:name="_Toc200524550"/>
      <w:bookmarkStart w:id="89" w:name="_Toc180578758"/>
      <w:r>
        <w:rPr>
          <w:rStyle w:val="CharSectno"/>
        </w:rPr>
        <w:t>28</w:t>
      </w:r>
      <w:r>
        <w:t>.</w:t>
      </w:r>
      <w:r>
        <w:tab/>
        <w:t>Evidence of certain things inadmissible</w:t>
      </w:r>
      <w:bookmarkEnd w:id="88"/>
      <w:bookmarkEnd w:id="89"/>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90" w:name="_Toc200524551"/>
      <w:bookmarkStart w:id="91" w:name="_Toc180578759"/>
      <w:r>
        <w:rPr>
          <w:rStyle w:val="CharSectno"/>
        </w:rPr>
        <w:t>29</w:t>
      </w:r>
      <w:r>
        <w:t>.</w:t>
      </w:r>
      <w:r>
        <w:tab/>
        <w:t>Action if conciliation fails</w:t>
      </w:r>
      <w:bookmarkEnd w:id="90"/>
      <w:bookmarkEnd w:id="91"/>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92" w:name="_Toc200459155"/>
      <w:bookmarkStart w:id="93" w:name="_Toc200459332"/>
      <w:bookmarkStart w:id="94" w:name="_Toc200524552"/>
      <w:bookmarkStart w:id="95" w:name="_Toc180569490"/>
      <w:bookmarkStart w:id="96" w:name="_Toc180575287"/>
      <w:bookmarkStart w:id="97" w:name="_Toc180578760"/>
      <w:r>
        <w:rPr>
          <w:rStyle w:val="CharPartNo"/>
        </w:rPr>
        <w:t>Part 3</w:t>
      </w:r>
      <w:r>
        <w:t> — </w:t>
      </w:r>
      <w:r>
        <w:rPr>
          <w:rStyle w:val="CharPartText"/>
        </w:rPr>
        <w:t>Orders</w:t>
      </w:r>
      <w:bookmarkEnd w:id="92"/>
      <w:bookmarkEnd w:id="93"/>
      <w:bookmarkEnd w:id="94"/>
      <w:bookmarkEnd w:id="95"/>
      <w:bookmarkEnd w:id="96"/>
      <w:bookmarkEnd w:id="97"/>
    </w:p>
    <w:p>
      <w:pPr>
        <w:pStyle w:val="Heading3"/>
      </w:pPr>
      <w:bookmarkStart w:id="98" w:name="_Toc200459156"/>
      <w:bookmarkStart w:id="99" w:name="_Toc200459333"/>
      <w:bookmarkStart w:id="100" w:name="_Toc200524553"/>
      <w:bookmarkStart w:id="101" w:name="_Toc180569491"/>
      <w:bookmarkStart w:id="102" w:name="_Toc180575288"/>
      <w:bookmarkStart w:id="103" w:name="_Toc180578761"/>
      <w:r>
        <w:rPr>
          <w:rStyle w:val="CharDivNo"/>
        </w:rPr>
        <w:t>Division 1</w:t>
      </w:r>
      <w:r>
        <w:t> — </w:t>
      </w:r>
      <w:r>
        <w:rPr>
          <w:rStyle w:val="CharDivText"/>
        </w:rPr>
        <w:t>Interim Orders</w:t>
      </w:r>
      <w:bookmarkEnd w:id="98"/>
      <w:bookmarkEnd w:id="99"/>
      <w:bookmarkEnd w:id="100"/>
      <w:bookmarkEnd w:id="101"/>
      <w:bookmarkEnd w:id="102"/>
      <w:bookmarkEnd w:id="103"/>
    </w:p>
    <w:p>
      <w:pPr>
        <w:pStyle w:val="Heading5"/>
      </w:pPr>
      <w:bookmarkStart w:id="104" w:name="_Toc200524554"/>
      <w:bookmarkStart w:id="105" w:name="_Toc180578762"/>
      <w:r>
        <w:rPr>
          <w:rStyle w:val="CharSectno"/>
        </w:rPr>
        <w:t>30</w:t>
      </w:r>
      <w:r>
        <w:t>.</w:t>
      </w:r>
      <w:r>
        <w:tab/>
        <w:t>Interim building service order</w:t>
      </w:r>
      <w:bookmarkEnd w:id="104"/>
      <w:bookmarkEnd w:id="105"/>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06" w:name="_Toc200524555"/>
      <w:bookmarkStart w:id="107" w:name="_Toc180578763"/>
      <w:r>
        <w:rPr>
          <w:rStyle w:val="CharSectno"/>
        </w:rPr>
        <w:t>31</w:t>
      </w:r>
      <w:r>
        <w:t>.</w:t>
      </w:r>
      <w:r>
        <w:tab/>
        <w:t>Interim disciplinary order</w:t>
      </w:r>
      <w:bookmarkEnd w:id="106"/>
      <w:bookmarkEnd w:id="107"/>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108" w:name="_Toc200524556"/>
      <w:bookmarkStart w:id="109" w:name="_Toc180578764"/>
      <w:r>
        <w:rPr>
          <w:rStyle w:val="CharSectno"/>
        </w:rPr>
        <w:t>32</w:t>
      </w:r>
      <w:r>
        <w:t>.</w:t>
      </w:r>
      <w:r>
        <w:tab/>
        <w:t>Effect of interim order</w:t>
      </w:r>
      <w:bookmarkEnd w:id="108"/>
      <w:bookmarkEnd w:id="109"/>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10" w:name="_Toc200524557"/>
      <w:bookmarkStart w:id="111" w:name="_Toc180578765"/>
      <w:r>
        <w:rPr>
          <w:rStyle w:val="CharSectno"/>
        </w:rPr>
        <w:t>33</w:t>
      </w:r>
      <w:r>
        <w:t>.</w:t>
      </w:r>
      <w:r>
        <w:tab/>
        <w:t>Revocation or variation of interim order</w:t>
      </w:r>
      <w:bookmarkEnd w:id="110"/>
      <w:bookmarkEnd w:id="111"/>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12" w:name="_Toc200524558"/>
      <w:bookmarkStart w:id="113" w:name="_Toc180578766"/>
      <w:r>
        <w:rPr>
          <w:rStyle w:val="CharSectno"/>
        </w:rPr>
        <w:t>34</w:t>
      </w:r>
      <w:r>
        <w:t>.</w:t>
      </w:r>
      <w:r>
        <w:tab/>
        <w:t>Jurisdiction of State Administrative Tribunal</w:t>
      </w:r>
      <w:bookmarkEnd w:id="112"/>
      <w:bookmarkEnd w:id="113"/>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14" w:name="_Toc200524559"/>
      <w:bookmarkStart w:id="115" w:name="_Toc180578767"/>
      <w:r>
        <w:rPr>
          <w:rStyle w:val="CharSectno"/>
        </w:rPr>
        <w:t>35</w:t>
      </w:r>
      <w:r>
        <w:t>.</w:t>
      </w:r>
      <w:r>
        <w:tab/>
        <w:t>Publication of interim order</w:t>
      </w:r>
      <w:bookmarkEnd w:id="114"/>
      <w:bookmarkEnd w:id="115"/>
    </w:p>
    <w:p>
      <w:pPr>
        <w:pStyle w:val="Subsection"/>
      </w:pPr>
      <w:r>
        <w:tab/>
      </w:r>
      <w:r>
        <w:tab/>
        <w:t>The Building Commissioner may provide a copy of an interim order to any person the Building Commissioner considers should be advised of the order.</w:t>
      </w:r>
    </w:p>
    <w:p>
      <w:pPr>
        <w:pStyle w:val="Heading3"/>
      </w:pPr>
      <w:bookmarkStart w:id="116" w:name="_Toc200459163"/>
      <w:bookmarkStart w:id="117" w:name="_Toc200459340"/>
      <w:bookmarkStart w:id="118" w:name="_Toc200524560"/>
      <w:bookmarkStart w:id="119" w:name="_Toc180569498"/>
      <w:bookmarkStart w:id="120" w:name="_Toc180575295"/>
      <w:bookmarkStart w:id="121" w:name="_Toc180578768"/>
      <w:r>
        <w:rPr>
          <w:rStyle w:val="CharDivNo"/>
        </w:rPr>
        <w:t>Division 2</w:t>
      </w:r>
      <w:r>
        <w:t> — </w:t>
      </w:r>
      <w:r>
        <w:rPr>
          <w:rStyle w:val="CharDivText"/>
        </w:rPr>
        <w:t>Building remedy orders</w:t>
      </w:r>
      <w:bookmarkEnd w:id="116"/>
      <w:bookmarkEnd w:id="117"/>
      <w:bookmarkEnd w:id="118"/>
      <w:bookmarkEnd w:id="119"/>
      <w:bookmarkEnd w:id="120"/>
      <w:bookmarkEnd w:id="121"/>
    </w:p>
    <w:p>
      <w:pPr>
        <w:pStyle w:val="Heading5"/>
        <w:spacing w:before="180"/>
      </w:pPr>
      <w:bookmarkStart w:id="122" w:name="_Toc200524561"/>
      <w:bookmarkStart w:id="123" w:name="_Toc180578769"/>
      <w:r>
        <w:rPr>
          <w:rStyle w:val="CharSectno"/>
        </w:rPr>
        <w:t>36</w:t>
      </w:r>
      <w:r>
        <w:t>.</w:t>
      </w:r>
      <w:r>
        <w:tab/>
        <w:t>Building remedy order</w:t>
      </w:r>
      <w:bookmarkEnd w:id="122"/>
      <w:bookmarkEnd w:id="123"/>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124" w:name="_Toc200524562"/>
      <w:bookmarkStart w:id="125" w:name="_Toc180578770"/>
      <w:r>
        <w:rPr>
          <w:rStyle w:val="CharSectno"/>
        </w:rPr>
        <w:t>37</w:t>
      </w:r>
      <w:r>
        <w:t>.</w:t>
      </w:r>
      <w:r>
        <w:tab/>
        <w:t>Building remedy order by Building Commissioner</w:t>
      </w:r>
      <w:bookmarkEnd w:id="124"/>
      <w:bookmarkEnd w:id="125"/>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126" w:name="_Toc200524563"/>
      <w:bookmarkStart w:id="127" w:name="_Toc180578771"/>
      <w:r>
        <w:rPr>
          <w:rStyle w:val="CharSectno"/>
        </w:rPr>
        <w:t>38</w:t>
      </w:r>
      <w:r>
        <w:t>.</w:t>
      </w:r>
      <w:r>
        <w:tab/>
        <w:t>How State Administrative Tribunal may deal with building service complaint</w:t>
      </w:r>
      <w:bookmarkEnd w:id="126"/>
      <w:bookmarkEnd w:id="127"/>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(1A)</w:t>
      </w:r>
      <w:r>
        <w:tab/>
        <w:t>In dealing with the complaint, the State Administrative Tribunal must have regard to any relevant approved policy in effect at the time.</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Footnotesection"/>
      </w:pPr>
      <w:r>
        <w:tab/>
        <w:t>[Section 38 amended: No. 39 of 2024 s. 7.]</w:t>
      </w:r>
    </w:p>
    <w:p>
      <w:pPr>
        <w:pStyle w:val="Heading5"/>
      </w:pPr>
      <w:bookmarkStart w:id="128" w:name="_Toc200524564"/>
      <w:bookmarkStart w:id="129" w:name="_Toc180578772"/>
      <w:r>
        <w:rPr>
          <w:rStyle w:val="CharSectno"/>
        </w:rPr>
        <w:t>39</w:t>
      </w:r>
      <w:r>
        <w:t>.</w:t>
      </w:r>
      <w:r>
        <w:tab/>
        <w:t>Order for payment before building remedy order</w:t>
      </w:r>
      <w:bookmarkEnd w:id="128"/>
      <w:bookmarkEnd w:id="129"/>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130" w:name="_Toc200524565"/>
      <w:bookmarkStart w:id="131" w:name="_Toc180578773"/>
      <w:r>
        <w:rPr>
          <w:rStyle w:val="CharSectno"/>
        </w:rPr>
        <w:t>40</w:t>
      </w:r>
      <w:r>
        <w:t>.</w:t>
      </w:r>
      <w:r>
        <w:tab/>
        <w:t>Building remedy order does not prevent disciplinary action</w:t>
      </w:r>
      <w:bookmarkEnd w:id="130"/>
      <w:bookmarkEnd w:id="131"/>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132" w:name="_Toc200459169"/>
      <w:bookmarkStart w:id="133" w:name="_Toc200459346"/>
      <w:bookmarkStart w:id="134" w:name="_Toc200524566"/>
      <w:bookmarkStart w:id="135" w:name="_Toc180569504"/>
      <w:bookmarkStart w:id="136" w:name="_Toc180575301"/>
      <w:bookmarkStart w:id="137" w:name="_Toc180578774"/>
      <w:r>
        <w:rPr>
          <w:rStyle w:val="CharDivNo"/>
        </w:rPr>
        <w:t>Division 3</w:t>
      </w:r>
      <w:r>
        <w:t> — </w:t>
      </w:r>
      <w:r>
        <w:rPr>
          <w:rStyle w:val="CharDivText"/>
        </w:rPr>
        <w:t>HBWC remedy orders</w:t>
      </w:r>
      <w:bookmarkEnd w:id="132"/>
      <w:bookmarkEnd w:id="133"/>
      <w:bookmarkEnd w:id="134"/>
      <w:bookmarkEnd w:id="135"/>
      <w:bookmarkEnd w:id="136"/>
      <w:bookmarkEnd w:id="137"/>
    </w:p>
    <w:p>
      <w:pPr>
        <w:pStyle w:val="Heading5"/>
        <w:spacing w:before="180"/>
      </w:pPr>
      <w:bookmarkStart w:id="138" w:name="_Toc200524567"/>
      <w:bookmarkStart w:id="139" w:name="_Toc180578775"/>
      <w:r>
        <w:rPr>
          <w:rStyle w:val="CharSectno"/>
        </w:rPr>
        <w:t>41</w:t>
      </w:r>
      <w:r>
        <w:t>.</w:t>
      </w:r>
      <w:r>
        <w:tab/>
        <w:t>HBWC remedy orders</w:t>
      </w:r>
      <w:bookmarkEnd w:id="138"/>
      <w:bookmarkEnd w:id="139"/>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40" w:name="_Toc200524568"/>
      <w:bookmarkStart w:id="141" w:name="_Toc180578776"/>
      <w:r>
        <w:rPr>
          <w:rStyle w:val="CharSectno"/>
        </w:rPr>
        <w:t>42</w:t>
      </w:r>
      <w:r>
        <w:t>.</w:t>
      </w:r>
      <w:r>
        <w:tab/>
        <w:t>HBWC remedy order by Building Commissioner</w:t>
      </w:r>
      <w:bookmarkEnd w:id="140"/>
      <w:bookmarkEnd w:id="141"/>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142" w:name="_Toc200524569"/>
      <w:bookmarkStart w:id="143" w:name="_Toc180578777"/>
      <w:r>
        <w:rPr>
          <w:rStyle w:val="CharSectno"/>
        </w:rPr>
        <w:t>43</w:t>
      </w:r>
      <w:r>
        <w:t>.</w:t>
      </w:r>
      <w:r>
        <w:tab/>
        <w:t>How State Administrative Tribunal may deal with HBWC complaint</w:t>
      </w:r>
      <w:bookmarkEnd w:id="142"/>
      <w:bookmarkEnd w:id="143"/>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(1A)</w:t>
      </w:r>
      <w:r>
        <w:tab/>
        <w:t>In dealing with the complaint, the State Administrative Tribunal must have regard to any relevant approved policy in effect at the time.</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Footnotesection"/>
      </w:pPr>
      <w:r>
        <w:tab/>
        <w:t>[Section 43 amended: No. 39 of 2024 s. 8.]</w:t>
      </w:r>
    </w:p>
    <w:p>
      <w:pPr>
        <w:pStyle w:val="Heading5"/>
        <w:spacing w:before="180"/>
      </w:pPr>
      <w:bookmarkStart w:id="144" w:name="_Toc200524570"/>
      <w:bookmarkStart w:id="145" w:name="_Toc180578778"/>
      <w:r>
        <w:rPr>
          <w:rStyle w:val="CharSectno"/>
        </w:rPr>
        <w:t>44</w:t>
      </w:r>
      <w:r>
        <w:t>.</w:t>
      </w:r>
      <w:r>
        <w:tab/>
        <w:t>Order for payment before HBWC remedy order</w:t>
      </w:r>
      <w:bookmarkEnd w:id="144"/>
      <w:bookmarkEnd w:id="145"/>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146" w:name="_Toc200524571"/>
      <w:bookmarkStart w:id="147" w:name="_Toc180578779"/>
      <w:r>
        <w:rPr>
          <w:rStyle w:val="CharSectno"/>
        </w:rPr>
        <w:t>45</w:t>
      </w:r>
      <w:r>
        <w:t>.</w:t>
      </w:r>
      <w:r>
        <w:tab/>
        <w:t>HBWC remedy order does not prevent disciplinary action</w:t>
      </w:r>
      <w:bookmarkEnd w:id="146"/>
      <w:bookmarkEnd w:id="147"/>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148" w:name="_Toc200459175"/>
      <w:bookmarkStart w:id="149" w:name="_Toc200459352"/>
      <w:bookmarkStart w:id="150" w:name="_Toc200524572"/>
      <w:bookmarkStart w:id="151" w:name="_Toc180569510"/>
      <w:bookmarkStart w:id="152" w:name="_Toc180575307"/>
      <w:bookmarkStart w:id="153" w:name="_Toc180578780"/>
      <w:r>
        <w:rPr>
          <w:rStyle w:val="CharDivNo"/>
        </w:rPr>
        <w:t>Division 4</w:t>
      </w:r>
      <w:r>
        <w:t> — </w:t>
      </w:r>
      <w:r>
        <w:rPr>
          <w:rStyle w:val="CharDivText"/>
        </w:rPr>
        <w:t>Procedure, costs and enforcement of orders</w:t>
      </w:r>
      <w:bookmarkEnd w:id="148"/>
      <w:bookmarkEnd w:id="149"/>
      <w:bookmarkEnd w:id="150"/>
      <w:bookmarkEnd w:id="151"/>
      <w:bookmarkEnd w:id="152"/>
      <w:bookmarkEnd w:id="153"/>
    </w:p>
    <w:p>
      <w:pPr>
        <w:pStyle w:val="Heading5"/>
        <w:spacing w:before="180"/>
      </w:pPr>
      <w:bookmarkStart w:id="154" w:name="_Toc200524573"/>
      <w:bookmarkStart w:id="155" w:name="_Toc180578781"/>
      <w:r>
        <w:rPr>
          <w:rStyle w:val="CharSectno"/>
        </w:rPr>
        <w:t>46</w:t>
      </w:r>
      <w:r>
        <w:t>.</w:t>
      </w:r>
      <w:r>
        <w:tab/>
        <w:t>Procedure of Building Commissioner</w:t>
      </w:r>
      <w:bookmarkEnd w:id="154"/>
      <w:bookmarkEnd w:id="155"/>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(ba)</w:t>
      </w:r>
      <w:r>
        <w:tab/>
        <w:t>must have regard to any relevant approved policy in effect at the time;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Footnotesection"/>
      </w:pPr>
      <w:r>
        <w:tab/>
        <w:t>[Section 46 amended: No. 39 of 2024 s. 9.]</w:t>
      </w:r>
    </w:p>
    <w:p>
      <w:pPr>
        <w:pStyle w:val="Heading5"/>
      </w:pPr>
      <w:bookmarkStart w:id="156" w:name="_Toc200524574"/>
      <w:bookmarkStart w:id="157" w:name="_Toc180578782"/>
      <w:r>
        <w:rPr>
          <w:rStyle w:val="CharSectno"/>
        </w:rPr>
        <w:t>47</w:t>
      </w:r>
      <w:r>
        <w:t>.</w:t>
      </w:r>
      <w:r>
        <w:tab/>
        <w:t>Provision of information and documents to Building Commissioner</w:t>
      </w:r>
      <w:bookmarkEnd w:id="156"/>
      <w:bookmarkEnd w:id="157"/>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158" w:name="_Toc200524575"/>
      <w:bookmarkStart w:id="159" w:name="_Toc180578783"/>
      <w:r>
        <w:rPr>
          <w:rStyle w:val="CharSectno"/>
        </w:rPr>
        <w:t>48</w:t>
      </w:r>
      <w:r>
        <w:t>.</w:t>
      </w:r>
      <w:r>
        <w:tab/>
        <w:t>Joining of parties in HBWC complaint about unconscionable, harsh or oppressive conduct or contract</w:t>
      </w:r>
      <w:bookmarkEnd w:id="158"/>
      <w:bookmarkEnd w:id="159"/>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160" w:name="_Toc200524576"/>
      <w:bookmarkStart w:id="161" w:name="_Toc180578784"/>
      <w:r>
        <w:rPr>
          <w:rStyle w:val="CharSectno"/>
        </w:rPr>
        <w:t>49</w:t>
      </w:r>
      <w:r>
        <w:t>.</w:t>
      </w:r>
      <w:r>
        <w:tab/>
        <w:t>Costs and expenses</w:t>
      </w:r>
      <w:bookmarkEnd w:id="160"/>
      <w:bookmarkEnd w:id="161"/>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162" w:name="_Toc200524577"/>
      <w:bookmarkStart w:id="163" w:name="_Toc180578785"/>
      <w:r>
        <w:rPr>
          <w:rStyle w:val="CharSectno"/>
        </w:rPr>
        <w:t>50</w:t>
      </w:r>
      <w:r>
        <w:t>.</w:t>
      </w:r>
      <w:r>
        <w:tab/>
        <w:t>Enforcement of order requiring payment of money</w:t>
      </w:r>
      <w:bookmarkEnd w:id="162"/>
      <w:bookmarkEnd w:id="163"/>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164" w:name="_Toc200524578"/>
      <w:bookmarkStart w:id="165" w:name="_Toc180578786"/>
      <w:r>
        <w:rPr>
          <w:rStyle w:val="CharSectno"/>
        </w:rPr>
        <w:t>51</w:t>
      </w:r>
      <w:r>
        <w:t>.</w:t>
      </w:r>
      <w:r>
        <w:tab/>
        <w:t>Failure to comply with order to do work, new order</w:t>
      </w:r>
      <w:bookmarkEnd w:id="164"/>
      <w:bookmarkEnd w:id="165"/>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66" w:name="_Toc200524579"/>
      <w:bookmarkStart w:id="167" w:name="_Toc180578787"/>
      <w:r>
        <w:rPr>
          <w:rStyle w:val="CharSectno"/>
        </w:rPr>
        <w:t>52</w:t>
      </w:r>
      <w:r>
        <w:t>.</w:t>
      </w:r>
      <w:r>
        <w:tab/>
        <w:t>Enforcement of order other than monetary order or order to do work</w:t>
      </w:r>
      <w:bookmarkEnd w:id="166"/>
      <w:bookmarkEnd w:id="167"/>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68" w:name="_Toc200524580"/>
      <w:bookmarkStart w:id="169" w:name="_Toc180578788"/>
      <w:r>
        <w:rPr>
          <w:rStyle w:val="CharSectno"/>
        </w:rPr>
        <w:t>53</w:t>
      </w:r>
      <w:r>
        <w:t>.</w:t>
      </w:r>
      <w:r>
        <w:tab/>
        <w:t>Failure to comply with order, offence</w:t>
      </w:r>
      <w:bookmarkEnd w:id="168"/>
      <w:bookmarkEnd w:id="169"/>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170" w:name="_Toc200524581"/>
      <w:bookmarkStart w:id="171" w:name="_Toc180578789"/>
      <w:r>
        <w:rPr>
          <w:rStyle w:val="CharSectno"/>
        </w:rPr>
        <w:t>54</w:t>
      </w:r>
      <w:r>
        <w:t>.</w:t>
      </w:r>
      <w:r>
        <w:tab/>
        <w:t>Avoidance of concurrent proceedings</w:t>
      </w:r>
      <w:bookmarkEnd w:id="170"/>
      <w:bookmarkEnd w:id="171"/>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172" w:name="_Toc200524582"/>
      <w:bookmarkStart w:id="173" w:name="_Toc180578790"/>
      <w:r>
        <w:rPr>
          <w:rStyle w:val="CharSectno"/>
        </w:rPr>
        <w:t>55</w:t>
      </w:r>
      <w:r>
        <w:t>.</w:t>
      </w:r>
      <w:r>
        <w:tab/>
        <w:t>Transfer of proceeding</w:t>
      </w:r>
      <w:bookmarkEnd w:id="172"/>
      <w:bookmarkEnd w:id="173"/>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174" w:name="_Toc200524583"/>
      <w:bookmarkStart w:id="175" w:name="_Toc180578791"/>
      <w:r>
        <w:rPr>
          <w:rStyle w:val="CharSectno"/>
        </w:rPr>
        <w:t>56</w:t>
      </w:r>
      <w:r>
        <w:t>.</w:t>
      </w:r>
      <w:r>
        <w:tab/>
        <w:t>Effect on other remedies</w:t>
      </w:r>
      <w:bookmarkEnd w:id="174"/>
      <w:bookmarkEnd w:id="175"/>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176" w:name="_Toc200459187"/>
      <w:bookmarkStart w:id="177" w:name="_Toc200459364"/>
      <w:bookmarkStart w:id="178" w:name="_Toc200524584"/>
      <w:bookmarkStart w:id="179" w:name="_Toc180569522"/>
      <w:bookmarkStart w:id="180" w:name="_Toc180575319"/>
      <w:bookmarkStart w:id="181" w:name="_Toc180578792"/>
      <w:r>
        <w:rPr>
          <w:rStyle w:val="CharDivNo"/>
        </w:rPr>
        <w:t>Division 5</w:t>
      </w:r>
      <w:r>
        <w:t> — </w:t>
      </w:r>
      <w:r>
        <w:rPr>
          <w:rStyle w:val="CharDivText"/>
        </w:rPr>
        <w:t>Review</w:t>
      </w:r>
      <w:bookmarkEnd w:id="176"/>
      <w:bookmarkEnd w:id="177"/>
      <w:bookmarkEnd w:id="178"/>
      <w:bookmarkEnd w:id="179"/>
      <w:bookmarkEnd w:id="180"/>
      <w:bookmarkEnd w:id="181"/>
    </w:p>
    <w:p>
      <w:pPr>
        <w:pStyle w:val="Heading5"/>
      </w:pPr>
      <w:bookmarkStart w:id="182" w:name="_Toc200524585"/>
      <w:bookmarkStart w:id="183" w:name="_Toc180578793"/>
      <w:r>
        <w:rPr>
          <w:rStyle w:val="CharSectno"/>
        </w:rPr>
        <w:t>57</w:t>
      </w:r>
      <w:r>
        <w:t>.</w:t>
      </w:r>
      <w:r>
        <w:tab/>
        <w:t>Review by State Administrative Tribunal of orders given by Building Commissioner</w:t>
      </w:r>
      <w:bookmarkEnd w:id="182"/>
      <w:bookmarkEnd w:id="183"/>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184" w:name="_Toc200524586"/>
      <w:bookmarkStart w:id="185" w:name="_Toc180578794"/>
      <w:r>
        <w:rPr>
          <w:rStyle w:val="CharSectno"/>
        </w:rPr>
        <w:t>58</w:t>
      </w:r>
      <w:r>
        <w:t>.</w:t>
      </w:r>
      <w:r>
        <w:tab/>
        <w:t>State Administrative Tribunal internal review</w:t>
      </w:r>
      <w:bookmarkEnd w:id="184"/>
      <w:bookmarkEnd w:id="185"/>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186" w:name="_Toc200459190"/>
      <w:bookmarkStart w:id="187" w:name="_Toc200459367"/>
      <w:bookmarkStart w:id="188" w:name="_Toc200524587"/>
      <w:bookmarkStart w:id="189" w:name="_Toc180569525"/>
      <w:bookmarkStart w:id="190" w:name="_Toc180575322"/>
      <w:bookmarkStart w:id="191" w:name="_Toc180578795"/>
      <w:r>
        <w:rPr>
          <w:rStyle w:val="CharPartNo"/>
        </w:rPr>
        <w:t>Part 4</w:t>
      </w:r>
      <w:r>
        <w:t> — </w:t>
      </w:r>
      <w:r>
        <w:rPr>
          <w:rStyle w:val="CharPartText"/>
        </w:rPr>
        <w:t>Inspections and investigations</w:t>
      </w:r>
      <w:bookmarkEnd w:id="186"/>
      <w:bookmarkEnd w:id="187"/>
      <w:bookmarkEnd w:id="188"/>
      <w:bookmarkEnd w:id="189"/>
      <w:bookmarkEnd w:id="190"/>
      <w:bookmarkEnd w:id="191"/>
    </w:p>
    <w:p>
      <w:pPr>
        <w:pStyle w:val="Heading3"/>
      </w:pPr>
      <w:bookmarkStart w:id="192" w:name="_Toc200459191"/>
      <w:bookmarkStart w:id="193" w:name="_Toc200459368"/>
      <w:bookmarkStart w:id="194" w:name="_Toc200524588"/>
      <w:bookmarkStart w:id="195" w:name="_Toc180569526"/>
      <w:bookmarkStart w:id="196" w:name="_Toc180575323"/>
      <w:bookmarkStart w:id="197" w:name="_Toc180578796"/>
      <w:r>
        <w:rPr>
          <w:rStyle w:val="CharDivNo"/>
        </w:rPr>
        <w:t>Division 1</w:t>
      </w:r>
      <w:r>
        <w:t> — </w:t>
      </w:r>
      <w:r>
        <w:rPr>
          <w:rStyle w:val="CharDivText"/>
        </w:rPr>
        <w:t>Preliminary</w:t>
      </w:r>
      <w:bookmarkEnd w:id="192"/>
      <w:bookmarkEnd w:id="193"/>
      <w:bookmarkEnd w:id="194"/>
      <w:bookmarkEnd w:id="195"/>
      <w:bookmarkEnd w:id="196"/>
      <w:bookmarkEnd w:id="197"/>
    </w:p>
    <w:p>
      <w:pPr>
        <w:pStyle w:val="Heading5"/>
      </w:pPr>
      <w:bookmarkStart w:id="198" w:name="_Toc200524589"/>
      <w:bookmarkStart w:id="199" w:name="_Toc180578797"/>
      <w:r>
        <w:rPr>
          <w:rStyle w:val="CharSectno"/>
        </w:rPr>
        <w:t>59</w:t>
      </w:r>
      <w:r>
        <w:t>.</w:t>
      </w:r>
      <w:r>
        <w:tab/>
        <w:t>Terms used</w:t>
      </w:r>
      <w:bookmarkEnd w:id="198"/>
      <w:bookmarkEnd w:id="199"/>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200" w:name="_Toc200459193"/>
      <w:bookmarkStart w:id="201" w:name="_Toc200459370"/>
      <w:bookmarkStart w:id="202" w:name="_Toc200524590"/>
      <w:bookmarkStart w:id="203" w:name="_Toc180569528"/>
      <w:bookmarkStart w:id="204" w:name="_Toc180575325"/>
      <w:bookmarkStart w:id="205" w:name="_Toc180578798"/>
      <w:r>
        <w:rPr>
          <w:rStyle w:val="CharDivNo"/>
        </w:rPr>
        <w:t>Division 2</w:t>
      </w:r>
      <w:r>
        <w:t> — </w:t>
      </w:r>
      <w:r>
        <w:rPr>
          <w:rStyle w:val="CharDivText"/>
        </w:rPr>
        <w:t>Authorised persons</w:t>
      </w:r>
      <w:bookmarkEnd w:id="200"/>
      <w:bookmarkEnd w:id="201"/>
      <w:bookmarkEnd w:id="202"/>
      <w:bookmarkEnd w:id="203"/>
      <w:bookmarkEnd w:id="204"/>
      <w:bookmarkEnd w:id="205"/>
    </w:p>
    <w:p>
      <w:pPr>
        <w:pStyle w:val="Heading5"/>
      </w:pPr>
      <w:bookmarkStart w:id="206" w:name="_Toc200524591"/>
      <w:bookmarkStart w:id="207" w:name="_Toc180578799"/>
      <w:r>
        <w:rPr>
          <w:rStyle w:val="CharSectno"/>
        </w:rPr>
        <w:t>60</w:t>
      </w:r>
      <w:r>
        <w:t>.</w:t>
      </w:r>
      <w:r>
        <w:tab/>
        <w:t>Authorised persons</w:t>
      </w:r>
      <w:bookmarkEnd w:id="206"/>
      <w:bookmarkEnd w:id="207"/>
    </w:p>
    <w:p>
      <w:pPr>
        <w:pStyle w:val="Subsection"/>
        <w:keepNext/>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208" w:name="_Toc200524592"/>
      <w:bookmarkStart w:id="209" w:name="_Toc180578800"/>
      <w:r>
        <w:rPr>
          <w:rStyle w:val="CharSectno"/>
        </w:rPr>
        <w:t>61</w:t>
      </w:r>
      <w:r>
        <w:t>.</w:t>
      </w:r>
      <w:r>
        <w:tab/>
        <w:t>Identity cards</w:t>
      </w:r>
      <w:bookmarkEnd w:id="208"/>
      <w:bookmarkEnd w:id="209"/>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210" w:name="_Toc200524593"/>
      <w:bookmarkStart w:id="211" w:name="_Toc180578801"/>
      <w:r>
        <w:rPr>
          <w:rStyle w:val="CharSectno"/>
        </w:rPr>
        <w:t>62</w:t>
      </w:r>
      <w:r>
        <w:t>.</w:t>
      </w:r>
      <w:r>
        <w:tab/>
        <w:t>Production or display of identity card</w:t>
      </w:r>
      <w:bookmarkEnd w:id="210"/>
      <w:bookmarkEnd w:id="211"/>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212" w:name="_Toc200524594"/>
      <w:bookmarkStart w:id="213" w:name="_Toc180578802"/>
      <w:r>
        <w:rPr>
          <w:rStyle w:val="CharSectno"/>
        </w:rPr>
        <w:t>63</w:t>
      </w:r>
      <w:r>
        <w:t>.</w:t>
      </w:r>
      <w:r>
        <w:tab/>
        <w:t>Limitation on powers of authorised person</w:t>
      </w:r>
      <w:bookmarkEnd w:id="212"/>
      <w:bookmarkEnd w:id="213"/>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214" w:name="_Toc200459198"/>
      <w:bookmarkStart w:id="215" w:name="_Toc200459375"/>
      <w:bookmarkStart w:id="216" w:name="_Toc200524595"/>
      <w:bookmarkStart w:id="217" w:name="_Toc180569533"/>
      <w:bookmarkStart w:id="218" w:name="_Toc180575330"/>
      <w:bookmarkStart w:id="219" w:name="_Toc180578803"/>
      <w:r>
        <w:rPr>
          <w:rStyle w:val="CharDivNo"/>
        </w:rPr>
        <w:t>Division 3</w:t>
      </w:r>
      <w:r>
        <w:t> — </w:t>
      </w:r>
      <w:r>
        <w:rPr>
          <w:rStyle w:val="CharDivText"/>
        </w:rPr>
        <w:t>Inspections</w:t>
      </w:r>
      <w:bookmarkEnd w:id="214"/>
      <w:bookmarkEnd w:id="215"/>
      <w:bookmarkEnd w:id="216"/>
      <w:bookmarkEnd w:id="217"/>
      <w:bookmarkEnd w:id="218"/>
      <w:bookmarkEnd w:id="219"/>
    </w:p>
    <w:p>
      <w:pPr>
        <w:pStyle w:val="Heading5"/>
      </w:pPr>
      <w:bookmarkStart w:id="220" w:name="_Toc200524596"/>
      <w:bookmarkStart w:id="221" w:name="_Toc180578804"/>
      <w:r>
        <w:rPr>
          <w:rStyle w:val="CharSectno"/>
        </w:rPr>
        <w:t>64</w:t>
      </w:r>
      <w:r>
        <w:t>.</w:t>
      </w:r>
      <w:r>
        <w:tab/>
        <w:t>Compliance inspections</w:t>
      </w:r>
      <w:bookmarkEnd w:id="220"/>
      <w:bookmarkEnd w:id="221"/>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222" w:name="_Toc200524597"/>
      <w:bookmarkStart w:id="223" w:name="_Toc180578805"/>
      <w:r>
        <w:rPr>
          <w:rStyle w:val="CharSectno"/>
        </w:rPr>
        <w:t>65</w:t>
      </w:r>
      <w:r>
        <w:t>.</w:t>
      </w:r>
      <w:r>
        <w:tab/>
        <w:t>General inspections</w:t>
      </w:r>
      <w:bookmarkEnd w:id="222"/>
      <w:bookmarkEnd w:id="223"/>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224" w:name="_Toc200459201"/>
      <w:bookmarkStart w:id="225" w:name="_Toc200459378"/>
      <w:bookmarkStart w:id="226" w:name="_Toc200524598"/>
      <w:bookmarkStart w:id="227" w:name="_Toc180569536"/>
      <w:bookmarkStart w:id="228" w:name="_Toc180575333"/>
      <w:bookmarkStart w:id="229" w:name="_Toc180578806"/>
      <w:r>
        <w:rPr>
          <w:rStyle w:val="CharDivNo"/>
        </w:rPr>
        <w:t>Division 4</w:t>
      </w:r>
      <w:r>
        <w:t> — </w:t>
      </w:r>
      <w:r>
        <w:rPr>
          <w:rStyle w:val="CharDivText"/>
        </w:rPr>
        <w:t>Powers in relation to inspections and investigations</w:t>
      </w:r>
      <w:bookmarkEnd w:id="224"/>
      <w:bookmarkEnd w:id="225"/>
      <w:bookmarkEnd w:id="226"/>
      <w:bookmarkEnd w:id="227"/>
      <w:bookmarkEnd w:id="228"/>
      <w:bookmarkEnd w:id="229"/>
    </w:p>
    <w:p>
      <w:pPr>
        <w:pStyle w:val="Heading5"/>
        <w:spacing w:before="240"/>
      </w:pPr>
      <w:bookmarkStart w:id="230" w:name="_Toc200524599"/>
      <w:bookmarkStart w:id="231" w:name="_Toc180578807"/>
      <w:r>
        <w:rPr>
          <w:rStyle w:val="CharSectno"/>
        </w:rPr>
        <w:t>66</w:t>
      </w:r>
      <w:r>
        <w:t>.</w:t>
      </w:r>
      <w:r>
        <w:tab/>
        <w:t>Entry powers</w:t>
      </w:r>
      <w:bookmarkEnd w:id="230"/>
      <w:bookmarkEnd w:id="231"/>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232" w:name="_Toc200524600"/>
      <w:bookmarkStart w:id="233" w:name="_Toc180578808"/>
      <w:r>
        <w:rPr>
          <w:rStyle w:val="CharSectno"/>
        </w:rPr>
        <w:t>67</w:t>
      </w:r>
      <w:r>
        <w:t>.</w:t>
      </w:r>
      <w:r>
        <w:tab/>
        <w:t>Powers after entry for compliance purposes or investigation</w:t>
      </w:r>
      <w:bookmarkEnd w:id="232"/>
      <w:bookmarkEnd w:id="233"/>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234" w:name="_Toc200524601"/>
      <w:bookmarkStart w:id="235" w:name="_Toc180578809"/>
      <w:r>
        <w:rPr>
          <w:rStyle w:val="CharSectno"/>
        </w:rPr>
        <w:t>68</w:t>
      </w:r>
      <w:r>
        <w:t>.</w:t>
      </w:r>
      <w:r>
        <w:tab/>
        <w:t>Obtaining information and documents</w:t>
      </w:r>
      <w:bookmarkEnd w:id="234"/>
      <w:bookmarkEnd w:id="235"/>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keepNext/>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236" w:name="_Toc200524602"/>
      <w:bookmarkStart w:id="237" w:name="_Toc180578810"/>
      <w:r>
        <w:rPr>
          <w:rStyle w:val="CharSectno"/>
        </w:rPr>
        <w:t>69</w:t>
      </w:r>
      <w:r>
        <w:t>.</w:t>
      </w:r>
      <w:r>
        <w:tab/>
        <w:t>Use of force and assistance</w:t>
      </w:r>
      <w:bookmarkEnd w:id="236"/>
      <w:bookmarkEnd w:id="237"/>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238" w:name="_Toc200524603"/>
      <w:bookmarkStart w:id="239" w:name="_Toc180578811"/>
      <w:r>
        <w:rPr>
          <w:rStyle w:val="CharSectno"/>
        </w:rPr>
        <w:t>70</w:t>
      </w:r>
      <w:r>
        <w:t>.</w:t>
      </w:r>
      <w:r>
        <w:tab/>
        <w:t>Obstruction</w:t>
      </w:r>
      <w:bookmarkEnd w:id="238"/>
      <w:bookmarkEnd w:id="239"/>
    </w:p>
    <w:p>
      <w:pPr>
        <w:pStyle w:val="Subsection"/>
        <w:keepNext/>
      </w:pPr>
      <w:r>
        <w:tab/>
      </w:r>
      <w:r>
        <w:tab/>
        <w:t>A person must not hinder or obstruct an authorised person, or a person assisting an authorised person, exercising a power conferred by this Act.</w:t>
      </w:r>
    </w:p>
    <w:p>
      <w:pPr>
        <w:pStyle w:val="Penstart"/>
      </w:pPr>
      <w:r>
        <w:tab/>
        <w:t>Penalty: a fine of $25 000.</w:t>
      </w:r>
    </w:p>
    <w:p>
      <w:pPr>
        <w:pStyle w:val="Footnotesection"/>
      </w:pPr>
      <w:r>
        <w:tab/>
        <w:t>[Section 70 amended: No. 4 of 2021 s. 123.]</w:t>
      </w:r>
    </w:p>
    <w:p>
      <w:pPr>
        <w:pStyle w:val="Heading5"/>
      </w:pPr>
      <w:bookmarkStart w:id="240" w:name="_Toc200524604"/>
      <w:bookmarkStart w:id="241" w:name="_Toc180578812"/>
      <w:r>
        <w:rPr>
          <w:rStyle w:val="CharSectno"/>
        </w:rPr>
        <w:t>71</w:t>
      </w:r>
      <w:r>
        <w:t>.</w:t>
      </w:r>
      <w:r>
        <w:tab/>
        <w:t>Directions generally</w:t>
      </w:r>
      <w:bookmarkEnd w:id="240"/>
      <w:bookmarkEnd w:id="241"/>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for this subsection: a fine of $25 000.</w:t>
      </w:r>
    </w:p>
    <w:p>
      <w:pPr>
        <w:pStyle w:val="Footnotesection"/>
      </w:pPr>
      <w:r>
        <w:tab/>
        <w:t>[Section 71 amended: No. 4 of 2021 s. 124.]</w:t>
      </w:r>
    </w:p>
    <w:p>
      <w:pPr>
        <w:pStyle w:val="Heading3"/>
        <w:spacing w:before="180"/>
      </w:pPr>
      <w:bookmarkStart w:id="242" w:name="_Toc200459208"/>
      <w:bookmarkStart w:id="243" w:name="_Toc200459385"/>
      <w:bookmarkStart w:id="244" w:name="_Toc200524605"/>
      <w:bookmarkStart w:id="245" w:name="_Toc180569543"/>
      <w:bookmarkStart w:id="246" w:name="_Toc180575340"/>
      <w:bookmarkStart w:id="247" w:name="_Toc180578813"/>
      <w:r>
        <w:rPr>
          <w:rStyle w:val="CharDivNo"/>
        </w:rPr>
        <w:t>Division 5</w:t>
      </w:r>
      <w:r>
        <w:t> — </w:t>
      </w:r>
      <w:r>
        <w:rPr>
          <w:rStyle w:val="CharDivText"/>
        </w:rPr>
        <w:t>Entry warrants</w:t>
      </w:r>
      <w:bookmarkEnd w:id="242"/>
      <w:bookmarkEnd w:id="243"/>
      <w:bookmarkEnd w:id="244"/>
      <w:bookmarkEnd w:id="245"/>
      <w:bookmarkEnd w:id="246"/>
      <w:bookmarkEnd w:id="247"/>
    </w:p>
    <w:p>
      <w:pPr>
        <w:pStyle w:val="Heading5"/>
        <w:spacing w:before="180"/>
      </w:pPr>
      <w:bookmarkStart w:id="248" w:name="_Toc200524606"/>
      <w:bookmarkStart w:id="249" w:name="_Toc180578814"/>
      <w:r>
        <w:rPr>
          <w:rStyle w:val="CharSectno"/>
        </w:rPr>
        <w:t>72</w:t>
      </w:r>
      <w:r>
        <w:t>.</w:t>
      </w:r>
      <w:r>
        <w:tab/>
        <w:t>Warrant to enter place</w:t>
      </w:r>
      <w:bookmarkEnd w:id="248"/>
      <w:bookmarkEnd w:id="249"/>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250" w:name="_Toc200524607"/>
      <w:bookmarkStart w:id="251" w:name="_Toc180578815"/>
      <w:r>
        <w:rPr>
          <w:rStyle w:val="CharSectno"/>
        </w:rPr>
        <w:t>73</w:t>
      </w:r>
      <w:r>
        <w:t>.</w:t>
      </w:r>
      <w:r>
        <w:tab/>
        <w:t>Issue of warrant</w:t>
      </w:r>
      <w:bookmarkEnd w:id="250"/>
      <w:bookmarkEnd w:id="251"/>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252" w:name="_Toc200524608"/>
      <w:bookmarkStart w:id="253" w:name="_Toc180578816"/>
      <w:r>
        <w:rPr>
          <w:rStyle w:val="CharSectno"/>
        </w:rPr>
        <w:t>74</w:t>
      </w:r>
      <w:r>
        <w:t>.</w:t>
      </w:r>
      <w:r>
        <w:tab/>
        <w:t>Effect of entry warrant</w:t>
      </w:r>
      <w:bookmarkEnd w:id="252"/>
      <w:bookmarkEnd w:id="253"/>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254" w:name="_Toc200524609"/>
      <w:bookmarkStart w:id="255" w:name="_Toc180578817"/>
      <w:r>
        <w:rPr>
          <w:rStyle w:val="CharSectno"/>
        </w:rPr>
        <w:t>75</w:t>
      </w:r>
      <w:r>
        <w:t>.</w:t>
      </w:r>
      <w:r>
        <w:tab/>
        <w:t>Execution of warrant</w:t>
      </w:r>
      <w:bookmarkEnd w:id="254"/>
      <w:bookmarkEnd w:id="255"/>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256" w:name="_Toc200459213"/>
      <w:bookmarkStart w:id="257" w:name="_Toc200459390"/>
      <w:bookmarkStart w:id="258" w:name="_Toc200524610"/>
      <w:bookmarkStart w:id="259" w:name="_Toc180569548"/>
      <w:bookmarkStart w:id="260" w:name="_Toc180575345"/>
      <w:bookmarkStart w:id="261" w:name="_Toc180578818"/>
      <w:r>
        <w:rPr>
          <w:rStyle w:val="CharPartNo"/>
        </w:rPr>
        <w:t>Part 5</w:t>
      </w:r>
      <w:r>
        <w:rPr>
          <w:rStyle w:val="CharDivNo"/>
        </w:rPr>
        <w:t> </w:t>
      </w:r>
      <w:r>
        <w:t>—</w:t>
      </w:r>
      <w:r>
        <w:rPr>
          <w:rStyle w:val="CharDivText"/>
        </w:rPr>
        <w:t> </w:t>
      </w:r>
      <w:r>
        <w:rPr>
          <w:rStyle w:val="CharPartText"/>
        </w:rPr>
        <w:t>Remedying dangerous and other situations</w:t>
      </w:r>
      <w:bookmarkEnd w:id="256"/>
      <w:bookmarkEnd w:id="257"/>
      <w:bookmarkEnd w:id="258"/>
      <w:bookmarkEnd w:id="259"/>
      <w:bookmarkEnd w:id="260"/>
      <w:bookmarkEnd w:id="261"/>
    </w:p>
    <w:p>
      <w:pPr>
        <w:pStyle w:val="Heading5"/>
      </w:pPr>
      <w:bookmarkStart w:id="262" w:name="_Toc200524611"/>
      <w:bookmarkStart w:id="263" w:name="_Toc180578819"/>
      <w:r>
        <w:rPr>
          <w:rStyle w:val="CharSectno"/>
        </w:rPr>
        <w:t>76</w:t>
      </w:r>
      <w:r>
        <w:t>.</w:t>
      </w:r>
      <w:r>
        <w:tab/>
        <w:t>Terms used</w:t>
      </w:r>
      <w:bookmarkEnd w:id="262"/>
      <w:bookmarkEnd w:id="263"/>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264" w:name="_Toc200524612"/>
      <w:bookmarkStart w:id="265" w:name="_Toc180578820"/>
      <w:r>
        <w:rPr>
          <w:rStyle w:val="CharSectno"/>
        </w:rPr>
        <w:t>77</w:t>
      </w:r>
      <w:r>
        <w:t>.</w:t>
      </w:r>
      <w:r>
        <w:tab/>
        <w:t>Dangerous situation, emergency remedial measures</w:t>
      </w:r>
      <w:bookmarkEnd w:id="264"/>
      <w:bookmarkEnd w:id="265"/>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266" w:name="_Toc200524613"/>
      <w:bookmarkStart w:id="267" w:name="_Toc180578821"/>
      <w:r>
        <w:rPr>
          <w:rStyle w:val="CharSectno"/>
        </w:rPr>
        <w:t>78</w:t>
      </w:r>
      <w:r>
        <w:t>.</w:t>
      </w:r>
      <w:r>
        <w:tab/>
        <w:t>Restricting access to dangerous situations</w:t>
      </w:r>
      <w:bookmarkEnd w:id="266"/>
      <w:bookmarkEnd w:id="267"/>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68" w:name="_Toc200524614"/>
      <w:bookmarkStart w:id="269" w:name="_Toc180578822"/>
      <w:r>
        <w:rPr>
          <w:rStyle w:val="CharSectno"/>
        </w:rPr>
        <w:t>79</w:t>
      </w:r>
      <w:r>
        <w:t>.</w:t>
      </w:r>
      <w:r>
        <w:tab/>
        <w:t>Recovering costs</w:t>
      </w:r>
      <w:bookmarkEnd w:id="268"/>
      <w:bookmarkEnd w:id="269"/>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270" w:name="_Toc200524615"/>
      <w:bookmarkStart w:id="271" w:name="_Toc180578823"/>
      <w:r>
        <w:rPr>
          <w:rStyle w:val="CharSectno"/>
        </w:rPr>
        <w:t>80</w:t>
      </w:r>
      <w:r>
        <w:t>.</w:t>
      </w:r>
      <w:r>
        <w:tab/>
        <w:t>Remediation notice</w:t>
      </w:r>
      <w:bookmarkEnd w:id="270"/>
      <w:bookmarkEnd w:id="271"/>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keepNext/>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272" w:name="_Toc200524616"/>
      <w:bookmarkStart w:id="273" w:name="_Toc180578824"/>
      <w:r>
        <w:rPr>
          <w:rStyle w:val="CharSectno"/>
        </w:rPr>
        <w:t>81</w:t>
      </w:r>
      <w:r>
        <w:t>.</w:t>
      </w:r>
      <w:r>
        <w:tab/>
        <w:t>Building Commissioner may approve earlier or immediate compliance with remediation notice</w:t>
      </w:r>
      <w:bookmarkEnd w:id="272"/>
      <w:bookmarkEnd w:id="273"/>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274" w:name="_Toc200524617"/>
      <w:bookmarkStart w:id="275" w:name="_Toc180578825"/>
      <w:r>
        <w:rPr>
          <w:rStyle w:val="CharSectno"/>
        </w:rPr>
        <w:t>82</w:t>
      </w:r>
      <w:r>
        <w:t>.</w:t>
      </w:r>
      <w:r>
        <w:tab/>
        <w:t>Contravention of remediation notice, action by authorised person</w:t>
      </w:r>
      <w:bookmarkEnd w:id="274"/>
      <w:bookmarkEnd w:id="275"/>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276" w:name="_Toc200524618"/>
      <w:bookmarkStart w:id="277" w:name="_Toc180578826"/>
      <w:r>
        <w:rPr>
          <w:rStyle w:val="CharSectno"/>
        </w:rPr>
        <w:t>83</w:t>
      </w:r>
      <w:r>
        <w:t>.</w:t>
      </w:r>
      <w:r>
        <w:tab/>
        <w:t>Review by Building Commissioner</w:t>
      </w:r>
      <w:bookmarkEnd w:id="276"/>
      <w:bookmarkEnd w:id="277"/>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278" w:name="_Toc200524619"/>
      <w:bookmarkStart w:id="279" w:name="_Toc180578827"/>
      <w:r>
        <w:rPr>
          <w:rStyle w:val="CharSectno"/>
        </w:rPr>
        <w:t>84</w:t>
      </w:r>
      <w:r>
        <w:t>.</w:t>
      </w:r>
      <w:r>
        <w:tab/>
        <w:t>Review by State Administrative Tribunal</w:t>
      </w:r>
      <w:bookmarkEnd w:id="278"/>
      <w:bookmarkEnd w:id="279"/>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280" w:name="_Toc200459223"/>
      <w:bookmarkStart w:id="281" w:name="_Toc200459400"/>
      <w:bookmarkStart w:id="282" w:name="_Toc200524620"/>
      <w:bookmarkStart w:id="283" w:name="_Toc180569558"/>
      <w:bookmarkStart w:id="284" w:name="_Toc180575355"/>
      <w:bookmarkStart w:id="285" w:name="_Toc180578828"/>
      <w:r>
        <w:rPr>
          <w:rStyle w:val="CharPartNo"/>
        </w:rPr>
        <w:t>Part 6</w:t>
      </w:r>
      <w:r>
        <w:rPr>
          <w:rStyle w:val="CharDivNo"/>
        </w:rPr>
        <w:t> </w:t>
      </w:r>
      <w:r>
        <w:t>—</w:t>
      </w:r>
      <w:r>
        <w:rPr>
          <w:rStyle w:val="CharDivText"/>
        </w:rPr>
        <w:t> </w:t>
      </w:r>
      <w:r>
        <w:rPr>
          <w:rStyle w:val="CharPartText"/>
        </w:rPr>
        <w:t>Administration</w:t>
      </w:r>
      <w:bookmarkEnd w:id="280"/>
      <w:bookmarkEnd w:id="281"/>
      <w:bookmarkEnd w:id="282"/>
      <w:bookmarkEnd w:id="283"/>
      <w:bookmarkEnd w:id="284"/>
      <w:bookmarkEnd w:id="285"/>
    </w:p>
    <w:p>
      <w:pPr>
        <w:pStyle w:val="Heading5"/>
      </w:pPr>
      <w:bookmarkStart w:id="286" w:name="_Toc200524621"/>
      <w:bookmarkStart w:id="287" w:name="_Toc180578829"/>
      <w:r>
        <w:rPr>
          <w:rStyle w:val="CharSectno"/>
        </w:rPr>
        <w:t>85</w:t>
      </w:r>
      <w:r>
        <w:t>.</w:t>
      </w:r>
      <w:r>
        <w:tab/>
        <w:t>Building Commissioner</w:t>
      </w:r>
      <w:bookmarkEnd w:id="286"/>
      <w:bookmarkEnd w:id="287"/>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288" w:name="_Toc200524622"/>
      <w:bookmarkStart w:id="289" w:name="_Toc180578830"/>
      <w:r>
        <w:rPr>
          <w:rStyle w:val="CharSectno"/>
        </w:rPr>
        <w:t>86</w:t>
      </w:r>
      <w:r>
        <w:t>.</w:t>
      </w:r>
      <w:r>
        <w:tab/>
        <w:t>Functions</w:t>
      </w:r>
      <w:bookmarkEnd w:id="288"/>
      <w:bookmarkEnd w:id="289"/>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290" w:name="_Toc200524623"/>
      <w:bookmarkStart w:id="291" w:name="_Toc180578831"/>
      <w:r>
        <w:rPr>
          <w:rStyle w:val="CharSectno"/>
        </w:rPr>
        <w:t>87</w:t>
      </w:r>
      <w:r>
        <w:t>.</w:t>
      </w:r>
      <w:r>
        <w:tab/>
        <w:t>Powers</w:t>
      </w:r>
      <w:bookmarkEnd w:id="290"/>
      <w:bookmarkEnd w:id="291"/>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292" w:name="_Toc200524624"/>
      <w:bookmarkStart w:id="293" w:name="_Toc180578832"/>
      <w:r>
        <w:rPr>
          <w:rStyle w:val="CharSectno"/>
        </w:rPr>
        <w:t>88</w:t>
      </w:r>
      <w:r>
        <w:t>.</w:t>
      </w:r>
      <w:r>
        <w:tab/>
        <w:t>Warning about unsatisfactory or dangerous services</w:t>
      </w:r>
      <w:bookmarkEnd w:id="292"/>
      <w:bookmarkEnd w:id="293"/>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keepNext/>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294" w:name="_Toc200524625"/>
      <w:bookmarkStart w:id="295" w:name="_Toc180578833"/>
      <w:r>
        <w:rPr>
          <w:rStyle w:val="CharSectno"/>
        </w:rPr>
        <w:t>89</w:t>
      </w:r>
      <w:r>
        <w:t>.</w:t>
      </w:r>
      <w:r>
        <w:tab/>
        <w:t>Committees</w:t>
      </w:r>
      <w:bookmarkEnd w:id="294"/>
      <w:bookmarkEnd w:id="295"/>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296" w:name="_Toc200524626"/>
      <w:bookmarkStart w:id="297" w:name="_Toc180578834"/>
      <w:r>
        <w:rPr>
          <w:rStyle w:val="CharSectno"/>
        </w:rPr>
        <w:t>90</w:t>
      </w:r>
      <w:r>
        <w:t>.</w:t>
      </w:r>
      <w:r>
        <w:tab/>
        <w:t>Disclosure of material personal interest</w:t>
      </w:r>
      <w:bookmarkEnd w:id="296"/>
      <w:bookmarkEnd w:id="297"/>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298" w:name="_Toc200524627"/>
      <w:bookmarkStart w:id="299" w:name="_Toc180578835"/>
      <w:r>
        <w:rPr>
          <w:rStyle w:val="CharSectno"/>
        </w:rPr>
        <w:t>91</w:t>
      </w:r>
      <w:r>
        <w:t>.</w:t>
      </w:r>
      <w:r>
        <w:tab/>
        <w:t>Delegation</w:t>
      </w:r>
      <w:bookmarkEnd w:id="298"/>
      <w:bookmarkEnd w:id="299"/>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300" w:name="_Toc200459231"/>
      <w:bookmarkStart w:id="301" w:name="_Toc200459408"/>
      <w:bookmarkStart w:id="302" w:name="_Toc200524628"/>
      <w:bookmarkStart w:id="303" w:name="_Toc180569566"/>
      <w:bookmarkStart w:id="304" w:name="_Toc180575363"/>
      <w:bookmarkStart w:id="305" w:name="_Toc180578836"/>
      <w:r>
        <w:rPr>
          <w:rStyle w:val="CharPartNo"/>
        </w:rPr>
        <w:t>Part 7</w:t>
      </w:r>
      <w:r>
        <w:t> — </w:t>
      </w:r>
      <w:r>
        <w:rPr>
          <w:rStyle w:val="CharPartText"/>
        </w:rPr>
        <w:t>Financial provisions</w:t>
      </w:r>
      <w:bookmarkEnd w:id="300"/>
      <w:bookmarkEnd w:id="301"/>
      <w:bookmarkEnd w:id="302"/>
      <w:bookmarkEnd w:id="303"/>
      <w:bookmarkEnd w:id="304"/>
      <w:bookmarkEnd w:id="305"/>
    </w:p>
    <w:p>
      <w:pPr>
        <w:pStyle w:val="Heading3"/>
      </w:pPr>
      <w:bookmarkStart w:id="306" w:name="_Toc200459232"/>
      <w:bookmarkStart w:id="307" w:name="_Toc200459409"/>
      <w:bookmarkStart w:id="308" w:name="_Toc200524629"/>
      <w:bookmarkStart w:id="309" w:name="_Toc180569567"/>
      <w:bookmarkStart w:id="310" w:name="_Toc180575364"/>
      <w:bookmarkStart w:id="311" w:name="_Toc180578837"/>
      <w:r>
        <w:rPr>
          <w:rStyle w:val="CharDivNo"/>
        </w:rPr>
        <w:t>Division 1</w:t>
      </w:r>
      <w:r>
        <w:t> — </w:t>
      </w:r>
      <w:r>
        <w:rPr>
          <w:rStyle w:val="CharDivText"/>
        </w:rPr>
        <w:t>Building Services Account</w:t>
      </w:r>
      <w:bookmarkEnd w:id="306"/>
      <w:bookmarkEnd w:id="307"/>
      <w:bookmarkEnd w:id="308"/>
      <w:bookmarkEnd w:id="309"/>
      <w:bookmarkEnd w:id="310"/>
      <w:bookmarkEnd w:id="311"/>
    </w:p>
    <w:p>
      <w:pPr>
        <w:pStyle w:val="Heading5"/>
      </w:pPr>
      <w:bookmarkStart w:id="312" w:name="_Toc200524630"/>
      <w:bookmarkStart w:id="313" w:name="_Toc180578838"/>
      <w:r>
        <w:rPr>
          <w:rStyle w:val="CharSectno"/>
        </w:rPr>
        <w:t>92</w:t>
      </w:r>
      <w:r>
        <w:t>.</w:t>
      </w:r>
      <w:r>
        <w:tab/>
        <w:t>Building Services Account</w:t>
      </w:r>
      <w:bookmarkEnd w:id="312"/>
      <w:bookmarkEnd w:id="313"/>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314" w:name="_Toc200459234"/>
      <w:bookmarkStart w:id="315" w:name="_Toc200459411"/>
      <w:bookmarkStart w:id="316" w:name="_Toc200524631"/>
      <w:bookmarkStart w:id="317" w:name="_Toc180569569"/>
      <w:bookmarkStart w:id="318" w:name="_Toc180575366"/>
      <w:bookmarkStart w:id="319" w:name="_Toc180578839"/>
      <w:r>
        <w:rPr>
          <w:rStyle w:val="CharDivNo"/>
        </w:rPr>
        <w:t>Division 2</w:t>
      </w:r>
      <w:r>
        <w:t> — </w:t>
      </w:r>
      <w:r>
        <w:rPr>
          <w:rStyle w:val="CharDivText"/>
        </w:rPr>
        <w:t>Building services levy</w:t>
      </w:r>
      <w:bookmarkEnd w:id="314"/>
      <w:bookmarkEnd w:id="315"/>
      <w:bookmarkEnd w:id="316"/>
      <w:bookmarkEnd w:id="317"/>
      <w:bookmarkEnd w:id="318"/>
      <w:bookmarkEnd w:id="319"/>
    </w:p>
    <w:p>
      <w:pPr>
        <w:pStyle w:val="Heading5"/>
      </w:pPr>
      <w:bookmarkStart w:id="320" w:name="_Toc200524632"/>
      <w:bookmarkStart w:id="321" w:name="_Toc180578840"/>
      <w:r>
        <w:rPr>
          <w:rStyle w:val="CharSectno"/>
        </w:rPr>
        <w:t>93</w:t>
      </w:r>
      <w:r>
        <w:t>.</w:t>
      </w:r>
      <w:r>
        <w:tab/>
        <w:t>Terms used</w:t>
      </w:r>
      <w:bookmarkEnd w:id="320"/>
      <w:bookmarkEnd w:id="321"/>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322" w:name="_Toc200524633"/>
      <w:bookmarkStart w:id="323" w:name="_Toc180578841"/>
      <w:r>
        <w:rPr>
          <w:rStyle w:val="CharSectno"/>
        </w:rPr>
        <w:t>94</w:t>
      </w:r>
      <w:r>
        <w:t>.</w:t>
      </w:r>
      <w:r>
        <w:tab/>
        <w:t>Building services levy may be prescribed</w:t>
      </w:r>
      <w:bookmarkEnd w:id="322"/>
      <w:bookmarkEnd w:id="323"/>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324" w:name="_Toc200459237"/>
      <w:bookmarkStart w:id="325" w:name="_Toc200459414"/>
      <w:bookmarkStart w:id="326" w:name="_Toc200524634"/>
      <w:bookmarkStart w:id="327" w:name="_Toc180569572"/>
      <w:bookmarkStart w:id="328" w:name="_Toc180575369"/>
      <w:bookmarkStart w:id="329" w:name="_Toc180578842"/>
      <w:r>
        <w:rPr>
          <w:rStyle w:val="CharPartNo"/>
        </w:rPr>
        <w:t>Part 8</w:t>
      </w:r>
      <w:r>
        <w:rPr>
          <w:rStyle w:val="CharDivNo"/>
        </w:rPr>
        <w:t> </w:t>
      </w:r>
      <w:r>
        <w:t>—</w:t>
      </w:r>
      <w:r>
        <w:rPr>
          <w:rStyle w:val="CharDivText"/>
        </w:rPr>
        <w:t> </w:t>
      </w:r>
      <w:r>
        <w:rPr>
          <w:rStyle w:val="CharPartText"/>
        </w:rPr>
        <w:t>Codes and standards</w:t>
      </w:r>
      <w:bookmarkEnd w:id="324"/>
      <w:bookmarkEnd w:id="325"/>
      <w:bookmarkEnd w:id="326"/>
      <w:bookmarkEnd w:id="327"/>
      <w:bookmarkEnd w:id="328"/>
      <w:bookmarkEnd w:id="329"/>
    </w:p>
    <w:p>
      <w:pPr>
        <w:pStyle w:val="Heading5"/>
      </w:pPr>
      <w:bookmarkStart w:id="330" w:name="_Toc200524635"/>
      <w:bookmarkStart w:id="331" w:name="_Toc180578843"/>
      <w:r>
        <w:rPr>
          <w:rStyle w:val="CharSectno"/>
        </w:rPr>
        <w:t>95</w:t>
      </w:r>
      <w:r>
        <w:t>.</w:t>
      </w:r>
      <w:r>
        <w:tab/>
        <w:t>Terms used</w:t>
      </w:r>
      <w:bookmarkEnd w:id="330"/>
      <w:bookmarkEnd w:id="331"/>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332" w:name="_Toc200524636"/>
      <w:bookmarkStart w:id="333" w:name="_Toc180578844"/>
      <w:r>
        <w:rPr>
          <w:rStyle w:val="CharSectno"/>
        </w:rPr>
        <w:t>96</w:t>
      </w:r>
      <w:r>
        <w:t>.</w:t>
      </w:r>
      <w:r>
        <w:tab/>
        <w:t>Building Commissioner may develop and issue building service codes and standards</w:t>
      </w:r>
      <w:bookmarkEnd w:id="332"/>
      <w:bookmarkEnd w:id="333"/>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334" w:name="_Toc200524637"/>
      <w:bookmarkStart w:id="335" w:name="_Toc180578845"/>
      <w:r>
        <w:rPr>
          <w:rStyle w:val="CharSectno"/>
        </w:rPr>
        <w:t>97</w:t>
      </w:r>
      <w:r>
        <w:t>.</w:t>
      </w:r>
      <w:r>
        <w:tab/>
        <w:t>Codes and standards may refer to published documents</w:t>
      </w:r>
      <w:bookmarkEnd w:id="334"/>
      <w:bookmarkEnd w:id="335"/>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336" w:name="_Toc200459241"/>
      <w:bookmarkStart w:id="337" w:name="_Toc200459418"/>
      <w:bookmarkStart w:id="338" w:name="_Toc200524638"/>
      <w:bookmarkStart w:id="339" w:name="_Toc180569576"/>
      <w:bookmarkStart w:id="340" w:name="_Toc180575373"/>
      <w:bookmarkStart w:id="341" w:name="_Toc180578846"/>
      <w:r>
        <w:rPr>
          <w:rStyle w:val="CharPartNo"/>
        </w:rPr>
        <w:t>Part 9</w:t>
      </w:r>
      <w:r>
        <w:rPr>
          <w:rStyle w:val="CharDivNo"/>
        </w:rPr>
        <w:t> </w:t>
      </w:r>
      <w:r>
        <w:t>—</w:t>
      </w:r>
      <w:r>
        <w:rPr>
          <w:rStyle w:val="CharDivText"/>
        </w:rPr>
        <w:t> </w:t>
      </w:r>
      <w:r>
        <w:rPr>
          <w:rStyle w:val="CharPartText"/>
        </w:rPr>
        <w:t>General provisions</w:t>
      </w:r>
      <w:bookmarkEnd w:id="336"/>
      <w:bookmarkEnd w:id="337"/>
      <w:bookmarkEnd w:id="338"/>
      <w:bookmarkEnd w:id="339"/>
      <w:bookmarkEnd w:id="340"/>
      <w:bookmarkEnd w:id="341"/>
    </w:p>
    <w:p>
      <w:pPr>
        <w:pStyle w:val="Heading5"/>
      </w:pPr>
      <w:bookmarkStart w:id="342" w:name="_Toc200524639"/>
      <w:bookmarkStart w:id="343" w:name="_Toc180578847"/>
      <w:r>
        <w:rPr>
          <w:rStyle w:val="CharSectno"/>
        </w:rPr>
        <w:t>98</w:t>
      </w:r>
      <w:r>
        <w:t>.</w:t>
      </w:r>
      <w:r>
        <w:tab/>
        <w:t>Incriminating information</w:t>
      </w:r>
      <w:bookmarkEnd w:id="342"/>
      <w:bookmarkEnd w:id="343"/>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344" w:name="_Toc200524640"/>
      <w:bookmarkStart w:id="345" w:name="_Toc180578848"/>
      <w:r>
        <w:rPr>
          <w:rStyle w:val="CharSectno"/>
        </w:rPr>
        <w:t>99</w:t>
      </w:r>
      <w:r>
        <w:t>.</w:t>
      </w:r>
      <w:r>
        <w:tab/>
        <w:t>Legal professional privilege</w:t>
      </w:r>
      <w:bookmarkEnd w:id="344"/>
      <w:bookmarkEnd w:id="345"/>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346" w:name="_Toc200524641"/>
      <w:bookmarkStart w:id="347" w:name="_Toc180578849"/>
      <w:r>
        <w:rPr>
          <w:rStyle w:val="CharSectno"/>
        </w:rPr>
        <w:t>100</w:t>
      </w:r>
      <w:r>
        <w:t>.</w:t>
      </w:r>
      <w:r>
        <w:tab/>
        <w:t>Protection from liability</w:t>
      </w:r>
      <w:bookmarkEnd w:id="346"/>
      <w:bookmarkEnd w:id="34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348" w:name="_Toc200524642"/>
      <w:bookmarkStart w:id="349" w:name="_Toc180578850"/>
      <w:r>
        <w:rPr>
          <w:rStyle w:val="CharSectno"/>
        </w:rPr>
        <w:t>101</w:t>
      </w:r>
      <w:r>
        <w:t>.</w:t>
      </w:r>
      <w:r>
        <w:tab/>
        <w:t>Exchange of information</w:t>
      </w:r>
      <w:bookmarkEnd w:id="348"/>
      <w:bookmarkEnd w:id="349"/>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350" w:name="_Toc200524643"/>
      <w:bookmarkStart w:id="351" w:name="_Toc180578851"/>
      <w:r>
        <w:rPr>
          <w:rStyle w:val="CharSectno"/>
        </w:rPr>
        <w:t>102</w:t>
      </w:r>
      <w:r>
        <w:t>.</w:t>
      </w:r>
      <w:r>
        <w:tab/>
        <w:t>Protection for compliance with Act</w:t>
      </w:r>
      <w:bookmarkEnd w:id="350"/>
      <w:bookmarkEnd w:id="35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352" w:name="_Toc200524644"/>
      <w:bookmarkStart w:id="353" w:name="_Toc180578852"/>
      <w:r>
        <w:rPr>
          <w:rStyle w:val="CharSectno"/>
        </w:rPr>
        <w:t>103</w:t>
      </w:r>
      <w:r>
        <w:t>.</w:t>
      </w:r>
      <w:r>
        <w:tab/>
        <w:t>Confidentiality</w:t>
      </w:r>
      <w:bookmarkEnd w:id="352"/>
      <w:bookmarkEnd w:id="353"/>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354" w:name="_Toc200524645"/>
      <w:bookmarkStart w:id="355" w:name="_Toc180578853"/>
      <w:r>
        <w:rPr>
          <w:rStyle w:val="CharSectno"/>
        </w:rPr>
        <w:t>104</w:t>
      </w:r>
      <w:r>
        <w:t>.</w:t>
      </w:r>
      <w:r>
        <w:tab/>
        <w:t>False or misleading information</w:t>
      </w:r>
      <w:bookmarkEnd w:id="354"/>
      <w:bookmarkEnd w:id="355"/>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356" w:name="_Toc200524646"/>
      <w:bookmarkStart w:id="357" w:name="_Toc180578854"/>
      <w:r>
        <w:rPr>
          <w:rStyle w:val="CharSectno"/>
        </w:rPr>
        <w:t>105</w:t>
      </w:r>
      <w:r>
        <w:t>.</w:t>
      </w:r>
      <w:r>
        <w:tab/>
        <w:t>Liability of officers for offence by body corporate</w:t>
      </w:r>
      <w:bookmarkEnd w:id="356"/>
      <w:bookmarkEnd w:id="357"/>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53(1)</w:t>
            </w:r>
          </w:p>
        </w:tc>
        <w:tc>
          <w:tcPr>
            <w:tcW w:w="2410" w:type="dxa"/>
            <w:noWrap/>
          </w:tcPr>
          <w:p>
            <w:pPr>
              <w:pStyle w:val="TableNAm"/>
            </w:pPr>
            <w:r>
              <w:t>s. 71(2)</w:t>
            </w:r>
          </w:p>
        </w:tc>
      </w:tr>
      <w:tr>
        <w:trPr>
          <w:cantSplit/>
        </w:trPr>
        <w:tc>
          <w:tcPr>
            <w:tcW w:w="2409" w:type="dxa"/>
            <w:noWrap/>
          </w:tcPr>
          <w:p>
            <w:pPr>
              <w:pStyle w:val="TableNAm"/>
            </w:pPr>
            <w:r>
              <w:t>s. 80(7)</w:t>
            </w:r>
          </w:p>
        </w:tc>
        <w:tc>
          <w:tcPr>
            <w:tcW w:w="2410" w:type="dxa"/>
            <w:noWrap/>
          </w:tcPr>
          <w:p>
            <w:pPr>
              <w:pStyle w:val="TableNAm"/>
            </w:pPr>
          </w:p>
        </w:tc>
      </w:tr>
    </w:tbl>
    <w:p>
      <w:pPr>
        <w:pStyle w:val="Footnotesection"/>
      </w:pPr>
      <w:r>
        <w:tab/>
        <w:t>[Section 105 inserted: No. 9 of 2023 s. 36.]</w:t>
      </w:r>
    </w:p>
    <w:p>
      <w:pPr>
        <w:pStyle w:val="Heading5"/>
      </w:pPr>
      <w:bookmarkStart w:id="358" w:name="_Toc200524647"/>
      <w:bookmarkStart w:id="359" w:name="_Toc180578855"/>
      <w:r>
        <w:rPr>
          <w:rStyle w:val="CharSectno"/>
        </w:rPr>
        <w:t>106</w:t>
      </w:r>
      <w:r>
        <w:t>.</w:t>
      </w:r>
      <w:r>
        <w:tab/>
        <w:t>Prosecutions</w:t>
      </w:r>
      <w:bookmarkEnd w:id="358"/>
      <w:bookmarkEnd w:id="359"/>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360" w:name="_Toc200524648"/>
      <w:bookmarkStart w:id="361" w:name="_Toc180578856"/>
      <w:r>
        <w:rPr>
          <w:rStyle w:val="CharSectno"/>
        </w:rPr>
        <w:t>107</w:t>
      </w:r>
      <w:r>
        <w:t>.</w:t>
      </w:r>
      <w:r>
        <w:tab/>
        <w:t>Service of documents</w:t>
      </w:r>
      <w:bookmarkEnd w:id="360"/>
      <w:bookmarkEnd w:id="361"/>
    </w:p>
    <w:p>
      <w:pPr>
        <w:pStyle w:val="Subsection"/>
        <w:keepNext/>
      </w:pPr>
      <w:r>
        <w:tab/>
        <w:t>(1)</w:t>
      </w:r>
      <w:r>
        <w:tab/>
        <w:t xml:space="preserve">For the purposes of this Act a document may be served — </w:t>
      </w:r>
    </w:p>
    <w:p>
      <w:pPr>
        <w:pStyle w:val="Indenta"/>
        <w:keepNext/>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362" w:name="_Toc200524649"/>
      <w:bookmarkStart w:id="363" w:name="_Toc180578857"/>
      <w:r>
        <w:rPr>
          <w:rStyle w:val="CharSectno"/>
        </w:rPr>
        <w:t>108</w:t>
      </w:r>
      <w:r>
        <w:t>.</w:t>
      </w:r>
      <w:r>
        <w:tab/>
        <w:t>Evidentiary matters</w:t>
      </w:r>
      <w:bookmarkEnd w:id="362"/>
      <w:bookmarkEnd w:id="363"/>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364" w:name="_Toc200524650"/>
      <w:bookmarkStart w:id="365" w:name="_Toc180578858"/>
      <w:r>
        <w:rPr>
          <w:rStyle w:val="CharSectno"/>
        </w:rPr>
        <w:t>109</w:t>
      </w:r>
      <w:r>
        <w:t>.</w:t>
      </w:r>
      <w:r>
        <w:tab/>
        <w:t>Regulations</w:t>
      </w:r>
      <w:bookmarkEnd w:id="364"/>
      <w:bookmarkEnd w:id="365"/>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366" w:name="_Toc200524651"/>
      <w:bookmarkStart w:id="367" w:name="_Toc180578859"/>
      <w:r>
        <w:rPr>
          <w:rStyle w:val="CharSectno"/>
        </w:rPr>
        <w:t>110</w:t>
      </w:r>
      <w:r>
        <w:t>.</w:t>
      </w:r>
      <w:r>
        <w:tab/>
        <w:t>Forms</w:t>
      </w:r>
      <w:bookmarkEnd w:id="366"/>
      <w:bookmarkEnd w:id="367"/>
    </w:p>
    <w:p>
      <w:pPr>
        <w:pStyle w:val="Subsection"/>
      </w:pPr>
      <w:r>
        <w:tab/>
      </w:r>
      <w:r>
        <w:tab/>
        <w:t>Forms that are convenient for the purposes of this Act may be prescribed or approved by the Building Commissioner.</w:t>
      </w:r>
    </w:p>
    <w:p>
      <w:pPr>
        <w:pStyle w:val="Heading5"/>
      </w:pPr>
      <w:bookmarkStart w:id="368" w:name="_Toc200524652"/>
      <w:bookmarkStart w:id="369" w:name="_Toc180578860"/>
      <w:r>
        <w:rPr>
          <w:rStyle w:val="CharSectno"/>
        </w:rPr>
        <w:t>111</w:t>
      </w:r>
      <w:r>
        <w:t>.</w:t>
      </w:r>
      <w:r>
        <w:tab/>
        <w:t>Review of Act</w:t>
      </w:r>
      <w:bookmarkEnd w:id="368"/>
      <w:bookmarkEnd w:id="369"/>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370" w:name="_Toc200459256"/>
      <w:bookmarkStart w:id="371" w:name="_Toc200459433"/>
      <w:bookmarkStart w:id="372" w:name="_Toc200524653"/>
      <w:bookmarkStart w:id="373" w:name="_Toc180569591"/>
      <w:bookmarkStart w:id="374" w:name="_Toc180575388"/>
      <w:bookmarkStart w:id="375" w:name="_Toc180578861"/>
      <w:r>
        <w:rPr>
          <w:rStyle w:val="CharPartNo"/>
        </w:rPr>
        <w:t>Part 10</w:t>
      </w:r>
      <w:r>
        <w:t> — </w:t>
      </w:r>
      <w:r>
        <w:rPr>
          <w:rStyle w:val="CharPartText"/>
        </w:rPr>
        <w:t>Consequential amendments and transitional provisions</w:t>
      </w:r>
      <w:bookmarkEnd w:id="370"/>
      <w:bookmarkEnd w:id="371"/>
      <w:bookmarkEnd w:id="372"/>
      <w:bookmarkEnd w:id="373"/>
      <w:bookmarkEnd w:id="374"/>
      <w:bookmarkEnd w:id="375"/>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376" w:name="_Toc200459257"/>
      <w:bookmarkStart w:id="377" w:name="_Toc200459434"/>
      <w:bookmarkStart w:id="378" w:name="_Toc200524654"/>
      <w:bookmarkStart w:id="379" w:name="_Toc180569592"/>
      <w:bookmarkStart w:id="380" w:name="_Toc180575389"/>
      <w:bookmarkStart w:id="381" w:name="_Toc180578862"/>
      <w:r>
        <w:rPr>
          <w:rStyle w:val="CharDivNo"/>
        </w:rPr>
        <w:t>Division 3</w:t>
      </w:r>
      <w:r>
        <w:t> — </w:t>
      </w:r>
      <w:r>
        <w:rPr>
          <w:rStyle w:val="CharDivText"/>
        </w:rPr>
        <w:t>Transitional and savings provisions</w:t>
      </w:r>
      <w:bookmarkEnd w:id="376"/>
      <w:bookmarkEnd w:id="377"/>
      <w:bookmarkEnd w:id="378"/>
      <w:bookmarkEnd w:id="379"/>
      <w:bookmarkEnd w:id="380"/>
      <w:bookmarkEnd w:id="381"/>
    </w:p>
    <w:p>
      <w:pPr>
        <w:pStyle w:val="Heading5"/>
      </w:pPr>
      <w:bookmarkStart w:id="382" w:name="_Toc200524655"/>
      <w:bookmarkStart w:id="383" w:name="_Toc180578863"/>
      <w:r>
        <w:rPr>
          <w:rStyle w:val="CharSectno"/>
        </w:rPr>
        <w:t>132</w:t>
      </w:r>
      <w:r>
        <w:t>.</w:t>
      </w:r>
      <w:r>
        <w:tab/>
        <w:t>Terms used</w:t>
      </w:r>
      <w:bookmarkEnd w:id="382"/>
      <w:bookmarkEnd w:id="38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384" w:name="_Toc200524656"/>
      <w:bookmarkStart w:id="385" w:name="_Toc180578864"/>
      <w:r>
        <w:rPr>
          <w:rStyle w:val="CharSectno"/>
        </w:rPr>
        <w:t>133</w:t>
      </w:r>
      <w:r>
        <w:t>.</w:t>
      </w:r>
      <w:r>
        <w:tab/>
        <w:t>Transfer of jurisdiction</w:t>
      </w:r>
      <w:bookmarkEnd w:id="384"/>
      <w:bookmarkEnd w:id="385"/>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386" w:name="_Toc200524657"/>
      <w:bookmarkStart w:id="387" w:name="_Toc180578865"/>
      <w:r>
        <w:rPr>
          <w:rStyle w:val="CharSectno"/>
        </w:rPr>
        <w:t>134</w:t>
      </w:r>
      <w:r>
        <w:t>.</w:t>
      </w:r>
      <w:r>
        <w:tab/>
        <w:t>Current proceedings continued</w:t>
      </w:r>
      <w:bookmarkEnd w:id="386"/>
      <w:bookmarkEnd w:id="387"/>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388" w:name="_Toc200524658"/>
      <w:bookmarkStart w:id="389" w:name="_Toc180578866"/>
      <w:r>
        <w:rPr>
          <w:rStyle w:val="CharSectno"/>
        </w:rPr>
        <w:t>135</w:t>
      </w:r>
      <w:r>
        <w:t>.</w:t>
      </w:r>
      <w:r>
        <w:tab/>
        <w:t>Decisions and actions of former Tribunal</w:t>
      </w:r>
      <w:bookmarkEnd w:id="388"/>
      <w:bookmarkEnd w:id="389"/>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390" w:name="_Toc200524659"/>
      <w:bookmarkStart w:id="391" w:name="_Toc180578867"/>
      <w:r>
        <w:rPr>
          <w:rStyle w:val="CharSectno"/>
        </w:rPr>
        <w:t>136</w:t>
      </w:r>
      <w:r>
        <w:t>.</w:t>
      </w:r>
      <w:r>
        <w:tab/>
        <w:t>Construction of written laws and other instruments</w:t>
      </w:r>
      <w:bookmarkEnd w:id="390"/>
      <w:bookmarkEnd w:id="391"/>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392" w:name="_Toc200524660"/>
      <w:bookmarkStart w:id="393" w:name="_Toc180578868"/>
      <w:r>
        <w:rPr>
          <w:rStyle w:val="CharSectno"/>
        </w:rPr>
        <w:t>137</w:t>
      </w:r>
      <w:r>
        <w:t>.</w:t>
      </w:r>
      <w:r>
        <w:tab/>
      </w:r>
      <w:r>
        <w:rPr>
          <w:i/>
          <w:iCs/>
        </w:rPr>
        <w:t>Construction Contracts Act 2004</w:t>
      </w:r>
      <w:r>
        <w:t xml:space="preserve"> amendments, transitional provisions</w:t>
      </w:r>
      <w:bookmarkEnd w:id="392"/>
      <w:bookmarkEnd w:id="393"/>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394" w:name="_Toc200524661"/>
      <w:bookmarkStart w:id="395" w:name="_Toc180525752"/>
      <w:bookmarkStart w:id="396" w:name="_Toc180575626"/>
      <w:bookmarkStart w:id="397" w:name="_Toc180578869"/>
      <w:bookmarkStart w:id="398" w:name="_Hlk180576222"/>
      <w:r>
        <w:rPr>
          <w:rStyle w:val="CharSectno"/>
        </w:rPr>
        <w:t>137A</w:t>
      </w:r>
      <w:r>
        <w:t>.</w:t>
      </w:r>
      <w:r>
        <w:tab/>
        <w:t xml:space="preserve">Transitional provisions for </w:t>
      </w:r>
      <w:r>
        <w:rPr>
          <w:i/>
          <w:iCs/>
        </w:rPr>
        <w:t>Building Services (Complaint Resolution and Administration) Amendment Act 2024</w:t>
      </w:r>
      <w:bookmarkEnd w:id="394"/>
      <w:bookmarkEnd w:id="395"/>
      <w:bookmarkEnd w:id="396"/>
      <w:bookmarkEnd w:id="397"/>
    </w:p>
    <w:p>
      <w:pPr>
        <w:pStyle w:val="Subsection"/>
      </w:pPr>
      <w:r>
        <w:tab/>
        <w:t>(1)</w:t>
      </w:r>
      <w:r>
        <w:tab/>
        <w:t xml:space="preserve">In this section — </w:t>
      </w:r>
    </w:p>
    <w:p>
      <w:pPr>
        <w:pStyle w:val="Defstart"/>
      </w:pPr>
      <w:r>
        <w:tab/>
      </w:r>
      <w:r>
        <w:rPr>
          <w:rStyle w:val="CharDefText"/>
        </w:rPr>
        <w:t>amendment Act</w:t>
      </w:r>
      <w:r>
        <w:t xml:space="preserve"> means the</w:t>
      </w:r>
      <w:r>
        <w:rPr>
          <w:i/>
        </w:rPr>
        <w:t xml:space="preserve"> Building Services (Complaint Resolution and Administration) Amendment Act 2024</w:t>
      </w:r>
      <w:r>
        <w:rPr>
          <w:iCs/>
        </w:rPr>
        <w:t>;</w:t>
      </w:r>
    </w:p>
    <w:p>
      <w:pPr>
        <w:pStyle w:val="Defstart"/>
        <w:rPr>
          <w:iCs/>
        </w:rPr>
      </w:pPr>
      <w:r>
        <w:tab/>
      </w:r>
      <w:r>
        <w:rPr>
          <w:rStyle w:val="CharDefText"/>
        </w:rPr>
        <w:t>commencement day</w:t>
      </w:r>
      <w:r>
        <w:t xml:space="preserve"> means the day on which </w:t>
      </w:r>
      <w:r>
        <w:rPr>
          <w:iCs/>
        </w:rPr>
        <w:t>the amendment Act section 5(1) comes into operation;</w:t>
      </w:r>
    </w:p>
    <w:p>
      <w:pPr>
        <w:pStyle w:val="Defstart"/>
      </w:pPr>
      <w:r>
        <w:tab/>
      </w:r>
      <w:r>
        <w:rPr>
          <w:rStyle w:val="CharDefText"/>
        </w:rPr>
        <w:t>relevant policy</w:t>
      </w:r>
      <w:r>
        <w:t xml:space="preserve"> means a policy of insurance entered into before commencement day to satisfy a requirement of the </w:t>
      </w:r>
      <w:r>
        <w:rPr>
          <w:i/>
        </w:rPr>
        <w:t xml:space="preserve">Home Building Contracts Act 1991 </w:t>
      </w:r>
      <w:r>
        <w:t>Part 3A;</w:t>
      </w:r>
    </w:p>
    <w:p>
      <w:pPr>
        <w:pStyle w:val="Defstart"/>
      </w:pPr>
      <w:r>
        <w:tab/>
      </w:r>
      <w:r>
        <w:rPr>
          <w:rStyle w:val="CharDefText"/>
        </w:rPr>
        <w:t>residential building work</w:t>
      </w:r>
      <w:r>
        <w:t xml:space="preserve"> has the meaning given in the </w:t>
      </w:r>
      <w:r>
        <w:rPr>
          <w:i/>
        </w:rPr>
        <w:t>Home Building Contracts Act 1991</w:t>
      </w:r>
      <w:r>
        <w:t xml:space="preserve"> section 25A.</w:t>
      </w:r>
    </w:p>
    <w:p>
      <w:pPr>
        <w:pStyle w:val="Subsection"/>
      </w:pPr>
      <w:r>
        <w:tab/>
        <w:t>(2)</w:t>
      </w:r>
      <w:r>
        <w:tab/>
        <w:t>The amendment of section 6(1) by the amendment Act</w:t>
      </w:r>
      <w:r>
        <w:rPr>
          <w:iCs/>
        </w:rPr>
        <w:t xml:space="preserve"> section 5(1) does not — </w:t>
      </w:r>
    </w:p>
    <w:p>
      <w:pPr>
        <w:pStyle w:val="Indenta"/>
      </w:pPr>
      <w:r>
        <w:tab/>
        <w:t>(a)</w:t>
      </w:r>
      <w:r>
        <w:tab/>
        <w:t>extend or otherwise affect the period during which a relevant policy is in force in relation to residential building work; or</w:t>
      </w:r>
    </w:p>
    <w:p>
      <w:pPr>
        <w:pStyle w:val="Indenta"/>
      </w:pPr>
      <w:r>
        <w:tab/>
        <w:t>(b)</w:t>
      </w:r>
      <w:r>
        <w:tab/>
        <w:t>revive a relevant policy or a policy holder’s right to claim under a relevant policy; or</w:t>
      </w:r>
    </w:p>
    <w:p>
      <w:pPr>
        <w:pStyle w:val="Indenta"/>
      </w:pPr>
      <w:r>
        <w:tab/>
        <w:t>(c)</w:t>
      </w:r>
      <w:r>
        <w:tab/>
        <w:t>extend or otherwise affect the period for making a claim under a relevant policy.</w:t>
      </w:r>
    </w:p>
    <w:p>
      <w:pPr>
        <w:pStyle w:val="Subsection"/>
      </w:pPr>
      <w:r>
        <w:tab/>
        <w:t>(3)</w:t>
      </w:r>
      <w:r>
        <w:tab/>
        <w:t>A policy under section 6A applies in relation to complaints made under section 5, but not finally determined, before commencement day.</w:t>
      </w:r>
      <w:bookmarkEnd w:id="398"/>
    </w:p>
    <w:p>
      <w:pPr>
        <w:pStyle w:val="Footnotesection"/>
      </w:pPr>
      <w:r>
        <w:tab/>
        <w:t>[Section 137A inserted: No. 39 of 2024 s. 10.]</w:t>
      </w:r>
    </w:p>
    <w:p>
      <w:pPr>
        <w:pStyle w:val="Heading5"/>
      </w:pPr>
      <w:bookmarkStart w:id="399" w:name="_Toc200524662"/>
      <w:bookmarkStart w:id="400" w:name="_Toc180578870"/>
      <w:r>
        <w:rPr>
          <w:rStyle w:val="CharSectno"/>
        </w:rPr>
        <w:t>138</w:t>
      </w:r>
      <w:r>
        <w:t>.</w:t>
      </w:r>
      <w:r>
        <w:tab/>
        <w:t>Regulations for transitional matters</w:t>
      </w:r>
      <w:bookmarkEnd w:id="399"/>
      <w:bookmarkEnd w:id="400"/>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keepNext/>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401" w:name="_Toc200459266"/>
      <w:bookmarkStart w:id="402" w:name="_Toc200459443"/>
      <w:bookmarkStart w:id="403" w:name="_Toc200524663"/>
      <w:bookmarkStart w:id="404" w:name="_Toc180569600"/>
      <w:bookmarkStart w:id="405" w:name="_Toc180575398"/>
      <w:bookmarkStart w:id="406" w:name="_Toc180578871"/>
      <w:r>
        <w:t>Notes</w:t>
      </w:r>
      <w:bookmarkEnd w:id="401"/>
      <w:bookmarkEnd w:id="402"/>
      <w:bookmarkEnd w:id="403"/>
      <w:bookmarkEnd w:id="404"/>
      <w:bookmarkEnd w:id="405"/>
      <w:bookmarkEnd w:id="406"/>
    </w:p>
    <w:p>
      <w:pPr>
        <w:pStyle w:val="nStatement"/>
      </w:pPr>
      <w:r>
        <w:t xml:space="preserve">This is a compilation of the </w:t>
      </w:r>
      <w:r>
        <w:rPr>
          <w:i/>
          <w:noProof/>
        </w:rPr>
        <w:t>Building Services (Complaint Resolution and Administration) Act</w:t>
      </w:r>
      <w:del w:id="407" w:author="Master Repository Process" w:date="2025-06-11T09:31:00Z">
        <w:r>
          <w:rPr>
            <w:i/>
            <w:noProof/>
          </w:rPr>
          <w:delText> </w:delText>
        </w:r>
      </w:del>
      <w:ins w:id="408" w:author="Master Repository Process" w:date="2025-06-11T09:31:00Z">
        <w:r>
          <w:rPr>
            <w:i/>
            <w:noProof/>
          </w:rPr>
          <w:t xml:space="preserve"> </w:t>
        </w:r>
      </w:ins>
      <w:r>
        <w:rPr>
          <w:i/>
          <w:noProof/>
        </w:rPr>
        <w:t>2011</w:t>
      </w:r>
      <w:r>
        <w:t xml:space="preserve"> and includes amendments made by other written laws. For provisions that have come into operation, and for information about any reprints, see the compilation table. </w:t>
      </w:r>
      <w:ins w:id="409" w:author="Master Repository Process" w:date="2025-06-11T09:31:00Z">
        <w:r>
          <w:t>For provisions that have not yet come into operation see the uncommenced provisions table.</w:t>
        </w:r>
      </w:ins>
    </w:p>
    <w:p>
      <w:pPr>
        <w:pStyle w:val="nHeading3"/>
      </w:pPr>
      <w:bookmarkStart w:id="410" w:name="_Toc200524664"/>
      <w:bookmarkStart w:id="411" w:name="_Toc180578872"/>
      <w:r>
        <w:t>Compilation table</w:t>
      </w:r>
      <w:bookmarkEnd w:id="410"/>
      <w:bookmarkEnd w:id="411"/>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b/>
                <w:snapToGrid w:val="0"/>
              </w:rPr>
            </w:pPr>
            <w:r>
              <w:rPr>
                <w:i/>
              </w:rPr>
              <w:t>Building and Construction Industry (Security of Payment) Act 2021</w:t>
            </w:r>
            <w:r>
              <w:t xml:space="preserve"> Pt. 7 Div. 1</w:t>
            </w:r>
          </w:p>
        </w:tc>
        <w:tc>
          <w:tcPr>
            <w:tcW w:w="1134" w:type="dxa"/>
            <w:gridSpan w:val="2"/>
            <w:tcBorders>
              <w:top w:val="nil"/>
              <w:bottom w:val="nil"/>
            </w:tcBorders>
            <w:shd w:val="clear" w:color="auto" w:fill="auto"/>
          </w:tcPr>
          <w:p>
            <w:pPr>
              <w:pStyle w:val="nTable"/>
              <w:spacing w:after="40"/>
              <w:rPr>
                <w:b/>
                <w:snapToGrid w:val="0"/>
              </w:rPr>
            </w:pPr>
            <w:r>
              <w:t>4 of 2021</w:t>
            </w:r>
          </w:p>
        </w:tc>
        <w:tc>
          <w:tcPr>
            <w:tcW w:w="1134" w:type="dxa"/>
            <w:gridSpan w:val="2"/>
            <w:tcBorders>
              <w:top w:val="nil"/>
              <w:bottom w:val="nil"/>
            </w:tcBorders>
            <w:shd w:val="clear" w:color="auto" w:fill="auto"/>
          </w:tcPr>
          <w:p>
            <w:pPr>
              <w:pStyle w:val="nTable"/>
              <w:spacing w:after="40"/>
              <w:rPr>
                <w:b/>
                <w:snapToGrid w:val="0"/>
              </w:rPr>
            </w:pPr>
            <w:r>
              <w:t>25 Jun 2021</w:t>
            </w:r>
          </w:p>
        </w:tc>
        <w:tc>
          <w:tcPr>
            <w:tcW w:w="2581" w:type="dxa"/>
            <w:gridSpan w:val="2"/>
            <w:tcBorders>
              <w:top w:val="nil"/>
              <w:bottom w:val="nil"/>
            </w:tcBorders>
            <w:shd w:val="clear" w:color="auto" w:fill="auto"/>
          </w:tcPr>
          <w:p>
            <w:pPr>
              <w:pStyle w:val="nTable"/>
              <w:spacing w:after="40"/>
              <w:rPr>
                <w:b/>
                <w:snapToGrid w:val="0"/>
              </w:rPr>
            </w:pPr>
            <w:r>
              <w:t>Pt. 7 Div. 1 (other than s. 123 and 124): 1 Aug 2022 (see s. 2(c) and SL 2022/78 cl. 2(2)(a)(vii));</w:t>
            </w:r>
            <w:r>
              <w:br/>
            </w:r>
            <w:r>
              <w:rPr>
                <w:b/>
                <w:snapToGrid w:val="0"/>
              </w:rPr>
              <w:t>s. </w:t>
            </w:r>
            <w:r>
              <w:rPr>
                <w:snapToGrid w:val="0"/>
              </w:rPr>
              <w:t xml:space="preserve">123 and 124: 1 Feb 2023 </w:t>
            </w:r>
            <w:r>
              <w:t>(see s. 2(c) and SL 2022/78 cl. 2(2)(b)(iii))</w:t>
            </w:r>
          </w:p>
        </w:tc>
      </w:tr>
      <w:tr>
        <w:tc>
          <w:tcPr>
            <w:tcW w:w="2240" w:type="dxa"/>
            <w:tcBorders>
              <w:top w:val="nil"/>
              <w:bottom w:val="nil"/>
            </w:tcBorders>
            <w:shd w:val="clear" w:color="auto" w:fill="auto"/>
          </w:tcPr>
          <w:p>
            <w:pPr>
              <w:pStyle w:val="nTable"/>
              <w:spacing w:after="40"/>
              <w:rPr>
                <w:i/>
              </w:rPr>
            </w:pPr>
            <w:r>
              <w:rPr>
                <w:i/>
              </w:rPr>
              <w:t>Directors’ Liability Reform Act 2023</w:t>
            </w:r>
            <w:r>
              <w:t xml:space="preserve"> Pt. 3 Div. 12</w:t>
            </w:r>
          </w:p>
        </w:tc>
        <w:tc>
          <w:tcPr>
            <w:tcW w:w="1134" w:type="dxa"/>
            <w:gridSpan w:val="2"/>
            <w:tcBorders>
              <w:top w:val="nil"/>
              <w:bottom w:val="nil"/>
            </w:tcBorders>
            <w:shd w:val="clear" w:color="auto" w:fill="auto"/>
          </w:tcPr>
          <w:p>
            <w:pPr>
              <w:pStyle w:val="nTable"/>
              <w:spacing w:after="40"/>
            </w:pPr>
            <w:r>
              <w:t>9 of 2023</w:t>
            </w:r>
          </w:p>
        </w:tc>
        <w:tc>
          <w:tcPr>
            <w:tcW w:w="1134" w:type="dxa"/>
            <w:gridSpan w:val="2"/>
            <w:tcBorders>
              <w:top w:val="nil"/>
              <w:bottom w:val="nil"/>
            </w:tcBorders>
            <w:shd w:val="clear" w:color="auto" w:fill="auto"/>
          </w:tcPr>
          <w:p>
            <w:pPr>
              <w:pStyle w:val="nTable"/>
              <w:spacing w:after="40"/>
            </w:pPr>
            <w:r>
              <w:t>4 Apr 2023</w:t>
            </w:r>
          </w:p>
        </w:tc>
        <w:tc>
          <w:tcPr>
            <w:tcW w:w="2581" w:type="dxa"/>
            <w:gridSpan w:val="2"/>
            <w:tcBorders>
              <w:top w:val="nil"/>
              <w:bottom w:val="nil"/>
            </w:tcBorders>
            <w:shd w:val="clear" w:color="auto" w:fill="auto"/>
          </w:tcPr>
          <w:p>
            <w:pPr>
              <w:pStyle w:val="nTable"/>
              <w:spacing w:after="40"/>
            </w:pPr>
            <w:r>
              <w:t>5 Apr 2023 (see s. 2(j))</w:t>
            </w:r>
          </w:p>
        </w:tc>
      </w:tr>
      <w:tr>
        <w:tc>
          <w:tcPr>
            <w:tcW w:w="2240" w:type="dxa"/>
            <w:tcBorders>
              <w:top w:val="nil"/>
              <w:bottom w:val="single" w:sz="8" w:space="0" w:color="auto"/>
            </w:tcBorders>
            <w:shd w:val="clear" w:color="auto" w:fill="auto"/>
          </w:tcPr>
          <w:p>
            <w:pPr>
              <w:pStyle w:val="nTable"/>
              <w:spacing w:after="40"/>
              <w:rPr>
                <w:i/>
              </w:rPr>
            </w:pPr>
            <w:r>
              <w:rPr>
                <w:i/>
              </w:rPr>
              <w:t>Building Services (Complaint Resolution and Administration) Amendment Act 2024</w:t>
            </w:r>
          </w:p>
        </w:tc>
        <w:tc>
          <w:tcPr>
            <w:tcW w:w="1134" w:type="dxa"/>
            <w:gridSpan w:val="2"/>
            <w:tcBorders>
              <w:top w:val="nil"/>
              <w:bottom w:val="single" w:sz="8" w:space="0" w:color="auto"/>
            </w:tcBorders>
            <w:shd w:val="clear" w:color="auto" w:fill="auto"/>
          </w:tcPr>
          <w:p>
            <w:pPr>
              <w:pStyle w:val="nTable"/>
              <w:spacing w:after="40"/>
            </w:pPr>
            <w:r>
              <w:t>39 of 2024</w:t>
            </w:r>
          </w:p>
        </w:tc>
        <w:tc>
          <w:tcPr>
            <w:tcW w:w="1134" w:type="dxa"/>
            <w:gridSpan w:val="2"/>
            <w:tcBorders>
              <w:top w:val="nil"/>
              <w:bottom w:val="single" w:sz="8" w:space="0" w:color="auto"/>
            </w:tcBorders>
            <w:shd w:val="clear" w:color="auto" w:fill="auto"/>
          </w:tcPr>
          <w:p>
            <w:pPr>
              <w:pStyle w:val="nTable"/>
              <w:spacing w:after="40"/>
            </w:pPr>
            <w:r>
              <w:t>29 Oct 2024</w:t>
            </w:r>
          </w:p>
        </w:tc>
        <w:tc>
          <w:tcPr>
            <w:tcW w:w="2581" w:type="dxa"/>
            <w:gridSpan w:val="2"/>
            <w:tcBorders>
              <w:top w:val="nil"/>
              <w:bottom w:val="single" w:sz="8" w:space="0" w:color="auto"/>
            </w:tcBorders>
            <w:shd w:val="clear" w:color="auto" w:fill="auto"/>
          </w:tcPr>
          <w:p>
            <w:pPr>
              <w:pStyle w:val="nTable"/>
              <w:spacing w:after="40"/>
            </w:pPr>
            <w:r>
              <w:t>s. 1 and 2: 29 Oct 2024 (see s. 2(a));</w:t>
            </w:r>
            <w:r>
              <w:br/>
              <w:t>Act other than s. 1 and 2: 30 Oct 2024 (see s. 2(b))</w:t>
            </w:r>
          </w:p>
        </w:tc>
      </w:tr>
    </w:tbl>
    <w:p>
      <w:pPr>
        <w:pStyle w:val="nHeading3"/>
        <w:rPr>
          <w:ins w:id="412" w:author="Master Repository Process" w:date="2025-06-11T09:31:00Z"/>
        </w:rPr>
      </w:pPr>
      <w:bookmarkStart w:id="413" w:name="_Toc200524665"/>
      <w:ins w:id="414" w:author="Master Repository Process" w:date="2025-06-11T09:31:00Z">
        <w:r>
          <w:t>Uncommenced provisions table</w:t>
        </w:r>
        <w:bookmarkEnd w:id="413"/>
      </w:ins>
    </w:p>
    <w:p>
      <w:pPr>
        <w:pStyle w:val="nStatement"/>
        <w:keepNext/>
        <w:spacing w:after="240"/>
        <w:rPr>
          <w:ins w:id="415" w:author="Master Repository Process" w:date="2025-06-11T09:31:00Z"/>
        </w:rPr>
      </w:pPr>
      <w:ins w:id="416" w:author="Master Repository Process" w:date="2025-06-11T09:31: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17" w:author="Master Repository Process" w:date="2025-06-11T09:31:00Z"/>
        </w:trPr>
        <w:tc>
          <w:tcPr>
            <w:tcW w:w="2268" w:type="dxa"/>
          </w:tcPr>
          <w:p>
            <w:pPr>
              <w:pStyle w:val="nTable"/>
              <w:spacing w:after="40"/>
              <w:rPr>
                <w:ins w:id="418" w:author="Master Repository Process" w:date="2025-06-11T09:31:00Z"/>
                <w:b/>
              </w:rPr>
            </w:pPr>
            <w:ins w:id="419" w:author="Master Repository Process" w:date="2025-06-11T09:31:00Z">
              <w:r>
                <w:rPr>
                  <w:b/>
                </w:rPr>
                <w:t>Short title</w:t>
              </w:r>
            </w:ins>
          </w:p>
        </w:tc>
        <w:tc>
          <w:tcPr>
            <w:tcW w:w="1134" w:type="dxa"/>
          </w:tcPr>
          <w:p>
            <w:pPr>
              <w:pStyle w:val="nTable"/>
              <w:spacing w:after="40"/>
              <w:rPr>
                <w:ins w:id="420" w:author="Master Repository Process" w:date="2025-06-11T09:31:00Z"/>
                <w:b/>
              </w:rPr>
            </w:pPr>
            <w:ins w:id="421" w:author="Master Repository Process" w:date="2025-06-11T09:31:00Z">
              <w:r>
                <w:rPr>
                  <w:b/>
                </w:rPr>
                <w:t>Number and year</w:t>
              </w:r>
            </w:ins>
          </w:p>
        </w:tc>
        <w:tc>
          <w:tcPr>
            <w:tcW w:w="1134" w:type="dxa"/>
          </w:tcPr>
          <w:p>
            <w:pPr>
              <w:pStyle w:val="nTable"/>
              <w:spacing w:after="40"/>
              <w:rPr>
                <w:ins w:id="422" w:author="Master Repository Process" w:date="2025-06-11T09:31:00Z"/>
                <w:b/>
              </w:rPr>
            </w:pPr>
            <w:ins w:id="423" w:author="Master Repository Process" w:date="2025-06-11T09:31:00Z">
              <w:r>
                <w:rPr>
                  <w:b/>
                </w:rPr>
                <w:t>Assent</w:t>
              </w:r>
            </w:ins>
          </w:p>
        </w:tc>
        <w:tc>
          <w:tcPr>
            <w:tcW w:w="2552" w:type="dxa"/>
          </w:tcPr>
          <w:p>
            <w:pPr>
              <w:pStyle w:val="nTable"/>
              <w:spacing w:after="40"/>
              <w:rPr>
                <w:ins w:id="424" w:author="Master Repository Process" w:date="2025-06-11T09:31:00Z"/>
                <w:b/>
              </w:rPr>
            </w:pPr>
            <w:ins w:id="425" w:author="Master Repository Process" w:date="2025-06-11T09:31:00Z">
              <w:r>
                <w:rPr>
                  <w:b/>
                </w:rPr>
                <w:t>Commencement</w:t>
              </w:r>
            </w:ins>
          </w:p>
        </w:tc>
      </w:tr>
      <w:tr>
        <w:trPr>
          <w:ins w:id="426" w:author="Master Repository Process" w:date="2025-06-11T09:31:00Z"/>
        </w:trPr>
        <w:tc>
          <w:tcPr>
            <w:tcW w:w="2268" w:type="dxa"/>
          </w:tcPr>
          <w:p>
            <w:pPr>
              <w:pStyle w:val="nTable"/>
              <w:spacing w:after="40"/>
              <w:rPr>
                <w:ins w:id="427" w:author="Master Repository Process" w:date="2025-06-11T09:31:00Z"/>
              </w:rPr>
            </w:pPr>
            <w:ins w:id="428" w:author="Master Repository Process" w:date="2025-06-11T09:31:00Z">
              <w:r>
                <w:rPr>
                  <w:i/>
                  <w:iCs/>
                </w:rPr>
                <w:t xml:space="preserve">Architects Amendment Act 2025 </w:t>
              </w:r>
              <w:r>
                <w:t>s. 30</w:t>
              </w:r>
            </w:ins>
          </w:p>
        </w:tc>
        <w:tc>
          <w:tcPr>
            <w:tcW w:w="1134" w:type="dxa"/>
          </w:tcPr>
          <w:p>
            <w:pPr>
              <w:pStyle w:val="nTable"/>
              <w:spacing w:after="40"/>
              <w:rPr>
                <w:ins w:id="429" w:author="Master Repository Process" w:date="2025-06-11T09:31:00Z"/>
              </w:rPr>
            </w:pPr>
            <w:ins w:id="430" w:author="Master Repository Process" w:date="2025-06-11T09:31:00Z">
              <w:r>
                <w:t>2 of 2025</w:t>
              </w:r>
            </w:ins>
          </w:p>
        </w:tc>
        <w:tc>
          <w:tcPr>
            <w:tcW w:w="1134" w:type="dxa"/>
          </w:tcPr>
          <w:p>
            <w:pPr>
              <w:pStyle w:val="nTable"/>
              <w:spacing w:after="40"/>
              <w:rPr>
                <w:ins w:id="431" w:author="Master Repository Process" w:date="2025-06-11T09:31:00Z"/>
              </w:rPr>
            </w:pPr>
            <w:ins w:id="432" w:author="Master Repository Process" w:date="2025-06-11T09:31:00Z">
              <w:r>
                <w:t>10 Jun 2025</w:t>
              </w:r>
            </w:ins>
          </w:p>
        </w:tc>
        <w:tc>
          <w:tcPr>
            <w:tcW w:w="2552" w:type="dxa"/>
          </w:tcPr>
          <w:p>
            <w:pPr>
              <w:pStyle w:val="nTable"/>
              <w:spacing w:after="40"/>
              <w:rPr>
                <w:ins w:id="433" w:author="Master Repository Process" w:date="2025-06-11T09:31:00Z"/>
              </w:rPr>
            </w:pPr>
            <w:ins w:id="434" w:author="Master Repository Process" w:date="2025-06-11T09:31:00Z">
              <w:r>
                <w:t>To be proclaimed (see s. 2(b))</w:t>
              </w:r>
            </w:ins>
          </w:p>
        </w:tc>
      </w:tr>
    </w:tbl>
    <w:p>
      <w:pPr>
        <w:pStyle w:val="nHeading3"/>
      </w:pPr>
      <w:bookmarkStart w:id="435" w:name="_Toc200524666"/>
      <w:bookmarkStart w:id="436" w:name="_Toc180578873"/>
      <w:r>
        <w:t>Other notes</w:t>
      </w:r>
      <w:bookmarkEnd w:id="435"/>
      <w:bookmarkEnd w:id="436"/>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38" w:author="Master Repository Process" w:date="2025-06-11T09:31:00Z">
                              <w:r>
                                <w:rPr>
                                  <w:sz w:val="16"/>
                                </w:rPr>
                                <w:delText>2024</w:delText>
                              </w:r>
                            </w:del>
                            <w:ins w:id="439" w:author="Master Repository Process" w:date="2025-06-11T09:3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0" w:author="Master Repository Process" w:date="2025-06-11T09:31:00Z">
                              <w:r>
                                <w:rPr>
                                  <w:sz w:val="16"/>
                                </w:rPr>
                                <w:delText>2024</w:delText>
                              </w:r>
                            </w:del>
                            <w:ins w:id="441" w:author="Master Repository Process" w:date="2025-06-11T09:3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42" w:author="Master Repository Process" w:date="2025-06-11T09:31:00Z">
                        <w:r>
                          <w:rPr>
                            <w:sz w:val="16"/>
                          </w:rPr>
                          <w:delText>2024</w:delText>
                        </w:r>
                      </w:del>
                      <w:ins w:id="443" w:author="Master Repository Process" w:date="2025-06-11T09:3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4" w:author="Master Repository Process" w:date="2025-06-11T09:31:00Z">
                        <w:r>
                          <w:rPr>
                            <w:sz w:val="16"/>
                          </w:rPr>
                          <w:delText>2024</w:delText>
                        </w:r>
                      </w:del>
                      <w:ins w:id="445" w:author="Master Repository Process" w:date="2025-06-11T09:3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7" w:name="Compilation"/>
    <w:bookmarkEnd w:id="43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6" w:name="Coversheet"/>
    <w:bookmarkEnd w:id="4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0143637"/>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 w:name="WAFER_2024102309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094847_GUID" w:val="5925a636-da47-4fe5-9222-e2f4cada3105"/>
    <w:docVar w:name="WAFER_20250610143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0143637_GUID" w:val="f5024406-5d73-4c1d-8d17-69fd57a4bd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21810</Words>
  <Characters>107963</Characters>
  <Application>Microsoft Office Word</Application>
  <DocSecurity>0</DocSecurity>
  <Lines>2841</Lines>
  <Paragraphs>1526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01-f0-00 - 01-g0-00</dc:title>
  <dc:subject/>
  <dc:creator/>
  <cp:keywords/>
  <dc:description/>
  <cp:lastModifiedBy>Master Repository Process</cp:lastModifiedBy>
  <cp:revision>2</cp:revision>
  <cp:lastPrinted>2016-08-12T01:29:00Z</cp:lastPrinted>
  <dcterms:created xsi:type="dcterms:W3CDTF">2025-06-11T01:30:00Z</dcterms:created>
  <dcterms:modified xsi:type="dcterms:W3CDTF">2025-06-11T01:31:00Z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20250610</vt:lpwstr>
  </property>
  <property fmtid="{D5CDD505-2E9C-101B-9397-08002B2CF9AE}" pid="8" name="CommencementAsAt">
    <vt:filetime>2025-06-09T16:00:00Z</vt:filetime>
  </property>
  <property fmtid="{D5CDD505-2E9C-101B-9397-08002B2CF9AE}" pid="9" name="CommencementYear">
    <vt:lpwstr>2025</vt:lpwstr>
  </property>
  <property fmtid="{D5CDD505-2E9C-101B-9397-08002B2CF9AE}" pid="10" name="FromSuffix">
    <vt:lpwstr>01-f0-00</vt:lpwstr>
  </property>
  <property fmtid="{D5CDD505-2E9C-101B-9397-08002B2CF9AE}" pid="11" name="FromAsAtDate">
    <vt:lpwstr>30 Oct 2024</vt:lpwstr>
  </property>
  <property fmtid="{D5CDD505-2E9C-101B-9397-08002B2CF9AE}" pid="12" name="ToSuffix">
    <vt:lpwstr>01-g0-00</vt:lpwstr>
  </property>
  <property fmtid="{D5CDD505-2E9C-101B-9397-08002B2CF9AE}" pid="13" name="ToAsAtDate">
    <vt:lpwstr>10 Jun 2025</vt:lpwstr>
  </property>
</Properties>
</file>