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Nov 2024</w:t>
      </w:r>
      <w:r>
        <w:fldChar w:fldCharType="end"/>
      </w:r>
      <w:r>
        <w:t xml:space="preserve">, </w:t>
      </w:r>
      <w:r>
        <w:fldChar w:fldCharType="begin"/>
      </w:r>
      <w:r>
        <w:instrText xml:space="preserve"> DocProperty FromSuffix </w:instrText>
      </w:r>
      <w:r>
        <w:fldChar w:fldCharType="separate"/>
      </w:r>
      <w:r>
        <w:t>03-v0-00</w:t>
      </w:r>
      <w:r>
        <w:fldChar w:fldCharType="end"/>
      </w:r>
      <w:r>
        <w:t>] and [</w:t>
      </w:r>
      <w:r>
        <w:fldChar w:fldCharType="begin"/>
      </w:r>
      <w:r>
        <w:instrText xml:space="preserve"> DocProperty ToAsAtDate</w:instrText>
      </w:r>
      <w:r>
        <w:fldChar w:fldCharType="separate"/>
      </w:r>
      <w:r>
        <w:t>20 Jun 2025</w:t>
      </w:r>
      <w:r>
        <w:fldChar w:fldCharType="end"/>
      </w:r>
      <w:r>
        <w:t xml:space="preserve">, </w:t>
      </w:r>
      <w:r>
        <w:fldChar w:fldCharType="begin"/>
      </w:r>
      <w:r>
        <w:instrText xml:space="preserve"> DocProperty ToSuffix</w:instrText>
      </w:r>
      <w:r>
        <w:fldChar w:fldCharType="separate"/>
      </w:r>
      <w:r>
        <w:t>03-w0-00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880" w:after="1000"/>
      </w:pPr>
      <w:r>
        <w:t>Duties Act 2008</w:t>
      </w:r>
    </w:p>
    <w:p>
      <w:pPr>
        <w:pStyle w:val="LongTitle"/>
        <w:suppressLineNumbers/>
        <w:spacing w:before="360"/>
      </w:pPr>
      <w:bookmarkStart w:id="1" w:name="BillCited"/>
      <w:bookmarkEnd w:id="1"/>
      <w:r>
        <w:rPr>
          <w:snapToGrid w:val="0"/>
        </w:rPr>
        <w:t>An Act dealing with the imposition of a number of kinds of duty</w:t>
      </w:r>
      <w:r>
        <w:t>.</w:t>
      </w:r>
    </w:p>
    <w:p>
      <w:pPr>
        <w:pStyle w:val="Heading2"/>
        <w:rPr>
          <w:sz w:val="32"/>
        </w:rPr>
      </w:pPr>
      <w:bookmarkStart w:id="2" w:name="_Toc201217772"/>
      <w:bookmarkStart w:id="3" w:name="_Toc201224145"/>
      <w:bookmarkStart w:id="4" w:name="_Toc201228843"/>
      <w:bookmarkStart w:id="5" w:name="_Toc182388448"/>
      <w:bookmarkStart w:id="6" w:name="_Toc182389110"/>
      <w:bookmarkStart w:id="7" w:name="_Toc182409908"/>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2"/>
      <w:bookmarkEnd w:id="3"/>
      <w:bookmarkEnd w:id="4"/>
      <w:bookmarkEnd w:id="5"/>
      <w:bookmarkEnd w:id="6"/>
      <w:bookmarkEnd w:id="7"/>
    </w:p>
    <w:p>
      <w:pPr>
        <w:pStyle w:val="Heading5"/>
        <w:spacing w:before="180"/>
      </w:pPr>
      <w:bookmarkStart w:id="8" w:name="_Toc201228844"/>
      <w:bookmarkStart w:id="9" w:name="_Toc182409909"/>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spacing w:before="180"/>
        <w:rPr>
          <w:snapToGrid w:val="0"/>
        </w:rPr>
      </w:pPr>
      <w:bookmarkStart w:id="10" w:name="_Toc201228845"/>
      <w:bookmarkStart w:id="11" w:name="_Toc182409910"/>
      <w:r>
        <w:rPr>
          <w:rStyle w:val="CharSectno"/>
        </w:rPr>
        <w:t>2</w:t>
      </w:r>
      <w:r>
        <w:rPr>
          <w:snapToGrid w:val="0"/>
        </w:rPr>
        <w:t>.</w:t>
      </w:r>
      <w:r>
        <w:rPr>
          <w:snapToGrid w:val="0"/>
        </w:rPr>
        <w:tab/>
      </w:r>
      <w:r>
        <w:t>Commencement</w:t>
      </w:r>
      <w:bookmarkEnd w:id="10"/>
      <w:bookmarkEnd w:id="11"/>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spacing w:before="180"/>
        <w:rPr>
          <w:snapToGrid w:val="0"/>
        </w:rPr>
      </w:pPr>
      <w:bookmarkStart w:id="12" w:name="_Toc201228846"/>
      <w:bookmarkStart w:id="13" w:name="_Toc182409911"/>
      <w:r>
        <w:rPr>
          <w:rStyle w:val="CharSectno"/>
        </w:rPr>
        <w:t>3</w:t>
      </w:r>
      <w:r>
        <w:rPr>
          <w:snapToGrid w:val="0"/>
        </w:rPr>
        <w:t>.</w:t>
      </w:r>
      <w:r>
        <w:rPr>
          <w:snapToGrid w:val="0"/>
        </w:rPr>
        <w:tab/>
        <w:t xml:space="preserve">Terms used </w:t>
      </w:r>
      <w:r>
        <w:rPr>
          <w:snapToGrid w:val="0"/>
          <w:vertAlign w:val="superscript"/>
        </w:rPr>
        <w:t>1M, 1MC</w:t>
      </w:r>
      <w:bookmarkEnd w:id="12"/>
      <w:bookmarkEnd w:id="13"/>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(ga)</w:t>
      </w:r>
      <w:r>
        <w:tab/>
        <w:t>a thing that is land to which section 3A(1)(f) applies;</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tab/>
      </w:r>
      <w:r>
        <w:rPr>
          <w:rStyle w:val="CharDefText"/>
        </w:rPr>
        <w:t>derivative mining right</w:t>
      </w:r>
      <w:r>
        <w:t xml:space="preserve"> means an authorisation of a kind described in the </w:t>
      </w:r>
      <w:r>
        <w:rPr>
          <w:i/>
        </w:rPr>
        <w:t>Mining Act 1978</w:t>
      </w:r>
      <w:r>
        <w:t xml:space="preserve"> section 118A (whether or not the authorisation purports to be made under that section);</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Indenta"/>
      </w:pPr>
      <w:r>
        <w:tab/>
        <w:t>(ca)</w:t>
      </w:r>
      <w:r>
        <w:tab/>
        <w:t>a unit trust scheme; or</w:t>
      </w:r>
    </w:p>
    <w:p>
      <w:pPr>
        <w:pStyle w:val="Defpara"/>
      </w:pPr>
      <w:r>
        <w:tab/>
        <w:t>(d)</w:t>
      </w:r>
      <w:r>
        <w:tab/>
        <w:t>a trust that is, by regulation, declared not to be a discretionary trust for the purposes of this Act;</w:t>
      </w:r>
    </w:p>
    <w:p>
      <w:pPr>
        <w:pStyle w:val="Defstart"/>
      </w:pPr>
      <w:r>
        <w:tab/>
      </w:r>
      <w:r>
        <w:rPr>
          <w:rStyle w:val="CharDefText"/>
        </w:rPr>
        <w:t>diversification lease</w:t>
      </w:r>
      <w:r>
        <w:t xml:space="preserve"> has the meaning given in the </w:t>
      </w:r>
      <w:r>
        <w:rPr>
          <w:i/>
        </w:rPr>
        <w:t xml:space="preserve">Land Administration Act 1997 </w:t>
      </w:r>
      <w:r>
        <w:t>section 92B(1);</w:t>
      </w:r>
    </w:p>
    <w:p>
      <w:pPr>
        <w:pStyle w:val="Defstart"/>
      </w:pPr>
      <w:r>
        <w:tab/>
      </w:r>
      <w:r>
        <w:rPr>
          <w:rStyle w:val="CharDefText"/>
        </w:rPr>
        <w:t>diversification lessee</w:t>
      </w:r>
      <w:r>
        <w:t xml:space="preserve"> has the meaning given in the </w:t>
      </w:r>
      <w:r>
        <w:rPr>
          <w:i/>
        </w:rPr>
        <w:t xml:space="preserve">Land Administration Act 1997 </w:t>
      </w:r>
      <w:r>
        <w:t>section 3(1);</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the State of Western Australia;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rPr>
          <w:ins w:id="14" w:author="Master Repository Process" w:date="2025-06-19T17:03:00Z"/>
        </w:rPr>
      </w:pPr>
      <w:ins w:id="15" w:author="Master Repository Process" w:date="2025-06-19T17:03:00Z">
        <w:r>
          <w:tab/>
        </w:r>
        <w:r>
          <w:rPr>
            <w:rStyle w:val="CharDefText"/>
          </w:rPr>
          <w:t>first concessional transaction</w:t>
        </w:r>
        <w:r>
          <w:t xml:space="preserve"> has the meaning given in section 142(2);</w:t>
        </w:r>
      </w:ins>
    </w:p>
    <w:p>
      <w:pPr>
        <w:pStyle w:val="Defstart"/>
      </w:pPr>
      <w:r>
        <w:tab/>
      </w:r>
      <w:r>
        <w:rPr>
          <w:rStyle w:val="CharDefText"/>
        </w:rPr>
        <w:t>fixed infrastructure</w:t>
      </w:r>
      <w:r>
        <w:t xml:space="preserve"> has the meaning given in section 91A;</w:t>
      </w:r>
    </w:p>
    <w:p>
      <w:pPr>
        <w:pStyle w:val="Defstart"/>
      </w:pPr>
      <w:r>
        <w:tab/>
      </w:r>
      <w:r>
        <w:rPr>
          <w:rStyle w:val="CharDefText"/>
        </w:rPr>
        <w:t>fixed infrastructure access right</w:t>
      </w:r>
      <w:r>
        <w:t xml:space="preserve"> has the meaning given in section 91A;</w:t>
      </w:r>
    </w:p>
    <w:p>
      <w:pPr>
        <w:pStyle w:val="Defstart"/>
      </w:pPr>
      <w:r>
        <w:tab/>
      </w:r>
      <w:r>
        <w:rPr>
          <w:rStyle w:val="CharDefText"/>
        </w:rPr>
        <w:t>fixed infrastructure control right</w:t>
      </w:r>
      <w:r>
        <w:t xml:space="preserve"> has the meaning given in section 91A;</w:t>
      </w:r>
    </w:p>
    <w:p>
      <w:pPr>
        <w:pStyle w:val="Defstart"/>
      </w:pPr>
      <w:r>
        <w:tab/>
      </w:r>
      <w:r>
        <w:rPr>
          <w:rStyle w:val="CharDefText"/>
        </w:rPr>
        <w:t>fixed infrastructure statutory licence</w:t>
      </w:r>
      <w:r>
        <w:t xml:space="preserve"> has the meaning given in section 91A;</w:t>
      </w:r>
    </w:p>
    <w:p>
      <w:pPr>
        <w:pStyle w:val="Defstart"/>
      </w:pPr>
      <w:r>
        <w:tab/>
      </w:r>
      <w:r>
        <w:rPr>
          <w:rStyle w:val="CharDefText"/>
        </w:rPr>
        <w:t>foreign dutiable transaction</w:t>
      </w:r>
      <w:r>
        <w:t xml:space="preserve"> has the meaning given in section 205H; </w:t>
      </w:r>
    </w:p>
    <w:p>
      <w:pPr>
        <w:pStyle w:val="Defstart"/>
      </w:pPr>
      <w:r>
        <w:tab/>
      </w:r>
      <w:r>
        <w:rPr>
          <w:rStyle w:val="CharDefText"/>
        </w:rPr>
        <w:t>foreign landholder duty</w:t>
      </w:r>
      <w:r>
        <w:t xml:space="preserve"> means duty under Chapter 3A Part 3;</w:t>
      </w:r>
    </w:p>
    <w:p>
      <w:pPr>
        <w:pStyle w:val="Defstart"/>
      </w:pPr>
      <w:r>
        <w:tab/>
      </w:r>
      <w:r>
        <w:rPr>
          <w:rStyle w:val="CharDefText"/>
        </w:rPr>
        <w:t>foreign transfer duty</w:t>
      </w:r>
      <w:r>
        <w:t xml:space="preserve"> means duty under Chapter 3A Part 2;</w:t>
      </w:r>
    </w:p>
    <w:p>
      <w:pPr>
        <w:pStyle w:val="Defstart"/>
        <w:rPr>
          <w:ins w:id="16" w:author="Master Repository Process" w:date="2025-06-19T17:03:00Z"/>
        </w:rPr>
      </w:pPr>
      <w:ins w:id="17" w:author="Master Repository Process" w:date="2025-06-19T17:03:00Z">
        <w:r>
          <w:rPr>
            <w:b/>
          </w:rPr>
          <w:tab/>
        </w:r>
        <w:r>
          <w:rPr>
            <w:rStyle w:val="CharDefText"/>
          </w:rPr>
          <w:t>further concessional transaction</w:t>
        </w:r>
        <w:r>
          <w:t xml:space="preserve"> has the meaning given in section 142(2);</w:t>
        </w:r>
      </w:ins>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keepNex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tab/>
      </w:r>
      <w:r>
        <w:rPr>
          <w:rStyle w:val="CharDefText"/>
        </w:rPr>
        <w:t>land</w:t>
      </w:r>
      <w:r>
        <w:t xml:space="preserve"> has a meaning affected by section 3A;</w:t>
      </w:r>
    </w:p>
    <w:p>
      <w:pPr>
        <w:pStyle w:val="Defstart"/>
      </w:pPr>
      <w:r>
        <w:rPr>
          <w:b/>
        </w:rPr>
        <w:tab/>
      </w:r>
      <w:r>
        <w:rPr>
          <w:rStyle w:val="CharDefText"/>
        </w:rPr>
        <w:t>landholder duty</w:t>
      </w:r>
      <w:r>
        <w:t xml:space="preserve"> means duty under Chapter 3;</w:t>
      </w:r>
    </w:p>
    <w:p>
      <w:pPr>
        <w:pStyle w:val="Defstart"/>
      </w:pPr>
      <w:r>
        <w:tab/>
      </w:r>
      <w:r>
        <w:rPr>
          <w:rStyle w:val="CharDefText"/>
        </w:rPr>
        <w:t>lease</w:t>
      </w:r>
      <w:r>
        <w:t xml:space="preserve"> does not include a strata lease;</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or regional subsidiary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1</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pastoral lease</w:t>
      </w:r>
      <w:r>
        <w:t xml:space="preserve"> has the meaning given in the </w:t>
      </w:r>
      <w:r>
        <w:rPr>
          <w:i/>
        </w:rPr>
        <w:t>Land Administration Act 1997</w:t>
      </w:r>
      <w:r>
        <w:t xml:space="preserve"> section 3(1);</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keepNex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float</w:t>
      </w:r>
      <w:r>
        <w:t xml:space="preserve"> has the meaning given in section 257;</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pPr>
      <w:r>
        <w:tab/>
      </w:r>
      <w:r>
        <w:rPr>
          <w:rStyle w:val="CharDefText"/>
        </w:rPr>
        <w:t>relocatable home</w:t>
      </w:r>
      <w:r>
        <w:t xml:space="preserve"> means a relocatable home as defined in the </w:t>
      </w:r>
      <w:r>
        <w:rPr>
          <w:i/>
        </w:rPr>
        <w:t>Residential Parks (Long-stay Tenants) Act 2006</w:t>
      </w:r>
      <w:r>
        <w:t xml:space="preserve"> Glossary;</w:t>
      </w:r>
    </w:p>
    <w:p>
      <w:pPr>
        <w:pStyle w:val="Defstart"/>
      </w:pPr>
      <w:r>
        <w:tab/>
      </w:r>
      <w:r>
        <w:rPr>
          <w:rStyle w:val="CharDefText"/>
        </w:rPr>
        <w:t>residential park site</w:t>
      </w:r>
      <w:r>
        <w:t xml:space="preserve"> means a site (as defined in the </w:t>
      </w:r>
      <w:r>
        <w:rPr>
          <w:i/>
        </w:rPr>
        <w:t>Residential Parks (Long-stay Tenants) Act 2006</w:t>
      </w:r>
      <w:r>
        <w:t xml:space="preserve"> Glossary) in a residential park (as defined in that Glossary);</w:t>
      </w:r>
    </w:p>
    <w:p>
      <w:pPr>
        <w:pStyle w:val="Defstart"/>
        <w:keepNext/>
      </w:pPr>
      <w:r>
        <w:tab/>
      </w:r>
      <w:r>
        <w:rPr>
          <w:rStyle w:val="CharDefText"/>
        </w:rPr>
        <w:t>residential property</w:t>
      </w:r>
      <w:r>
        <w:t xml:space="preserve"> has the meaning given in section 205E;</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tab/>
        <w:t>(b)</w:t>
      </w:r>
      <w:r>
        <w:tab/>
        <w:t>otherwise — means a share or stock of a corporation or an interest in a share or stock of a corporation;</w:t>
      </w:r>
    </w:p>
    <w:p>
      <w:pPr>
        <w:pStyle w:val="Defstart"/>
      </w:pPr>
      <w:r>
        <w:tab/>
      </w:r>
      <w:r>
        <w:rPr>
          <w:rStyle w:val="CharDefText"/>
        </w:rPr>
        <w:t>strata lease</w:t>
      </w:r>
      <w:r>
        <w:t xml:space="preserve"> has the meaning given in the </w:t>
      </w:r>
      <w:r>
        <w:rPr>
          <w:i/>
        </w:rPr>
        <w:t xml:space="preserve">Strata Titles Act 1985 </w:t>
      </w:r>
      <w:r>
        <w:t>section 3(1);</w:t>
      </w:r>
    </w:p>
    <w:p>
      <w:pPr>
        <w:pStyle w:val="Defstart"/>
        <w:spacing w:before="60"/>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keepNext/>
      </w:pPr>
      <w:r>
        <w:rPr>
          <w:b/>
        </w:rPr>
        <w:tab/>
      </w:r>
      <w:r>
        <w:rPr>
          <w:rStyle w:val="CharDefText"/>
        </w:rPr>
        <w:t>wound up</w:t>
      </w:r>
      <w:r>
        <w:t xml:space="preserve"> has the meaning given in section 7(1).</w:t>
      </w:r>
    </w:p>
    <w:p>
      <w:pPr>
        <w:pStyle w:val="PermNoteHeading"/>
      </w:pPr>
      <w:r>
        <w:tab/>
        <w:t>Note for this section:</w:t>
      </w:r>
    </w:p>
    <w:p>
      <w:pPr>
        <w:pStyle w:val="PermNoteText"/>
        <w:keepNext/>
      </w:pPr>
      <w:r>
        <w:tab/>
      </w:r>
      <w:r>
        <w:tab/>
        <w:t>Other terms are defined or explained in the Chapters in which they are used.  At the end of this Act there is an alphabetical list of all terms that are defined anywhere in this Act.  See also section 4(2).</w:t>
      </w:r>
    </w:p>
    <w:p>
      <w:pPr>
        <w:pStyle w:val="Footnotesection"/>
        <w:rPr>
          <w:szCs w:val="24"/>
        </w:rPr>
      </w:pPr>
      <w:r>
        <w:tab/>
        <w:t xml:space="preserve">[Section 3 amended: No. 17 of 2010 s. 11; No. 33 of 2011 s. 4; No. 2 of 2014 s. 49; No. 1 of 2015 s. 10; No. 8 of 2015 s. 4; No. 26 of 2016 s. 50; No. 24 of 2018 s. 4; No. 12 of 2019 s. 4; </w:t>
      </w:r>
      <w:r>
        <w:rPr>
          <w:szCs w:val="24"/>
        </w:rPr>
        <w:t>No. 30 of 2018 s. 131; No. 4 of 2023 s. 113</w:t>
      </w:r>
      <w:ins w:id="18" w:author="Master Repository Process" w:date="2025-06-19T17:03:00Z">
        <w:r>
          <w:rPr>
            <w:szCs w:val="24"/>
          </w:rPr>
          <w:t>; No. 5 of 2025 s. 4</w:t>
        </w:r>
      </w:ins>
      <w:r>
        <w:rPr>
          <w:szCs w:val="24"/>
        </w:rPr>
        <w:t>.]</w:t>
      </w:r>
    </w:p>
    <w:p>
      <w:pPr>
        <w:pStyle w:val="Footnotesection"/>
      </w:pPr>
      <w:r>
        <w:tab/>
        <w:t>[Modification, to section 3, to have effect under the Commonwealth Places (Mirror Taxes Administration) Act 1999 s. 7, see Commonwealth Places (Mirror Taxes Administration) Regulations 2007 r. 7 and endnote 1M.]</w:t>
      </w:r>
    </w:p>
    <w:p>
      <w:pPr>
        <w:pStyle w:val="Footnotesection"/>
      </w:pPr>
      <w:r>
        <w:tab/>
        <w:t>[Modification, to section 3, to have effect under the Commonwealth Places (Mirror Taxes) Act 1998 (Commonwealth) s. 8, see Commonwealth Places (Mirror Taxes) (Modification of Applied Laws (WA)) Notice 2007 cl. 8 and endnote 1MC.]</w:t>
      </w:r>
    </w:p>
    <w:p>
      <w:pPr>
        <w:pStyle w:val="Heading5"/>
      </w:pPr>
      <w:bookmarkStart w:id="19" w:name="_Toc201228847"/>
      <w:bookmarkStart w:id="20" w:name="_Toc182409912"/>
      <w:r>
        <w:rPr>
          <w:rStyle w:val="CharSectno"/>
        </w:rPr>
        <w:t>3A</w:t>
      </w:r>
      <w:r>
        <w:t>.</w:t>
      </w:r>
      <w:r>
        <w:tab/>
        <w:t>Term used: land</w:t>
      </w:r>
      <w:bookmarkEnd w:id="19"/>
      <w:bookmarkEnd w:id="20"/>
    </w:p>
    <w:p>
      <w:pPr>
        <w:pStyle w:val="Subsection"/>
      </w:pPr>
      <w:r>
        <w:tab/>
        <w:t>(1)</w:t>
      </w:r>
      <w:r>
        <w:tab/>
        <w:t xml:space="preserve">In this Act, </w:t>
      </w:r>
      <w:r>
        <w:rPr>
          <w:rStyle w:val="CharDefText"/>
        </w:rPr>
        <w:t>land</w:t>
      </w:r>
      <w:r>
        <w:t xml:space="preserve"> includes the following — </w:t>
      </w:r>
    </w:p>
    <w:p>
      <w:pPr>
        <w:pStyle w:val="Indenta"/>
      </w:pPr>
      <w:r>
        <w:tab/>
        <w:t>(a)</w:t>
      </w:r>
      <w:r>
        <w:tab/>
        <w:t>an estate or interest in land;</w:t>
      </w:r>
    </w:p>
    <w:p>
      <w:pPr>
        <w:pStyle w:val="Indenta"/>
      </w:pPr>
      <w:r>
        <w:tab/>
        <w:t>(b)</w:t>
      </w:r>
      <w:r>
        <w:tab/>
        <w:t>a mining tenement;</w:t>
      </w:r>
    </w:p>
    <w:p>
      <w:pPr>
        <w:pStyle w:val="Indenta"/>
      </w:pPr>
      <w:r>
        <w:tab/>
        <w:t>(c)</w:t>
      </w:r>
      <w:r>
        <w:tab/>
        <w:t>an estate or interest in a mining tenement;</w:t>
      </w:r>
    </w:p>
    <w:p>
      <w:pPr>
        <w:pStyle w:val="Indenta"/>
      </w:pPr>
      <w:r>
        <w:tab/>
        <w:t>(d)</w:t>
      </w:r>
      <w:r>
        <w:tab/>
        <w:t>a pastoral lease;</w:t>
      </w:r>
    </w:p>
    <w:p>
      <w:pPr>
        <w:pStyle w:val="Indenta"/>
      </w:pPr>
      <w:r>
        <w:tab/>
        <w:t>(e)</w:t>
      </w:r>
      <w:r>
        <w:tab/>
        <w:t>an interest of a pastoral lessee under a pastoral lease;</w:t>
      </w:r>
    </w:p>
    <w:p>
      <w:pPr>
        <w:pStyle w:val="Indenta"/>
      </w:pPr>
      <w:r>
        <w:tab/>
        <w:t>(ea)</w:t>
      </w:r>
      <w:r>
        <w:tab/>
        <w:t>a diversification lease;</w:t>
      </w:r>
    </w:p>
    <w:p>
      <w:pPr>
        <w:pStyle w:val="Indenta"/>
      </w:pPr>
      <w:r>
        <w:tab/>
        <w:t>(eb)</w:t>
      </w:r>
      <w:r>
        <w:tab/>
        <w:t>an interest of a diversification lessee under a diversification lease;</w:t>
      </w:r>
    </w:p>
    <w:p>
      <w:pPr>
        <w:pStyle w:val="Indenta"/>
        <w:keepNext/>
      </w:pPr>
      <w:r>
        <w:tab/>
        <w:t>(f)</w:t>
      </w:r>
      <w:r>
        <w:tab/>
        <w:t xml:space="preserve">anything fixed to land (including land the subject of a mining tenement, pastoral lease or diversification lease), whether or not the thing — </w:t>
      </w:r>
    </w:p>
    <w:p>
      <w:pPr>
        <w:pStyle w:val="Indenti"/>
      </w:pPr>
      <w:r>
        <w:tab/>
        <w:t>(i)</w:t>
      </w:r>
      <w:r>
        <w:tab/>
        <w:t>constitutes a fixture at law; or</w:t>
      </w:r>
    </w:p>
    <w:p>
      <w:pPr>
        <w:pStyle w:val="Indenti"/>
      </w:pPr>
      <w:r>
        <w:tab/>
        <w:t>(ii)</w:t>
      </w:r>
      <w:r>
        <w:tab/>
        <w:t>is owned separately from the land; or</w:t>
      </w:r>
    </w:p>
    <w:p>
      <w:pPr>
        <w:pStyle w:val="Indenti"/>
      </w:pPr>
      <w:r>
        <w:tab/>
        <w:t>(iii)</w:t>
      </w:r>
      <w:r>
        <w:tab/>
        <w:t>is notionally severed or considered to be legally separate from the land as a result of the operation of any law of the State or the Commonwealth;</w:t>
      </w:r>
    </w:p>
    <w:p>
      <w:pPr>
        <w:pStyle w:val="Indenta"/>
      </w:pPr>
      <w:r>
        <w:tab/>
        <w:t>(g)</w:t>
      </w:r>
      <w:r>
        <w:tab/>
        <w:t>an estate or interest in a thing to which subsection (1)(f) applies.</w:t>
      </w:r>
    </w:p>
    <w:p>
      <w:pPr>
        <w:pStyle w:val="Subsection"/>
        <w:keepNext/>
      </w:pPr>
      <w:r>
        <w:tab/>
        <w:t>(2)</w:t>
      </w:r>
      <w:r>
        <w:tab/>
        <w:t xml:space="preserve">In this Act, </w:t>
      </w:r>
      <w:r>
        <w:rPr>
          <w:rStyle w:val="CharDefText"/>
        </w:rPr>
        <w:t>land</w:t>
      </w:r>
      <w:r>
        <w:t xml:space="preserve"> does not include — </w:t>
      </w:r>
    </w:p>
    <w:p>
      <w:pPr>
        <w:pStyle w:val="Indenta"/>
      </w:pPr>
      <w:r>
        <w:tab/>
        <w:t>(a)</w:t>
      </w:r>
      <w:r>
        <w:tab/>
        <w:t xml:space="preserve">a carbon right or a carbon covenant registered under the </w:t>
      </w:r>
      <w:r>
        <w:rPr>
          <w:i/>
        </w:rPr>
        <w:t>Carbon Rights Act 2003</w:t>
      </w:r>
      <w:r>
        <w:t>; or</w:t>
      </w:r>
    </w:p>
    <w:p>
      <w:pPr>
        <w:pStyle w:val="Indenta"/>
      </w:pPr>
      <w:r>
        <w:tab/>
        <w:t>(b)</w:t>
      </w:r>
      <w:r>
        <w:tab/>
        <w:t>a derivative mining right.</w:t>
      </w:r>
    </w:p>
    <w:p>
      <w:pPr>
        <w:pStyle w:val="Subsection"/>
      </w:pPr>
      <w:r>
        <w:tab/>
        <w:t>(3)</w:t>
      </w:r>
      <w:r>
        <w:tab/>
        <w:t>Without limiting subsection (1)(f), a thing is taken to be fixed to land if it has a physical connection to the land or is buried or partly buried under the surface of the land.</w:t>
      </w:r>
    </w:p>
    <w:p>
      <w:pPr>
        <w:pStyle w:val="Subsection"/>
        <w:keepNext/>
      </w:pPr>
      <w:r>
        <w:tab/>
        <w:t>(4)</w:t>
      </w:r>
      <w:r>
        <w:tab/>
        <w:t xml:space="preserve">Subsection (1)(f) does not apply to the following — </w:t>
      </w:r>
    </w:p>
    <w:p>
      <w:pPr>
        <w:pStyle w:val="Indenta"/>
      </w:pPr>
      <w:r>
        <w:tab/>
        <w:t>(a)</w:t>
      </w:r>
      <w:r>
        <w:tab/>
        <w:t>a thing that is fixed to land on a temporary basis and only for the purpose of being used in construction works;</w:t>
      </w:r>
    </w:p>
    <w:p>
      <w:pPr>
        <w:pStyle w:val="Indenta"/>
      </w:pPr>
      <w:r>
        <w:tab/>
        <w:t>(b)</w:t>
      </w:r>
      <w:r>
        <w:tab/>
        <w:t>a thing that does not constitute a fixture at law and that is held or used in connection with the business of primary production;</w:t>
      </w:r>
    </w:p>
    <w:p>
      <w:pPr>
        <w:pStyle w:val="Indenta"/>
      </w:pPr>
      <w:r>
        <w:tab/>
        <w:t>(c)</w:t>
      </w:r>
      <w:r>
        <w:tab/>
        <w:t>a relocatable home fixed to a residential park site, or an addition or structure fixed or attached to the home or site for the use or enjoyment of the occupier of the home, that does not constitute a fixture at law;</w:t>
      </w:r>
    </w:p>
    <w:p>
      <w:pPr>
        <w:pStyle w:val="Indenta"/>
      </w:pPr>
      <w:r>
        <w:tab/>
        <w:t>(d)</w:t>
      </w:r>
      <w:r>
        <w:tab/>
        <w:t>a thing of a kind prescribed for the purposes of this paragraph.</w:t>
      </w:r>
    </w:p>
    <w:p>
      <w:pPr>
        <w:pStyle w:val="Subsection"/>
        <w:keepNext/>
      </w:pPr>
      <w:r>
        <w:tab/>
        <w:t>(5)</w:t>
      </w:r>
      <w:r>
        <w:tab/>
        <w:t xml:space="preserve">A paragraph of subsection (1) is not to be taken into account in determining the meaning of </w:t>
      </w:r>
      <w:r>
        <w:rPr>
          <w:rStyle w:val="CharDefText"/>
        </w:rPr>
        <w:t>land</w:t>
      </w:r>
      <w:r>
        <w:t xml:space="preserve"> when used in another paragraph of subsection (1).</w:t>
      </w:r>
    </w:p>
    <w:p>
      <w:pPr>
        <w:pStyle w:val="Footnotesection"/>
      </w:pPr>
      <w:r>
        <w:tab/>
        <w:t>[Section 3A inserted: No. 12 of 2019 s. 5; amended: No. 4 of 2023 s. 114.]</w:t>
      </w:r>
    </w:p>
    <w:p>
      <w:pPr>
        <w:pStyle w:val="Heading5"/>
        <w:rPr>
          <w:snapToGrid w:val="0"/>
        </w:rPr>
      </w:pPr>
      <w:bookmarkStart w:id="21" w:name="_Toc201228848"/>
      <w:bookmarkStart w:id="22" w:name="_Toc182409913"/>
      <w:r>
        <w:rPr>
          <w:rStyle w:val="CharSectno"/>
        </w:rPr>
        <w:t>4</w:t>
      </w:r>
      <w:r>
        <w:rPr>
          <w:snapToGrid w:val="0"/>
        </w:rPr>
        <w:t>.</w:t>
      </w:r>
      <w:r>
        <w:rPr>
          <w:snapToGrid w:val="0"/>
        </w:rPr>
        <w:tab/>
        <w:t xml:space="preserve">Relationship with </w:t>
      </w:r>
      <w:r>
        <w:rPr>
          <w:i/>
          <w:iCs/>
          <w:snapToGrid w:val="0"/>
        </w:rPr>
        <w:t>Taxation Administration Act 2003</w:t>
      </w:r>
      <w:bookmarkEnd w:id="21"/>
      <w:bookmarkEnd w:id="22"/>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23" w:name="_Toc201228849"/>
      <w:bookmarkStart w:id="24" w:name="_Toc182409914"/>
      <w:r>
        <w:rPr>
          <w:rStyle w:val="CharSectno"/>
        </w:rPr>
        <w:t>5</w:t>
      </w:r>
      <w:r>
        <w:t>.</w:t>
      </w:r>
      <w:r>
        <w:tab/>
        <w:t>GST, effect of on value or consideration</w:t>
      </w:r>
      <w:bookmarkEnd w:id="23"/>
      <w:bookmarkEnd w:id="24"/>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25" w:name="_Toc201228850"/>
      <w:bookmarkStart w:id="26" w:name="_Toc182409915"/>
      <w:r>
        <w:rPr>
          <w:rStyle w:val="CharSectno"/>
        </w:rPr>
        <w:t>6</w:t>
      </w:r>
      <w:r>
        <w:t>.</w:t>
      </w:r>
      <w:r>
        <w:tab/>
        <w:t>Determining family relationships</w:t>
      </w:r>
      <w:bookmarkEnd w:id="25"/>
      <w:bookmarkEnd w:id="26"/>
    </w:p>
    <w:p>
      <w:pPr>
        <w:pStyle w:val="Subsection"/>
      </w:pPr>
      <w:r>
        <w:tab/>
        <w:t>(1)</w:t>
      </w:r>
      <w:r>
        <w:tab/>
        <w:t xml:space="preserve">In this section — </w:t>
      </w:r>
    </w:p>
    <w:p>
      <w:pPr>
        <w:pStyle w:val="Defstart"/>
      </w:pPr>
      <w:r>
        <w:tab/>
      </w:r>
      <w:r>
        <w:rPr>
          <w:rStyle w:val="CharDefText"/>
        </w:rPr>
        <w:t>step</w:t>
      </w:r>
      <w:r>
        <w:rPr>
          <w:rStyle w:val="CharDefText"/>
        </w:rPr>
        <w:noBreakHyphen/>
        <w:t>child</w:t>
      </w:r>
      <w:r>
        <w:t>, of a person, means a child of a spouse or de facto partner of the person.</w:t>
      </w:r>
    </w:p>
    <w:p>
      <w:pPr>
        <w:pStyle w:val="Subsection"/>
      </w:pPr>
      <w:r>
        <w:tab/>
        <w:t>(2)</w:t>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pPr>
      <w:r>
        <w:tab/>
        <w:t>(3)</w:t>
      </w:r>
      <w:r>
        <w:tab/>
        <w:t>In determining for the purposes of section 43(1)(c) or (ca), 87(6)(a), (c) or (h) or 100(1)(a) or (c) whether a person is a child or remoter lineal descendant of another person, a step</w:t>
      </w:r>
      <w:r>
        <w:noBreakHyphen/>
        <w:t>child of a person is to be treated as a child.</w:t>
      </w:r>
    </w:p>
    <w:p>
      <w:pPr>
        <w:pStyle w:val="Subsection"/>
      </w:pPr>
      <w:r>
        <w:tab/>
        <w:t>(4)</w:t>
      </w:r>
      <w:r>
        <w:tab/>
        <w:t>In determining for the purposes of section 162(1)(b) whether the relationship between individuals is that of parent and child, a step</w:t>
      </w:r>
      <w:r>
        <w:noBreakHyphen/>
        <w:t>child of a person is to be treated as a child.</w:t>
      </w:r>
    </w:p>
    <w:p>
      <w:pPr>
        <w:pStyle w:val="Footnotesection"/>
      </w:pPr>
      <w:r>
        <w:tab/>
        <w:t>[Section 6 amended: No. 12 of 2019 s. 6.]</w:t>
      </w:r>
    </w:p>
    <w:p>
      <w:pPr>
        <w:pStyle w:val="Heading5"/>
      </w:pPr>
      <w:bookmarkStart w:id="27" w:name="_Toc201228851"/>
      <w:bookmarkStart w:id="28" w:name="_Toc182409916"/>
      <w:r>
        <w:rPr>
          <w:rStyle w:val="CharSectno"/>
        </w:rPr>
        <w:t>7</w:t>
      </w:r>
      <w:r>
        <w:t>.</w:t>
      </w:r>
      <w:r>
        <w:tab/>
        <w:t>References to being wound up</w:t>
      </w:r>
      <w:bookmarkEnd w:id="27"/>
      <w:bookmarkEnd w:id="28"/>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Ednotesection"/>
      </w:pPr>
      <w:r>
        <w:t>[</w:t>
      </w:r>
      <w:r>
        <w:rPr>
          <w:b/>
        </w:rPr>
        <w:t>8A., 8B</w:t>
      </w:r>
      <w:r>
        <w:rPr>
          <w:b/>
          <w:bCs/>
        </w:rPr>
        <w:t>.</w:t>
      </w:r>
      <w:r>
        <w:rPr>
          <w:bCs/>
          <w:vertAlign w:val="superscript"/>
        </w:rPr>
        <w:t>1M</w:t>
      </w:r>
      <w:r>
        <w:t xml:space="preserve"> Modification, to insert sections 8A and 8B, to have effect under the Commonwealth Places (Mirror Taxes Administration) Act 1999 s. 7, see Commonwealth Places (Mirror Taxes Administration) Regulations 2007 r. 8 and endnote 1M.]</w:t>
      </w:r>
    </w:p>
    <w:p>
      <w:pPr>
        <w:pStyle w:val="Ednotesection"/>
      </w:pPr>
      <w:r>
        <w:t>[</w:t>
      </w:r>
      <w:r>
        <w:rPr>
          <w:b/>
        </w:rPr>
        <w:t>8A., 8B</w:t>
      </w:r>
      <w:r>
        <w:rPr>
          <w:b/>
          <w:bCs/>
        </w:rPr>
        <w:t>.</w:t>
      </w:r>
      <w:r>
        <w:rPr>
          <w:b/>
          <w:bCs/>
          <w:vertAlign w:val="superscript"/>
        </w:rPr>
        <w:t>1MC</w:t>
      </w:r>
      <w:r>
        <w:rPr>
          <w:bCs/>
        </w:rPr>
        <w:t xml:space="preserve"> </w:t>
      </w:r>
      <w:r>
        <w:t>Modification, to insert sections 8A and 8B to have effect under the Commonwealth Places (Mirror Taxes) Act 1998 (Commonwealth) s. 8, see Commonwealth Places (Mirror Taxes) (Modification of Applied Laws (WA)) Notice 2007 cl. 9 and endnote 1MC.]</w:t>
      </w:r>
    </w:p>
    <w:p>
      <w:pPr>
        <w:pStyle w:val="Heading5"/>
        <w:rPr>
          <w:snapToGrid w:val="0"/>
        </w:rPr>
      </w:pPr>
      <w:bookmarkStart w:id="29" w:name="_Toc201228852"/>
      <w:bookmarkStart w:id="30" w:name="_Toc182409917"/>
      <w:r>
        <w:rPr>
          <w:rStyle w:val="CharSectno"/>
        </w:rPr>
        <w:t>8</w:t>
      </w:r>
      <w:r>
        <w:rPr>
          <w:snapToGrid w:val="0"/>
        </w:rPr>
        <w:t>.</w:t>
      </w:r>
      <w:r>
        <w:rPr>
          <w:snapToGrid w:val="0"/>
        </w:rPr>
        <w:tab/>
        <w:t>Notes in text</w:t>
      </w:r>
      <w:bookmarkEnd w:id="29"/>
      <w:bookmarkEnd w:id="30"/>
    </w:p>
    <w:p>
      <w:pPr>
        <w:pStyle w:val="Subsection"/>
      </w:pPr>
      <w:r>
        <w:tab/>
      </w:r>
      <w:r>
        <w:tab/>
        <w:t>A note included in this Act is explanatory and is not part of this Act.</w:t>
      </w:r>
    </w:p>
    <w:p>
      <w:pPr>
        <w:pStyle w:val="Heading2"/>
        <w:rPr>
          <w:sz w:val="32"/>
        </w:rPr>
      </w:pPr>
      <w:bookmarkStart w:id="31" w:name="_Toc201217782"/>
      <w:bookmarkStart w:id="32" w:name="_Toc201224155"/>
      <w:bookmarkStart w:id="33" w:name="_Toc201228853"/>
      <w:bookmarkStart w:id="34" w:name="_Toc182388458"/>
      <w:bookmarkStart w:id="35" w:name="_Toc182389120"/>
      <w:bookmarkStart w:id="36" w:name="_Toc182409918"/>
      <w:r>
        <w:rPr>
          <w:rStyle w:val="CharPartNo"/>
          <w:sz w:val="32"/>
        </w:rPr>
        <w:t>Chapter 2</w:t>
      </w:r>
      <w:r>
        <w:rPr>
          <w:sz w:val="32"/>
        </w:rPr>
        <w:t> — </w:t>
      </w:r>
      <w:r>
        <w:rPr>
          <w:rStyle w:val="CharPartText"/>
          <w:sz w:val="32"/>
        </w:rPr>
        <w:t>Transfer duty</w:t>
      </w:r>
      <w:bookmarkEnd w:id="31"/>
      <w:bookmarkEnd w:id="32"/>
      <w:bookmarkEnd w:id="33"/>
      <w:bookmarkEnd w:id="34"/>
      <w:bookmarkEnd w:id="35"/>
      <w:bookmarkEnd w:id="36"/>
    </w:p>
    <w:p>
      <w:pPr>
        <w:pStyle w:val="Heading3"/>
        <w:rPr>
          <w:sz w:val="28"/>
        </w:rPr>
      </w:pPr>
      <w:bookmarkStart w:id="37" w:name="_Toc201217783"/>
      <w:bookmarkStart w:id="38" w:name="_Toc201224156"/>
      <w:bookmarkStart w:id="39" w:name="_Toc201228854"/>
      <w:bookmarkStart w:id="40" w:name="_Toc182388459"/>
      <w:bookmarkStart w:id="41" w:name="_Toc182389121"/>
      <w:bookmarkStart w:id="42" w:name="_Toc182409919"/>
      <w:r>
        <w:rPr>
          <w:rStyle w:val="CharDivNo"/>
          <w:sz w:val="28"/>
        </w:rPr>
        <w:t>Part 1</w:t>
      </w:r>
      <w:r>
        <w:rPr>
          <w:sz w:val="28"/>
        </w:rPr>
        <w:t> — </w:t>
      </w:r>
      <w:r>
        <w:rPr>
          <w:rStyle w:val="CharDivText"/>
          <w:sz w:val="28"/>
        </w:rPr>
        <w:t>Preliminary</w:t>
      </w:r>
      <w:bookmarkEnd w:id="37"/>
      <w:bookmarkEnd w:id="38"/>
      <w:bookmarkEnd w:id="39"/>
      <w:bookmarkEnd w:id="40"/>
      <w:bookmarkEnd w:id="41"/>
      <w:bookmarkEnd w:id="42"/>
    </w:p>
    <w:p>
      <w:pPr>
        <w:pStyle w:val="Heading5"/>
      </w:pPr>
      <w:bookmarkStart w:id="43" w:name="_Toc201228855"/>
      <w:bookmarkStart w:id="44" w:name="_Toc182409920"/>
      <w:r>
        <w:rPr>
          <w:rStyle w:val="CharSectno"/>
        </w:rPr>
        <w:t>9</w:t>
      </w:r>
      <w:r>
        <w:t>.</w:t>
      </w:r>
      <w:r>
        <w:tab/>
        <w:t>Terms used</w:t>
      </w:r>
      <w:bookmarkEnd w:id="43"/>
      <w:bookmarkEnd w:id="44"/>
    </w:p>
    <w:p>
      <w:pPr>
        <w:pStyle w:val="Subsection"/>
      </w:pPr>
      <w:r>
        <w:tab/>
      </w:r>
      <w:r>
        <w:tab/>
        <w:t xml:space="preserve">In this Chapter, unless the contrary intention appears — </w:t>
      </w:r>
    </w:p>
    <w:p>
      <w:pPr>
        <w:pStyle w:val="Defstart"/>
      </w:pPr>
      <w:r>
        <w:tab/>
      </w:r>
      <w:r>
        <w:rPr>
          <w:rStyle w:val="CharDefText"/>
        </w:rPr>
        <w:t>concessional farm</w:t>
      </w:r>
      <w:r>
        <w:rPr>
          <w:rStyle w:val="CharDefText"/>
        </w:rPr>
        <w:noBreakHyphen/>
        <w:t>in transaction</w:t>
      </w:r>
      <w:r>
        <w:t xml:space="preserve"> has the meaning given in section 91K(1);</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tab/>
      </w:r>
      <w:r>
        <w:rPr>
          <w:rStyle w:val="CharDefText"/>
        </w:rPr>
        <w:t>exploration requirement</w:t>
      </w:r>
      <w:r>
        <w:t xml:space="preserve"> has the meaning given in section 91K(1);</w:t>
      </w:r>
    </w:p>
    <w:p>
      <w:pPr>
        <w:pStyle w:val="Defstart"/>
      </w:pPr>
      <w:r>
        <w:rPr>
          <w:b/>
        </w:rPr>
        <w:tab/>
      </w:r>
      <w:r>
        <w:rPr>
          <w:rStyle w:val="CharDefText"/>
        </w:rPr>
        <w:t>Family Court Act</w:t>
      </w:r>
      <w:r>
        <w:t xml:space="preserve"> means the </w:t>
      </w:r>
      <w:r>
        <w:rPr>
          <w:i/>
          <w:iCs/>
        </w:rPr>
        <w:t>Family Court Act 1997</w:t>
      </w:r>
      <w:r>
        <w:t>;</w:t>
      </w:r>
    </w:p>
    <w:p>
      <w:pPr>
        <w:pStyle w:val="Defstart"/>
      </w:pPr>
      <w:r>
        <w:tab/>
      </w:r>
      <w:r>
        <w:rPr>
          <w:rStyle w:val="CharDefText"/>
        </w:rPr>
        <w:t>farmee</w:t>
      </w:r>
      <w:r>
        <w:t xml:space="preserve"> has the meaning given in section 91K(1);</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No. 17 of 2010 s. 4; No. 37 of 2022 s. 4.]</w:t>
      </w:r>
    </w:p>
    <w:p>
      <w:pPr>
        <w:pStyle w:val="Heading3"/>
        <w:spacing w:before="200"/>
        <w:rPr>
          <w:sz w:val="28"/>
        </w:rPr>
      </w:pPr>
      <w:bookmarkStart w:id="45" w:name="_Toc201217785"/>
      <w:bookmarkStart w:id="46" w:name="_Toc201224158"/>
      <w:bookmarkStart w:id="47" w:name="_Toc201228856"/>
      <w:bookmarkStart w:id="48" w:name="_Toc182388461"/>
      <w:bookmarkStart w:id="49" w:name="_Toc182389123"/>
      <w:bookmarkStart w:id="50" w:name="_Toc182409921"/>
      <w:r>
        <w:rPr>
          <w:rStyle w:val="CharDivNo"/>
          <w:sz w:val="28"/>
        </w:rPr>
        <w:t>Part 2</w:t>
      </w:r>
      <w:r>
        <w:rPr>
          <w:sz w:val="28"/>
        </w:rPr>
        <w:t> — </w:t>
      </w:r>
      <w:r>
        <w:rPr>
          <w:rStyle w:val="CharDivText"/>
          <w:sz w:val="28"/>
        </w:rPr>
        <w:t>Imposition of transfer duty</w:t>
      </w:r>
      <w:bookmarkEnd w:id="45"/>
      <w:bookmarkEnd w:id="46"/>
      <w:bookmarkEnd w:id="47"/>
      <w:bookmarkEnd w:id="48"/>
      <w:bookmarkEnd w:id="49"/>
      <w:bookmarkEnd w:id="50"/>
    </w:p>
    <w:p>
      <w:pPr>
        <w:pStyle w:val="Heading5"/>
      </w:pPr>
      <w:bookmarkStart w:id="51" w:name="_Toc201228857"/>
      <w:bookmarkStart w:id="52" w:name="_Toc182409922"/>
      <w:r>
        <w:rPr>
          <w:rStyle w:val="CharSectno"/>
        </w:rPr>
        <w:t>10</w:t>
      </w:r>
      <w:r>
        <w:t>.</w:t>
      </w:r>
      <w:r>
        <w:tab/>
        <w:t>Transfer duty imposed</w:t>
      </w:r>
      <w:bookmarkEnd w:id="51"/>
      <w:bookmarkEnd w:id="52"/>
    </w:p>
    <w:p>
      <w:pPr>
        <w:pStyle w:val="Subsection"/>
      </w:pPr>
      <w:r>
        <w:tab/>
      </w:r>
      <w:r>
        <w:tab/>
        <w:t>Duty is imposed on dutiable transactions.</w:t>
      </w:r>
    </w:p>
    <w:p>
      <w:pPr>
        <w:pStyle w:val="Heading3"/>
        <w:rPr>
          <w:sz w:val="28"/>
        </w:rPr>
      </w:pPr>
      <w:bookmarkStart w:id="53" w:name="_Toc201217787"/>
      <w:bookmarkStart w:id="54" w:name="_Toc201224160"/>
      <w:bookmarkStart w:id="55" w:name="_Toc201228858"/>
      <w:bookmarkStart w:id="56" w:name="_Toc182388463"/>
      <w:bookmarkStart w:id="57" w:name="_Toc182389125"/>
      <w:bookmarkStart w:id="58" w:name="_Toc182409923"/>
      <w:r>
        <w:rPr>
          <w:rStyle w:val="CharDivNo"/>
          <w:sz w:val="28"/>
        </w:rPr>
        <w:t>Part 3</w:t>
      </w:r>
      <w:r>
        <w:rPr>
          <w:sz w:val="28"/>
        </w:rPr>
        <w:t> — </w:t>
      </w:r>
      <w:r>
        <w:rPr>
          <w:rStyle w:val="CharDivText"/>
          <w:sz w:val="28"/>
        </w:rPr>
        <w:t>Dutiable transactions and dutiable property</w:t>
      </w:r>
      <w:bookmarkEnd w:id="53"/>
      <w:bookmarkEnd w:id="54"/>
      <w:bookmarkEnd w:id="55"/>
      <w:bookmarkEnd w:id="56"/>
      <w:bookmarkEnd w:id="57"/>
      <w:bookmarkEnd w:id="58"/>
    </w:p>
    <w:p>
      <w:pPr>
        <w:pStyle w:val="Heading4"/>
        <w:rPr>
          <w:sz w:val="26"/>
        </w:rPr>
      </w:pPr>
      <w:bookmarkStart w:id="59" w:name="_Toc201217788"/>
      <w:bookmarkStart w:id="60" w:name="_Toc201224161"/>
      <w:bookmarkStart w:id="61" w:name="_Toc201228859"/>
      <w:bookmarkStart w:id="62" w:name="_Toc182388464"/>
      <w:bookmarkStart w:id="63" w:name="_Toc182389126"/>
      <w:bookmarkStart w:id="64" w:name="_Toc182409924"/>
      <w:r>
        <w:rPr>
          <w:sz w:val="26"/>
        </w:rPr>
        <w:t>Division 1 — Dutiable transactions</w:t>
      </w:r>
      <w:bookmarkEnd w:id="59"/>
      <w:bookmarkEnd w:id="60"/>
      <w:bookmarkEnd w:id="61"/>
      <w:bookmarkEnd w:id="62"/>
      <w:bookmarkEnd w:id="63"/>
      <w:bookmarkEnd w:id="64"/>
    </w:p>
    <w:p>
      <w:pPr>
        <w:pStyle w:val="Heading5"/>
      </w:pPr>
      <w:bookmarkStart w:id="65" w:name="_Toc201228860"/>
      <w:bookmarkStart w:id="66" w:name="_Toc182409925"/>
      <w:r>
        <w:rPr>
          <w:rStyle w:val="CharSectno"/>
        </w:rPr>
        <w:t>11</w:t>
      </w:r>
      <w:r>
        <w:t>.</w:t>
      </w:r>
      <w:r>
        <w:tab/>
        <w:t>Dutiable transaction</w:t>
      </w:r>
      <w:bookmarkEnd w:id="65"/>
      <w:bookmarkEnd w:id="66"/>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concessional farm</w:t>
      </w:r>
      <w:r>
        <w:noBreakHyphen/>
        <w:t>in transaction.</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Subsection"/>
      </w:pPr>
      <w:r>
        <w:tab/>
        <w:t>(3)</w:t>
      </w:r>
      <w:r>
        <w:tab/>
        <w:t>Subsection (2)(a) does not apply to a right referred to in section 16(1)(h), (i) or (j) or (3)(aa).</w:t>
      </w:r>
    </w:p>
    <w:p>
      <w:pPr>
        <w:pStyle w:val="Subsection"/>
      </w:pPr>
      <w:r>
        <w:tab/>
        <w:t>(4)</w:t>
      </w:r>
      <w:r>
        <w:tab/>
        <w:t>Subsection (2)(b) does not apply to a pastoral lease or diversification lease.</w:t>
      </w:r>
    </w:p>
    <w:p>
      <w:pPr>
        <w:pStyle w:val="Footnotesection"/>
      </w:pPr>
      <w:r>
        <w:tab/>
        <w:t>[Section 11 amended: No. 12 of 2019 s. 7; No. 37 of 2022 s. 5; No. 4 of 2023 s. 115.]</w:t>
      </w:r>
    </w:p>
    <w:p>
      <w:pPr>
        <w:pStyle w:val="Heading5"/>
      </w:pPr>
      <w:bookmarkStart w:id="67" w:name="_Toc201228861"/>
      <w:bookmarkStart w:id="68" w:name="_Toc182409926"/>
      <w:r>
        <w:rPr>
          <w:rStyle w:val="CharSectno"/>
        </w:rPr>
        <w:t>12</w:t>
      </w:r>
      <w:r>
        <w:t>.</w:t>
      </w:r>
      <w:r>
        <w:tab/>
        <w:t>Vesting of property by statute law</w:t>
      </w:r>
      <w:bookmarkEnd w:id="67"/>
      <w:bookmarkEnd w:id="68"/>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be a vesting of the property in Western Australia of the merging corporations in company C by statute law.</w:t>
      </w:r>
    </w:p>
    <w:p>
      <w:pPr>
        <w:pStyle w:val="Subsection"/>
      </w:pPr>
      <w:r>
        <w:tab/>
        <w:t>(5)</w:t>
      </w:r>
      <w:r>
        <w:tab/>
        <w:t xml:space="preserve">A merger of corporations (the </w:t>
      </w:r>
      <w:r>
        <w:rPr>
          <w:rStyle w:val="CharDefText"/>
        </w:rPr>
        <w:t>merging corporations</w:t>
      </w:r>
      <w:r>
        <w:t>) with and into each other in circumstances where each of the merging corporations continues in existence is taken to be a vesting in the merging corporations, jointly, of 50% (in value) of the property in Western Australia of the merging corporations by statute law.</w:t>
      </w:r>
    </w:p>
    <w:p>
      <w:pPr>
        <w:pStyle w:val="Ednotesection"/>
      </w:pPr>
      <w:r>
        <w:t>[</w:t>
      </w:r>
      <w:r>
        <w:rPr>
          <w:b/>
        </w:rPr>
        <w:t>13.</w:t>
      </w:r>
      <w:r>
        <w:tab/>
        <w:t>Deleted: No. 37 of 2022 s. 6.]</w:t>
      </w:r>
    </w:p>
    <w:p>
      <w:pPr>
        <w:pStyle w:val="Heading5"/>
      </w:pPr>
      <w:bookmarkStart w:id="69" w:name="_Toc201228862"/>
      <w:bookmarkStart w:id="70" w:name="_Toc182409927"/>
      <w:r>
        <w:rPr>
          <w:rStyle w:val="CharSectno"/>
        </w:rPr>
        <w:t>14</w:t>
      </w:r>
      <w:r>
        <w:t>.</w:t>
      </w:r>
      <w:r>
        <w:tab/>
        <w:t>Transactions as to chattels alone not usually dutiable</w:t>
      </w:r>
      <w:bookmarkEnd w:id="69"/>
      <w:bookmarkEnd w:id="70"/>
    </w:p>
    <w:p>
      <w:pPr>
        <w:pStyle w:val="Subsection"/>
      </w:pPr>
      <w:r>
        <w:tab/>
        <w:t>(1)</w:t>
      </w:r>
      <w:r>
        <w:tab/>
        <w:t>Subject to subsections (2) and (3), a transaction is not a dutiable transaction if the only dutiable property the subject of the transaction is a chattel in Western Australia.</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pPr>
      <w:r>
        <w:tab/>
        <w:t>(b)</w:t>
      </w:r>
      <w:r>
        <w:tab/>
        <w:t>the transaction and the acquisition or agreement together form, evidence, give effect to or arise from what is, substantially one arrangement.</w:t>
      </w:r>
    </w:p>
    <w:p>
      <w:pPr>
        <w:pStyle w:val="Subsection"/>
        <w:keepNext/>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14 amended: No. 12 of 2019 s. 9.]</w:t>
      </w:r>
    </w:p>
    <w:p>
      <w:pPr>
        <w:pStyle w:val="Heading4"/>
        <w:rPr>
          <w:sz w:val="26"/>
        </w:rPr>
      </w:pPr>
      <w:bookmarkStart w:id="71" w:name="_Toc201217792"/>
      <w:bookmarkStart w:id="72" w:name="_Toc201224165"/>
      <w:bookmarkStart w:id="73" w:name="_Toc201228863"/>
      <w:bookmarkStart w:id="74" w:name="_Toc182388468"/>
      <w:bookmarkStart w:id="75" w:name="_Toc182389130"/>
      <w:bookmarkStart w:id="76" w:name="_Toc182409928"/>
      <w:r>
        <w:rPr>
          <w:sz w:val="26"/>
        </w:rPr>
        <w:t>Division 2 — Dutiable property</w:t>
      </w:r>
      <w:bookmarkEnd w:id="71"/>
      <w:bookmarkEnd w:id="72"/>
      <w:bookmarkEnd w:id="73"/>
      <w:bookmarkEnd w:id="74"/>
      <w:bookmarkEnd w:id="75"/>
      <w:bookmarkEnd w:id="76"/>
    </w:p>
    <w:p>
      <w:pPr>
        <w:pStyle w:val="Heading5"/>
      </w:pPr>
      <w:bookmarkStart w:id="77" w:name="_Toc201228864"/>
      <w:bookmarkStart w:id="78" w:name="_Toc182409929"/>
      <w:r>
        <w:rPr>
          <w:rStyle w:val="CharSectno"/>
        </w:rPr>
        <w:t>15</w:t>
      </w:r>
      <w:r>
        <w:t>.</w:t>
      </w:r>
      <w:r>
        <w:tab/>
        <w:t>Dutiable property</w:t>
      </w:r>
      <w:bookmarkEnd w:id="77"/>
      <w:bookmarkEnd w:id="78"/>
    </w:p>
    <w:p>
      <w:pPr>
        <w:pStyle w:val="Subsection"/>
      </w:pPr>
      <w:r>
        <w:tab/>
      </w:r>
      <w:r>
        <w:tab/>
        <w:t xml:space="preserve">Any of the following is </w:t>
      </w:r>
      <w:r>
        <w:rPr>
          <w:rStyle w:val="CharDefText"/>
        </w:rPr>
        <w:t>dutiable property</w:t>
      </w:r>
      <w:r>
        <w:t xml:space="preserve"> — </w:t>
      </w:r>
    </w:p>
    <w:p>
      <w:pPr>
        <w:pStyle w:val="Indenta"/>
      </w:pPr>
      <w:r>
        <w:tab/>
        <w:t>(a)</w:t>
      </w:r>
      <w:r>
        <w:tab/>
        <w:t>land in Western Australia;</w:t>
      </w:r>
    </w:p>
    <w:p>
      <w:pPr>
        <w:pStyle w:val="Indenta"/>
      </w:pPr>
      <w:r>
        <w:tab/>
        <w:t>(b)</w:t>
      </w:r>
      <w:r>
        <w:tab/>
        <w:t>a right;</w:t>
      </w:r>
    </w:p>
    <w:p>
      <w:pPr>
        <w:pStyle w:val="Indenta"/>
        <w:keepNext/>
      </w:pPr>
      <w:r>
        <w:tab/>
        <w:t>(c)</w:t>
      </w:r>
      <w:r>
        <w:tab/>
        <w:t>a chattel in Western Australia;</w:t>
      </w:r>
    </w:p>
    <w:p>
      <w:pPr>
        <w:pStyle w:val="Indenta"/>
      </w:pPr>
      <w:r>
        <w:tab/>
        <w:t>(d)</w:t>
      </w:r>
      <w:r>
        <w:tab/>
        <w:t>a Western Australian business asset.</w:t>
      </w:r>
    </w:p>
    <w:p>
      <w:pPr>
        <w:pStyle w:val="Heading5"/>
      </w:pPr>
      <w:bookmarkStart w:id="79" w:name="_Toc201228865"/>
      <w:bookmarkStart w:id="80" w:name="_Toc182409930"/>
      <w:r>
        <w:rPr>
          <w:rStyle w:val="CharSectno"/>
        </w:rPr>
        <w:t>16</w:t>
      </w:r>
      <w:r>
        <w:t>.</w:t>
      </w:r>
      <w:r>
        <w:tab/>
        <w:t>References to right</w:t>
      </w:r>
      <w:bookmarkEnd w:id="79"/>
      <w:bookmarkEnd w:id="80"/>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Indenta"/>
      </w:pPr>
      <w:r>
        <w:tab/>
        <w:t>(h)</w:t>
      </w:r>
      <w:r>
        <w:tab/>
        <w:t>a fixed infrastructure control right;</w:t>
      </w:r>
    </w:p>
    <w:p>
      <w:pPr>
        <w:pStyle w:val="Indenta"/>
      </w:pPr>
      <w:r>
        <w:tab/>
        <w:t>(i)</w:t>
      </w:r>
      <w:r>
        <w:tab/>
        <w:t>a fixed infrastructure access right;</w:t>
      </w:r>
    </w:p>
    <w:p>
      <w:pPr>
        <w:pStyle w:val="Indenta"/>
      </w:pPr>
      <w:r>
        <w:tab/>
        <w:t>(j)</w:t>
      </w:r>
      <w:r>
        <w:tab/>
        <w:t>a fixed infrastructure statutory licence.</w:t>
      </w:r>
    </w:p>
    <w:p>
      <w:pPr>
        <w:pStyle w:val="Subsection"/>
      </w:pPr>
      <w:r>
        <w:tab/>
        <w:t>(2)</w:t>
      </w:r>
      <w:r>
        <w:tab/>
        <w:t>A right referred to in subsection (1)(a) to (g)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(aa)</w:t>
      </w:r>
      <w:r>
        <w:tab/>
        <w:t>a derivative mining right;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(ba)</w:t>
      </w:r>
      <w:r>
        <w:tab/>
        <w:t>a part of, or an interest in, a right referred to in subsection (1) or this subsection;</w:t>
      </w:r>
    </w:p>
    <w:p>
      <w:pPr>
        <w:pStyle w:val="Indenta"/>
      </w:pPr>
      <w:r>
        <w:tab/>
        <w:t>(c)</w:t>
      </w:r>
      <w:r>
        <w:tab/>
        <w:t>any other thing prescribed for the purposes of this section.</w:t>
      </w:r>
    </w:p>
    <w:p>
      <w:pPr>
        <w:pStyle w:val="Subsection"/>
      </w:pPr>
      <w:r>
        <w:tab/>
        <w:t>(4)</w:t>
      </w:r>
      <w:r>
        <w:tab/>
        <w:t>Subsection (1)(a) to (g) do not apply to a right to the extent that the right is a fixed infrastructure control right, a fixed infrastructure access right or a fixed infrastructure statutory licence.</w:t>
      </w:r>
    </w:p>
    <w:p>
      <w:pPr>
        <w:pStyle w:val="Footnotesection"/>
      </w:pPr>
      <w:r>
        <w:tab/>
        <w:t>[Section 16 amended: No. 12 of 2019 s. 10.]</w:t>
      </w:r>
    </w:p>
    <w:p>
      <w:pPr>
        <w:pStyle w:val="Heading5"/>
      </w:pPr>
      <w:bookmarkStart w:id="81" w:name="_Toc201228866"/>
      <w:bookmarkStart w:id="82" w:name="_Toc182409931"/>
      <w:r>
        <w:rPr>
          <w:rStyle w:val="CharSectno"/>
        </w:rPr>
        <w:t>17</w:t>
      </w:r>
      <w:r>
        <w:t>.</w:t>
      </w:r>
      <w:r>
        <w:tab/>
        <w:t>New dutiable property</w:t>
      </w:r>
      <w:bookmarkEnd w:id="81"/>
      <w:bookmarkEnd w:id="82"/>
    </w:p>
    <w:p>
      <w:pPr>
        <w:pStyle w:val="Subsection"/>
      </w:pPr>
      <w:r>
        <w:tab/>
        <w:t>(1)</w:t>
      </w:r>
      <w:r>
        <w:tab/>
        <w:t xml:space="preserve">Any of the following is </w:t>
      </w:r>
      <w:r>
        <w:rPr>
          <w:rStyle w:val="CharDefText"/>
        </w:rPr>
        <w:t>new dutiable property</w:t>
      </w:r>
      <w:r>
        <w:t xml:space="preserve"> — </w:t>
      </w:r>
    </w:p>
    <w:p>
      <w:pPr>
        <w:pStyle w:val="Indenta"/>
      </w:pPr>
      <w:r>
        <w:tab/>
        <w:t>(a)</w:t>
      </w:r>
      <w:r>
        <w:tab/>
        <w:t>land in Western Australia;</w:t>
      </w:r>
    </w:p>
    <w:p>
      <w:pPr>
        <w:pStyle w:val="Indenta"/>
        <w:keepNext/>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(iia)</w:t>
      </w:r>
      <w:r>
        <w:tab/>
        <w:t>a fixed infrastructure control right;</w:t>
      </w:r>
    </w:p>
    <w:p>
      <w:pPr>
        <w:pStyle w:val="Indenti"/>
      </w:pPr>
      <w:r>
        <w:tab/>
        <w:t>(iib)</w:t>
      </w:r>
      <w:r>
        <w:tab/>
        <w:t>a fixed infrastructure access right;</w:t>
      </w:r>
    </w:p>
    <w:p>
      <w:pPr>
        <w:pStyle w:val="Indenti"/>
      </w:pPr>
      <w:r>
        <w:tab/>
        <w:t>(iic)</w:t>
      </w:r>
      <w:r>
        <w:tab/>
        <w:t>a derivative mining right;</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(aa)</w:t>
      </w:r>
      <w:r>
        <w:tab/>
        <w:t xml:space="preserve">an estate in land created as a community lot in a community titles scheme on the registration of the community titles scheme or an amendment of the community titles scheme under the </w:t>
      </w:r>
      <w:r>
        <w:rPr>
          <w:i/>
        </w:rPr>
        <w:t>Community Titles Act 2018</w:t>
      </w:r>
      <w:r>
        <w:t>;</w:t>
      </w:r>
    </w:p>
    <w:p>
      <w:pPr>
        <w:pStyle w:val="PermNoteHeading"/>
        <w:tabs>
          <w:tab w:val="left" w:pos="1560"/>
        </w:tabs>
      </w:pPr>
      <w:r>
        <w:tab/>
      </w:r>
      <w:r>
        <w:tab/>
        <w:t>Note for this subparagraph:</w:t>
      </w:r>
    </w:p>
    <w:p>
      <w:pPr>
        <w:pStyle w:val="PermNoteText"/>
        <w:tabs>
          <w:tab w:val="left" w:pos="1843"/>
        </w:tabs>
        <w:ind w:left="1843" w:hanging="964"/>
      </w:pPr>
      <w:r>
        <w:tab/>
        <w:t>Common property created on the registration or amendment of a community titles scheme is also not new dutiable property.</w:t>
      </w:r>
    </w:p>
    <w:p>
      <w:pPr>
        <w:pStyle w:val="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pPr>
        <w:pStyle w:val="Indenta"/>
        <w:keepNext/>
      </w:pPr>
      <w:r>
        <w:tab/>
        <w:t>(ac)</w:t>
      </w:r>
      <w:r>
        <w:tab/>
        <w:t xml:space="preserve">an estate in land created as a strata lot in a freehold or a leasehold scheme on the registration of the strata titles scheme or an amendment of the strata titles scheme under the </w:t>
      </w:r>
      <w:r>
        <w:rPr>
          <w:i/>
        </w:rPr>
        <w:t>Strata Titles Act 1985</w:t>
      </w:r>
      <w:r>
        <w:t>;</w:t>
      </w:r>
    </w:p>
    <w:p>
      <w:pPr>
        <w:pStyle w:val="PermNoteHeading"/>
        <w:tabs>
          <w:tab w:val="left" w:pos="1560"/>
        </w:tabs>
      </w:pPr>
      <w:r>
        <w:tab/>
      </w:r>
      <w:r>
        <w:tab/>
        <w:t>Note for this paragraph:</w:t>
      </w:r>
    </w:p>
    <w:p>
      <w:pPr>
        <w:pStyle w:val="PermNoteHeading"/>
        <w:tabs>
          <w:tab w:val="left" w:pos="1843"/>
        </w:tabs>
        <w:ind w:left="1843" w:hanging="1843"/>
      </w:pPr>
      <w:r>
        <w:tab/>
        <w:t>Common property created on the registration or amendment of a strata titles scheme is also not new dutiable property.</w:t>
      </w:r>
    </w:p>
    <w:p>
      <w:pPr>
        <w:pStyle w:val="Indenta"/>
      </w:pPr>
      <w:r>
        <w:tab/>
        <w:t>(ad)</w:t>
      </w:r>
      <w:r>
        <w:tab/>
        <w:t xml:space="preserve">an estate in land created on termination of a strata titles scheme under the </w:t>
      </w:r>
      <w:r>
        <w:rPr>
          <w:i/>
        </w:rPr>
        <w:t>Strata Titles Act 1985</w:t>
      </w:r>
      <w:r>
        <w:t>;</w:t>
      </w:r>
    </w:p>
    <w:p>
      <w:pPr>
        <w:pStyle w:val="Indenta"/>
      </w:pPr>
      <w:r>
        <w:tab/>
        <w:t>(b)</w:t>
      </w:r>
      <w:r>
        <w:tab/>
        <w:t>a partner’s interest in a partnership;</w:t>
      </w:r>
    </w:p>
    <w:p>
      <w:pPr>
        <w:pStyle w:val="Indenta"/>
      </w:pPr>
      <w:r>
        <w:tab/>
        <w:t>(c)</w:t>
      </w:r>
      <w:r>
        <w:tab/>
        <w:t>a lease (including a diversification lease but not including a pastoral lease) if no consideration is paid, or agreed to be paid, for the grant of the lease;</w:t>
      </w:r>
    </w:p>
    <w:p>
      <w:pPr>
        <w:pStyle w:val="Indenta"/>
      </w:pPr>
      <w:r>
        <w:tab/>
        <w:t>(ca)</w:t>
      </w:r>
      <w:r>
        <w:tab/>
        <w:t xml:space="preserve">a pastoral lease, or an interest of a pastoral lessee under a pastoral lease, if the grant of the lease under the </w:t>
      </w:r>
      <w:r>
        <w:rPr>
          <w:i/>
        </w:rPr>
        <w:t>Land Administration Act 1997</w:t>
      </w:r>
      <w:r>
        <w:t xml:space="preserve"> section 101 is not subject to the payment of a sale price;</w:t>
      </w:r>
    </w:p>
    <w:p>
      <w:pPr>
        <w:pStyle w:val="Indenta"/>
      </w:pPr>
      <w:r>
        <w:tab/>
        <w:t>(d)</w:t>
      </w:r>
      <w:r>
        <w:tab/>
        <w:t>a mining tenement;</w:t>
      </w:r>
    </w:p>
    <w:p>
      <w:pPr>
        <w:pStyle w:val="Ednotepara"/>
      </w:pPr>
      <w:r>
        <w:tab/>
        <w:t>[(e)</w:t>
      </w:r>
      <w:r>
        <w:tab/>
        <w:t>deleted]</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r>
        <w:rPr>
          <w:i/>
          <w:iCs/>
        </w:rPr>
        <w:t>Forest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Tree Plantation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Subsection"/>
        <w:keepNext/>
      </w:pPr>
      <w:r>
        <w:tab/>
        <w:t>(3)</w:t>
      </w:r>
      <w:r>
        <w:tab/>
        <w:t xml:space="preserve">Without limiting section 11(1)(f), new dutiable property that is land in Western Australia includes an extension of the term of a strata lease for a lot in a leasehold scheme by the postponement of the expiry day for the scheme as referred to in the </w:t>
      </w:r>
      <w:r>
        <w:rPr>
          <w:i/>
        </w:rPr>
        <w:t>Strata Titles Act 1985</w:t>
      </w:r>
      <w:r>
        <w:t xml:space="preserve"> section 50(3).</w:t>
      </w:r>
    </w:p>
    <w:p>
      <w:pPr>
        <w:pStyle w:val="Footnotesection"/>
      </w:pPr>
      <w:r>
        <w:tab/>
        <w:t>[Section 17 amended: No. 12 of 2019 s. 11; No. 30 of 2018 s. 132; No. 32 of 2018 s. 204; No. 4 of 2023 s. 116.]</w:t>
      </w:r>
    </w:p>
    <w:p>
      <w:pPr>
        <w:pStyle w:val="Heading5"/>
        <w:spacing w:before="180"/>
      </w:pPr>
      <w:bookmarkStart w:id="83" w:name="_Toc201228867"/>
      <w:bookmarkStart w:id="84" w:name="_Toc182409932"/>
      <w:r>
        <w:rPr>
          <w:rStyle w:val="CharSectno"/>
        </w:rPr>
        <w:t>18</w:t>
      </w:r>
      <w:r>
        <w:t>.</w:t>
      </w:r>
      <w:r>
        <w:tab/>
        <w:t>Special dutiable property</w:t>
      </w:r>
      <w:bookmarkEnd w:id="83"/>
      <w:bookmarkEnd w:id="84"/>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(other than a pastoral lease or diversification lease), if consideration is paid, or agreed to be paid, by the lessor for the surrender of the lease;</w:t>
      </w:r>
    </w:p>
    <w:p>
      <w:pPr>
        <w:pStyle w:val="Indenta"/>
      </w:pPr>
      <w:r>
        <w:tab/>
        <w:t>(caa)</w:t>
      </w:r>
      <w:r>
        <w:tab/>
        <w:t xml:space="preserve">a pastoral lease or diversification lease (the </w:t>
      </w:r>
      <w:r>
        <w:rPr>
          <w:rStyle w:val="CharDefText"/>
        </w:rPr>
        <w:t>old lease</w:t>
      </w:r>
      <w:r>
        <w:t xml:space="preserve">), in whole or in part, if — </w:t>
      </w:r>
    </w:p>
    <w:p>
      <w:pPr>
        <w:pStyle w:val="Indenti"/>
      </w:pPr>
      <w:r>
        <w:tab/>
        <w:t>(i)</w:t>
      </w:r>
      <w:r>
        <w:tab/>
        <w:t xml:space="preserve">the surrender of the old lease is made as part of an agreement, arrangement or understanding that a pastoral lease or diversification lease (the </w:t>
      </w:r>
      <w:r>
        <w:rPr>
          <w:rStyle w:val="CharDefText"/>
        </w:rPr>
        <w:t>new lease</w:t>
      </w:r>
      <w:r>
        <w:t>) be granted to another person; and</w:t>
      </w:r>
    </w:p>
    <w:p>
      <w:pPr>
        <w:pStyle w:val="Indenti"/>
      </w:pPr>
      <w:r>
        <w:tab/>
        <w:t>(ii)</w:t>
      </w:r>
      <w:r>
        <w:tab/>
        <w:t>there is, or will be, consideration for the surrender of the old lease; and</w:t>
      </w:r>
    </w:p>
    <w:p>
      <w:pPr>
        <w:pStyle w:val="Indenti"/>
      </w:pPr>
      <w:r>
        <w:tab/>
        <w:t>(iii)</w:t>
      </w:r>
      <w:r>
        <w:tab/>
        <w:t xml:space="preserve">in the case where the new lease is a pastoral lease, the grant of the new lease under the </w:t>
      </w:r>
      <w:r>
        <w:rPr>
          <w:i/>
        </w:rPr>
        <w:t>Land Administration Act 1997</w:t>
      </w:r>
      <w:r>
        <w:t xml:space="preserve"> section 101 is not subject to the payment of a sale price, or, in the case where the new lease is a diversification lease, there is not, and will not be, any consideration for the grant of the new lease;</w:t>
      </w:r>
    </w:p>
    <w:p>
      <w:pPr>
        <w:pStyle w:val="Indenta"/>
      </w:pPr>
      <w:r>
        <w:tab/>
        <w:t>(ca)</w:t>
      </w:r>
      <w:r>
        <w:tab/>
        <w:t>a strata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(ga)</w:t>
      </w:r>
      <w:r>
        <w:tab/>
        <w:t>a fixed infrastructure control right, if consideration is paid, or agreed to be paid, for the surrender of the right;</w:t>
      </w:r>
    </w:p>
    <w:p>
      <w:pPr>
        <w:pStyle w:val="Indenta"/>
      </w:pPr>
      <w:r>
        <w:tab/>
        <w:t>(gb)</w:t>
      </w:r>
      <w:r>
        <w:tab/>
        <w:t>a fixed infrastructure access right, if consideration is paid, or agreed to be paid, for the surrender of the right;</w:t>
      </w:r>
    </w:p>
    <w:p>
      <w:pPr>
        <w:pStyle w:val="Indenta"/>
      </w:pPr>
      <w:r>
        <w:tab/>
        <w:t>(gc)</w:t>
      </w:r>
      <w:r>
        <w:tab/>
        <w:t>a derivative mining right, if consideration is paid, or agreed to be paid, for the surrender of the right;</w:t>
      </w:r>
    </w:p>
    <w:p>
      <w:pPr>
        <w:pStyle w:val="Indenta"/>
      </w:pPr>
      <w:r>
        <w:tab/>
        <w:t>(h)</w:t>
      </w:r>
      <w:r>
        <w:tab/>
        <w:t>any other dutiable property prescribed for the purposes of this section.</w:t>
      </w:r>
    </w:p>
    <w:p>
      <w:pPr>
        <w:pStyle w:val="Footnotesection"/>
      </w:pPr>
      <w:r>
        <w:tab/>
        <w:t>[Section 18 amended: No. 12 of 2019 s. 12; No. 30 of 2018 s. 133; No. 4 of 2023 s. 117.]</w:t>
      </w:r>
    </w:p>
    <w:p>
      <w:pPr>
        <w:pStyle w:val="Heading5"/>
      </w:pPr>
      <w:bookmarkStart w:id="85" w:name="_Toc201228868"/>
      <w:bookmarkStart w:id="86" w:name="_Toc182409933"/>
      <w:r>
        <w:rPr>
          <w:rStyle w:val="CharSectno"/>
        </w:rPr>
        <w:t>18A</w:t>
      </w:r>
      <w:r>
        <w:t>.</w:t>
      </w:r>
      <w:r>
        <w:tab/>
        <w:t>Things fixed to land that are to be permanently removed</w:t>
      </w:r>
      <w:bookmarkEnd w:id="85"/>
      <w:bookmarkEnd w:id="86"/>
    </w:p>
    <w:p>
      <w:pPr>
        <w:pStyle w:val="Subsection"/>
      </w:pPr>
      <w:r>
        <w:tab/>
        <w:t>(1)</w:t>
      </w:r>
      <w:r>
        <w:tab/>
        <w:t xml:space="preserve">Despite section 3A(1)(f) and (g), a thing fixed to land, or an estate or interest in such a thing, is taken not to be land in relation to a particular transaction if — </w:t>
      </w:r>
    </w:p>
    <w:p>
      <w:pPr>
        <w:pStyle w:val="Indenta"/>
      </w:pPr>
      <w:r>
        <w:tab/>
        <w:t>(a)</w:t>
      </w:r>
      <w:r>
        <w:tab/>
        <w:t>the transaction is the transfer, or an agreement for the transfer, of the thing or the estate or interest in the thing; and</w:t>
      </w:r>
    </w:p>
    <w:p>
      <w:pPr>
        <w:pStyle w:val="Indenta"/>
      </w:pPr>
      <w:r>
        <w:tab/>
        <w:t>(b)</w:t>
      </w:r>
      <w:r>
        <w:tab/>
        <w:t xml:space="preserve">none of the following are transferred as part of the transaction or another transaction that is aggregated with the transaction under section 37 — </w:t>
      </w:r>
    </w:p>
    <w:p>
      <w:pPr>
        <w:pStyle w:val="Indenti"/>
      </w:pPr>
      <w:r>
        <w:tab/>
        <w:t>(i)</w:t>
      </w:r>
      <w:r>
        <w:tab/>
        <w:t>the land, or an estate or interest in the land, to which the thing is fixed;</w:t>
      </w:r>
    </w:p>
    <w:p>
      <w:pPr>
        <w:pStyle w:val="Indenti"/>
      </w:pPr>
      <w:r>
        <w:tab/>
        <w:t>(ii)</w:t>
      </w:r>
      <w:r>
        <w:tab/>
        <w:t>if the land to which the thing is fixed is land the subject of a mining tenement — the mining tenement, or an estate or interest in the mining tenement;</w:t>
      </w:r>
    </w:p>
    <w:p>
      <w:pPr>
        <w:pStyle w:val="Indenta"/>
      </w:pPr>
      <w:r>
        <w:tab/>
      </w:r>
      <w:r>
        <w:tab/>
        <w:t>and</w:t>
      </w:r>
    </w:p>
    <w:p>
      <w:pPr>
        <w:pStyle w:val="Indenta"/>
      </w:pPr>
      <w:r>
        <w:tab/>
        <w:t>(c)</w:t>
      </w:r>
      <w:r>
        <w:tab/>
        <w:t>there is an agreement, arrangement or understanding relating to the transaction under which the thing is to be permanently removed from the land.</w:t>
      </w:r>
    </w:p>
    <w:p>
      <w:pPr>
        <w:pStyle w:val="Subsection"/>
      </w:pPr>
      <w:r>
        <w:tab/>
        <w:t>(2)</w:t>
      </w:r>
      <w:r>
        <w:tab/>
        <w:t>Subsection (1) applies whether or not the thing constitutes a fixture at law.</w:t>
      </w:r>
    </w:p>
    <w:p>
      <w:pPr>
        <w:pStyle w:val="Subsection"/>
      </w:pPr>
      <w:r>
        <w:tab/>
        <w:t>(3)</w:t>
      </w:r>
      <w:r>
        <w:tab/>
        <w:t>If subsection (1) applies to a thing fixed to land, or an estate or interest in such a thing, the thing is taken to be a chattel for the purposes of this Act.</w:t>
      </w:r>
    </w:p>
    <w:p>
      <w:pPr>
        <w:pStyle w:val="Subsection"/>
      </w:pPr>
      <w:r>
        <w:tab/>
        <w:t>(4)</w:t>
      </w:r>
      <w:r>
        <w:tab/>
        <w:t xml:space="preserve">Subsection (1) ceases to apply to a thing fixed to land, or an estate or interest in such a thing, if the thing is not permanently removed from the land within — </w:t>
      </w:r>
    </w:p>
    <w:p>
      <w:pPr>
        <w:pStyle w:val="Indenta"/>
      </w:pPr>
      <w:r>
        <w:tab/>
        <w:t>(a)</w:t>
      </w:r>
      <w:r>
        <w:tab/>
        <w:t>the period of 90 days after the day on which the transfer referred to in subsection (1)(a) occurs; or</w:t>
      </w:r>
    </w:p>
    <w:p>
      <w:pPr>
        <w:pStyle w:val="Indenta"/>
      </w:pPr>
      <w:r>
        <w:tab/>
        <w:t>(b)</w:t>
      </w:r>
      <w:r>
        <w:tab/>
        <w:t>any longer period allowed, on application within the period referred to in paragraph (a), by the Commissioner on any conditions the Commissioner thinks fit.</w:t>
      </w:r>
    </w:p>
    <w:p>
      <w:pPr>
        <w:pStyle w:val="Subsection"/>
      </w:pPr>
      <w:r>
        <w:tab/>
        <w:t>(5)</w:t>
      </w:r>
      <w:r>
        <w:tab/>
        <w:t>If a failure to remove a thing as referred to in subsection (4) occurs, the transferee must lodge a notice of the failure in the approved form within 2 months after the last day of the period that applies under subsection (4)(a) or (b).</w:t>
      </w:r>
    </w:p>
    <w:p>
      <w:pPr>
        <w:pStyle w:val="Subsection"/>
      </w:pPr>
      <w:r>
        <w:tab/>
      </w:r>
      <w:r>
        <w:tab/>
        <w:t>Penalty for this subsection: a fine of $20 000.</w:t>
      </w:r>
    </w:p>
    <w:p>
      <w:pPr>
        <w:pStyle w:val="Subsection"/>
      </w:pPr>
      <w:r>
        <w:tab/>
        <w:t>(6)</w:t>
      </w:r>
      <w:r>
        <w:tab/>
        <w:t>Subject to the Taxation Administration Act section 17, the Commissioner must make any reassessment necessary as a result of the operation of subsection (4).</w:t>
      </w:r>
    </w:p>
    <w:p>
      <w:pPr>
        <w:pStyle w:val="Footnotesection"/>
      </w:pPr>
      <w:r>
        <w:tab/>
        <w:t>[Section 18A inserted: No. 12 of 2019 s. 13.]</w:t>
      </w:r>
    </w:p>
    <w:p>
      <w:pPr>
        <w:pStyle w:val="Heading3"/>
        <w:spacing w:before="200"/>
        <w:rPr>
          <w:sz w:val="28"/>
        </w:rPr>
      </w:pPr>
      <w:bookmarkStart w:id="87" w:name="_Toc201217798"/>
      <w:bookmarkStart w:id="88" w:name="_Toc201224171"/>
      <w:bookmarkStart w:id="89" w:name="_Toc201228869"/>
      <w:bookmarkStart w:id="90" w:name="_Toc182388474"/>
      <w:bookmarkStart w:id="91" w:name="_Toc182389136"/>
      <w:bookmarkStart w:id="92" w:name="_Toc182409934"/>
      <w:r>
        <w:rPr>
          <w:rStyle w:val="CharDivNo"/>
          <w:sz w:val="28"/>
        </w:rPr>
        <w:t>Part 4</w:t>
      </w:r>
      <w:r>
        <w:rPr>
          <w:sz w:val="28"/>
        </w:rPr>
        <w:t> — </w:t>
      </w:r>
      <w:r>
        <w:rPr>
          <w:rStyle w:val="CharDivText"/>
          <w:sz w:val="28"/>
        </w:rPr>
        <w:t>Collection of transfer duty</w:t>
      </w:r>
      <w:bookmarkEnd w:id="87"/>
      <w:bookmarkEnd w:id="88"/>
      <w:bookmarkEnd w:id="89"/>
      <w:bookmarkEnd w:id="90"/>
      <w:bookmarkEnd w:id="91"/>
      <w:bookmarkEnd w:id="92"/>
    </w:p>
    <w:p>
      <w:pPr>
        <w:pStyle w:val="Heading4"/>
        <w:spacing w:before="200"/>
        <w:rPr>
          <w:sz w:val="26"/>
        </w:rPr>
      </w:pPr>
      <w:bookmarkStart w:id="93" w:name="_Toc201217799"/>
      <w:bookmarkStart w:id="94" w:name="_Toc201224172"/>
      <w:bookmarkStart w:id="95" w:name="_Toc201228870"/>
      <w:bookmarkStart w:id="96" w:name="_Toc182388475"/>
      <w:bookmarkStart w:id="97" w:name="_Toc182389137"/>
      <w:bookmarkStart w:id="98" w:name="_Toc182409935"/>
      <w:r>
        <w:rPr>
          <w:sz w:val="26"/>
        </w:rPr>
        <w:t>Division 1 — Liability for transfer duty</w:t>
      </w:r>
      <w:bookmarkEnd w:id="93"/>
      <w:bookmarkEnd w:id="94"/>
      <w:bookmarkEnd w:id="95"/>
      <w:bookmarkEnd w:id="96"/>
      <w:bookmarkEnd w:id="97"/>
      <w:bookmarkEnd w:id="98"/>
    </w:p>
    <w:p>
      <w:pPr>
        <w:pStyle w:val="Heading5"/>
        <w:spacing w:before="180"/>
      </w:pPr>
      <w:bookmarkStart w:id="99" w:name="_Toc201228871"/>
      <w:bookmarkStart w:id="100" w:name="_Toc182409936"/>
      <w:r>
        <w:rPr>
          <w:rStyle w:val="CharSectno"/>
        </w:rPr>
        <w:t>19</w:t>
      </w:r>
      <w:r>
        <w:t>.</w:t>
      </w:r>
      <w:r>
        <w:tab/>
        <w:t>When liability for duty arises</w:t>
      </w:r>
      <w:bookmarkEnd w:id="99"/>
      <w:bookmarkEnd w:id="100"/>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No. 17 of 2010 s. 5.]</w:t>
      </w:r>
    </w:p>
    <w:p>
      <w:pPr>
        <w:pStyle w:val="Heading5"/>
      </w:pPr>
      <w:bookmarkStart w:id="101" w:name="_Toc201228872"/>
      <w:bookmarkStart w:id="102" w:name="_Toc182409937"/>
      <w:r>
        <w:rPr>
          <w:rStyle w:val="CharSectno"/>
        </w:rPr>
        <w:t>20</w:t>
      </w:r>
      <w:r>
        <w:t>.</w:t>
      </w:r>
      <w:r>
        <w:tab/>
        <w:t>Who is liable to pay duty</w:t>
      </w:r>
      <w:bookmarkEnd w:id="101"/>
      <w:bookmarkEnd w:id="102"/>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103" w:name="_Toc201228873"/>
      <w:bookmarkStart w:id="104" w:name="_Toc182409938"/>
      <w:r>
        <w:rPr>
          <w:rStyle w:val="CharSectno"/>
        </w:rPr>
        <w:t>21</w:t>
      </w:r>
      <w:r>
        <w:t>.</w:t>
      </w:r>
      <w:r>
        <w:tab/>
        <w:t>Joint tenants to be treated as tenants in common in equal shares</w:t>
      </w:r>
      <w:bookmarkEnd w:id="103"/>
      <w:bookmarkEnd w:id="104"/>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105" w:name="_Toc201217803"/>
      <w:bookmarkStart w:id="106" w:name="_Toc201224176"/>
      <w:bookmarkStart w:id="107" w:name="_Toc201228874"/>
      <w:bookmarkStart w:id="108" w:name="_Toc182388479"/>
      <w:bookmarkStart w:id="109" w:name="_Toc182389141"/>
      <w:bookmarkStart w:id="110" w:name="_Toc182409939"/>
      <w:r>
        <w:rPr>
          <w:sz w:val="26"/>
        </w:rPr>
        <w:t>Division 2 — Lodging transaction records</w:t>
      </w:r>
      <w:bookmarkEnd w:id="105"/>
      <w:bookmarkEnd w:id="106"/>
      <w:bookmarkEnd w:id="107"/>
      <w:bookmarkEnd w:id="108"/>
      <w:bookmarkEnd w:id="109"/>
      <w:bookmarkEnd w:id="110"/>
    </w:p>
    <w:p>
      <w:pPr>
        <w:pStyle w:val="Heading5"/>
      </w:pPr>
      <w:bookmarkStart w:id="111" w:name="_Toc201228875"/>
      <w:bookmarkStart w:id="112" w:name="_Toc182409940"/>
      <w:r>
        <w:rPr>
          <w:rStyle w:val="CharSectno"/>
        </w:rPr>
        <w:t>22A</w:t>
      </w:r>
      <w:r>
        <w:t>.</w:t>
      </w:r>
      <w:r>
        <w:tab/>
        <w:t>Terms used</w:t>
      </w:r>
      <w:bookmarkEnd w:id="111"/>
      <w:bookmarkEnd w:id="112"/>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No. 2 of 2014 s. 50.]</w:t>
      </w:r>
    </w:p>
    <w:p>
      <w:pPr>
        <w:pStyle w:val="Heading5"/>
        <w:spacing w:before="240"/>
      </w:pPr>
      <w:bookmarkStart w:id="113" w:name="_Toc201228876"/>
      <w:bookmarkStart w:id="114" w:name="_Toc182409941"/>
      <w:r>
        <w:rPr>
          <w:rStyle w:val="CharSectno"/>
        </w:rPr>
        <w:t>22</w:t>
      </w:r>
      <w:r>
        <w:t>.</w:t>
      </w:r>
      <w:r>
        <w:tab/>
        <w:t>Transfer duty statement to be made if no instrument</w:t>
      </w:r>
      <w:bookmarkEnd w:id="113"/>
      <w:bookmarkEnd w:id="114"/>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No. 2 of 2014 s. 51.]</w:t>
      </w:r>
    </w:p>
    <w:p>
      <w:pPr>
        <w:pStyle w:val="Heading5"/>
        <w:spacing w:before="240"/>
      </w:pPr>
      <w:bookmarkStart w:id="115" w:name="_Toc201228877"/>
      <w:bookmarkStart w:id="116" w:name="_Toc182409942"/>
      <w:r>
        <w:rPr>
          <w:rStyle w:val="CharSectno"/>
        </w:rPr>
        <w:t>23</w:t>
      </w:r>
      <w:r>
        <w:t>.</w:t>
      </w:r>
      <w:r>
        <w:tab/>
        <w:t>Instrument or statement for dutiable transaction, duty to lodge</w:t>
      </w:r>
      <w:bookmarkEnd w:id="115"/>
      <w:bookmarkEnd w:id="116"/>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No. 17 of 2010 s. 6; No. 2 of 2014 s. 52.]</w:t>
      </w:r>
    </w:p>
    <w:p>
      <w:pPr>
        <w:pStyle w:val="Heading5"/>
      </w:pPr>
      <w:bookmarkStart w:id="117" w:name="_Toc201228878"/>
      <w:bookmarkStart w:id="118" w:name="_Toc182409943"/>
      <w:r>
        <w:rPr>
          <w:rStyle w:val="CharSectno"/>
        </w:rPr>
        <w:t>24</w:t>
      </w:r>
      <w:r>
        <w:t>.</w:t>
      </w:r>
      <w:r>
        <w:tab/>
        <w:t>Form of dutiable transaction</w:t>
      </w:r>
      <w:bookmarkEnd w:id="117"/>
      <w:bookmarkEnd w:id="118"/>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19" w:name="_Toc201217808"/>
      <w:bookmarkStart w:id="120" w:name="_Toc201224181"/>
      <w:bookmarkStart w:id="121" w:name="_Toc201228879"/>
      <w:bookmarkStart w:id="122" w:name="_Toc182388484"/>
      <w:bookmarkStart w:id="123" w:name="_Toc182389146"/>
      <w:bookmarkStart w:id="124" w:name="_Toc182409944"/>
      <w:r>
        <w:rPr>
          <w:sz w:val="26"/>
        </w:rPr>
        <w:t>Division 3 — Payment of transfer duty</w:t>
      </w:r>
      <w:bookmarkEnd w:id="119"/>
      <w:bookmarkEnd w:id="120"/>
      <w:bookmarkEnd w:id="121"/>
      <w:bookmarkEnd w:id="122"/>
      <w:bookmarkEnd w:id="123"/>
      <w:bookmarkEnd w:id="124"/>
    </w:p>
    <w:p>
      <w:pPr>
        <w:pStyle w:val="Heading5"/>
      </w:pPr>
      <w:bookmarkStart w:id="125" w:name="_Toc201228880"/>
      <w:bookmarkStart w:id="126" w:name="_Toc182409945"/>
      <w:r>
        <w:rPr>
          <w:rStyle w:val="CharSectno"/>
        </w:rPr>
        <w:t>25</w:t>
      </w:r>
      <w:r>
        <w:t>.</w:t>
      </w:r>
      <w:r>
        <w:tab/>
        <w:t>When duty must be paid</w:t>
      </w:r>
      <w:bookmarkEnd w:id="125"/>
      <w:bookmarkEnd w:id="126"/>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keepNext/>
      </w:pPr>
      <w:r>
        <w:tab/>
        <w:t>(b)</w:t>
      </w:r>
      <w:r>
        <w:tab/>
        <w:t>an issue of title conditional agreement.</w:t>
      </w:r>
    </w:p>
    <w:p>
      <w:pPr>
        <w:pStyle w:val="Footnotesection"/>
      </w:pPr>
      <w:r>
        <w:tab/>
        <w:t>[Section 25 inserted: No. 17 of 2010 s. 7; amended: No. 10 of 2013 s. 4.]</w:t>
      </w:r>
    </w:p>
    <w:p>
      <w:pPr>
        <w:pStyle w:val="Heading4"/>
        <w:rPr>
          <w:sz w:val="26"/>
        </w:rPr>
      </w:pPr>
      <w:bookmarkStart w:id="127" w:name="_Toc201217810"/>
      <w:bookmarkStart w:id="128" w:name="_Toc201224183"/>
      <w:bookmarkStart w:id="129" w:name="_Toc201228881"/>
      <w:bookmarkStart w:id="130" w:name="_Toc182388486"/>
      <w:bookmarkStart w:id="131" w:name="_Toc182389148"/>
      <w:bookmarkStart w:id="132" w:name="_Toc182409946"/>
      <w:r>
        <w:rPr>
          <w:sz w:val="26"/>
        </w:rPr>
        <w:t>Division 4 — Rate of transfer duty</w:t>
      </w:r>
      <w:bookmarkEnd w:id="127"/>
      <w:bookmarkEnd w:id="128"/>
      <w:bookmarkEnd w:id="129"/>
      <w:bookmarkEnd w:id="130"/>
      <w:bookmarkEnd w:id="131"/>
      <w:bookmarkEnd w:id="132"/>
    </w:p>
    <w:p>
      <w:pPr>
        <w:pStyle w:val="Heading5"/>
        <w:spacing w:before="180"/>
      </w:pPr>
      <w:bookmarkStart w:id="133" w:name="_Toc201228882"/>
      <w:bookmarkStart w:id="134" w:name="_Toc182409947"/>
      <w:r>
        <w:rPr>
          <w:rStyle w:val="CharSectno"/>
        </w:rPr>
        <w:t>26</w:t>
      </w:r>
      <w:r>
        <w:t>.</w:t>
      </w:r>
      <w:r>
        <w:tab/>
        <w:t>Rate of transfer duty</w:t>
      </w:r>
      <w:bookmarkEnd w:id="133"/>
      <w:bookmarkEnd w:id="134"/>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135" w:name="_Toc201217812"/>
      <w:bookmarkStart w:id="136" w:name="_Toc201224185"/>
      <w:bookmarkStart w:id="137" w:name="_Toc201228883"/>
      <w:bookmarkStart w:id="138" w:name="_Toc182388488"/>
      <w:bookmarkStart w:id="139" w:name="_Toc182389150"/>
      <w:bookmarkStart w:id="140" w:name="_Toc182409948"/>
      <w:r>
        <w:rPr>
          <w:sz w:val="26"/>
        </w:rPr>
        <w:t>Division 5 — Dutiable value</w:t>
      </w:r>
      <w:bookmarkEnd w:id="135"/>
      <w:bookmarkEnd w:id="136"/>
      <w:bookmarkEnd w:id="137"/>
      <w:bookmarkEnd w:id="138"/>
      <w:bookmarkEnd w:id="139"/>
      <w:bookmarkEnd w:id="140"/>
    </w:p>
    <w:p>
      <w:pPr>
        <w:pStyle w:val="Heading4"/>
        <w:rPr>
          <w:sz w:val="26"/>
        </w:rPr>
      </w:pPr>
      <w:bookmarkStart w:id="141" w:name="_Toc201217813"/>
      <w:bookmarkStart w:id="142" w:name="_Toc201224186"/>
      <w:bookmarkStart w:id="143" w:name="_Toc201228884"/>
      <w:bookmarkStart w:id="144" w:name="_Toc182388489"/>
      <w:bookmarkStart w:id="145" w:name="_Toc182389151"/>
      <w:bookmarkStart w:id="146" w:name="_Toc182409949"/>
      <w:r>
        <w:rPr>
          <w:sz w:val="26"/>
        </w:rPr>
        <w:t>Subdivision 1 — Dutiable value</w:t>
      </w:r>
      <w:bookmarkEnd w:id="141"/>
      <w:bookmarkEnd w:id="142"/>
      <w:bookmarkEnd w:id="143"/>
      <w:bookmarkEnd w:id="144"/>
      <w:bookmarkEnd w:id="145"/>
      <w:bookmarkEnd w:id="146"/>
    </w:p>
    <w:p>
      <w:pPr>
        <w:pStyle w:val="Heading5"/>
        <w:spacing w:before="180"/>
      </w:pPr>
      <w:bookmarkStart w:id="147" w:name="_Toc201228885"/>
      <w:bookmarkStart w:id="148" w:name="_Toc182409950"/>
      <w:r>
        <w:rPr>
          <w:rStyle w:val="CharSectno"/>
        </w:rPr>
        <w:t>27</w:t>
      </w:r>
      <w:r>
        <w:t>.</w:t>
      </w:r>
      <w:r>
        <w:tab/>
        <w:t>Dutiable value of dutiable transactions, unless otherwise provided</w:t>
      </w:r>
      <w:bookmarkEnd w:id="147"/>
      <w:bookmarkEnd w:id="148"/>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149" w:name="_Toc201228886"/>
      <w:bookmarkStart w:id="150" w:name="_Toc182409951"/>
      <w:r>
        <w:rPr>
          <w:rStyle w:val="CharSectno"/>
        </w:rPr>
        <w:t>28</w:t>
      </w:r>
      <w:r>
        <w:t>.</w:t>
      </w:r>
      <w:r>
        <w:tab/>
        <w:t>Dutiable value of certain dutiable transactions</w:t>
      </w:r>
      <w:bookmarkEnd w:id="149"/>
      <w:bookmarkEnd w:id="150"/>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(other than a pastoral lease or diversification lease) is the consideration for the surrender of the lease paid or payable by the lessor.</w:t>
      </w:r>
    </w:p>
    <w:p>
      <w:pPr>
        <w:pStyle w:val="Subsection"/>
      </w:pPr>
      <w:r>
        <w:tab/>
        <w:t>(3A)</w:t>
      </w:r>
      <w:r>
        <w:tab/>
        <w:t>The dutiable value of a dutiable transaction that is the surrender of a pastoral lease or diversification lease in the circumstances referred to in section 18(caa) is the consideration for the surrender of the lease referred to in section 18(caa)(ii).</w:t>
      </w:r>
    </w:p>
    <w:p>
      <w:pPr>
        <w:pStyle w:val="Subsection"/>
      </w:pPr>
      <w:r>
        <w:tab/>
        <w:t>(4)</w:t>
      </w:r>
      <w:r>
        <w:tab/>
        <w:t xml:space="preserve">The dutiable value of a dutiable transaction that is the grant of a lease (other than a pastoral lease or diversification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(4A)</w:t>
      </w:r>
      <w:r>
        <w:tab/>
        <w:t xml:space="preserve">The dutiable value of a dutiable transaction that is the grant of a pastoral lease is the sale price subject to the payment of which the lease is granted under the </w:t>
      </w:r>
      <w:r>
        <w:rPr>
          <w:i/>
        </w:rPr>
        <w:t>Land Administration Act 1997</w:t>
      </w:r>
      <w:r>
        <w:t xml:space="preserve"> section 101.</w:t>
      </w:r>
    </w:p>
    <w:p>
      <w:pPr>
        <w:pStyle w:val="Subsection"/>
      </w:pPr>
      <w:r>
        <w:tab/>
        <w:t>(4B)</w:t>
      </w:r>
      <w:r>
        <w:tab/>
        <w:t>The dutiable value of a dutiable transaction that is the grant of a diversification lease is the consideration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keepNext/>
      </w:pPr>
      <w:r>
        <w:tab/>
        <w:t>(b)</w:t>
      </w:r>
      <w:r>
        <w:tab/>
        <w:t>that consideration is consideration referred to in section 30(1),</w:t>
      </w:r>
    </w:p>
    <w:p>
      <w:pPr>
        <w:pStyle w:val="Subsection"/>
      </w:pPr>
      <w:r>
        <w:tab/>
      </w:r>
      <w:r>
        <w:tab/>
        <w:t>is that consideration.</w:t>
      </w:r>
    </w:p>
    <w:p>
      <w:pPr>
        <w:pStyle w:val="Subsection"/>
        <w:keepNext/>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No. 30 of 2008 s. 24; No. 32 of 2012 s. 4; No. 12 of 2019 s. 14; No. 4 of 2023 s. 118.]</w:t>
      </w:r>
    </w:p>
    <w:p>
      <w:pPr>
        <w:pStyle w:val="Heading5"/>
        <w:spacing w:before="240"/>
      </w:pPr>
      <w:bookmarkStart w:id="151" w:name="_Toc201228887"/>
      <w:bookmarkStart w:id="152" w:name="_Toc182409952"/>
      <w:r>
        <w:rPr>
          <w:rStyle w:val="CharSectno"/>
        </w:rPr>
        <w:t>29</w:t>
      </w:r>
      <w:r>
        <w:t>.</w:t>
      </w:r>
      <w:r>
        <w:tab/>
        <w:t>Dutiable value of certain dutiable transactions relating to corporation or unit trust scheme property on winding up</w:t>
      </w:r>
      <w:bookmarkEnd w:id="151"/>
      <w:bookmarkEnd w:id="152"/>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position w:val="-24"/>
        </w:rP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29.25pt">
            <v:imagedata r:id="rId15" o:title=""/>
          </v:shape>
        </w:pict>
      </w:r>
    </w:p>
    <w:p>
      <w:pPr>
        <w:pStyle w:val="Indenta"/>
        <w:keepNext/>
      </w:pPr>
      <w:r>
        <w:tab/>
      </w:r>
      <w:r>
        <w:tab/>
        <w:t xml:space="preserve">where — </w:t>
      </w:r>
    </w:p>
    <w:p>
      <w:pPr>
        <w:pStyle w:val="Indenta"/>
      </w:pPr>
      <w:r>
        <w:tab/>
      </w:r>
      <w:r>
        <w:tab/>
        <w:t>DV is the dutiable value;</w:t>
      </w:r>
    </w:p>
    <w:p>
      <w:pPr>
        <w:pStyle w:val="Indenta"/>
        <w:keepNext/>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pict>
          <v:shape id="_x0000_i1026" type="#_x0000_t75" style="width:64.5pt;height:29.25pt">
            <v:imagedata r:id="rId15" o:title=""/>
          </v:shape>
        </w:pi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keepNext/>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keepNext/>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keepNext/>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i w:val="0"/>
          <w:vertAlign w:val="superscript"/>
        </w:rPr>
        <w:t> 2</w:t>
      </w:r>
      <w:r>
        <w:t xml:space="preserve"> amended: No. 29 of 2012 s. 4.]</w:t>
      </w:r>
    </w:p>
    <w:p>
      <w:pPr>
        <w:pStyle w:val="Heading4"/>
        <w:rPr>
          <w:sz w:val="26"/>
        </w:rPr>
      </w:pPr>
      <w:bookmarkStart w:id="153" w:name="_Toc201217817"/>
      <w:bookmarkStart w:id="154" w:name="_Toc201224190"/>
      <w:bookmarkStart w:id="155" w:name="_Toc201228888"/>
      <w:bookmarkStart w:id="156" w:name="_Toc182388493"/>
      <w:bookmarkStart w:id="157" w:name="_Toc182389155"/>
      <w:bookmarkStart w:id="158" w:name="_Toc182409953"/>
      <w:r>
        <w:rPr>
          <w:sz w:val="26"/>
        </w:rPr>
        <w:t>Subdivision 2 — Consideration</w:t>
      </w:r>
      <w:bookmarkEnd w:id="153"/>
      <w:bookmarkEnd w:id="154"/>
      <w:bookmarkEnd w:id="155"/>
      <w:bookmarkEnd w:id="156"/>
      <w:bookmarkEnd w:id="157"/>
      <w:bookmarkEnd w:id="158"/>
    </w:p>
    <w:p>
      <w:pPr>
        <w:pStyle w:val="Heading5"/>
      </w:pPr>
      <w:bookmarkStart w:id="159" w:name="_Toc201228889"/>
      <w:bookmarkStart w:id="160" w:name="_Toc182409954"/>
      <w:r>
        <w:rPr>
          <w:rStyle w:val="CharSectno"/>
        </w:rPr>
        <w:t>30</w:t>
      </w:r>
      <w:r>
        <w:t>.</w:t>
      </w:r>
      <w:r>
        <w:tab/>
        <w:t>Consideration for dutiable transaction</w:t>
      </w:r>
      <w:bookmarkEnd w:id="159"/>
      <w:bookmarkEnd w:id="160"/>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161" w:name="_Toc201228890"/>
      <w:bookmarkStart w:id="162" w:name="_Toc182409955"/>
      <w:r>
        <w:rPr>
          <w:rStyle w:val="CharSectno"/>
        </w:rPr>
        <w:t>31</w:t>
      </w:r>
      <w:r>
        <w:t>.</w:t>
      </w:r>
      <w:r>
        <w:tab/>
        <w:t>Changes to consideration before transfer, consequences of</w:t>
      </w:r>
      <w:bookmarkEnd w:id="161"/>
      <w:bookmarkEnd w:id="162"/>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keepNext/>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spacing w:before="100"/>
      </w:pPr>
      <w:r>
        <w:tab/>
        <w:t>(b)</w:t>
      </w:r>
      <w:r>
        <w:tab/>
        <w:t>the increased consideration is not less than the unencumbered value of the dutiable property when the agreement was entered into,</w:t>
      </w:r>
    </w:p>
    <w:p>
      <w:pPr>
        <w:pStyle w:val="Subsection"/>
        <w:spacing w:before="80"/>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163" w:name="_Toc201228891"/>
      <w:bookmarkStart w:id="164" w:name="_Toc182409956"/>
      <w:r>
        <w:rPr>
          <w:rStyle w:val="CharSectno"/>
        </w:rPr>
        <w:t>32</w:t>
      </w:r>
      <w:r>
        <w:t>.</w:t>
      </w:r>
      <w:r>
        <w:tab/>
        <w:t>Contingent consideration not paid, consequences of</w:t>
      </w:r>
      <w:bookmarkEnd w:id="163"/>
      <w:bookmarkEnd w:id="164"/>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keepNext/>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165" w:name="_Toc201228892"/>
      <w:bookmarkStart w:id="166" w:name="_Toc182409957"/>
      <w:r>
        <w:rPr>
          <w:rStyle w:val="CharSectno"/>
        </w:rPr>
        <w:t>33</w:t>
      </w:r>
      <w:r>
        <w:t>.</w:t>
      </w:r>
      <w:r>
        <w:tab/>
        <w:t>Agreement by instalments determined before final payment, consequences of</w:t>
      </w:r>
      <w:bookmarkEnd w:id="165"/>
      <w:bookmarkEnd w:id="166"/>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spacing w:before="180"/>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pPr>
      <w:bookmarkStart w:id="167" w:name="_Toc201228893"/>
      <w:bookmarkStart w:id="168" w:name="_Toc182409958"/>
      <w:r>
        <w:rPr>
          <w:rStyle w:val="CharSectno"/>
        </w:rPr>
        <w:t>34</w:t>
      </w:r>
      <w:r>
        <w:t>.</w:t>
      </w:r>
      <w:r>
        <w:tab/>
        <w:t>Options conferred by dutiable transactions that are exercised or not renewed, consequences of</w:t>
      </w:r>
      <w:bookmarkEnd w:id="167"/>
      <w:bookmarkEnd w:id="168"/>
    </w:p>
    <w:p>
      <w:pPr>
        <w:pStyle w:val="Subsection"/>
        <w:keepNext/>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keepNext/>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169" w:name="_Toc201228894"/>
      <w:bookmarkStart w:id="170" w:name="_Toc182409959"/>
      <w:r>
        <w:rPr>
          <w:rStyle w:val="CharSectno"/>
        </w:rPr>
        <w:t>35</w:t>
      </w:r>
      <w:r>
        <w:t>.</w:t>
      </w:r>
      <w:r>
        <w:tab/>
        <w:t>Option to acquire dutiable property, duty paid on to be credited</w:t>
      </w:r>
      <w:bookmarkEnd w:id="169"/>
      <w:bookmarkEnd w:id="170"/>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keepLines/>
        <w:spacing w:before="60"/>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Heading4"/>
        <w:keepLines/>
        <w:rPr>
          <w:sz w:val="26"/>
        </w:rPr>
      </w:pPr>
      <w:bookmarkStart w:id="171" w:name="_Toc201217824"/>
      <w:bookmarkStart w:id="172" w:name="_Toc201224197"/>
      <w:bookmarkStart w:id="173" w:name="_Toc201228895"/>
      <w:bookmarkStart w:id="174" w:name="_Toc182388500"/>
      <w:bookmarkStart w:id="175" w:name="_Toc182389162"/>
      <w:bookmarkStart w:id="176" w:name="_Toc182409960"/>
      <w:r>
        <w:rPr>
          <w:sz w:val="26"/>
        </w:rPr>
        <w:t>Subdivision 3 — Unencumbered value</w:t>
      </w:r>
      <w:bookmarkEnd w:id="171"/>
      <w:bookmarkEnd w:id="172"/>
      <w:bookmarkEnd w:id="173"/>
      <w:bookmarkEnd w:id="174"/>
      <w:bookmarkEnd w:id="175"/>
      <w:bookmarkEnd w:id="176"/>
    </w:p>
    <w:p>
      <w:pPr>
        <w:pStyle w:val="Heading5"/>
        <w:spacing w:before="160"/>
      </w:pPr>
      <w:bookmarkStart w:id="177" w:name="_Toc201228896"/>
      <w:bookmarkStart w:id="178" w:name="_Toc182409961"/>
      <w:r>
        <w:rPr>
          <w:rStyle w:val="CharSectno"/>
        </w:rPr>
        <w:t>36</w:t>
      </w:r>
      <w:r>
        <w:t>.</w:t>
      </w:r>
      <w:r>
        <w:tab/>
        <w:t>Determining unencumbered value of property</w:t>
      </w:r>
      <w:bookmarkEnd w:id="177"/>
      <w:bookmarkEnd w:id="178"/>
    </w:p>
    <w:p>
      <w:pPr>
        <w:pStyle w:val="Subsection"/>
        <w:keepNext/>
        <w:keepLines/>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keepNext/>
      </w:pPr>
      <w:r>
        <w:tab/>
        <w:t>(ii)</w:t>
      </w:r>
      <w:r>
        <w:tab/>
        <w:t>will not be regarded as something to which an independent value can be ascribed.</w:t>
      </w:r>
    </w:p>
    <w:p>
      <w:pPr>
        <w:pStyle w:val="Subsection"/>
        <w:keepNext/>
      </w:pPr>
      <w:r>
        <w:tab/>
        <w:t>(5)</w:t>
      </w:r>
      <w:r>
        <w:tab/>
        <w:t xml:space="preserve">When determining the unencumbered value of property that is land — </w:t>
      </w:r>
    </w:p>
    <w:p>
      <w:pPr>
        <w:pStyle w:val="Indenta"/>
      </w:pPr>
      <w:r>
        <w:tab/>
        <w:t>(a)</w:t>
      </w:r>
      <w:r>
        <w:tab/>
        <w:t>if the land is the subject of an agreement for transfer, any improvement made to the land at the expense of the purchaser or transferee before the date liability to duty arises on the agreement is to be taken not to have been made to the land; and</w:t>
      </w:r>
    </w:p>
    <w:p>
      <w:pPr>
        <w:pStyle w:val="Indenta"/>
      </w:pPr>
      <w:r>
        <w:tab/>
        <w:t>(b)</w:t>
      </w:r>
      <w:r>
        <w:tab/>
        <w:t>if the land is the subject of a transfer, any improvement made to the land at the expense of the transferee before the land is transferred is to be taken not to have been made to the land; and</w:t>
      </w:r>
    </w:p>
    <w:p>
      <w:pPr>
        <w:pStyle w:val="Indenta"/>
      </w:pPr>
      <w:r>
        <w:tab/>
        <w:t>(c)</w:t>
      </w:r>
      <w:r>
        <w:tab/>
        <w:t>the value is to be determined having regard to the use of the land that would best enhance its commercial value; and</w:t>
      </w:r>
    </w:p>
    <w:p>
      <w:pPr>
        <w:pStyle w:val="Indenta"/>
      </w:pPr>
      <w:r>
        <w:tab/>
        <w:t>(d)</w:t>
      </w:r>
      <w:r>
        <w:tab/>
        <w:t xml:space="preserve">the value is to be determined having regard to commercial advantages (such as goodwill) that — </w:t>
      </w:r>
    </w:p>
    <w:p>
      <w:pPr>
        <w:pStyle w:val="Indenti"/>
      </w:pPr>
      <w:r>
        <w:tab/>
        <w:t>(i)</w:t>
      </w:r>
      <w:r>
        <w:tab/>
        <w:t>attach to the location or other aspects of the land; and</w:t>
      </w:r>
    </w:p>
    <w:p>
      <w:pPr>
        <w:pStyle w:val="Indenti"/>
      </w:pPr>
      <w:r>
        <w:tab/>
        <w:t>(ii)</w:t>
      </w:r>
      <w:r>
        <w:tab/>
        <w:t>would affect the price that a reasonable purchaser would be willing to pay for the land;</w:t>
      </w:r>
    </w:p>
    <w:p>
      <w:pPr>
        <w:pStyle w:val="Indenta"/>
      </w:pPr>
      <w:r>
        <w:tab/>
      </w:r>
      <w:r>
        <w:tab/>
        <w:t>and</w:t>
      </w:r>
    </w:p>
    <w:p>
      <w:pPr>
        <w:pStyle w:val="Indenta"/>
      </w:pPr>
      <w:r>
        <w:tab/>
        <w:t>(e)</w:t>
      </w:r>
      <w:r>
        <w:tab/>
        <w:t>if section 36A applies, the value is to be determined having regard to that section.</w:t>
      </w:r>
    </w:p>
    <w:p>
      <w:pPr>
        <w:pStyle w:val="Footnotesection"/>
      </w:pPr>
      <w:r>
        <w:tab/>
        <w:t>[Section 36 amended: No. 1 of 2015 s. 24; No. 12 of 2019 s. 15.]</w:t>
      </w:r>
    </w:p>
    <w:p>
      <w:pPr>
        <w:pStyle w:val="Heading5"/>
      </w:pPr>
      <w:bookmarkStart w:id="179" w:name="_Toc201228897"/>
      <w:bookmarkStart w:id="180" w:name="_Toc182409962"/>
      <w:r>
        <w:rPr>
          <w:rStyle w:val="CharSectno"/>
        </w:rPr>
        <w:t>36A</w:t>
      </w:r>
      <w:r>
        <w:t>.</w:t>
      </w:r>
      <w:r>
        <w:tab/>
        <w:t>Determining unencumbered value: fixtures and mining tenement fixtures</w:t>
      </w:r>
      <w:bookmarkEnd w:id="179"/>
      <w:bookmarkEnd w:id="180"/>
    </w:p>
    <w:p>
      <w:pPr>
        <w:pStyle w:val="Subsection"/>
        <w:keepNext/>
      </w:pPr>
      <w:r>
        <w:tab/>
        <w:t>(1)</w:t>
      </w:r>
      <w:r>
        <w:tab/>
        <w:t xml:space="preserve">In this section — </w:t>
      </w:r>
    </w:p>
    <w:p>
      <w:pPr>
        <w:pStyle w:val="Defstart"/>
        <w:keepNex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land.</w:t>
      </w:r>
    </w:p>
    <w:p>
      <w:pPr>
        <w:pStyle w:val="Subsection"/>
      </w:pPr>
      <w:r>
        <w:tab/>
        <w:t>(2)</w:t>
      </w:r>
      <w:r>
        <w:tab/>
        <w:t>In determining the unencumbered value of dutiable property that is land, anything that is part of the land as a fixture is to be taken into account even if the dutiable transaction does not, or purports not to, apply to the fixture as well as the land.</w:t>
      </w:r>
    </w:p>
    <w:p>
      <w:pPr>
        <w:pStyle w:val="Subsection"/>
      </w:pPr>
      <w:r>
        <w:tab/>
        <w:t>(3)</w:t>
      </w:r>
      <w:r>
        <w:tab/>
        <w:t>Subsection (2) does not apply if the value of the fixture would, apart from that subsection, be taken into account separately in determining the dutiable value of the dutiable transaction relating to the land or another dutiable transaction that is aggregated with that dutiable transaction under section 37.</w:t>
      </w:r>
    </w:p>
    <w:p>
      <w:pPr>
        <w:pStyle w:val="Subsection"/>
      </w:pPr>
      <w:r>
        <w:tab/>
        <w:t>(4)</w:t>
      </w:r>
      <w:r>
        <w:tab/>
        <w:t>In determining the unencumbered value of dutiable property that is a mining tenement or an estate or interest in a mining tenement, anything that is a mining tenement fixture in relation to the mining tenement is to be taken into account even if the dutiable transaction does not, or purports not to, apply to the mining tenement fixture as well as the mining tenement or the estate or interest in the mining tenement.</w:t>
      </w:r>
    </w:p>
    <w:p>
      <w:pPr>
        <w:pStyle w:val="Subsection"/>
      </w:pPr>
      <w:r>
        <w:tab/>
        <w:t>(5)</w:t>
      </w:r>
      <w:r>
        <w:tab/>
        <w:t>Subsection (4) does not apply if the value of the mining tenement fixture would, apart from that subsection, be taken into account separately in determining the dutiable value of the dutiable transaction relating to the mining tenement or the estate or interest in the mining tenement or another dutiable transaction that is aggregated with that dutiable transaction under section 37.</w:t>
      </w:r>
    </w:p>
    <w:p>
      <w:pPr>
        <w:pStyle w:val="Subsection"/>
      </w:pPr>
      <w:r>
        <w:tab/>
        <w:t>(6)</w:t>
      </w:r>
      <w:r>
        <w:tab/>
        <w:t>In this section, a reference to land does not include anything that is land under section 3A(1)(b), (c), (f) or (g).</w:t>
      </w:r>
    </w:p>
    <w:p>
      <w:pPr>
        <w:pStyle w:val="Footnotesection"/>
      </w:pPr>
      <w:r>
        <w:tab/>
        <w:t>[Section 36A inserted: No. 12 of 2019 s. 16.]</w:t>
      </w:r>
    </w:p>
    <w:p>
      <w:pPr>
        <w:pStyle w:val="Heading4"/>
        <w:rPr>
          <w:sz w:val="26"/>
        </w:rPr>
      </w:pPr>
      <w:bookmarkStart w:id="181" w:name="_Toc201217827"/>
      <w:bookmarkStart w:id="182" w:name="_Toc201224200"/>
      <w:bookmarkStart w:id="183" w:name="_Toc201228898"/>
      <w:bookmarkStart w:id="184" w:name="_Toc182388503"/>
      <w:bookmarkStart w:id="185" w:name="_Toc182389165"/>
      <w:bookmarkStart w:id="186" w:name="_Toc182409963"/>
      <w:r>
        <w:rPr>
          <w:sz w:val="26"/>
        </w:rPr>
        <w:t>Subdivision 4 — Miscellaneous</w:t>
      </w:r>
      <w:bookmarkEnd w:id="181"/>
      <w:bookmarkEnd w:id="182"/>
      <w:bookmarkEnd w:id="183"/>
      <w:bookmarkEnd w:id="184"/>
      <w:bookmarkEnd w:id="185"/>
      <w:bookmarkEnd w:id="186"/>
    </w:p>
    <w:p>
      <w:pPr>
        <w:pStyle w:val="Heading5"/>
      </w:pPr>
      <w:bookmarkStart w:id="187" w:name="_Toc201228899"/>
      <w:bookmarkStart w:id="188" w:name="_Toc182409964"/>
      <w:r>
        <w:rPr>
          <w:rStyle w:val="CharSectno"/>
        </w:rPr>
        <w:t>37</w:t>
      </w:r>
      <w:r>
        <w:t>.</w:t>
      </w:r>
      <w:r>
        <w:tab/>
        <w:t>Aggregation of dutiable transactions</w:t>
      </w:r>
      <w:bookmarkEnd w:id="187"/>
      <w:bookmarkEnd w:id="188"/>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keepNext/>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Next w:val="0"/>
        <w:keepLines w:val="0"/>
        <w:spacing w:before="180"/>
      </w:pPr>
      <w:bookmarkStart w:id="189" w:name="_Toc201228900"/>
      <w:bookmarkStart w:id="190" w:name="_Toc182409965"/>
      <w:r>
        <w:rPr>
          <w:rStyle w:val="CharSectno"/>
        </w:rPr>
        <w:t>38</w:t>
      </w:r>
      <w:r>
        <w:t>.</w:t>
      </w:r>
      <w:r>
        <w:tab/>
        <w:t>Transactions as to dutiable and not dutiable property, duty on</w:t>
      </w:r>
      <w:bookmarkEnd w:id="189"/>
      <w:bookmarkEnd w:id="190"/>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191" w:name="_Toc201228901"/>
      <w:bookmarkStart w:id="192" w:name="_Toc182409966"/>
      <w:r>
        <w:rPr>
          <w:rStyle w:val="CharSectno"/>
        </w:rPr>
        <w:t>39</w:t>
      </w:r>
      <w:r>
        <w:t>.</w:t>
      </w:r>
      <w:r>
        <w:tab/>
        <w:t>Partitions of property, dutiable values in case of</w:t>
      </w:r>
      <w:bookmarkEnd w:id="191"/>
      <w:bookmarkEnd w:id="192"/>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keepNext/>
        <w:tabs>
          <w:tab w:val="left" w:pos="1560"/>
        </w:tabs>
        <w:spacing w:before="120" w:after="40"/>
      </w:pPr>
      <w:r>
        <w:tab/>
        <w:t>(2)</w:t>
      </w:r>
      <w:r>
        <w:tab/>
        <w:t xml:space="preserve">The dutiable value of a partition is to be determined in accordance with the following formula — </w:t>
      </w:r>
    </w:p>
    <w:p>
      <w:pPr>
        <w:pStyle w:val="Graphics"/>
        <w:keepNext/>
        <w:tabs>
          <w:tab w:val="left" w:pos="1560"/>
        </w:tabs>
        <w:ind w:left="896"/>
      </w:pPr>
      <w:r>
        <w:rPr>
          <w:position w:val="-24"/>
        </w:rPr>
        <w:pict>
          <v:shape id="_x0000_i1027" type="#_x0000_t75" style="width:64.5pt;height:29.25pt">
            <v:imagedata r:id="rId15" o:title=""/>
          </v:shape>
        </w:pict>
      </w:r>
    </w:p>
    <w:p>
      <w:pPr>
        <w:pStyle w:val="Subsection"/>
        <w:keepNext/>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Subsection"/>
      </w:pPr>
      <w:r>
        <w:tab/>
        <w:t>(4)</w:t>
      </w:r>
      <w:r>
        <w:tab/>
        <w:t>This section does not apply to a transaction if section 78 or 78A applies to the transaction or if the transaction is a subsequent transfer referred to in section 120A.</w:t>
      </w:r>
    </w:p>
    <w:p>
      <w:pPr>
        <w:pStyle w:val="Footnotesection"/>
      </w:pPr>
      <w:r>
        <w:tab/>
        <w:t>[Section 39 amended: No. 12 of 2019 s. 17.]</w:t>
      </w:r>
    </w:p>
    <w:p>
      <w:pPr>
        <w:pStyle w:val="Heading5"/>
      </w:pPr>
      <w:bookmarkStart w:id="193" w:name="_Toc201228902"/>
      <w:bookmarkStart w:id="194" w:name="_Toc182409967"/>
      <w:r>
        <w:rPr>
          <w:rStyle w:val="CharSectno"/>
        </w:rPr>
        <w:t>40</w:t>
      </w:r>
      <w:r>
        <w:t>.</w:t>
      </w:r>
      <w:r>
        <w:tab/>
        <w:t>Exchanges of dutiable property, duty on</w:t>
      </w:r>
      <w:bookmarkEnd w:id="193"/>
      <w:bookmarkEnd w:id="194"/>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keepNext/>
      </w:pPr>
      <w:r>
        <w:tab/>
        <w:t>(b)</w:t>
      </w:r>
      <w:r>
        <w:tab/>
        <w:t>the transfer of the second</w:t>
      </w:r>
      <w:r>
        <w:noBreakHyphen/>
        <w:t>mentioned property for consideration equal to the unencumbered value of that property.</w:t>
      </w:r>
    </w:p>
    <w:p>
      <w:pPr>
        <w:pStyle w:val="Heading4"/>
        <w:spacing w:before="180"/>
        <w:rPr>
          <w:sz w:val="26"/>
        </w:rPr>
      </w:pPr>
      <w:bookmarkStart w:id="195" w:name="_Toc201217832"/>
      <w:bookmarkStart w:id="196" w:name="_Toc201224205"/>
      <w:bookmarkStart w:id="197" w:name="_Toc201228903"/>
      <w:bookmarkStart w:id="198" w:name="_Toc182388508"/>
      <w:bookmarkStart w:id="199" w:name="_Toc182389170"/>
      <w:bookmarkStart w:id="200" w:name="_Toc182409968"/>
      <w:r>
        <w:rPr>
          <w:sz w:val="26"/>
        </w:rPr>
        <w:t>Division 6 — No double duty</w:t>
      </w:r>
      <w:bookmarkEnd w:id="195"/>
      <w:bookmarkEnd w:id="196"/>
      <w:bookmarkEnd w:id="197"/>
      <w:bookmarkEnd w:id="198"/>
      <w:bookmarkEnd w:id="199"/>
      <w:bookmarkEnd w:id="200"/>
    </w:p>
    <w:p>
      <w:pPr>
        <w:pStyle w:val="Heading5"/>
        <w:spacing w:before="180"/>
      </w:pPr>
      <w:bookmarkStart w:id="201" w:name="_Toc201228904"/>
      <w:bookmarkStart w:id="202" w:name="_Toc182409969"/>
      <w:r>
        <w:rPr>
          <w:rStyle w:val="CharSectno"/>
        </w:rPr>
        <w:t>41</w:t>
      </w:r>
      <w:r>
        <w:t>.</w:t>
      </w:r>
      <w:r>
        <w:tab/>
        <w:t>No double duty — general</w:t>
      </w:r>
      <w:bookmarkEnd w:id="201"/>
      <w:bookmarkEnd w:id="202"/>
    </w:p>
    <w:p>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203" w:name="_Toc201228905"/>
      <w:bookmarkStart w:id="204" w:name="_Toc182409970"/>
      <w:r>
        <w:rPr>
          <w:rStyle w:val="CharSectno"/>
        </w:rPr>
        <w:t>42</w:t>
      </w:r>
      <w:r>
        <w:t>.</w:t>
      </w:r>
      <w:r>
        <w:tab/>
        <w:t>No double duty — particular dutiable transactions</w:t>
      </w:r>
      <w:bookmarkEnd w:id="203"/>
      <w:bookmarkEnd w:id="204"/>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is for the transfer of dutiable property to a purchaser acting in the purchaser’s own capacity, but the property is transferred to the purchaser acting in a capacity as a trustee of a trust, subsection (1) does not apply to the transfer of the property unless — </w:t>
      </w:r>
    </w:p>
    <w:p>
      <w:pPr>
        <w:pStyle w:val="Indenta"/>
      </w:pPr>
      <w:r>
        <w:tab/>
        <w:t>(a)</w:t>
      </w:r>
      <w:r>
        <w:tab/>
        <w:t>the purchaser is an individual and the trust is a unit trust scheme in which the purchaser is the sole unit holder; or</w:t>
      </w:r>
    </w:p>
    <w:p>
      <w:pPr>
        <w:pStyle w:val="Indenta"/>
      </w:pPr>
      <w:r>
        <w:tab/>
        <w:t>(b)</w:t>
      </w:r>
      <w:r>
        <w:tab/>
        <w:t>the trust is a unit trust scheme in which the purchaser is a unit holder and each of the other unit holders are related, as referred to in section 43(1)(a), (b), (c), (ca), (cb), (d) or (e), to the purchaser; or</w:t>
      </w:r>
    </w:p>
    <w:p>
      <w:pPr>
        <w:pStyle w:val="Indenta"/>
      </w:pPr>
      <w:r>
        <w:tab/>
        <w:t>(c)</w:t>
      </w:r>
      <w:r>
        <w:tab/>
        <w:t>the trust is not a discretionary trust or a unit trust scheme and each beneficiary of the trust is related, as referred to in section 43(1)(a), (b), (c), (ca), (cb), (d) or (e), to the purchaser.</w:t>
      </w:r>
    </w:p>
    <w:p>
      <w:pPr>
        <w:pStyle w:val="Subsection"/>
        <w:keepNext/>
        <w:keepLines/>
      </w:pPr>
      <w:r>
        <w:tab/>
        <w:t>(4C)</w:t>
      </w:r>
      <w:r>
        <w:tab/>
        <w:t>A reference in subsection (4B) to a unit holder or to a beneficiary is limited to a reference to a unit holder or beneficiary acting in their own capacity and not as agent, trustee or otherwise on behalf of any other person.</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keepNext/>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keepNext/>
      </w:pPr>
      <w:r>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Western Australia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keepNext/>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Ednotesubsection"/>
      </w:pPr>
      <w:r>
        <w:tab/>
        <w:t>[(15)</w:t>
      </w:r>
      <w:r>
        <w:tab/>
        <w:t>deleted]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No. 32 of 2012 s. 5 and 6; No. 12 of 2019 s. 18; No. 37 of 2022 s. 7.]</w:t>
      </w:r>
    </w:p>
    <w:p>
      <w:pPr>
        <w:pStyle w:val="Heading5"/>
      </w:pPr>
      <w:bookmarkStart w:id="205" w:name="_Toc201228906"/>
      <w:bookmarkStart w:id="206" w:name="_Toc182409971"/>
      <w:r>
        <w:rPr>
          <w:rStyle w:val="CharSectno"/>
        </w:rPr>
        <w:t>43</w:t>
      </w:r>
      <w:r>
        <w:t>.</w:t>
      </w:r>
      <w:r>
        <w:tab/>
        <w:t>Persons related to purchaser for s. 42(2)(a)</w:t>
      </w:r>
      <w:bookmarkEnd w:id="205"/>
      <w:bookmarkEnd w:id="206"/>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a child or remoter lineal descendant of the purchaser;</w:t>
      </w:r>
    </w:p>
    <w:p>
      <w:pPr>
        <w:pStyle w:val="Indenta"/>
      </w:pPr>
      <w:r>
        <w:tab/>
        <w:t>(ca)</w:t>
      </w:r>
      <w:r>
        <w:tab/>
        <w:t>a spouse or de facto partner of a child, or remoter lineal descendant, of the purchaser;</w:t>
      </w:r>
    </w:p>
    <w:p>
      <w:pPr>
        <w:pStyle w:val="Indenta"/>
      </w:pPr>
      <w:r>
        <w:tab/>
        <w:t>(cb)</w:t>
      </w:r>
      <w:r>
        <w:tab/>
        <w:t>a spouse or de facto partner of a parent, or remoter lineal ancestor, of the purchaser;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(ca), (cb), (d) or (e); and</w:t>
      </w:r>
    </w:p>
    <w:p>
      <w:pPr>
        <w:pStyle w:val="Indenti"/>
      </w:pPr>
      <w:r>
        <w:tab/>
        <w:t>(ii)</w:t>
      </w:r>
      <w:r>
        <w:tab/>
        <w:t>the purchaser and the beneficiary are related as referred to in subsection (1)(a), (b), (c), (ca), (cb), (d) or (e).</w:t>
      </w:r>
    </w:p>
    <w:p>
      <w:pPr>
        <w:pStyle w:val="Footnotesection"/>
        <w:ind w:left="890" w:hanging="890"/>
      </w:pPr>
      <w:r>
        <w:tab/>
        <w:t>[Section 43 amended: No. 32 of 2012 s. 7; No. 12 of 2019 s. 19.]</w:t>
      </w:r>
    </w:p>
    <w:p>
      <w:pPr>
        <w:pStyle w:val="Heading4"/>
        <w:rPr>
          <w:sz w:val="26"/>
        </w:rPr>
      </w:pPr>
      <w:bookmarkStart w:id="207" w:name="_Toc201217836"/>
      <w:bookmarkStart w:id="208" w:name="_Toc201224209"/>
      <w:bookmarkStart w:id="209" w:name="_Toc201228907"/>
      <w:bookmarkStart w:id="210" w:name="_Toc182388512"/>
      <w:bookmarkStart w:id="211" w:name="_Toc182389174"/>
      <w:bookmarkStart w:id="212" w:name="_Toc182409972"/>
      <w:r>
        <w:rPr>
          <w:sz w:val="26"/>
        </w:rPr>
        <w:t>Division 7 — Interim assessment of transfer duty</w:t>
      </w:r>
      <w:bookmarkEnd w:id="207"/>
      <w:bookmarkEnd w:id="208"/>
      <w:bookmarkEnd w:id="209"/>
      <w:bookmarkEnd w:id="210"/>
      <w:bookmarkEnd w:id="211"/>
      <w:bookmarkEnd w:id="212"/>
    </w:p>
    <w:p>
      <w:pPr>
        <w:pStyle w:val="Footnoteheading"/>
      </w:pPr>
      <w:r>
        <w:tab/>
        <w:t>[Heading inserted: No. 10 of 2013 s. 5.]</w:t>
      </w:r>
    </w:p>
    <w:p>
      <w:pPr>
        <w:pStyle w:val="Heading5"/>
        <w:spacing w:before="180"/>
      </w:pPr>
      <w:bookmarkStart w:id="213" w:name="_Toc201228908"/>
      <w:bookmarkStart w:id="214" w:name="_Toc182409973"/>
      <w:r>
        <w:rPr>
          <w:rStyle w:val="CharSectno"/>
        </w:rPr>
        <w:t>44A</w:t>
      </w:r>
      <w:r>
        <w:t>.</w:t>
      </w:r>
      <w:r>
        <w:tab/>
        <w:t>Interim assessment of transfer duty</w:t>
      </w:r>
      <w:bookmarkEnd w:id="213"/>
      <w:bookmarkEnd w:id="214"/>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keepNext/>
        <w:keepLines/>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No. 10 of 2013 s. 5.]</w:t>
      </w:r>
    </w:p>
    <w:p>
      <w:pPr>
        <w:pStyle w:val="Heading3"/>
        <w:keepNext w:val="0"/>
        <w:pageBreakBefore/>
        <w:rPr>
          <w:sz w:val="28"/>
        </w:rPr>
      </w:pPr>
      <w:bookmarkStart w:id="215" w:name="_Toc201217838"/>
      <w:bookmarkStart w:id="216" w:name="_Toc201224211"/>
      <w:bookmarkStart w:id="217" w:name="_Toc201228909"/>
      <w:bookmarkStart w:id="218" w:name="_Toc182388514"/>
      <w:bookmarkStart w:id="219" w:name="_Toc182389176"/>
      <w:bookmarkStart w:id="220" w:name="_Toc182409974"/>
      <w:r>
        <w:rPr>
          <w:rStyle w:val="CharDivNo"/>
          <w:sz w:val="28"/>
        </w:rPr>
        <w:t>Part 5</w:t>
      </w:r>
      <w:r>
        <w:rPr>
          <w:sz w:val="28"/>
        </w:rPr>
        <w:t> — </w:t>
      </w:r>
      <w:r>
        <w:rPr>
          <w:rStyle w:val="CharDivText"/>
          <w:sz w:val="28"/>
        </w:rPr>
        <w:t>Application of this Chapter to certain transactions</w:t>
      </w:r>
      <w:bookmarkEnd w:id="215"/>
      <w:bookmarkEnd w:id="216"/>
      <w:bookmarkEnd w:id="217"/>
      <w:bookmarkEnd w:id="218"/>
      <w:bookmarkEnd w:id="219"/>
      <w:bookmarkEnd w:id="220"/>
    </w:p>
    <w:p>
      <w:pPr>
        <w:pStyle w:val="Heading4"/>
        <w:keepNext w:val="0"/>
        <w:rPr>
          <w:sz w:val="26"/>
        </w:rPr>
      </w:pPr>
      <w:bookmarkStart w:id="221" w:name="_Toc201217839"/>
      <w:bookmarkStart w:id="222" w:name="_Toc201224212"/>
      <w:bookmarkStart w:id="223" w:name="_Toc201228910"/>
      <w:bookmarkStart w:id="224" w:name="_Toc182388515"/>
      <w:bookmarkStart w:id="225" w:name="_Toc182389177"/>
      <w:bookmarkStart w:id="226" w:name="_Toc182409975"/>
      <w:r>
        <w:rPr>
          <w:sz w:val="26"/>
        </w:rPr>
        <w:t>Division 1 — Simultaneous put and call options</w:t>
      </w:r>
      <w:bookmarkEnd w:id="221"/>
      <w:bookmarkEnd w:id="222"/>
      <w:bookmarkEnd w:id="223"/>
      <w:bookmarkEnd w:id="224"/>
      <w:bookmarkEnd w:id="225"/>
      <w:bookmarkEnd w:id="226"/>
    </w:p>
    <w:p>
      <w:pPr>
        <w:pStyle w:val="Heading4"/>
        <w:rPr>
          <w:sz w:val="26"/>
        </w:rPr>
      </w:pPr>
      <w:bookmarkStart w:id="227" w:name="_Toc201217840"/>
      <w:bookmarkStart w:id="228" w:name="_Toc201224213"/>
      <w:bookmarkStart w:id="229" w:name="_Toc201228911"/>
      <w:bookmarkStart w:id="230" w:name="_Toc182388516"/>
      <w:bookmarkStart w:id="231" w:name="_Toc182389178"/>
      <w:bookmarkStart w:id="232" w:name="_Toc182409976"/>
      <w:r>
        <w:rPr>
          <w:sz w:val="26"/>
        </w:rPr>
        <w:t>Subdivision 1 — Terms used in this Division</w:t>
      </w:r>
      <w:bookmarkEnd w:id="227"/>
      <w:bookmarkEnd w:id="228"/>
      <w:bookmarkEnd w:id="229"/>
      <w:bookmarkEnd w:id="230"/>
      <w:bookmarkEnd w:id="231"/>
      <w:bookmarkEnd w:id="232"/>
    </w:p>
    <w:p>
      <w:pPr>
        <w:pStyle w:val="Heading5"/>
        <w:keepNext w:val="0"/>
      </w:pPr>
      <w:bookmarkStart w:id="233" w:name="_Toc201228912"/>
      <w:bookmarkStart w:id="234" w:name="_Toc182409977"/>
      <w:r>
        <w:rPr>
          <w:rStyle w:val="CharSectno"/>
        </w:rPr>
        <w:t>44</w:t>
      </w:r>
      <w:r>
        <w:t>.</w:t>
      </w:r>
      <w:r>
        <w:tab/>
        <w:t>Terms used</w:t>
      </w:r>
      <w:bookmarkEnd w:id="233"/>
      <w:bookmarkEnd w:id="234"/>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Heading4"/>
        <w:rPr>
          <w:sz w:val="26"/>
        </w:rPr>
      </w:pPr>
      <w:bookmarkStart w:id="235" w:name="_Toc201217842"/>
      <w:bookmarkStart w:id="236" w:name="_Toc201224215"/>
      <w:bookmarkStart w:id="237" w:name="_Toc201228913"/>
      <w:bookmarkStart w:id="238" w:name="_Toc182388518"/>
      <w:bookmarkStart w:id="239" w:name="_Toc182389180"/>
      <w:bookmarkStart w:id="240" w:name="_Toc182409978"/>
      <w:r>
        <w:rPr>
          <w:sz w:val="26"/>
        </w:rPr>
        <w:t>Subdivision 2 — Simultaneous put and call options</w:t>
      </w:r>
      <w:bookmarkEnd w:id="235"/>
      <w:bookmarkEnd w:id="236"/>
      <w:bookmarkEnd w:id="237"/>
      <w:bookmarkEnd w:id="238"/>
      <w:bookmarkEnd w:id="239"/>
      <w:bookmarkEnd w:id="240"/>
    </w:p>
    <w:p>
      <w:pPr>
        <w:pStyle w:val="Heading5"/>
        <w:spacing w:before="240"/>
      </w:pPr>
      <w:bookmarkStart w:id="241" w:name="_Toc201228914"/>
      <w:bookmarkStart w:id="242" w:name="_Toc182409979"/>
      <w:r>
        <w:rPr>
          <w:rStyle w:val="CharSectno"/>
        </w:rPr>
        <w:t>45</w:t>
      </w:r>
      <w:r>
        <w:t>.</w:t>
      </w:r>
      <w:r>
        <w:tab/>
        <w:t>Call option of simultaneous put and call option to be taken to be agreement for transfer of option property</w:t>
      </w:r>
      <w:bookmarkEnd w:id="241"/>
      <w:bookmarkEnd w:id="242"/>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243" w:name="_Toc201228915"/>
      <w:bookmarkStart w:id="244" w:name="_Toc182409980"/>
      <w:r>
        <w:rPr>
          <w:rStyle w:val="CharSectno"/>
        </w:rPr>
        <w:t>46</w:t>
      </w:r>
      <w:r>
        <w:t>.</w:t>
      </w:r>
      <w:r>
        <w:tab/>
        <w:t>Simultaneous put and call option, dutiable value of</w:t>
      </w:r>
      <w:bookmarkEnd w:id="243"/>
      <w:bookmarkEnd w:id="244"/>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245" w:name="_Toc201228916"/>
      <w:bookmarkStart w:id="246" w:name="_Toc182409981"/>
      <w:r>
        <w:rPr>
          <w:rStyle w:val="CharSectno"/>
        </w:rPr>
        <w:t>47</w:t>
      </w:r>
      <w:r>
        <w:t>.</w:t>
      </w:r>
      <w:r>
        <w:tab/>
        <w:t>Dutiable transaction referred to in s. 45, duty paid on to be credited</w:t>
      </w:r>
      <w:bookmarkEnd w:id="245"/>
      <w:bookmarkEnd w:id="246"/>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247" w:name="_Toc201228917"/>
      <w:bookmarkStart w:id="248" w:name="_Toc182409982"/>
      <w:r>
        <w:rPr>
          <w:rStyle w:val="CharSectno"/>
        </w:rPr>
        <w:t>48</w:t>
      </w:r>
      <w:r>
        <w:t>.</w:t>
      </w:r>
      <w:r>
        <w:tab/>
        <w:t>Simultaneous put and call option not exercised or assigned, consequences of</w:t>
      </w:r>
      <w:bookmarkEnd w:id="247"/>
      <w:bookmarkEnd w:id="248"/>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Heading4"/>
        <w:rPr>
          <w:sz w:val="26"/>
        </w:rPr>
      </w:pPr>
      <w:bookmarkStart w:id="249" w:name="_Toc201217847"/>
      <w:bookmarkStart w:id="250" w:name="_Toc201224220"/>
      <w:bookmarkStart w:id="251" w:name="_Toc201228918"/>
      <w:bookmarkStart w:id="252" w:name="_Toc182388523"/>
      <w:bookmarkStart w:id="253" w:name="_Toc182389185"/>
      <w:bookmarkStart w:id="254" w:name="_Toc182409983"/>
      <w:r>
        <w:rPr>
          <w:sz w:val="26"/>
        </w:rPr>
        <w:t>Subdivision 3 — Assignment of call option</w:t>
      </w:r>
      <w:bookmarkEnd w:id="249"/>
      <w:bookmarkEnd w:id="250"/>
      <w:bookmarkEnd w:id="251"/>
      <w:bookmarkEnd w:id="252"/>
      <w:bookmarkEnd w:id="253"/>
      <w:bookmarkEnd w:id="254"/>
    </w:p>
    <w:p>
      <w:pPr>
        <w:pStyle w:val="Heading5"/>
        <w:spacing w:before="180"/>
      </w:pPr>
      <w:bookmarkStart w:id="255" w:name="_Toc201228919"/>
      <w:bookmarkStart w:id="256" w:name="_Toc182409984"/>
      <w:r>
        <w:rPr>
          <w:rStyle w:val="CharSectno"/>
        </w:rPr>
        <w:t>49</w:t>
      </w:r>
      <w:r>
        <w:t>.</w:t>
      </w:r>
      <w:r>
        <w:tab/>
        <w:t>Assignment of call option to be taken to be agreement for transfer of option property</w:t>
      </w:r>
      <w:bookmarkEnd w:id="255"/>
      <w:bookmarkEnd w:id="256"/>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257" w:name="_Toc201228920"/>
      <w:bookmarkStart w:id="258" w:name="_Toc182409985"/>
      <w:r>
        <w:rPr>
          <w:rStyle w:val="CharSectno"/>
        </w:rPr>
        <w:t>50</w:t>
      </w:r>
      <w:r>
        <w:t>.</w:t>
      </w:r>
      <w:r>
        <w:tab/>
        <w:t>Assignment of call option, dutiable value of</w:t>
      </w:r>
      <w:bookmarkEnd w:id="257"/>
      <w:bookmarkEnd w:id="258"/>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259" w:name="_Toc201228921"/>
      <w:bookmarkStart w:id="260" w:name="_Toc182409986"/>
      <w:r>
        <w:rPr>
          <w:rStyle w:val="CharSectno"/>
        </w:rPr>
        <w:t>51</w:t>
      </w:r>
      <w:r>
        <w:t>.</w:t>
      </w:r>
      <w:r>
        <w:tab/>
        <w:t>Dutiable transaction referred to in s. 49, duty paid on to be credited</w:t>
      </w:r>
      <w:bookmarkEnd w:id="259"/>
      <w:bookmarkEnd w:id="260"/>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261" w:name="_Toc201228922"/>
      <w:bookmarkStart w:id="262" w:name="_Toc182409987"/>
      <w:r>
        <w:rPr>
          <w:rStyle w:val="CharSectno"/>
        </w:rPr>
        <w:t>52</w:t>
      </w:r>
      <w:r>
        <w:t>.</w:t>
      </w:r>
      <w:r>
        <w:tab/>
        <w:t>Assigned call option not exercised or further assigned, consequences of</w:t>
      </w:r>
      <w:bookmarkEnd w:id="261"/>
      <w:bookmarkEnd w:id="262"/>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263" w:name="_Toc201217852"/>
      <w:bookmarkStart w:id="264" w:name="_Toc201224225"/>
      <w:bookmarkStart w:id="265" w:name="_Toc201228923"/>
      <w:bookmarkStart w:id="266" w:name="_Toc182388528"/>
      <w:bookmarkStart w:id="267" w:name="_Toc182389190"/>
      <w:bookmarkStart w:id="268" w:name="_Toc182409988"/>
      <w:r>
        <w:rPr>
          <w:sz w:val="26"/>
        </w:rPr>
        <w:t>Division 2 — Discretionary trust acquisitions and surrenders</w:t>
      </w:r>
      <w:bookmarkEnd w:id="263"/>
      <w:bookmarkEnd w:id="264"/>
      <w:bookmarkEnd w:id="265"/>
      <w:bookmarkEnd w:id="266"/>
      <w:bookmarkEnd w:id="267"/>
      <w:bookmarkEnd w:id="268"/>
    </w:p>
    <w:p>
      <w:pPr>
        <w:pStyle w:val="Heading4"/>
        <w:rPr>
          <w:sz w:val="26"/>
        </w:rPr>
      </w:pPr>
      <w:bookmarkStart w:id="269" w:name="_Toc201217853"/>
      <w:bookmarkStart w:id="270" w:name="_Toc201224226"/>
      <w:bookmarkStart w:id="271" w:name="_Toc201228924"/>
      <w:bookmarkStart w:id="272" w:name="_Toc182388529"/>
      <w:bookmarkStart w:id="273" w:name="_Toc182389191"/>
      <w:bookmarkStart w:id="274" w:name="_Toc182409989"/>
      <w:r>
        <w:rPr>
          <w:sz w:val="26"/>
        </w:rPr>
        <w:t>Subdivision 1 — Terms used in this Division</w:t>
      </w:r>
      <w:bookmarkEnd w:id="269"/>
      <w:bookmarkEnd w:id="270"/>
      <w:bookmarkEnd w:id="271"/>
      <w:bookmarkEnd w:id="272"/>
      <w:bookmarkEnd w:id="273"/>
      <w:bookmarkEnd w:id="274"/>
    </w:p>
    <w:p>
      <w:pPr>
        <w:pStyle w:val="Heading5"/>
        <w:spacing w:before="240"/>
      </w:pPr>
      <w:bookmarkStart w:id="275" w:name="_Toc201228925"/>
      <w:bookmarkStart w:id="276" w:name="_Toc182409990"/>
      <w:r>
        <w:rPr>
          <w:rStyle w:val="CharSectno"/>
        </w:rPr>
        <w:t>53</w:t>
      </w:r>
      <w:r>
        <w:t>.</w:t>
      </w:r>
      <w:r>
        <w:tab/>
        <w:t>References to partnership or trust holding property</w:t>
      </w:r>
      <w:bookmarkEnd w:id="275"/>
      <w:bookmarkEnd w:id="276"/>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277" w:name="_Toc201228926"/>
      <w:bookmarkStart w:id="278" w:name="_Toc182409991"/>
      <w:r>
        <w:rPr>
          <w:rStyle w:val="CharSectno"/>
        </w:rPr>
        <w:t>54</w:t>
      </w:r>
      <w:r>
        <w:t>.</w:t>
      </w:r>
      <w:r>
        <w:tab/>
        <w:t>References to taker in default</w:t>
      </w:r>
      <w:bookmarkEnd w:id="277"/>
      <w:bookmarkEnd w:id="278"/>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279" w:name="_Toc201228927"/>
      <w:bookmarkStart w:id="280" w:name="_Toc182409992"/>
      <w:r>
        <w:rPr>
          <w:rStyle w:val="CharSectno"/>
        </w:rPr>
        <w:t>55</w:t>
      </w:r>
      <w:r>
        <w:t>.</w:t>
      </w:r>
      <w:r>
        <w:tab/>
        <w:t>References to trust acquisition</w:t>
      </w:r>
      <w:bookmarkEnd w:id="279"/>
      <w:bookmarkEnd w:id="280"/>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240"/>
      </w:pPr>
      <w:bookmarkStart w:id="281" w:name="_Toc201228928"/>
      <w:bookmarkStart w:id="282" w:name="_Toc182409993"/>
      <w:r>
        <w:rPr>
          <w:rStyle w:val="CharSectno"/>
        </w:rPr>
        <w:t>56</w:t>
      </w:r>
      <w:r>
        <w:t>.</w:t>
      </w:r>
      <w:r>
        <w:tab/>
        <w:t>References to trust surrender</w:t>
      </w:r>
      <w:bookmarkEnd w:id="281"/>
      <w:bookmarkEnd w:id="282"/>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283" w:name="_Toc201228929"/>
      <w:bookmarkStart w:id="284" w:name="_Toc182409994"/>
      <w:r>
        <w:rPr>
          <w:rStyle w:val="CharSectno"/>
        </w:rPr>
        <w:t>57</w:t>
      </w:r>
      <w:r>
        <w:t>.</w:t>
      </w:r>
      <w:r>
        <w:tab/>
        <w:t>When discretionary trust holds indirect interest in dutiable property</w:t>
      </w:r>
      <w:bookmarkEnd w:id="283"/>
      <w:bookmarkEnd w:id="284"/>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Sections 156 and 156A apply where it is necessary to determine whether an entity is linked to a trustee of a discretionary trust for the purposes of subsection (1) or section 59(a)(ii) or 61(b).</w:t>
      </w:r>
    </w:p>
    <w:p>
      <w:pPr>
        <w:pStyle w:val="Subsection"/>
        <w:spacing w:before="120"/>
      </w:pPr>
      <w:r>
        <w:tab/>
        <w:t>(3)</w:t>
      </w:r>
      <w:r>
        <w:tab/>
        <w:t>In applying sections 156 and 156A, the trustee of the discretionary trust is the main entity, despite section 152(2) and (3).</w:t>
      </w:r>
    </w:p>
    <w:p>
      <w:pPr>
        <w:pStyle w:val="Footnotesection"/>
      </w:pPr>
      <w:r>
        <w:tab/>
        <w:t>[Section 57 amended: No. 12 of 2019 s. 20.]</w:t>
      </w:r>
    </w:p>
    <w:p>
      <w:pPr>
        <w:pStyle w:val="Heading4"/>
        <w:rPr>
          <w:sz w:val="26"/>
        </w:rPr>
      </w:pPr>
      <w:bookmarkStart w:id="285" w:name="_Toc201217859"/>
      <w:bookmarkStart w:id="286" w:name="_Toc201224232"/>
      <w:bookmarkStart w:id="287" w:name="_Toc201228930"/>
      <w:bookmarkStart w:id="288" w:name="_Toc182388535"/>
      <w:bookmarkStart w:id="289" w:name="_Toc182389197"/>
      <w:bookmarkStart w:id="290" w:name="_Toc182409995"/>
      <w:r>
        <w:rPr>
          <w:sz w:val="26"/>
        </w:rPr>
        <w:t>Subdivision 2 — Trust acquisitions and trust surrenders</w:t>
      </w:r>
      <w:bookmarkEnd w:id="285"/>
      <w:bookmarkEnd w:id="286"/>
      <w:bookmarkEnd w:id="287"/>
      <w:bookmarkEnd w:id="288"/>
      <w:bookmarkEnd w:id="289"/>
      <w:bookmarkEnd w:id="290"/>
    </w:p>
    <w:p>
      <w:pPr>
        <w:pStyle w:val="Heading5"/>
        <w:spacing w:before="200"/>
      </w:pPr>
      <w:bookmarkStart w:id="291" w:name="_Toc201228931"/>
      <w:bookmarkStart w:id="292" w:name="_Toc182409996"/>
      <w:r>
        <w:rPr>
          <w:rStyle w:val="CharSectno"/>
        </w:rPr>
        <w:t>58</w:t>
      </w:r>
      <w:r>
        <w:t>.</w:t>
      </w:r>
      <w:r>
        <w:tab/>
        <w:t>When person acquires interest in discretionary trust</w:t>
      </w:r>
      <w:bookmarkEnd w:id="291"/>
      <w:bookmarkEnd w:id="292"/>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293" w:name="_Toc201228932"/>
      <w:bookmarkStart w:id="294" w:name="_Toc182409997"/>
      <w:r>
        <w:rPr>
          <w:rStyle w:val="CharSectno"/>
        </w:rPr>
        <w:t>59</w:t>
      </w:r>
      <w:r>
        <w:t>.</w:t>
      </w:r>
      <w:r>
        <w:tab/>
        <w:t>Trust acquisition or trust surrender, dutiable value of</w:t>
      </w:r>
      <w:bookmarkEnd w:id="293"/>
      <w:bookmarkEnd w:id="294"/>
    </w:p>
    <w:p>
      <w:pPr>
        <w:pStyle w:val="Subsection"/>
        <w:keepNext/>
        <w:keepLines/>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295" w:name="_Toc201228933"/>
      <w:bookmarkStart w:id="296" w:name="_Toc182409998"/>
      <w:r>
        <w:rPr>
          <w:rStyle w:val="CharSectno"/>
        </w:rPr>
        <w:t>60</w:t>
      </w:r>
      <w:r>
        <w:t>.</w:t>
      </w:r>
      <w:r>
        <w:tab/>
        <w:t>References to interest in discretionary trust of taker in default</w:t>
      </w:r>
      <w:bookmarkEnd w:id="295"/>
      <w:bookmarkEnd w:id="296"/>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keepNext/>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297" w:name="_Toc201228934"/>
      <w:bookmarkStart w:id="298" w:name="_Toc182409999"/>
      <w:r>
        <w:rPr>
          <w:rStyle w:val="CharSectno"/>
        </w:rPr>
        <w:t>61</w:t>
      </w:r>
      <w:r>
        <w:t>.</w:t>
      </w:r>
      <w:r>
        <w:tab/>
        <w:t>Taker in default’s interest, value of for s. 59(b)</w:t>
      </w:r>
      <w:bookmarkEnd w:id="297"/>
      <w:bookmarkEnd w:id="298"/>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assets were a reference to dutiable property; and</w:t>
      </w:r>
    </w:p>
    <w:p>
      <w:pPr>
        <w:pStyle w:val="Indenti"/>
        <w:keepLines/>
      </w:pPr>
      <w:r>
        <w:tab/>
        <w:t>(ii)</w:t>
      </w:r>
      <w:r>
        <w:tab/>
        <w:t>to the main entity’s total direct or indirect interest in the linked entity calculated under section 154A were a reference to the total direct or indirect interest that the trustee of the discretionary trust has in the linked entity, calculated under section 154A(2) to (5) as if the trustee of the discretionary trust were a higher entity referred to in that section.</w:t>
      </w:r>
    </w:p>
    <w:p>
      <w:pPr>
        <w:pStyle w:val="PermNoteHeading"/>
      </w:pPr>
      <w:r>
        <w:tab/>
        <w:t>Note for this section:</w:t>
      </w:r>
    </w:p>
    <w:p>
      <w:pPr>
        <w:pStyle w:val="PermNoteText"/>
        <w:keepNext/>
      </w:pPr>
      <w:r>
        <w:tab/>
      </w:r>
      <w:r>
        <w:tab/>
        <w:t>For example, if the taker in default had a 50% interest in the trust and the trust held dutiable property of $1 000 000, the value of the taker in default’s interest would be $500 000.</w:t>
      </w:r>
    </w:p>
    <w:p>
      <w:pPr>
        <w:pStyle w:val="Footnotesection"/>
      </w:pPr>
      <w:r>
        <w:tab/>
        <w:t>[Section 61 amended: No. 12 of 2019 s. 21.]</w:t>
      </w:r>
    </w:p>
    <w:p>
      <w:pPr>
        <w:pStyle w:val="Heading5"/>
      </w:pPr>
      <w:bookmarkStart w:id="299" w:name="_Toc201228935"/>
      <w:bookmarkStart w:id="300" w:name="_Toc182410000"/>
      <w:r>
        <w:rPr>
          <w:rStyle w:val="CharSectno"/>
        </w:rPr>
        <w:t>62</w:t>
      </w:r>
      <w:r>
        <w:t>.</w:t>
      </w:r>
      <w:r>
        <w:tab/>
        <w:t>When trust acquisition or trust surrender is not dutiable transaction</w:t>
      </w:r>
      <w:bookmarkEnd w:id="299"/>
      <w:bookmarkEnd w:id="300"/>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301" w:name="_Toc201217865"/>
      <w:bookmarkStart w:id="302" w:name="_Toc201224238"/>
      <w:bookmarkStart w:id="303" w:name="_Toc201228936"/>
      <w:bookmarkStart w:id="304" w:name="_Toc182388541"/>
      <w:bookmarkStart w:id="305" w:name="_Toc182389203"/>
      <w:bookmarkStart w:id="306" w:name="_Toc182410001"/>
      <w:r>
        <w:rPr>
          <w:sz w:val="26"/>
        </w:rPr>
        <w:t>Division 3 — Corporate trustees</w:t>
      </w:r>
      <w:bookmarkEnd w:id="301"/>
      <w:bookmarkEnd w:id="302"/>
      <w:bookmarkEnd w:id="303"/>
      <w:bookmarkEnd w:id="304"/>
      <w:bookmarkEnd w:id="305"/>
      <w:bookmarkEnd w:id="306"/>
    </w:p>
    <w:p>
      <w:pPr>
        <w:pStyle w:val="Heading4"/>
        <w:rPr>
          <w:sz w:val="26"/>
        </w:rPr>
      </w:pPr>
      <w:bookmarkStart w:id="307" w:name="_Toc201217866"/>
      <w:bookmarkStart w:id="308" w:name="_Toc201224239"/>
      <w:bookmarkStart w:id="309" w:name="_Toc201228937"/>
      <w:bookmarkStart w:id="310" w:name="_Toc182388542"/>
      <w:bookmarkStart w:id="311" w:name="_Toc182389204"/>
      <w:bookmarkStart w:id="312" w:name="_Toc182410002"/>
      <w:r>
        <w:rPr>
          <w:sz w:val="26"/>
        </w:rPr>
        <w:t>Subdivision 1 — Terms used in this Division</w:t>
      </w:r>
      <w:bookmarkEnd w:id="307"/>
      <w:bookmarkEnd w:id="308"/>
      <w:bookmarkEnd w:id="309"/>
      <w:bookmarkEnd w:id="310"/>
      <w:bookmarkEnd w:id="311"/>
      <w:bookmarkEnd w:id="312"/>
    </w:p>
    <w:p>
      <w:pPr>
        <w:pStyle w:val="Heading5"/>
      </w:pPr>
      <w:bookmarkStart w:id="313" w:name="_Toc201228938"/>
      <w:bookmarkStart w:id="314" w:name="_Toc182410003"/>
      <w:r>
        <w:rPr>
          <w:rStyle w:val="CharSectno"/>
        </w:rPr>
        <w:t>63</w:t>
      </w:r>
      <w:r>
        <w:t>.</w:t>
      </w:r>
      <w:r>
        <w:tab/>
        <w:t>Terms used</w:t>
      </w:r>
      <w:bookmarkEnd w:id="313"/>
      <w:bookmarkEnd w:id="314"/>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315" w:name="_Toc201228939"/>
      <w:bookmarkStart w:id="316" w:name="_Toc182410004"/>
      <w:r>
        <w:rPr>
          <w:rStyle w:val="CharSectno"/>
        </w:rPr>
        <w:t>64</w:t>
      </w:r>
      <w:r>
        <w:t>.</w:t>
      </w:r>
      <w:r>
        <w:tab/>
        <w:t>References to trustee of discretionary trust holding property</w:t>
      </w:r>
      <w:bookmarkEnd w:id="315"/>
      <w:bookmarkEnd w:id="316"/>
    </w:p>
    <w:p>
      <w:pPr>
        <w:pStyle w:val="Subsection"/>
      </w:pPr>
      <w:r>
        <w:tab/>
      </w:r>
      <w:r>
        <w:tab/>
        <w:t>A reference to a trustee of a discretionary trust holding property is a reference to the holding of the property by the trustee under the trust.</w:t>
      </w:r>
    </w:p>
    <w:p>
      <w:pPr>
        <w:pStyle w:val="Heading5"/>
      </w:pPr>
      <w:bookmarkStart w:id="317" w:name="_Toc201228940"/>
      <w:bookmarkStart w:id="318" w:name="_Toc182410005"/>
      <w:r>
        <w:rPr>
          <w:rStyle w:val="CharSectno"/>
        </w:rPr>
        <w:t>65</w:t>
      </w:r>
      <w:r>
        <w:t>.</w:t>
      </w:r>
      <w:r>
        <w:tab/>
        <w:t>References to corporate trustee</w:t>
      </w:r>
      <w:bookmarkEnd w:id="317"/>
      <w:bookmarkEnd w:id="318"/>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319" w:name="_Toc201228941"/>
      <w:bookmarkStart w:id="320" w:name="_Toc182410006"/>
      <w:r>
        <w:rPr>
          <w:rStyle w:val="CharSectno"/>
        </w:rPr>
        <w:t>66</w:t>
      </w:r>
      <w:r>
        <w:t>.</w:t>
      </w:r>
      <w:r>
        <w:tab/>
        <w:t>When corporate trustee holds indirect interest in dutiable property</w:t>
      </w:r>
      <w:bookmarkEnd w:id="319"/>
      <w:bookmarkEnd w:id="320"/>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Sections 156 and 156A apply where it is necessary to determine whether an entity is linked to a corporate trustee for the purposes of subsection (1).</w:t>
      </w:r>
    </w:p>
    <w:p>
      <w:pPr>
        <w:pStyle w:val="Subsection"/>
      </w:pPr>
      <w:r>
        <w:tab/>
        <w:t>(3)</w:t>
      </w:r>
      <w:r>
        <w:tab/>
        <w:t>In applying sections 156 and 156A, the corporate trustee is the main entity, despite section 152(2) and (3).</w:t>
      </w:r>
    </w:p>
    <w:p>
      <w:pPr>
        <w:pStyle w:val="Footnotesection"/>
      </w:pPr>
      <w:r>
        <w:tab/>
        <w:t>[Section 66 amended: No. 12 of 2019 s. 22.]</w:t>
      </w:r>
    </w:p>
    <w:p>
      <w:pPr>
        <w:pStyle w:val="Heading4"/>
        <w:rPr>
          <w:sz w:val="26"/>
        </w:rPr>
      </w:pPr>
      <w:bookmarkStart w:id="321" w:name="_Toc201217871"/>
      <w:bookmarkStart w:id="322" w:name="_Toc201224244"/>
      <w:bookmarkStart w:id="323" w:name="_Toc201228942"/>
      <w:bookmarkStart w:id="324" w:name="_Toc182388547"/>
      <w:bookmarkStart w:id="325" w:name="_Toc182389209"/>
      <w:bookmarkStart w:id="326" w:name="_Toc182410007"/>
      <w:r>
        <w:rPr>
          <w:sz w:val="26"/>
        </w:rPr>
        <w:t>Subdivision 2 — Disposition of shares in a corporate trustee</w:t>
      </w:r>
      <w:bookmarkEnd w:id="321"/>
      <w:bookmarkEnd w:id="322"/>
      <w:bookmarkEnd w:id="323"/>
      <w:bookmarkEnd w:id="324"/>
      <w:bookmarkEnd w:id="325"/>
      <w:bookmarkEnd w:id="326"/>
    </w:p>
    <w:p>
      <w:pPr>
        <w:pStyle w:val="Heading5"/>
        <w:spacing w:before="180"/>
      </w:pPr>
      <w:bookmarkStart w:id="327" w:name="_Toc201228943"/>
      <w:bookmarkStart w:id="328" w:name="_Toc182410008"/>
      <w:r>
        <w:rPr>
          <w:rStyle w:val="CharSectno"/>
        </w:rPr>
        <w:t>67</w:t>
      </w:r>
      <w:r>
        <w:t>.</w:t>
      </w:r>
      <w:r>
        <w:tab/>
        <w:t xml:space="preserve">Share disposition taken to be agreement </w:t>
      </w:r>
      <w:r>
        <w:rPr>
          <w:snapToGrid w:val="0"/>
        </w:rPr>
        <w:t>for transfer of</w:t>
      </w:r>
      <w:r>
        <w:t xml:space="preserve"> trust property</w:t>
      </w:r>
      <w:bookmarkEnd w:id="327"/>
      <w:bookmarkEnd w:id="328"/>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or will or may result, in a change in any beneficial interest, whether vested or contingent, in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Footnotesection"/>
      </w:pPr>
      <w:r>
        <w:tab/>
        <w:t>[Section 67 amended: No. 12 of 2019 s. 23.]</w:t>
      </w:r>
    </w:p>
    <w:p>
      <w:pPr>
        <w:pStyle w:val="Heading5"/>
        <w:spacing w:before="180"/>
      </w:pPr>
      <w:bookmarkStart w:id="329" w:name="_Toc201228944"/>
      <w:bookmarkStart w:id="330" w:name="_Toc182410009"/>
      <w:r>
        <w:rPr>
          <w:rStyle w:val="CharSectno"/>
        </w:rPr>
        <w:t>68</w:t>
      </w:r>
      <w:r>
        <w:t>.</w:t>
      </w:r>
      <w:r>
        <w:tab/>
        <w:t>Transaction referred to in s. 67, dutiable value of</w:t>
      </w:r>
      <w:bookmarkEnd w:id="329"/>
      <w:bookmarkEnd w:id="330"/>
    </w:p>
    <w:p>
      <w:pPr>
        <w:pStyle w:val="Subsection"/>
        <w:spacing w:before="120"/>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spacing w:before="120"/>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assets were a reference to dutiable property; and</w:t>
      </w:r>
    </w:p>
    <w:p>
      <w:pPr>
        <w:pStyle w:val="Indenta"/>
      </w:pPr>
      <w:r>
        <w:tab/>
        <w:t>(b)</w:t>
      </w:r>
      <w:r>
        <w:tab/>
        <w:t>to the main entity’s total direct or indirect interest in the linked entity calculated under section 154A were a reference to the total direct or indirect interest that the corporate trustee has in the linked entity, calculated under section 154A(2) to (5) as if the corporate trustee were a higher entity referred to in that section.</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Footnotesection"/>
      </w:pPr>
      <w:r>
        <w:tab/>
        <w:t>[Section 68 amended: No. 12 of 2019 s. 24.]</w:t>
      </w:r>
    </w:p>
    <w:p>
      <w:pPr>
        <w:pStyle w:val="Heading5"/>
        <w:spacing w:before="180"/>
      </w:pPr>
      <w:bookmarkStart w:id="331" w:name="_Toc201228945"/>
      <w:bookmarkStart w:id="332" w:name="_Toc182410010"/>
      <w:r>
        <w:rPr>
          <w:rStyle w:val="CharSectno"/>
        </w:rPr>
        <w:t>69</w:t>
      </w:r>
      <w:r>
        <w:t>.</w:t>
      </w:r>
      <w:r>
        <w:tab/>
        <w:t>Person liable to pay duty on disposition of share</w:t>
      </w:r>
      <w:bookmarkEnd w:id="331"/>
      <w:bookmarkEnd w:id="332"/>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333" w:name="_Toc201217875"/>
      <w:bookmarkStart w:id="334" w:name="_Toc201224248"/>
      <w:bookmarkStart w:id="335" w:name="_Toc201228946"/>
      <w:bookmarkStart w:id="336" w:name="_Toc182388551"/>
      <w:bookmarkStart w:id="337" w:name="_Toc182389213"/>
      <w:bookmarkStart w:id="338" w:name="_Toc182410011"/>
      <w:r>
        <w:rPr>
          <w:sz w:val="26"/>
        </w:rPr>
        <w:t>Division 4 — Partnerships</w:t>
      </w:r>
      <w:bookmarkEnd w:id="333"/>
      <w:bookmarkEnd w:id="334"/>
      <w:bookmarkEnd w:id="335"/>
      <w:bookmarkEnd w:id="336"/>
      <w:bookmarkEnd w:id="337"/>
      <w:bookmarkEnd w:id="338"/>
    </w:p>
    <w:p>
      <w:pPr>
        <w:pStyle w:val="Heading4"/>
        <w:rPr>
          <w:sz w:val="26"/>
        </w:rPr>
      </w:pPr>
      <w:bookmarkStart w:id="339" w:name="_Toc201217876"/>
      <w:bookmarkStart w:id="340" w:name="_Toc201224249"/>
      <w:bookmarkStart w:id="341" w:name="_Toc201228947"/>
      <w:bookmarkStart w:id="342" w:name="_Toc182388552"/>
      <w:bookmarkStart w:id="343" w:name="_Toc182389214"/>
      <w:bookmarkStart w:id="344" w:name="_Toc182410012"/>
      <w:r>
        <w:rPr>
          <w:sz w:val="26"/>
        </w:rPr>
        <w:t>Subdivision 1 — Terms used in this Division</w:t>
      </w:r>
      <w:bookmarkEnd w:id="339"/>
      <w:bookmarkEnd w:id="340"/>
      <w:bookmarkEnd w:id="341"/>
      <w:bookmarkEnd w:id="342"/>
      <w:bookmarkEnd w:id="343"/>
      <w:bookmarkEnd w:id="344"/>
    </w:p>
    <w:p>
      <w:pPr>
        <w:pStyle w:val="Heading5"/>
        <w:spacing w:before="180"/>
      </w:pPr>
      <w:bookmarkStart w:id="345" w:name="_Toc201228948"/>
      <w:bookmarkStart w:id="346" w:name="_Toc182410013"/>
      <w:r>
        <w:rPr>
          <w:rStyle w:val="CharSectno"/>
        </w:rPr>
        <w:t>70</w:t>
      </w:r>
      <w:r>
        <w:t>.</w:t>
      </w:r>
      <w:r>
        <w:tab/>
        <w:t>Term used: dutiable property</w:t>
      </w:r>
      <w:bookmarkEnd w:id="345"/>
      <w:bookmarkEnd w:id="346"/>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land in Western Australia;</w:t>
      </w:r>
    </w:p>
    <w:p>
      <w:pPr>
        <w:pStyle w:val="Defpara"/>
      </w:pPr>
      <w:r>
        <w:tab/>
        <w:t>(b)</w:t>
      </w:r>
      <w:r>
        <w:tab/>
        <w:t>a chattel in Western Australia;</w:t>
      </w:r>
    </w:p>
    <w:p>
      <w:pPr>
        <w:pStyle w:val="Indenta"/>
      </w:pPr>
      <w:r>
        <w:tab/>
        <w:t>(c)</w:t>
      </w:r>
      <w:r>
        <w:tab/>
        <w:t>a fixed infrastructure control right;</w:t>
      </w:r>
    </w:p>
    <w:p>
      <w:pPr>
        <w:pStyle w:val="Indenta"/>
      </w:pPr>
      <w:r>
        <w:tab/>
        <w:t>(d)</w:t>
      </w:r>
      <w:r>
        <w:tab/>
        <w:t>a fixed infrastructure access right;</w:t>
      </w:r>
    </w:p>
    <w:p>
      <w:pPr>
        <w:pStyle w:val="Indenta"/>
        <w:keepNext/>
      </w:pPr>
      <w:r>
        <w:tab/>
        <w:t>(e)</w:t>
      </w:r>
      <w:r>
        <w:tab/>
        <w:t>a fixed infrastructure statutory licence;</w:t>
      </w:r>
    </w:p>
    <w:p>
      <w:pPr>
        <w:pStyle w:val="Indenta"/>
      </w:pPr>
      <w:r>
        <w:tab/>
        <w:t>(f)</w:t>
      </w:r>
      <w:r>
        <w:tab/>
        <w:t>a derivative mining right.</w:t>
      </w:r>
    </w:p>
    <w:p>
      <w:pPr>
        <w:pStyle w:val="Footnotesection"/>
      </w:pPr>
      <w:r>
        <w:tab/>
        <w:t>[Section 70 amended: No. 17 of 2010 s. 12; No. 12 of 2019 s. 25.]</w:t>
      </w:r>
    </w:p>
    <w:p>
      <w:pPr>
        <w:pStyle w:val="Heading5"/>
      </w:pPr>
      <w:bookmarkStart w:id="347" w:name="_Toc201228949"/>
      <w:bookmarkStart w:id="348" w:name="_Toc182410014"/>
      <w:r>
        <w:rPr>
          <w:rStyle w:val="CharSectno"/>
        </w:rPr>
        <w:t>71</w:t>
      </w:r>
      <w:r>
        <w:t>.</w:t>
      </w:r>
      <w:r>
        <w:tab/>
        <w:t>References to partnership or trust holding property</w:t>
      </w:r>
      <w:bookmarkEnd w:id="347"/>
      <w:bookmarkEnd w:id="348"/>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349" w:name="_Toc201228950"/>
      <w:bookmarkStart w:id="350" w:name="_Toc182410015"/>
      <w:r>
        <w:rPr>
          <w:rStyle w:val="CharSectno"/>
        </w:rPr>
        <w:t>72</w:t>
      </w:r>
      <w:r>
        <w:t>.</w:t>
      </w:r>
      <w:r>
        <w:tab/>
        <w:t>References to partnership acquisition</w:t>
      </w:r>
      <w:bookmarkEnd w:id="349"/>
      <w:bookmarkEnd w:id="350"/>
    </w:p>
    <w:p>
      <w:pPr>
        <w:pStyle w:val="Subsection"/>
      </w:pPr>
      <w:r>
        <w:tab/>
      </w:r>
      <w:r>
        <w:tab/>
        <w:t xml:space="preserve">A reference to a partnership acquisition is to a person acquiring a partnership interest in a partnership that holds — </w:t>
      </w:r>
    </w:p>
    <w:p>
      <w:pPr>
        <w:pStyle w:val="Indenta"/>
      </w:pPr>
      <w:r>
        <w:tab/>
        <w:t>(a)</w:t>
      </w:r>
      <w:r>
        <w:tab/>
        <w:t>land in Western Australia; or</w:t>
      </w:r>
    </w:p>
    <w:p>
      <w:pPr>
        <w:pStyle w:val="Indenta"/>
      </w:pPr>
      <w:r>
        <w:tab/>
        <w:t>(b)</w:t>
      </w:r>
      <w:r>
        <w:tab/>
        <w:t>a fixed infrastructure control right; or</w:t>
      </w:r>
    </w:p>
    <w:p>
      <w:pPr>
        <w:pStyle w:val="Indenta"/>
      </w:pPr>
      <w:r>
        <w:tab/>
        <w:t>(c)</w:t>
      </w:r>
      <w:r>
        <w:tab/>
        <w:t>a fixed infrastructure access right; or</w:t>
      </w:r>
    </w:p>
    <w:p>
      <w:pPr>
        <w:pStyle w:val="Indenta"/>
      </w:pPr>
      <w:r>
        <w:tab/>
        <w:t>(d)</w:t>
      </w:r>
      <w:r>
        <w:tab/>
        <w:t>a derivative mining right; or</w:t>
      </w:r>
    </w:p>
    <w:p>
      <w:pPr>
        <w:pStyle w:val="Indenta"/>
        <w:keepNext/>
      </w:pPr>
      <w:r>
        <w:tab/>
        <w:t>(e)</w:t>
      </w:r>
      <w:r>
        <w:tab/>
        <w:t>an indirect interest in property referred to in paragraph (a), (b), (c) or (d).</w:t>
      </w:r>
    </w:p>
    <w:p>
      <w:pPr>
        <w:pStyle w:val="Footnotesection"/>
      </w:pPr>
      <w:r>
        <w:tab/>
        <w:t>[Section 72 amended: No. 17 of 2010 s. 13; No. 12 of 2019 s. 26.]</w:t>
      </w:r>
    </w:p>
    <w:p>
      <w:pPr>
        <w:pStyle w:val="Heading5"/>
      </w:pPr>
      <w:bookmarkStart w:id="351" w:name="_Toc201228951"/>
      <w:bookmarkStart w:id="352" w:name="_Toc182410016"/>
      <w:r>
        <w:rPr>
          <w:rStyle w:val="CharSectno"/>
        </w:rPr>
        <w:t>73</w:t>
      </w:r>
      <w:r>
        <w:t>.</w:t>
      </w:r>
      <w:r>
        <w:tab/>
        <w:t>When partnership holds indirect interest in property</w:t>
      </w:r>
      <w:bookmarkEnd w:id="351"/>
      <w:bookmarkEnd w:id="352"/>
    </w:p>
    <w:p>
      <w:pPr>
        <w:pStyle w:val="Subsection"/>
      </w:pPr>
      <w:r>
        <w:tab/>
        <w:t>(1)</w:t>
      </w:r>
      <w:r>
        <w:tab/>
        <w:t>A partnership holds an indirect interest in property of a kind referred to in section 72(a), (b), (c) or (d) if an entity linked to the partnership is entitled to property of that kind.</w:t>
      </w:r>
    </w:p>
    <w:p>
      <w:pPr>
        <w:pStyle w:val="Subsection"/>
      </w:pPr>
      <w:r>
        <w:tab/>
        <w:t>(2)</w:t>
      </w:r>
      <w:r>
        <w:tab/>
        <w:t>Sections 156 and 156A apply where it is necessary to determine whether an entity is linked to a partnership for the purposes of subsection (1) or section 76(a)(ii) or 77(1)(b).</w:t>
      </w:r>
    </w:p>
    <w:p>
      <w:pPr>
        <w:pStyle w:val="Subsection"/>
      </w:pPr>
      <w:r>
        <w:tab/>
        <w:t>(3)</w:t>
      </w:r>
      <w:r>
        <w:tab/>
        <w:t>In applying sections 156 and 156A, the partnership is the main entity, despite section 152(2) and (3).</w:t>
      </w:r>
    </w:p>
    <w:p>
      <w:pPr>
        <w:pStyle w:val="Footnotesection"/>
      </w:pPr>
      <w:r>
        <w:tab/>
        <w:t>[Section 73 amended: No. 12 of 2019 s. 27.]</w:t>
      </w:r>
    </w:p>
    <w:p>
      <w:pPr>
        <w:pStyle w:val="Heading5"/>
      </w:pPr>
      <w:bookmarkStart w:id="353" w:name="_Toc201228952"/>
      <w:bookmarkStart w:id="354" w:name="_Toc182410017"/>
      <w:r>
        <w:rPr>
          <w:rStyle w:val="CharSectno"/>
        </w:rPr>
        <w:t>74</w:t>
      </w:r>
      <w:r>
        <w:t>.</w:t>
      </w:r>
      <w:r>
        <w:tab/>
        <w:t>References to partner’s partnership interest</w:t>
      </w:r>
      <w:bookmarkEnd w:id="353"/>
      <w:bookmarkEnd w:id="354"/>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Heading4"/>
        <w:rPr>
          <w:sz w:val="26"/>
        </w:rPr>
      </w:pPr>
      <w:bookmarkStart w:id="355" w:name="_Toc201217882"/>
      <w:bookmarkStart w:id="356" w:name="_Toc201224255"/>
      <w:bookmarkStart w:id="357" w:name="_Toc201228953"/>
      <w:bookmarkStart w:id="358" w:name="_Toc182388558"/>
      <w:bookmarkStart w:id="359" w:name="_Toc182389220"/>
      <w:bookmarkStart w:id="360" w:name="_Toc182410018"/>
      <w:r>
        <w:rPr>
          <w:sz w:val="26"/>
        </w:rPr>
        <w:t>Subdivision 2 — Acquiring partnership interests</w:t>
      </w:r>
      <w:bookmarkEnd w:id="355"/>
      <w:bookmarkEnd w:id="356"/>
      <w:bookmarkEnd w:id="357"/>
      <w:bookmarkEnd w:id="358"/>
      <w:bookmarkEnd w:id="359"/>
      <w:bookmarkEnd w:id="360"/>
    </w:p>
    <w:p>
      <w:pPr>
        <w:pStyle w:val="Heading5"/>
      </w:pPr>
      <w:bookmarkStart w:id="361" w:name="_Toc201228954"/>
      <w:bookmarkStart w:id="362" w:name="_Toc182410019"/>
      <w:r>
        <w:rPr>
          <w:rStyle w:val="CharSectno"/>
        </w:rPr>
        <w:t>75</w:t>
      </w:r>
      <w:r>
        <w:t>.</w:t>
      </w:r>
      <w:r>
        <w:tab/>
        <w:t>When person acquires partnership interest</w:t>
      </w:r>
      <w:bookmarkEnd w:id="361"/>
      <w:bookmarkEnd w:id="362"/>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keepNext/>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363" w:name="_Toc201228955"/>
      <w:bookmarkStart w:id="364" w:name="_Toc182410020"/>
      <w:r>
        <w:rPr>
          <w:rStyle w:val="CharSectno"/>
        </w:rPr>
        <w:t>76</w:t>
      </w:r>
      <w:r>
        <w:t>.</w:t>
      </w:r>
      <w:r>
        <w:tab/>
        <w:t>Partnership acquisition, dutiable value of</w:t>
      </w:r>
      <w:bookmarkEnd w:id="363"/>
      <w:bookmarkEnd w:id="364"/>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365" w:name="_Toc201228956"/>
      <w:bookmarkStart w:id="366" w:name="_Toc182410021"/>
      <w:r>
        <w:rPr>
          <w:rStyle w:val="CharSectno"/>
        </w:rPr>
        <w:t>77</w:t>
      </w:r>
      <w:r>
        <w:t>.</w:t>
      </w:r>
      <w:r>
        <w:tab/>
        <w:t>Partnership interest, value of for s. 76(b)</w:t>
      </w:r>
      <w:bookmarkEnd w:id="365"/>
      <w:bookmarkEnd w:id="366"/>
    </w:p>
    <w:p>
      <w:pPr>
        <w:pStyle w:val="Subsection"/>
        <w:keepNext/>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partnership has in the linked entity, calculated under section 154A(2) to (5) as if the partnership were a higher entity referred to in that section.</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(other than any joint property) is to be disregarded.</w:t>
      </w:r>
    </w:p>
    <w:p>
      <w:pPr>
        <w:pStyle w:val="Subsection"/>
        <w:keepNext/>
      </w:pPr>
      <w:r>
        <w:tab/>
        <w:t>(2A)</w:t>
      </w:r>
      <w:r>
        <w:tab/>
        <w:t xml:space="preserve">In determining the value of a partnership interest the subject of a new partner’s partnership acquisition on formation of a partnership, the value determined under subsections (1) and (2) is to be reduced, for each interest in joint property the new partner contributed to the partnership on its formation, by — </w:t>
      </w:r>
    </w:p>
    <w:p>
      <w:pPr>
        <w:pStyle w:val="Indenta"/>
      </w:pPr>
      <w:r>
        <w:tab/>
        <w:t>(a)</w:t>
      </w:r>
      <w:r>
        <w:tab/>
        <w:t>the unencumbered value, when liability for duty on the transaction arises, of that interest; or</w:t>
      </w:r>
    </w:p>
    <w:p>
      <w:pPr>
        <w:pStyle w:val="Indenta"/>
      </w:pPr>
      <w:r>
        <w:tab/>
        <w:t>(b)</w:t>
      </w:r>
      <w:r>
        <w:tab/>
        <w:t xml:space="preserve">if the amount determined under paragraph (a) is greater than the amount (the </w:t>
      </w:r>
      <w:r>
        <w:rPr>
          <w:rStyle w:val="CharDefText"/>
        </w:rPr>
        <w:t>cap amount</w:t>
      </w:r>
      <w:r>
        <w:t>) determined by applying the new partner’s partnership interest to the total unencumbered value, when liability for duty on the transaction arises, of the joint property to which that interest relates — the cap amount.</w:t>
      </w:r>
    </w:p>
    <w:p>
      <w:pPr>
        <w:pStyle w:val="Subsection"/>
      </w:pPr>
      <w:r>
        <w:tab/>
        <w:t>(2B)</w:t>
      </w:r>
      <w:r>
        <w:tab/>
        <w:t>For the purposes of subsections (2) and (2A), joint property is property held by the new partner jointly with 1 or more other partners.</w:t>
      </w:r>
    </w:p>
    <w:p>
      <w:pPr>
        <w:pStyle w:val="Subsection"/>
      </w:pPr>
      <w:r>
        <w:tab/>
        <w:t>(3)</w:t>
      </w:r>
      <w:r>
        <w:tab/>
        <w:t xml:space="preserve">For the purposes of subsections (2) and (2A),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Footnotesection"/>
      </w:pPr>
      <w:r>
        <w:tab/>
        <w:t>[Section 77 amended: No. 12 of 2019 s. 28.]</w:t>
      </w:r>
    </w:p>
    <w:p>
      <w:pPr>
        <w:pStyle w:val="Heading5"/>
      </w:pPr>
      <w:bookmarkStart w:id="367" w:name="_Toc201228957"/>
      <w:bookmarkStart w:id="368" w:name="_Toc182410022"/>
      <w:r>
        <w:rPr>
          <w:rStyle w:val="CharSectno"/>
        </w:rPr>
        <w:t>78</w:t>
      </w:r>
      <w:r>
        <w:t>.</w:t>
      </w:r>
      <w:r>
        <w:tab/>
        <w:t>Dutiable value of transfer of dutiable property to retiring partner</w:t>
      </w:r>
      <w:bookmarkEnd w:id="367"/>
      <w:bookmarkEnd w:id="368"/>
    </w:p>
    <w:p>
      <w:pPr>
        <w:pStyle w:val="Subsection"/>
      </w:pPr>
      <w:r>
        <w:tab/>
        <w:t>(1)</w:t>
      </w:r>
      <w:r>
        <w:tab/>
        <w:t xml:space="preserve">This section applies if — </w:t>
      </w:r>
    </w:p>
    <w:p>
      <w:pPr>
        <w:pStyle w:val="Indenta"/>
      </w:pPr>
      <w:r>
        <w:tab/>
        <w:t>(a)</w:t>
      </w:r>
      <w:r>
        <w:tab/>
        <w:t xml:space="preserve">a person (the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on the retirement or dissolution, dutiable property (the </w:t>
      </w:r>
      <w:r>
        <w:rPr>
          <w:rStyle w:val="CharDefText"/>
        </w:rPr>
        <w:t>transfer property</w:t>
      </w:r>
      <w:r>
        <w:t>) of the partnership is transferred or agreed to be transferred to the retiring partner; and</w:t>
      </w:r>
    </w:p>
    <w:p>
      <w:pPr>
        <w:pStyle w:val="Indenta"/>
      </w:pPr>
      <w:r>
        <w:tab/>
        <w:t>(c)</w:t>
      </w:r>
      <w:r>
        <w:tab/>
        <w:t xml:space="preserve">the transfer property is, or is an interest in, a particular item of dutiable property (the </w:t>
      </w:r>
      <w:r>
        <w:rPr>
          <w:rStyle w:val="CharDefText"/>
        </w:rPr>
        <w:t>relevant partnership property</w:t>
      </w:r>
      <w:r>
        <w:t>) held by the partnership immediately before the retirement or dissolution.</w:t>
      </w:r>
    </w:p>
    <w:p>
      <w:pPr>
        <w:pStyle w:val="Subsection"/>
      </w:pPr>
      <w:r>
        <w:tab/>
        <w:t>(2)</w:t>
      </w:r>
      <w:r>
        <w:tab/>
        <w:t xml:space="preserve">In determining the dutiable value of the dutiable transaction that is the transfer or agreement referred to in subsection (1)(b), the unencumbered value of the transfer property is to be determined as follows — </w:t>
      </w:r>
    </w:p>
    <w:p>
      <w:pPr>
        <w:pStyle w:val="Indenta"/>
      </w:pPr>
      <w:r>
        <w:tab/>
        <w:t>(a)</w:t>
      </w:r>
      <w:r>
        <w:tab/>
        <w:t xml:space="preserve">first, the aggregate unencumbered value of the following is to be determined — </w:t>
      </w:r>
    </w:p>
    <w:p>
      <w:pPr>
        <w:pStyle w:val="Indenti"/>
      </w:pPr>
      <w:r>
        <w:tab/>
        <w:t>(i)</w:t>
      </w:r>
      <w:r>
        <w:tab/>
        <w:t>the transfer property;</w:t>
      </w:r>
    </w:p>
    <w:p>
      <w:pPr>
        <w:pStyle w:val="Indenti"/>
      </w:pPr>
      <w:r>
        <w:tab/>
        <w:t>(ii)</w:t>
      </w:r>
      <w:r>
        <w:tab/>
        <w:t>if the transfer property is an interest in the relevant partnership property — relevant retained property (if any) in relation to the transfer property;</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keepNext/>
      </w:pPr>
      <w:r>
        <w:tab/>
        <w:t>(3)</w:t>
      </w:r>
      <w:r>
        <w:tab/>
        <w:t xml:space="preserve">Property is relevant retained property in relation to the transfer property for the purposes of subsection (2)(a)(ii) if — </w:t>
      </w:r>
    </w:p>
    <w:p>
      <w:pPr>
        <w:pStyle w:val="Indenta"/>
      </w:pPr>
      <w:r>
        <w:tab/>
        <w:t>(a)</w:t>
      </w:r>
      <w:r>
        <w:tab/>
        <w:t>the property is also an interest in the relevant partnership property; and</w:t>
      </w:r>
    </w:p>
    <w:p>
      <w:pPr>
        <w:pStyle w:val="Indenta"/>
      </w:pPr>
      <w:r>
        <w:tab/>
        <w:t>(b)</w:t>
      </w:r>
      <w:r>
        <w:tab/>
        <w:t>immediately before the retirement or dissolution, the retiring partner was the legal owner of the property and held it for the partnership; and</w:t>
      </w:r>
    </w:p>
    <w:p>
      <w:pPr>
        <w:pStyle w:val="Indenta"/>
      </w:pPr>
      <w:r>
        <w:tab/>
        <w:t>(c)</w:t>
      </w:r>
      <w:r>
        <w:tab/>
        <w:t>immediately after the retirement or dissolution, the retiring partner remains the legal owner of the property but no longer holds it for the partnership.</w:t>
      </w:r>
    </w:p>
    <w:p>
      <w:pPr>
        <w:pStyle w:val="Subsection"/>
      </w:pPr>
      <w:r>
        <w:tab/>
        <w:t>(4)</w:t>
      </w:r>
      <w:r>
        <w:tab/>
        <w:t>This section does not apply to a transfer that is taken to occur under section 78A(2).</w:t>
      </w:r>
    </w:p>
    <w:p>
      <w:pPr>
        <w:pStyle w:val="Footnotesection"/>
      </w:pPr>
      <w:r>
        <w:tab/>
        <w:t>[Section 78 inserted: No. 12 of 2019 s. 29.]</w:t>
      </w:r>
    </w:p>
    <w:p>
      <w:pPr>
        <w:pStyle w:val="Heading5"/>
      </w:pPr>
      <w:bookmarkStart w:id="369" w:name="_Toc201228958"/>
      <w:bookmarkStart w:id="370" w:name="_Toc182410023"/>
      <w:r>
        <w:rPr>
          <w:rStyle w:val="CharSectno"/>
        </w:rPr>
        <w:t>78A</w:t>
      </w:r>
      <w:r>
        <w:t>.</w:t>
      </w:r>
      <w:r>
        <w:tab/>
        <w:t>Certain retained property taken to be transferred to retiring partner</w:t>
      </w:r>
      <w:bookmarkEnd w:id="369"/>
      <w:bookmarkEnd w:id="370"/>
    </w:p>
    <w:p>
      <w:pPr>
        <w:pStyle w:val="Subsection"/>
      </w:pPr>
      <w:r>
        <w:tab/>
        <w:t>(1)</w:t>
      </w:r>
      <w:r>
        <w:tab/>
        <w:t xml:space="preserve">This section applies if — </w:t>
      </w:r>
    </w:p>
    <w:p>
      <w:pPr>
        <w:pStyle w:val="Indenta"/>
      </w:pPr>
      <w:r>
        <w:tab/>
        <w:t>(a)</w:t>
      </w:r>
      <w:r>
        <w:tab/>
        <w:t xml:space="preserve">a person (a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immediately before the retirement or dissolution, the retiring partner was the legal owner of dutiable property (the </w:t>
      </w:r>
      <w:r>
        <w:rPr>
          <w:rStyle w:val="CharDefText"/>
        </w:rPr>
        <w:t>retained property</w:t>
      </w:r>
      <w:r>
        <w:t>) and held the property for the partnership; and</w:t>
      </w:r>
    </w:p>
    <w:p>
      <w:pPr>
        <w:pStyle w:val="Indenta"/>
      </w:pPr>
      <w:r>
        <w:tab/>
        <w:t>(c)</w:t>
      </w:r>
      <w:r>
        <w:tab/>
        <w:t>immediately after the retirement or dissolution, the retiring partner remains the legal owner of the retained property but no longer holds it for the partnership; and</w:t>
      </w:r>
    </w:p>
    <w:p>
      <w:pPr>
        <w:pStyle w:val="Indenta"/>
      </w:pPr>
      <w:r>
        <w:tab/>
        <w:t>(d)</w:t>
      </w:r>
      <w:r>
        <w:tab/>
        <w:t xml:space="preserve">the retained property is, or is an interest in, a particular item of dutiable property (the </w:t>
      </w:r>
      <w:r>
        <w:rPr>
          <w:rStyle w:val="CharDefText"/>
        </w:rPr>
        <w:t>relevant partnership property</w:t>
      </w:r>
      <w:r>
        <w:t>) held by the partnership immediately before the retirement or dissolution; and</w:t>
      </w:r>
    </w:p>
    <w:p>
      <w:pPr>
        <w:pStyle w:val="Indenta"/>
      </w:pPr>
      <w:r>
        <w:tab/>
        <w:t>(e)</w:t>
      </w:r>
      <w:r>
        <w:tab/>
        <w:t>the retained property is or includes property referred to in section 72(a) to (d).</w:t>
      </w:r>
    </w:p>
    <w:p>
      <w:pPr>
        <w:pStyle w:val="Subsection"/>
      </w:pPr>
      <w:r>
        <w:tab/>
        <w:t>(2)</w:t>
      </w:r>
      <w:r>
        <w:tab/>
        <w:t>When the retirement or dissolution occurs, there is taken to be a dutiable transaction consisting of the transfer of the retained property to the retiring partner.</w:t>
      </w:r>
    </w:p>
    <w:p>
      <w:pPr>
        <w:pStyle w:val="Subsection"/>
      </w:pPr>
      <w:r>
        <w:tab/>
        <w:t>(3)</w:t>
      </w:r>
      <w:r>
        <w:tab/>
        <w:t xml:space="preserve">In determining the dutiable value of a dutiable transaction under subsection (2) (a </w:t>
      </w:r>
      <w:r>
        <w:rPr>
          <w:rStyle w:val="CharDefText"/>
        </w:rPr>
        <w:t>deemed transaction</w:t>
      </w:r>
      <w:r>
        <w:t xml:space="preserve">), the unencumbered value of the retained property is to be determined as follows — </w:t>
      </w:r>
    </w:p>
    <w:p>
      <w:pPr>
        <w:pStyle w:val="Indenta"/>
      </w:pPr>
      <w:r>
        <w:tab/>
        <w:t>(a)</w:t>
      </w:r>
      <w:r>
        <w:tab/>
        <w:t xml:space="preserve">first, the unencumbered value of the retained property when liability for duty on the deemed transaction arises is to be determined; </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(4)</w:t>
      </w:r>
      <w:r>
        <w:tab/>
        <w:t>This section does not apply to retained property if the unencumbered value of the retained property is to be taken into account in determining the dutiable value of a transaction to which section 78 applies.</w:t>
      </w:r>
    </w:p>
    <w:p>
      <w:pPr>
        <w:pStyle w:val="Footnotesection"/>
      </w:pPr>
      <w:r>
        <w:tab/>
        <w:t>[Section 78A inserted: No. 12 of 2019 s. 29.]</w:t>
      </w:r>
    </w:p>
    <w:p>
      <w:pPr>
        <w:pStyle w:val="Heading4"/>
        <w:keepNext w:val="0"/>
        <w:spacing w:before="260"/>
        <w:rPr>
          <w:sz w:val="26"/>
        </w:rPr>
      </w:pPr>
      <w:bookmarkStart w:id="371" w:name="_Toc201217888"/>
      <w:bookmarkStart w:id="372" w:name="_Toc201224261"/>
      <w:bookmarkStart w:id="373" w:name="_Toc201228959"/>
      <w:bookmarkStart w:id="374" w:name="_Toc182388564"/>
      <w:bookmarkStart w:id="375" w:name="_Toc182389226"/>
      <w:bookmarkStart w:id="376" w:name="_Toc182410024"/>
      <w:r>
        <w:rPr>
          <w:sz w:val="26"/>
        </w:rPr>
        <w:t>Division 5 — Western Australian business assets</w:t>
      </w:r>
      <w:bookmarkEnd w:id="371"/>
      <w:bookmarkEnd w:id="372"/>
      <w:bookmarkEnd w:id="373"/>
      <w:bookmarkEnd w:id="374"/>
      <w:bookmarkEnd w:id="375"/>
      <w:bookmarkEnd w:id="376"/>
    </w:p>
    <w:p>
      <w:pPr>
        <w:pStyle w:val="Heading4"/>
        <w:rPr>
          <w:sz w:val="26"/>
        </w:rPr>
      </w:pPr>
      <w:bookmarkStart w:id="377" w:name="_Toc201217889"/>
      <w:bookmarkStart w:id="378" w:name="_Toc201224262"/>
      <w:bookmarkStart w:id="379" w:name="_Toc201228960"/>
      <w:bookmarkStart w:id="380" w:name="_Toc182388565"/>
      <w:bookmarkStart w:id="381" w:name="_Toc182389227"/>
      <w:bookmarkStart w:id="382" w:name="_Toc182410025"/>
      <w:r>
        <w:rPr>
          <w:sz w:val="26"/>
        </w:rPr>
        <w:t>Subdivision 1 — Terms used in this Division</w:t>
      </w:r>
      <w:bookmarkEnd w:id="377"/>
      <w:bookmarkEnd w:id="378"/>
      <w:bookmarkEnd w:id="379"/>
      <w:bookmarkEnd w:id="380"/>
      <w:bookmarkEnd w:id="381"/>
      <w:bookmarkEnd w:id="382"/>
    </w:p>
    <w:p>
      <w:pPr>
        <w:pStyle w:val="Heading5"/>
        <w:keepNext w:val="0"/>
        <w:keepLines w:val="0"/>
      </w:pPr>
      <w:bookmarkStart w:id="383" w:name="_Toc201228961"/>
      <w:bookmarkStart w:id="384" w:name="_Toc182410026"/>
      <w:r>
        <w:rPr>
          <w:rStyle w:val="CharSectno"/>
        </w:rPr>
        <w:t>79</w:t>
      </w:r>
      <w:r>
        <w:t>.</w:t>
      </w:r>
      <w:r>
        <w:tab/>
        <w:t>Terms used</w:t>
      </w:r>
      <w:bookmarkEnd w:id="383"/>
      <w:bookmarkEnd w:id="384"/>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 </w:t>
      </w:r>
    </w:p>
    <w:p>
      <w:pPr>
        <w:pStyle w:val="Defpara"/>
      </w:pPr>
      <w:r>
        <w:tab/>
        <w:t>(a)</w:t>
      </w:r>
      <w:r>
        <w:tab/>
        <w:t xml:space="preserve">means a licence, permit or authority which is issued, granted or given under — </w:t>
      </w:r>
    </w:p>
    <w:p>
      <w:pPr>
        <w:pStyle w:val="Defsubpara"/>
      </w:pPr>
      <w:r>
        <w:tab/>
        <w:t>(i)</w:t>
      </w:r>
      <w:r>
        <w:tab/>
        <w:t>a written law and which is required by a written law to be held by a person carrying out an activity for gain or reward; or</w:t>
      </w:r>
    </w:p>
    <w:p>
      <w:pPr>
        <w:pStyle w:val="Defsubpara"/>
      </w:pPr>
      <w:r>
        <w:tab/>
        <w:t>(ii)</w:t>
      </w:r>
      <w:r>
        <w:tab/>
        <w:t>a law of the Commonwealth and which is required by a law of the Commonwealth to be held by a person carrying out an activity in Western Australia for gain or reward;</w:t>
      </w:r>
    </w:p>
    <w:p>
      <w:pPr>
        <w:pStyle w:val="Defpara"/>
      </w:pPr>
      <w:r>
        <w:tab/>
      </w:r>
      <w:r>
        <w:tab/>
        <w:t>but</w:t>
      </w:r>
    </w:p>
    <w:p>
      <w:pPr>
        <w:pStyle w:val="Defpara"/>
      </w:pPr>
      <w:r>
        <w:tab/>
        <w:t>(b)</w:t>
      </w:r>
      <w:r>
        <w:tab/>
        <w:t>does not include a fixed infrastructure access right, a fixed infrastructure control right or a fixed infrastructure statutory licence;</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keepNex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keepLines/>
      </w:pPr>
      <w:r>
        <w:tab/>
        <w:t>(b)</w:t>
      </w:r>
      <w:r>
        <w:tab/>
        <w:t>anything else that has the following characteristics —</w:t>
      </w:r>
    </w:p>
    <w:p>
      <w:pPr>
        <w:pStyle w:val="Defsubpara"/>
        <w:keepNext/>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keepNext/>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been carried on in or from Western Australia; or</w:t>
      </w:r>
    </w:p>
    <w:p>
      <w:pPr>
        <w:pStyle w:val="Defsubpara"/>
        <w:keepLines w:val="0"/>
      </w:pPr>
      <w:r>
        <w:tab/>
        <w:t>(ii)</w:t>
      </w:r>
      <w:r>
        <w:tab/>
        <w:t>supplied commodities or provided services to customers in Western Australia;</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Western Australia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Footnotesection"/>
      </w:pPr>
      <w:r>
        <w:tab/>
        <w:t>[Section 79 amended: No. 12 of 2019 s. 30.]</w:t>
      </w:r>
    </w:p>
    <w:p>
      <w:pPr>
        <w:pStyle w:val="Heading4"/>
        <w:rPr>
          <w:sz w:val="26"/>
        </w:rPr>
      </w:pPr>
      <w:bookmarkStart w:id="385" w:name="_Toc201217891"/>
      <w:bookmarkStart w:id="386" w:name="_Toc201224264"/>
      <w:bookmarkStart w:id="387" w:name="_Toc201228962"/>
      <w:bookmarkStart w:id="388" w:name="_Toc182388567"/>
      <w:bookmarkStart w:id="389" w:name="_Toc182389229"/>
      <w:bookmarkStart w:id="390" w:name="_Toc182410027"/>
      <w:r>
        <w:rPr>
          <w:sz w:val="26"/>
        </w:rPr>
        <w:t>Subdivision 2 — Particular transactions involving business assets</w:t>
      </w:r>
      <w:bookmarkEnd w:id="385"/>
      <w:bookmarkEnd w:id="386"/>
      <w:bookmarkEnd w:id="387"/>
      <w:bookmarkEnd w:id="388"/>
      <w:bookmarkEnd w:id="389"/>
      <w:bookmarkEnd w:id="390"/>
    </w:p>
    <w:p>
      <w:pPr>
        <w:pStyle w:val="Heading5"/>
      </w:pPr>
      <w:bookmarkStart w:id="391" w:name="_Toc201228963"/>
      <w:bookmarkStart w:id="392" w:name="_Toc182410028"/>
      <w:r>
        <w:rPr>
          <w:rStyle w:val="CharSectno"/>
        </w:rPr>
        <w:t>80</w:t>
      </w:r>
      <w:r>
        <w:t>.</w:t>
      </w:r>
      <w:r>
        <w:tab/>
        <w:t>Some transactions involving business licences to be taken to be agreements for transfer</w:t>
      </w:r>
      <w:bookmarkEnd w:id="391"/>
      <w:bookmarkEnd w:id="392"/>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for the transfer to the other person of the business licence that is to be relinquished or is not to be renewed.</w:t>
      </w:r>
    </w:p>
    <w:p>
      <w:pPr>
        <w:pStyle w:val="Footnotesection"/>
      </w:pPr>
      <w:r>
        <w:tab/>
        <w:t>[Section 80 amended: No. 12 of 2019 s. 31.]</w:t>
      </w:r>
    </w:p>
    <w:p>
      <w:pPr>
        <w:pStyle w:val="Heading5"/>
      </w:pPr>
      <w:bookmarkStart w:id="393" w:name="_Toc201228964"/>
      <w:bookmarkStart w:id="394" w:name="_Toc182410029"/>
      <w:r>
        <w:rPr>
          <w:rStyle w:val="CharSectno"/>
        </w:rPr>
        <w:t>81</w:t>
      </w:r>
      <w:r>
        <w:t>.</w:t>
      </w:r>
      <w:r>
        <w:tab/>
        <w:t>Transactions for particular WA business assets that are not dutiable transactions</w:t>
      </w:r>
      <w:bookmarkEnd w:id="393"/>
      <w:bookmarkEnd w:id="394"/>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 fixed infrastructure control right, a fixed infrastructure access right or a fixed infrastructure statutory licence,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Footnotesection"/>
      </w:pPr>
      <w:r>
        <w:tab/>
        <w:t>[Section 81 amended: No. 12 of 2019 s. 32.]</w:t>
      </w:r>
    </w:p>
    <w:p>
      <w:pPr>
        <w:pStyle w:val="Heading4"/>
        <w:rPr>
          <w:sz w:val="26"/>
        </w:rPr>
      </w:pPr>
      <w:bookmarkStart w:id="395" w:name="_Toc201217894"/>
      <w:bookmarkStart w:id="396" w:name="_Toc201224267"/>
      <w:bookmarkStart w:id="397" w:name="_Toc201228965"/>
      <w:bookmarkStart w:id="398" w:name="_Toc182388570"/>
      <w:bookmarkStart w:id="399" w:name="_Toc182389232"/>
      <w:bookmarkStart w:id="400" w:name="_Toc182410030"/>
      <w:r>
        <w:rPr>
          <w:sz w:val="26"/>
        </w:rPr>
        <w:t>Subdivision 3 — Dutiable value of dutiable transactions for business assets</w:t>
      </w:r>
      <w:bookmarkEnd w:id="395"/>
      <w:bookmarkEnd w:id="396"/>
      <w:bookmarkEnd w:id="397"/>
      <w:bookmarkEnd w:id="398"/>
      <w:bookmarkEnd w:id="399"/>
      <w:bookmarkEnd w:id="400"/>
    </w:p>
    <w:p>
      <w:pPr>
        <w:pStyle w:val="Heading5"/>
        <w:spacing w:before="240"/>
      </w:pPr>
      <w:bookmarkStart w:id="401" w:name="_Toc201228966"/>
      <w:bookmarkStart w:id="402" w:name="_Toc182410031"/>
      <w:r>
        <w:rPr>
          <w:rStyle w:val="CharSectno"/>
        </w:rPr>
        <w:t>82</w:t>
      </w:r>
      <w:r>
        <w:t>.</w:t>
      </w:r>
      <w:r>
        <w:tab/>
        <w:t>Dutiable transaction for business asset, dutiable value of</w:t>
      </w:r>
      <w:bookmarkEnd w:id="401"/>
      <w:bookmarkEnd w:id="402"/>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403" w:name="_Toc201228967"/>
      <w:bookmarkStart w:id="404" w:name="_Toc182410032"/>
      <w:r>
        <w:rPr>
          <w:rStyle w:val="CharSectno"/>
        </w:rPr>
        <w:t>83</w:t>
      </w:r>
      <w:r>
        <w:t>.</w:t>
      </w:r>
      <w:r>
        <w:tab/>
        <w:t>Certain business licences required by Cwlth law, dutiable value of for s. 82(a)</w:t>
      </w:r>
      <w:bookmarkEnd w:id="403"/>
      <w:bookmarkEnd w:id="404"/>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the portion of the consideration for the transaction that relates to the carrying out of an activity in Western Australia under the authority of the business licence.</w:t>
      </w:r>
    </w:p>
    <w:p>
      <w:pPr>
        <w:pStyle w:val="Heading5"/>
        <w:spacing w:before="240"/>
      </w:pPr>
      <w:bookmarkStart w:id="405" w:name="_Toc201228968"/>
      <w:bookmarkStart w:id="406" w:name="_Toc182410033"/>
      <w:r>
        <w:rPr>
          <w:rStyle w:val="CharSectno"/>
        </w:rPr>
        <w:t>84</w:t>
      </w:r>
      <w:r>
        <w:t>.</w:t>
      </w:r>
      <w:r>
        <w:tab/>
        <w:t>Business licences required by WA law, dutiable value of for s. 82(b)</w:t>
      </w:r>
      <w:bookmarkEnd w:id="405"/>
      <w:bookmarkEnd w:id="406"/>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keepNext/>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407" w:name="_Toc201228969"/>
      <w:bookmarkStart w:id="408" w:name="_Toc182410034"/>
      <w:r>
        <w:rPr>
          <w:rStyle w:val="CharSectno"/>
        </w:rPr>
        <w:t>85</w:t>
      </w:r>
      <w:r>
        <w:t>.</w:t>
      </w:r>
      <w:r>
        <w:tab/>
        <w:t>Dutiable value of business asset where principal place of business is in WA</w:t>
      </w:r>
      <w:bookmarkEnd w:id="407"/>
      <w:bookmarkEnd w:id="408"/>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pict>
          <v:shape id="_x0000_i1028" type="#_x0000_t75" style="width:114.75pt;height:29.25pt">
            <v:imagedata r:id="rId16" o:title=""/>
          </v:shape>
        </w:pict>
      </w:r>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409" w:name="_Toc201228970"/>
      <w:bookmarkStart w:id="410" w:name="_Toc182410035"/>
      <w:r>
        <w:rPr>
          <w:rStyle w:val="CharSectno"/>
        </w:rPr>
        <w:t>86</w:t>
      </w:r>
      <w:r>
        <w:t>.</w:t>
      </w:r>
      <w:r>
        <w:tab/>
        <w:t>Dutiable value of business asset where principal place of business is out of WA</w:t>
      </w:r>
      <w:bookmarkEnd w:id="409"/>
      <w:bookmarkEnd w:id="410"/>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pict>
          <v:shape id="_x0000_i1029" type="#_x0000_t75" style="width:101.25pt;height:29.25pt">
            <v:imagedata r:id="rId17" o:title=""/>
          </v:shape>
        </w:pict>
      </w:r>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411" w:name="_Toc201217900"/>
      <w:bookmarkStart w:id="412" w:name="_Toc201224273"/>
      <w:bookmarkStart w:id="413" w:name="_Toc201228971"/>
      <w:bookmarkStart w:id="414" w:name="_Toc182388576"/>
      <w:bookmarkStart w:id="415" w:name="_Toc182389238"/>
      <w:bookmarkStart w:id="416" w:name="_Toc182410036"/>
      <w:r>
        <w:rPr>
          <w:sz w:val="26"/>
        </w:rPr>
        <w:t>Division 6 — Conditional agreements</w:t>
      </w:r>
      <w:bookmarkEnd w:id="411"/>
      <w:bookmarkEnd w:id="412"/>
      <w:bookmarkEnd w:id="413"/>
      <w:bookmarkEnd w:id="414"/>
      <w:bookmarkEnd w:id="415"/>
      <w:bookmarkEnd w:id="416"/>
    </w:p>
    <w:p>
      <w:pPr>
        <w:pStyle w:val="Heading5"/>
        <w:spacing w:before="240"/>
      </w:pPr>
      <w:bookmarkStart w:id="417" w:name="_Toc201228972"/>
      <w:bookmarkStart w:id="418" w:name="_Toc182410037"/>
      <w:r>
        <w:rPr>
          <w:rStyle w:val="CharSectno"/>
        </w:rPr>
        <w:t>87</w:t>
      </w:r>
      <w:r>
        <w:t>.</w:t>
      </w:r>
      <w:r>
        <w:tab/>
        <w:t>References to conditional agreement</w:t>
      </w:r>
      <w:bookmarkEnd w:id="417"/>
      <w:bookmarkEnd w:id="418"/>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(ia)</w:t>
      </w:r>
      <w:r>
        <w:tab/>
        <w:t xml:space="preserve">the registration of a community titles scheme or an amendment of a community titles scheme under the </w:t>
      </w:r>
      <w:r>
        <w:rPr>
          <w:i/>
        </w:rPr>
        <w:t>Community Titles Act 2018</w:t>
      </w:r>
      <w:r>
        <w:t>; or</w:t>
      </w:r>
    </w:p>
    <w:p>
      <w:pPr>
        <w:pStyle w:val="Indenti"/>
      </w:pPr>
      <w:r>
        <w:tab/>
        <w:t>(ii)</w:t>
      </w:r>
      <w:r>
        <w:tab/>
        <w:t xml:space="preserve">the registration of a strata titles scheme or an amendment of a strata titles scheme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(b), (c) or (d) of a person referred to in paragraph (e); or</w:t>
      </w:r>
    </w:p>
    <w:p>
      <w:pPr>
        <w:pStyle w:val="Indenta"/>
      </w:pPr>
      <w:r>
        <w:tab/>
        <w:t>(g)</w:t>
      </w:r>
      <w:r>
        <w:tab/>
        <w:t>the spouse or de facto partner of a person mentioned in paragraph (a), (b), (c) or (d); or</w:t>
      </w:r>
    </w:p>
    <w:p>
      <w:pPr>
        <w:pStyle w:val="Indenta"/>
        <w:keepNext/>
      </w:pPr>
      <w:r>
        <w:tab/>
        <w:t>(h)</w:t>
      </w:r>
      <w:r>
        <w:tab/>
        <w:t>a child or remoter lineal descendant of a former spouse or former de facto partner of a person,</w:t>
      </w:r>
    </w:p>
    <w:p>
      <w:pPr>
        <w:pStyle w:val="Subsection"/>
        <w:keepNext/>
      </w:pPr>
      <w:r>
        <w:tab/>
      </w:r>
      <w:r>
        <w:tab/>
        <w:t>or more than one of them.</w:t>
      </w:r>
    </w:p>
    <w:p>
      <w:pPr>
        <w:pStyle w:val="Footnotesection"/>
        <w:ind w:left="890" w:hanging="890"/>
      </w:pPr>
      <w:r>
        <w:tab/>
        <w:t>[Section 87 amended: No. 17 of 2010 s. 8; No. 12 of 2019 s. 33; No. 30 of 2018 s. 134; No. 32 of 2018 s. 205.]</w:t>
      </w:r>
    </w:p>
    <w:p>
      <w:pPr>
        <w:pStyle w:val="Heading5"/>
        <w:keepLines w:val="0"/>
        <w:spacing w:before="240"/>
      </w:pPr>
      <w:bookmarkStart w:id="419" w:name="_Toc201228973"/>
      <w:bookmarkStart w:id="420" w:name="_Toc182410038"/>
      <w:r>
        <w:rPr>
          <w:rStyle w:val="CharSectno"/>
        </w:rPr>
        <w:t>88A</w:t>
      </w:r>
      <w:r>
        <w:t>.</w:t>
      </w:r>
      <w:r>
        <w:tab/>
        <w:t>General conditional agreements, no duty on if terminated on relevant grounds</w:t>
      </w:r>
      <w:bookmarkEnd w:id="419"/>
      <w:bookmarkEnd w:id="420"/>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No. 17 of 2010 s. 9.]</w:t>
      </w:r>
    </w:p>
    <w:p>
      <w:pPr>
        <w:pStyle w:val="Heading5"/>
        <w:spacing w:before="240"/>
      </w:pPr>
      <w:bookmarkStart w:id="421" w:name="_Toc201228974"/>
      <w:bookmarkStart w:id="422" w:name="_Toc182410039"/>
      <w:r>
        <w:rPr>
          <w:rStyle w:val="CharSectno"/>
        </w:rPr>
        <w:t>88</w:t>
      </w:r>
      <w:r>
        <w:t>.</w:t>
      </w:r>
      <w:r>
        <w:tab/>
        <w:t>References to farming land conditional agreement</w:t>
      </w:r>
      <w:bookmarkEnd w:id="421"/>
      <w:bookmarkEnd w:id="422"/>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423" w:name="_Toc201228975"/>
      <w:bookmarkStart w:id="424" w:name="_Toc182410040"/>
      <w:r>
        <w:rPr>
          <w:rStyle w:val="CharSectno"/>
        </w:rPr>
        <w:t>89</w:t>
      </w:r>
      <w:r>
        <w:t>.</w:t>
      </w:r>
      <w:r>
        <w:tab/>
        <w:t>References to mining tenement conditional agreement</w:t>
      </w:r>
      <w:bookmarkEnd w:id="423"/>
      <w:bookmarkEnd w:id="424"/>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425" w:name="_Toc201228976"/>
      <w:bookmarkStart w:id="426" w:name="_Toc182410041"/>
      <w:r>
        <w:rPr>
          <w:rStyle w:val="CharSectno"/>
        </w:rPr>
        <w:t>90</w:t>
      </w:r>
      <w:r>
        <w:t>.</w:t>
      </w:r>
      <w:r>
        <w:tab/>
        <w:t>References to issue of title conditional agreement</w:t>
      </w:r>
      <w:bookmarkEnd w:id="425"/>
      <w:bookmarkEnd w:id="426"/>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pPr>
      <w:r>
        <w:tab/>
        <w:t>(ab)</w:t>
      </w:r>
      <w:r>
        <w:tab/>
        <w:t xml:space="preserve">for — </w:t>
      </w:r>
    </w:p>
    <w:p>
      <w:pPr>
        <w:pStyle w:val="Indenti"/>
      </w:pPr>
      <w:r>
        <w:tab/>
        <w:t>(i)</w:t>
      </w:r>
      <w:r>
        <w:tab/>
        <w:t xml:space="preserve">the sale of a lot in a community titles (building) scheme (within the meaning of the </w:t>
      </w:r>
      <w:r>
        <w:rPr>
          <w:i/>
        </w:rPr>
        <w:t>Community Titles Act 2018</w:t>
      </w:r>
      <w:r>
        <w:t>); and</w:t>
      </w:r>
    </w:p>
    <w:p>
      <w:pPr>
        <w:pStyle w:val="Indenti"/>
      </w:pPr>
      <w:r>
        <w:tab/>
        <w:t>(ii)</w:t>
      </w:r>
      <w:r>
        <w:tab/>
        <w:t>the construction on the lot, after liability for duty on the agreement arises, of a building for commercial, residential or mixed use purposes;</w:t>
      </w:r>
    </w:p>
    <w:p>
      <w:pPr>
        <w:pStyle w:val="Indenta"/>
      </w:pPr>
      <w:r>
        <w:tab/>
      </w:r>
      <w:r>
        <w:tab/>
        <w:t>or</w:t>
      </w:r>
    </w:p>
    <w:p>
      <w:pPr>
        <w:pStyle w:val="Indenta"/>
        <w:spacing w:before="60"/>
      </w:pPr>
      <w:r>
        <w:tab/>
        <w:t>(b)</w:t>
      </w:r>
      <w:r>
        <w:tab/>
        <w:t xml:space="preserve">for — </w:t>
      </w:r>
    </w:p>
    <w:p>
      <w:pPr>
        <w:pStyle w:val="Indenti"/>
        <w:spacing w:before="60"/>
      </w:pPr>
      <w:r>
        <w:tab/>
        <w:t>(i)</w:t>
      </w:r>
      <w:r>
        <w:tab/>
        <w:t xml:space="preserve">the sale of a lot in a strata scheme (within the meaning of the </w:t>
      </w:r>
      <w:r>
        <w:rPr>
          <w:i/>
        </w:rPr>
        <w:t>Strata Titles Act 1985</w:t>
      </w:r>
      <w:r>
        <w:t>); and</w:t>
      </w:r>
    </w:p>
    <w:p>
      <w:pPr>
        <w:pStyle w:val="Indenti"/>
        <w:spacing w:before="60"/>
      </w:pPr>
      <w:r>
        <w:tab/>
        <w:t>(ii)</w:t>
      </w:r>
      <w:r>
        <w:tab/>
        <w:t>the construction on the lot, after liability for duty on the agreement arises, of a building for commercial, residential or mixed use purposes.</w:t>
      </w:r>
    </w:p>
    <w:p>
      <w:pPr>
        <w:pStyle w:val="Footnotesection"/>
        <w:spacing w:before="80"/>
        <w:ind w:left="890" w:hanging="890"/>
      </w:pPr>
      <w:r>
        <w:tab/>
        <w:t>[Section 90 inserted: No. 17 of 2010 s. 10; amended: No. 30 of 2018 s. 135; No. 32 of 2018 s. 206.]</w:t>
      </w:r>
    </w:p>
    <w:p>
      <w:pPr>
        <w:pStyle w:val="Heading5"/>
        <w:spacing w:before="180"/>
      </w:pPr>
      <w:bookmarkStart w:id="427" w:name="_Toc201228977"/>
      <w:bookmarkStart w:id="428" w:name="_Toc182410042"/>
      <w:r>
        <w:rPr>
          <w:rStyle w:val="CharSectno"/>
        </w:rPr>
        <w:t>91</w:t>
      </w:r>
      <w:r>
        <w:t>.</w:t>
      </w:r>
      <w:r>
        <w:tab/>
        <w:t>References to subdivision conditional agreement</w:t>
      </w:r>
      <w:bookmarkEnd w:id="427"/>
      <w:bookmarkEnd w:id="428"/>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4"/>
        <w:rPr>
          <w:sz w:val="26"/>
          <w:szCs w:val="26"/>
        </w:rPr>
      </w:pPr>
      <w:bookmarkStart w:id="429" w:name="_Toc201217907"/>
      <w:bookmarkStart w:id="430" w:name="_Toc201224280"/>
      <w:bookmarkStart w:id="431" w:name="_Toc201228978"/>
      <w:bookmarkStart w:id="432" w:name="_Toc182388583"/>
      <w:bookmarkStart w:id="433" w:name="_Toc182389245"/>
      <w:bookmarkStart w:id="434" w:name="_Toc182410043"/>
      <w:r>
        <w:rPr>
          <w:sz w:val="26"/>
        </w:rPr>
        <w:t>Division 7</w:t>
      </w:r>
      <w:r>
        <w:rPr>
          <w:sz w:val="26"/>
          <w:szCs w:val="26"/>
        </w:rPr>
        <w:t> — Rights relating to fixed infrastructure</w:t>
      </w:r>
      <w:bookmarkEnd w:id="429"/>
      <w:bookmarkEnd w:id="430"/>
      <w:bookmarkEnd w:id="431"/>
      <w:bookmarkEnd w:id="432"/>
      <w:bookmarkEnd w:id="433"/>
      <w:bookmarkEnd w:id="434"/>
    </w:p>
    <w:p>
      <w:pPr>
        <w:pStyle w:val="Footnoteheading"/>
        <w:keepNext/>
      </w:pPr>
      <w:r>
        <w:tab/>
        <w:t>[Heading inserted: No. 12 of 2019 s. 34.]</w:t>
      </w:r>
    </w:p>
    <w:p>
      <w:pPr>
        <w:pStyle w:val="Heading5"/>
      </w:pPr>
      <w:bookmarkStart w:id="435" w:name="_Toc201228979"/>
      <w:bookmarkStart w:id="436" w:name="_Toc182410044"/>
      <w:r>
        <w:rPr>
          <w:rStyle w:val="CharSectno"/>
        </w:rPr>
        <w:t>91A</w:t>
      </w:r>
      <w:r>
        <w:t>.</w:t>
      </w:r>
      <w:r>
        <w:tab/>
        <w:t>Terms used</w:t>
      </w:r>
      <w:bookmarkEnd w:id="435"/>
      <w:bookmarkEnd w:id="436"/>
    </w:p>
    <w:p>
      <w:pPr>
        <w:pStyle w:val="Subsection"/>
      </w:pPr>
      <w:r>
        <w:tab/>
        <w:t>(1)</w:t>
      </w:r>
      <w:r>
        <w:tab/>
        <w:t xml:space="preserve">In this Division — </w:t>
      </w:r>
    </w:p>
    <w:p>
      <w:pPr>
        <w:pStyle w:val="Defstart"/>
      </w:pPr>
      <w:r>
        <w:tab/>
      </w:r>
      <w:r>
        <w:rPr>
          <w:rStyle w:val="CharDefText"/>
        </w:rPr>
        <w:t>fixed infrastructure</w:t>
      </w:r>
      <w:r>
        <w:rPr>
          <w:rStyle w:val="CharDefText"/>
          <w:b w:val="0"/>
          <w:i w:val="0"/>
        </w:rPr>
        <w:t xml:space="preserve"> </w:t>
      </w:r>
      <w:r>
        <w:t>means dutiable property that is land in Western Australia that is a thing to which section 3A(1)(f) applies;</w:t>
      </w:r>
    </w:p>
    <w:p>
      <w:pPr>
        <w:pStyle w:val="Defstart"/>
      </w:pPr>
      <w:r>
        <w:tab/>
      </w:r>
      <w:r>
        <w:rPr>
          <w:rStyle w:val="CharDefText"/>
        </w:rPr>
        <w:t>fixed infrastructure access right</w:t>
      </w:r>
      <w:r>
        <w:t xml:space="preserve"> means a licence or other right that authorises access to or use of any land for — </w:t>
      </w:r>
    </w:p>
    <w:p>
      <w:pPr>
        <w:pStyle w:val="Defpara"/>
      </w:pPr>
      <w:r>
        <w:tab/>
        <w:t>(a)</w:t>
      </w:r>
      <w:r>
        <w:tab/>
        <w:t>a purpose related to the control, operation, use, construction, inspection, testing, maintenance or repair of fixed infrastructure or of things used in conjunction with fixed infrastructure; or</w:t>
      </w:r>
    </w:p>
    <w:p>
      <w:pPr>
        <w:pStyle w:val="Defpara"/>
      </w:pPr>
      <w:r>
        <w:tab/>
        <w:t>(b)</w:t>
      </w:r>
      <w:r>
        <w:tab/>
        <w:t>any other purpose associated with fixed infrastructure;</w:t>
      </w:r>
    </w:p>
    <w:p>
      <w:pPr>
        <w:pStyle w:val="Defstart"/>
        <w:keepNext/>
      </w:pPr>
      <w:r>
        <w:tab/>
      </w:r>
      <w:r>
        <w:rPr>
          <w:rStyle w:val="CharDefText"/>
        </w:rPr>
        <w:t>fixed infrastructure control right</w:t>
      </w:r>
      <w:r>
        <w:t xml:space="preserve"> — </w:t>
      </w:r>
    </w:p>
    <w:p>
      <w:pPr>
        <w:pStyle w:val="Defpara"/>
      </w:pPr>
      <w:r>
        <w:tab/>
        <w:t>(a)</w:t>
      </w:r>
      <w:r>
        <w:tab/>
        <w:t>means a lease, licence or other right that enables the holder to have the day</w:t>
      </w:r>
      <w:r>
        <w:noBreakHyphen/>
        <w:t>to</w:t>
      </w:r>
      <w:r>
        <w:noBreakHyphen/>
        <w:t>day control, and the operation or use, of fixed infrastructure; but</w:t>
      </w:r>
    </w:p>
    <w:p>
      <w:pPr>
        <w:pStyle w:val="Defpara"/>
      </w:pPr>
      <w:r>
        <w:tab/>
        <w:t>(b)</w:t>
      </w:r>
      <w:r>
        <w:tab/>
        <w:t xml:space="preserve">does not include — </w:t>
      </w:r>
    </w:p>
    <w:p>
      <w:pPr>
        <w:pStyle w:val="Defsubpara"/>
      </w:pPr>
      <w:r>
        <w:tab/>
        <w:t>(i)</w:t>
      </w:r>
      <w:r>
        <w:tab/>
        <w:t>a security interest; or</w:t>
      </w:r>
    </w:p>
    <w:p>
      <w:pPr>
        <w:pStyle w:val="Defsubpara"/>
      </w:pPr>
      <w:r>
        <w:tab/>
        <w:t>(ii)</w:t>
      </w:r>
      <w:r>
        <w:tab/>
        <w:t>a fixed infrastructure statutory licence;</w:t>
      </w:r>
    </w:p>
    <w:p>
      <w:pPr>
        <w:pStyle w:val="Defstart"/>
      </w:pPr>
      <w:r>
        <w:tab/>
      </w:r>
      <w:r>
        <w:rPr>
          <w:rStyle w:val="CharDefText"/>
        </w:rPr>
        <w:t>fixed infrastructure statutory licence</w:t>
      </w:r>
      <w:r>
        <w:t xml:space="preserve"> means a licence, permit or authority that is issued, granted or given under a written law or a law of the Commonwealth (the </w:t>
      </w:r>
      <w:r>
        <w:rPr>
          <w:rStyle w:val="CharDefText"/>
        </w:rPr>
        <w:t>issuing law</w:t>
      </w:r>
      <w:r>
        <w:t xml:space="preserve">) if — </w:t>
      </w:r>
    </w:p>
    <w:p>
      <w:pPr>
        <w:pStyle w:val="Defpara"/>
      </w:pPr>
      <w:r>
        <w:tab/>
        <w:t>(a)</w:t>
      </w:r>
      <w:r>
        <w:tab/>
        <w:t xml:space="preserve">the licence, permit or authority authorises the ownership, control, operation or use of a thing (the </w:t>
      </w:r>
      <w:r>
        <w:rPr>
          <w:rStyle w:val="CharDefText"/>
        </w:rPr>
        <w:t>relevant activity</w:t>
      </w:r>
      <w:r>
        <w:t>); and</w:t>
      </w:r>
    </w:p>
    <w:p>
      <w:pPr>
        <w:pStyle w:val="Indenta"/>
      </w:pPr>
      <w:r>
        <w:tab/>
        <w:t>(b)</w:t>
      </w:r>
      <w:r>
        <w:tab/>
        <w:t>the issuing law prohibits a person that does not hold such a licence, permit or authority from engaging in the relevant activity; and</w:t>
      </w:r>
    </w:p>
    <w:p>
      <w:pPr>
        <w:pStyle w:val="Indenta"/>
      </w:pPr>
      <w:r>
        <w:tab/>
        <w:t>(c)</w:t>
      </w:r>
      <w:r>
        <w:tab/>
        <w:t>the thing referred to in paragraph (a) is fixed infrastructure;</w:t>
      </w:r>
    </w:p>
    <w:p>
      <w:pPr>
        <w:pStyle w:val="Defstart"/>
      </w:pPr>
      <w:r>
        <w:tab/>
      </w:r>
      <w:r>
        <w:rPr>
          <w:rStyle w:val="CharDefText"/>
        </w:rPr>
        <w:t>landholder</w:t>
      </w:r>
      <w:r>
        <w:t xml:space="preserve"> has the meaning given in section 148(1);</w:t>
      </w:r>
    </w:p>
    <w:p>
      <w:pPr>
        <w:pStyle w:val="Defstart"/>
      </w:pPr>
      <w:r>
        <w:tab/>
      </w:r>
      <w:r>
        <w:rPr>
          <w:rStyle w:val="CharDefText"/>
        </w:rPr>
        <w:t>linked entity</w:t>
      </w:r>
      <w:r>
        <w:t xml:space="preserve"> has the meaning given in section 148(1).</w:t>
      </w:r>
    </w:p>
    <w:p>
      <w:pPr>
        <w:pStyle w:val="Subsection"/>
      </w:pPr>
      <w:r>
        <w:tab/>
        <w:t>(2)</w:t>
      </w:r>
      <w:r>
        <w:tab/>
        <w:t xml:space="preserve">In the definition of </w:t>
      </w:r>
      <w:r>
        <w:rPr>
          <w:rStyle w:val="CharDefText"/>
        </w:rPr>
        <w:t>fixed infrastructure access right</w:t>
      </w:r>
      <w:r>
        <w:t xml:space="preserve"> in subsection (1), a reference to land does not include anything that is land under section 3A(1)(f) or (g).</w:t>
      </w:r>
    </w:p>
    <w:p>
      <w:pPr>
        <w:pStyle w:val="Subsection"/>
      </w:pPr>
      <w:r>
        <w:tab/>
        <w:t>(3)</w:t>
      </w:r>
      <w:r>
        <w:tab/>
        <w:t>Despite subsection (1), anything that is land is not a fixed infrastructure control right, fixed infrastructure access right or fixed infrastructure statutory licence.</w:t>
      </w:r>
    </w:p>
    <w:p>
      <w:pPr>
        <w:pStyle w:val="Subsection"/>
        <w:keepNext/>
        <w:keepLines/>
      </w:pPr>
      <w:r>
        <w:tab/>
        <w:t>(4)</w:t>
      </w:r>
      <w:r>
        <w:tab/>
        <w:t xml:space="preserve">The regulations may prescribe classes of right that, despite subsection (1), are excluded from the definition of </w:t>
      </w:r>
      <w:r>
        <w:rPr>
          <w:rStyle w:val="CharDefText"/>
        </w:rPr>
        <w:t>fixed infrastructure access right</w:t>
      </w:r>
      <w:r>
        <w:t xml:space="preserve">, </w:t>
      </w:r>
      <w:r>
        <w:rPr>
          <w:rStyle w:val="CharDefText"/>
        </w:rPr>
        <w:t>fixed infrastructure control right</w:t>
      </w:r>
      <w:r>
        <w:t xml:space="preserve"> or </w:t>
      </w:r>
      <w:r>
        <w:rPr>
          <w:rStyle w:val="CharDefText"/>
        </w:rPr>
        <w:t>fixed infrastructure statutory licence</w:t>
      </w:r>
      <w:r>
        <w:rPr>
          <w:b/>
        </w:rPr>
        <w:t xml:space="preserve"> </w:t>
      </w:r>
      <w:r>
        <w:t>in that subsection.</w:t>
      </w:r>
    </w:p>
    <w:p>
      <w:pPr>
        <w:pStyle w:val="Footnotesection"/>
      </w:pPr>
      <w:r>
        <w:tab/>
        <w:t>[Section 91A inserted: No. 12 of 2019 s. 34.]</w:t>
      </w:r>
    </w:p>
    <w:p>
      <w:pPr>
        <w:pStyle w:val="Heading5"/>
      </w:pPr>
      <w:bookmarkStart w:id="437" w:name="_Toc201228980"/>
      <w:bookmarkStart w:id="438" w:name="_Toc182410045"/>
      <w:r>
        <w:rPr>
          <w:rStyle w:val="CharSectno"/>
        </w:rPr>
        <w:t>91B</w:t>
      </w:r>
      <w:r>
        <w:t>.</w:t>
      </w:r>
      <w:r>
        <w:tab/>
        <w:t>Some transactions involving fixed infrastructure statutory licences to be taken to be agreements for transfer</w:t>
      </w:r>
      <w:bookmarkEnd w:id="437"/>
      <w:bookmarkEnd w:id="438"/>
    </w:p>
    <w:p>
      <w:pPr>
        <w:pStyle w:val="Subsection"/>
      </w:pPr>
      <w:r>
        <w:tab/>
      </w:r>
      <w:r>
        <w:tab/>
        <w:t>When a person agrees to relinquish a fixed infrastructure statutory licence held by that person, or agrees not to apply for a renewal of such a fixed infrastructure statutory licence, so that it, or another, can be issued, granted or given to another person, that agreement is taken to be an agreement for the transfer to the other person of the fixed infrastructure statutory licence that is to be relinquished or is not to be renewed.</w:t>
      </w:r>
    </w:p>
    <w:p>
      <w:pPr>
        <w:pStyle w:val="Footnotesection"/>
      </w:pPr>
      <w:r>
        <w:tab/>
        <w:t>[Section 91B inserted: No. 12 of 2019 s. 34.]</w:t>
      </w:r>
    </w:p>
    <w:p>
      <w:pPr>
        <w:pStyle w:val="Heading5"/>
      </w:pPr>
      <w:bookmarkStart w:id="439" w:name="_Toc201228981"/>
      <w:bookmarkStart w:id="440" w:name="_Toc182410046"/>
      <w:r>
        <w:rPr>
          <w:rStyle w:val="CharSectno"/>
        </w:rPr>
        <w:t>91C</w:t>
      </w:r>
      <w:r>
        <w:t>.</w:t>
      </w:r>
      <w:r>
        <w:tab/>
        <w:t>Which transactions as to fixed infrastructure access rights and fixed infrastructure statutory licences are dutiable</w:t>
      </w:r>
      <w:bookmarkEnd w:id="439"/>
      <w:bookmarkEnd w:id="440"/>
    </w:p>
    <w:p>
      <w:pPr>
        <w:pStyle w:val="Subsection"/>
      </w:pPr>
      <w:r>
        <w:tab/>
        <w:t>(1)</w:t>
      </w:r>
      <w:r>
        <w:tab/>
        <w:t xml:space="preserve">For the purposes of this section, a transaction (the </w:t>
      </w:r>
      <w:r>
        <w:rPr>
          <w:rStyle w:val="CharDefText"/>
        </w:rPr>
        <w:t>fixed infrastructure transaction</w:t>
      </w:r>
      <w:r>
        <w:t>) is not a dutiable transaction to the extent that the fixed infrastructure transaction relates to dutiable property that consists of a fixed infrastructure access right or a fixed infrastructure statutory licence unless subsection (2), (3) or (4) applies.</w:t>
      </w:r>
    </w:p>
    <w:p>
      <w:pPr>
        <w:pStyle w:val="Subsection"/>
      </w:pPr>
      <w:r>
        <w:tab/>
        <w:t>(2)</w:t>
      </w:r>
      <w:r>
        <w:tab/>
        <w:t xml:space="preserve">This subsection applies if the dutiable property to which the fixed infrastructure transaction relates also includes any of the following — </w:t>
      </w:r>
    </w:p>
    <w:p>
      <w:pPr>
        <w:pStyle w:val="Indenta"/>
      </w:pPr>
      <w:r>
        <w:tab/>
        <w:t>(a)</w:t>
      </w:r>
      <w:r>
        <w:tab/>
        <w:t>fixed infrastructure (</w:t>
      </w:r>
      <w:r>
        <w:rPr>
          <w:rStyle w:val="CharDefText"/>
        </w:rPr>
        <w:t>relevant fixed infrastructure</w:t>
      </w:r>
      <w:r>
        <w:t>) to which the fixed infrastructure access right or fixed infrastructure statutory licence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keepNext/>
      </w:pPr>
      <w:r>
        <w:tab/>
        <w:t>(3)</w:t>
      </w:r>
      <w:r>
        <w:tab/>
        <w:t xml:space="preserve">This subsection applies if — </w:t>
      </w:r>
    </w:p>
    <w:p>
      <w:pPr>
        <w:pStyle w:val="Indenta"/>
      </w:pPr>
      <w:r>
        <w:tab/>
        <w:t>(a)</w:t>
      </w:r>
      <w:r>
        <w:tab/>
        <w:t>there is another transaction that is a dutiable transaction and that relates to any dutiable property referred to in subsection (2)(a), (b) or (c); and</w:t>
      </w:r>
    </w:p>
    <w:p>
      <w:pPr>
        <w:pStyle w:val="Indenta"/>
      </w:pPr>
      <w:r>
        <w:tab/>
        <w:t>(b)</w:t>
      </w:r>
      <w:r>
        <w:tab/>
        <w:t>the fixed infrastructure transaction and the other transaction together form, evidence, give effect to or arise from what is, substantially one arrangement.</w:t>
      </w:r>
    </w:p>
    <w:p>
      <w:pPr>
        <w:pStyle w:val="Subsection"/>
      </w:pPr>
      <w:r>
        <w:tab/>
        <w:t>(4)</w:t>
      </w:r>
      <w:r>
        <w:tab/>
        <w:t xml:space="preserve">This subsection applies if — </w:t>
      </w:r>
    </w:p>
    <w:p>
      <w:pPr>
        <w:pStyle w:val="Indenta"/>
      </w:pPr>
      <w:r>
        <w:tab/>
        <w:t>(a)</w:t>
      </w:r>
      <w:r>
        <w:tab/>
        <w:t>there is a relevant acquisition of an interest in a landholder for the purposes of Chapter 3 or an agreement for the making of such an acquisition; and</w:t>
      </w:r>
    </w:p>
    <w:p>
      <w:pPr>
        <w:pStyle w:val="Indenta"/>
      </w:pPr>
      <w:r>
        <w:tab/>
        <w:t>(b)</w:t>
      </w:r>
      <w:r>
        <w:tab/>
        <w:t>the landholder, or a linked entity in respect of the landholder, is entitled to any property referred to in subsection (2)(a), (b) or (c); and</w:t>
      </w:r>
    </w:p>
    <w:p>
      <w:pPr>
        <w:pStyle w:val="Indenta"/>
      </w:pPr>
      <w:r>
        <w:tab/>
        <w:t>(c)</w:t>
      </w:r>
      <w:r>
        <w:tab/>
        <w:t>the fixed infrastructure transaction and the acquisition or agreement together form, evidence, give effect to or arise from what is, substantially one arrangement.</w:t>
      </w:r>
    </w:p>
    <w:p>
      <w:pPr>
        <w:pStyle w:val="Subsection"/>
      </w:pPr>
      <w:r>
        <w:tab/>
        <w:t>(5)</w:t>
      </w:r>
      <w:r>
        <w:tab/>
        <w:t>Section 37(2) applies in relation to transactions referred to in subsection (3)(b) as if the fixed infrastructure transaction were a dutiable transaction.</w:t>
      </w:r>
    </w:p>
    <w:p>
      <w:pPr>
        <w:pStyle w:val="Subsection"/>
      </w:pPr>
      <w:r>
        <w:tab/>
        <w:t>(6)</w:t>
      </w:r>
      <w:r>
        <w:tab/>
        <w:t>Section 14(4) and (5) apply in relation to a fixed infrastructure transaction and acquisition or agreement referred to in subsection (4)(c) as if they were a transaction and acquisition or agreement referred to in section 14(3).</w:t>
      </w:r>
    </w:p>
    <w:p>
      <w:pPr>
        <w:pStyle w:val="Subsection"/>
      </w:pPr>
      <w:r>
        <w:tab/>
        <w:t>(7)</w:t>
      </w:r>
      <w:r>
        <w:tab/>
        <w:t>For the purposes of the application of this section to a transaction that is a partnership acquisition, the partnership acquisition is taken to relate to the property of a kind referred to in section 72(a) to (d) held by the partnership or in which the partnership has an indirect interest under section 73.</w:t>
      </w:r>
    </w:p>
    <w:p>
      <w:pPr>
        <w:pStyle w:val="Footnotesection"/>
      </w:pPr>
      <w:r>
        <w:tab/>
        <w:t>[Section 91C inserted: No. 12 of 2019 s. 34.]</w:t>
      </w:r>
    </w:p>
    <w:p>
      <w:pPr>
        <w:pStyle w:val="Heading5"/>
      </w:pPr>
      <w:bookmarkStart w:id="441" w:name="_Toc201228982"/>
      <w:bookmarkStart w:id="442" w:name="_Toc182410047"/>
      <w:r>
        <w:rPr>
          <w:rStyle w:val="CharSectno"/>
        </w:rPr>
        <w:t>91D</w:t>
      </w:r>
      <w:r>
        <w:t>.</w:t>
      </w:r>
      <w:r>
        <w:tab/>
        <w:t>Dutiable value of fixed infrastructure statutory licences</w:t>
      </w:r>
      <w:bookmarkEnd w:id="441"/>
      <w:bookmarkEnd w:id="442"/>
    </w:p>
    <w:p>
      <w:pPr>
        <w:pStyle w:val="Subsection"/>
      </w:pPr>
      <w:r>
        <w:tab/>
        <w:t>(1)</w:t>
      </w:r>
      <w:r>
        <w:tab/>
        <w:t xml:space="preserve">The dutiable value of a dutiable transaction for a fixed infrastructure statutory licence issued, granted or given under a law of the Commonwealth is the greater of — </w:t>
      </w:r>
    </w:p>
    <w:p>
      <w:pPr>
        <w:pStyle w:val="Indenta"/>
      </w:pPr>
      <w:r>
        <w:tab/>
        <w:t>(a)</w:t>
      </w:r>
      <w:r>
        <w:tab/>
        <w:t xml:space="preserve">the value of the fixed infrastructure statutory licence so far as it authorises the ownership, control, operation or use of fixed infrastructure (a </w:t>
      </w:r>
      <w:r>
        <w:rPr>
          <w:rStyle w:val="CharDefText"/>
        </w:rPr>
        <w:t>fixed infrastructure activity</w:t>
      </w:r>
      <w:r>
        <w:t>); or</w:t>
      </w:r>
    </w:p>
    <w:p>
      <w:pPr>
        <w:pStyle w:val="Indenta"/>
      </w:pPr>
      <w:r>
        <w:tab/>
        <w:t>(b)</w:t>
      </w:r>
      <w:r>
        <w:tab/>
        <w:t>the portion of the consideration for the transaction that relates to the carrying out of a fixed infrastructure activity under the authority of the licence.</w:t>
      </w:r>
    </w:p>
    <w:p>
      <w:pPr>
        <w:pStyle w:val="Subsection"/>
      </w:pPr>
      <w:r>
        <w:tab/>
        <w:t>(2)</w:t>
      </w:r>
      <w:r>
        <w:tab/>
        <w:t xml:space="preserve">The dutiable value of a dutiable transaction for a fixed infrastructure statutory licence issued, granted or given under a law of Western Australia is — </w:t>
      </w:r>
    </w:p>
    <w:p>
      <w:pPr>
        <w:pStyle w:val="Indenta"/>
      </w:pPr>
      <w:r>
        <w:tab/>
        <w:t>(a)</w:t>
      </w:r>
      <w:r>
        <w:tab/>
        <w:t>the consideration for the dutiable transaction; or</w:t>
      </w:r>
    </w:p>
    <w:p>
      <w:pPr>
        <w:pStyle w:val="Indenta"/>
      </w:pPr>
      <w:r>
        <w:tab/>
        <w:t>(b)</w:t>
      </w:r>
      <w:r>
        <w:tab/>
        <w:t xml:space="preserve">the unencumbered value of the fixed infrastructure statutory licence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keepNext/>
      </w:pPr>
      <w:r>
        <w:tab/>
        <w:t>(iii)</w:t>
      </w:r>
      <w:r>
        <w:tab/>
        <w:t>the unencumbered value is greater than the consideration for the transaction.</w:t>
      </w:r>
    </w:p>
    <w:p>
      <w:pPr>
        <w:pStyle w:val="Footnotesection"/>
      </w:pPr>
      <w:r>
        <w:tab/>
        <w:t>[Section 91D inserted: No. 12 of 2019 s. 34.]</w:t>
      </w:r>
    </w:p>
    <w:p>
      <w:pPr>
        <w:pStyle w:val="Heading4"/>
        <w:rPr>
          <w:sz w:val="26"/>
          <w:szCs w:val="26"/>
        </w:rPr>
      </w:pPr>
      <w:bookmarkStart w:id="443" w:name="_Toc201217912"/>
      <w:bookmarkStart w:id="444" w:name="_Toc201224285"/>
      <w:bookmarkStart w:id="445" w:name="_Toc201228983"/>
      <w:bookmarkStart w:id="446" w:name="_Toc182388588"/>
      <w:bookmarkStart w:id="447" w:name="_Toc182389250"/>
      <w:bookmarkStart w:id="448" w:name="_Toc182410048"/>
      <w:r>
        <w:rPr>
          <w:sz w:val="26"/>
          <w:szCs w:val="26"/>
        </w:rPr>
        <w:t>Division 7A — Prospecting licences and related dutiable property</w:t>
      </w:r>
      <w:bookmarkEnd w:id="443"/>
      <w:bookmarkEnd w:id="444"/>
      <w:bookmarkEnd w:id="445"/>
      <w:bookmarkEnd w:id="446"/>
      <w:bookmarkEnd w:id="447"/>
      <w:bookmarkEnd w:id="448"/>
    </w:p>
    <w:p>
      <w:pPr>
        <w:pStyle w:val="Footnoteheading"/>
        <w:keepNext/>
        <w:keepLines/>
      </w:pPr>
      <w:r>
        <w:tab/>
        <w:t>[Heading inserted: No. 16 of 2022 s. 19.]</w:t>
      </w:r>
    </w:p>
    <w:p>
      <w:pPr>
        <w:pStyle w:val="Heading5"/>
      </w:pPr>
      <w:bookmarkStart w:id="449" w:name="_Toc201228984"/>
      <w:bookmarkStart w:id="450" w:name="_Toc182410049"/>
      <w:r>
        <w:rPr>
          <w:rStyle w:val="CharSectno"/>
        </w:rPr>
        <w:t>91DA</w:t>
      </w:r>
      <w:r>
        <w:t>.</w:t>
      </w:r>
      <w:r>
        <w:tab/>
        <w:t>Transactions as to prospecting licences or related dutiable property alone not usually dutiable</w:t>
      </w:r>
      <w:bookmarkEnd w:id="449"/>
      <w:bookmarkEnd w:id="450"/>
    </w:p>
    <w:p>
      <w:pPr>
        <w:pStyle w:val="Subsection"/>
      </w:pPr>
      <w:r>
        <w:tab/>
        <w:t>(1)</w:t>
      </w:r>
      <w:r>
        <w:tab/>
        <w:t xml:space="preserve">Subject to subsections (2) and (3), a transaction is not a dutiable transaction if the only dutiable property the subject of the transaction consists of any or all of the following — </w:t>
      </w:r>
    </w:p>
    <w:p>
      <w:pPr>
        <w:pStyle w:val="Indenta"/>
      </w:pPr>
      <w:r>
        <w:tab/>
        <w:t>(a)</w:t>
      </w:r>
      <w:r>
        <w:tab/>
        <w:t xml:space="preserve">a prospecting licence granted under the </w:t>
      </w:r>
      <w:r>
        <w:rPr>
          <w:i/>
        </w:rPr>
        <w:t>Mining Act 1978</w:t>
      </w:r>
      <w:r>
        <w:t xml:space="preserve"> section 40;</w:t>
      </w:r>
    </w:p>
    <w:p>
      <w:pPr>
        <w:pStyle w:val="Indenta"/>
      </w:pPr>
      <w:r>
        <w:tab/>
        <w:t>(b)</w:t>
      </w:r>
      <w:r>
        <w:tab/>
        <w:t xml:space="preserve">an estate or interest in a prospecting licence granted under the </w:t>
      </w:r>
      <w:r>
        <w:rPr>
          <w:i/>
        </w:rPr>
        <w:t>Mining Act 1978</w:t>
      </w:r>
      <w:r>
        <w:t xml:space="preserve"> section 40;</w:t>
      </w:r>
    </w:p>
    <w:p>
      <w:pPr>
        <w:pStyle w:val="Indenta"/>
      </w:pPr>
      <w:r>
        <w:tab/>
        <w:t>(c)</w:t>
      </w:r>
      <w:r>
        <w:tab/>
        <w:t xml:space="preserve">a derivative mining right in relation to a prospecting licence granted under the </w:t>
      </w:r>
      <w:r>
        <w:rPr>
          <w:i/>
        </w:rPr>
        <w:t>Mining Act 1978</w:t>
      </w:r>
      <w:r>
        <w:t xml:space="preserve"> section 40;</w:t>
      </w:r>
    </w:p>
    <w:p>
      <w:pPr>
        <w:pStyle w:val="Indenta"/>
      </w:pPr>
      <w:r>
        <w:tab/>
        <w:t>(d)</w:t>
      </w:r>
      <w:r>
        <w:tab/>
        <w:t xml:space="preserve">a right under an application for a prospecting licence under the </w:t>
      </w:r>
      <w:r>
        <w:rPr>
          <w:i/>
        </w:rPr>
        <w:t>Mining Act 1978</w:t>
      </w:r>
      <w:r>
        <w:t xml:space="preserve"> section 41;</w:t>
      </w:r>
    </w:p>
    <w:p>
      <w:pPr>
        <w:pStyle w:val="Indenta"/>
      </w:pPr>
      <w:r>
        <w:tab/>
        <w:t>(e)</w:t>
      </w:r>
      <w:r>
        <w:tab/>
        <w:t>a part of, or an interest in, a right of a kind referred to in paragraph (c) or (d).</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keepNext/>
      </w:pPr>
      <w:r>
        <w:tab/>
        <w:t>(b)</w:t>
      </w:r>
      <w:r>
        <w:tab/>
        <w:t>the transaction and the acquisition or agreement together form, evidence, give effect to or arise from what is, substantially one arrangement.</w:t>
      </w:r>
    </w:p>
    <w:p>
      <w:pPr>
        <w:pStyle w:val="Subsection"/>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91DA inserted: No. 16 of 2022 s. 19.]</w:t>
      </w:r>
    </w:p>
    <w:p>
      <w:pPr>
        <w:pStyle w:val="Heading4"/>
        <w:keepLines/>
        <w:rPr>
          <w:sz w:val="26"/>
          <w:szCs w:val="26"/>
        </w:rPr>
      </w:pPr>
      <w:bookmarkStart w:id="451" w:name="_Toc201217914"/>
      <w:bookmarkStart w:id="452" w:name="_Toc201224287"/>
      <w:bookmarkStart w:id="453" w:name="_Toc201228985"/>
      <w:bookmarkStart w:id="454" w:name="_Toc182388590"/>
      <w:bookmarkStart w:id="455" w:name="_Toc182389252"/>
      <w:bookmarkStart w:id="456" w:name="_Toc182410050"/>
      <w:r>
        <w:rPr>
          <w:sz w:val="26"/>
          <w:szCs w:val="26"/>
        </w:rPr>
        <w:t>Division 8 — Derivative mining rights</w:t>
      </w:r>
      <w:bookmarkEnd w:id="451"/>
      <w:bookmarkEnd w:id="452"/>
      <w:bookmarkEnd w:id="453"/>
      <w:bookmarkEnd w:id="454"/>
      <w:bookmarkEnd w:id="455"/>
      <w:bookmarkEnd w:id="456"/>
    </w:p>
    <w:p>
      <w:pPr>
        <w:pStyle w:val="Footnoteheading"/>
        <w:keepNext/>
        <w:keepLines/>
      </w:pPr>
      <w:r>
        <w:tab/>
        <w:t>[Heading inserted: No. 12 of 2019 s. 34.]</w:t>
      </w:r>
    </w:p>
    <w:p>
      <w:pPr>
        <w:pStyle w:val="Heading5"/>
      </w:pPr>
      <w:bookmarkStart w:id="457" w:name="_Toc201228986"/>
      <w:bookmarkStart w:id="458" w:name="_Toc182410051"/>
      <w:r>
        <w:rPr>
          <w:rStyle w:val="CharSectno"/>
        </w:rPr>
        <w:t>91E</w:t>
      </w:r>
      <w:r>
        <w:t>.</w:t>
      </w:r>
      <w:r>
        <w:tab/>
        <w:t>Agreement for transfer of mining tenement conditional on grant of derivative mining right to transferor</w:t>
      </w:r>
      <w:bookmarkEnd w:id="457"/>
      <w:bookmarkEnd w:id="458"/>
    </w:p>
    <w:p>
      <w:pPr>
        <w:pStyle w:val="Subsection"/>
        <w:keepNext/>
        <w:keepLines/>
      </w:pPr>
      <w:r>
        <w:tab/>
        <w:t>(1)</w:t>
      </w:r>
      <w:r>
        <w:tab/>
        <w:t xml:space="preserve">This section applies if — </w:t>
      </w:r>
    </w:p>
    <w:p>
      <w:pPr>
        <w:pStyle w:val="Indenta"/>
      </w:pPr>
      <w:r>
        <w:tab/>
        <w:t>(a)</w:t>
      </w:r>
      <w:r>
        <w:tab/>
        <w:t>there is an agreement for the transfer of a mining tenement from a person (</w:t>
      </w:r>
      <w:r>
        <w:rPr>
          <w:rStyle w:val="CharDefText"/>
        </w:rPr>
        <w:t>person A</w:t>
      </w:r>
      <w:r>
        <w:t>) to another person (</w:t>
      </w:r>
      <w:r>
        <w:rPr>
          <w:rStyle w:val="CharDefText"/>
        </w:rPr>
        <w:t>person B</w:t>
      </w:r>
      <w:r>
        <w:t>); and</w:t>
      </w:r>
    </w:p>
    <w:p>
      <w:pPr>
        <w:pStyle w:val="Indenta"/>
      </w:pPr>
      <w:r>
        <w:tab/>
        <w:t>(b)</w:t>
      </w:r>
      <w:r>
        <w:tab/>
        <w:t xml:space="preserve">it is a condition of the agreement for the transfer that after the transfer person B is to grant a derivative mining right (the </w:t>
      </w:r>
      <w:r>
        <w:rPr>
          <w:rStyle w:val="CharDefText"/>
        </w:rPr>
        <w:t>prospective right</w:t>
      </w:r>
      <w:r>
        <w:t>) in relation to the mining tenement to person A.</w:t>
      </w:r>
    </w:p>
    <w:p>
      <w:pPr>
        <w:pStyle w:val="Subsection"/>
      </w:pPr>
      <w:r>
        <w:tab/>
        <w:t>(2)</w:t>
      </w:r>
      <w:r>
        <w:tab/>
        <w:t>In determining the dutiable value of the agreement referred to in subsection (1)(a), the unencumbered value of the mining tenement is to be determined, despite section 36(1), having regard to the effect of the prospective right on the value of the mining tenement, as if the prospective right were in force when liability for duty on the agreement arose.</w:t>
      </w:r>
    </w:p>
    <w:p>
      <w:pPr>
        <w:pStyle w:val="Subsection"/>
      </w:pPr>
      <w:r>
        <w:tab/>
        <w:t>(3)</w:t>
      </w:r>
      <w:r>
        <w:tab/>
        <w:t>If the agreement referred to in subsection (1)(a) is duty endorsed, duty is not chargeable on the acquisition of the prospective right on its grant by person B.</w:t>
      </w:r>
    </w:p>
    <w:p>
      <w:pPr>
        <w:pStyle w:val="Footnotesection"/>
      </w:pPr>
      <w:r>
        <w:tab/>
        <w:t>[Section 91E inserted: No. 12 of 2019 s. 34.]</w:t>
      </w:r>
    </w:p>
    <w:p>
      <w:pPr>
        <w:pStyle w:val="Heading5"/>
      </w:pPr>
      <w:bookmarkStart w:id="459" w:name="_Toc201228987"/>
      <w:bookmarkStart w:id="460" w:name="_Toc182410052"/>
      <w:r>
        <w:rPr>
          <w:rStyle w:val="CharSectno"/>
        </w:rPr>
        <w:t>91F</w:t>
      </w:r>
      <w:r>
        <w:t>.</w:t>
      </w:r>
      <w:r>
        <w:tab/>
        <w:t>Agreement for transfer of mining tenement conditional on grant of derivative mining right to current right holder</w:t>
      </w:r>
      <w:bookmarkEnd w:id="459"/>
      <w:bookmarkEnd w:id="460"/>
    </w:p>
    <w:p>
      <w:pPr>
        <w:pStyle w:val="Subsection"/>
      </w:pPr>
      <w:r>
        <w:tab/>
        <w:t>(1)</w:t>
      </w:r>
      <w:r>
        <w:tab/>
        <w:t xml:space="preserve">This section applies if — </w:t>
      </w:r>
    </w:p>
    <w:p>
      <w:pPr>
        <w:pStyle w:val="Indenta"/>
      </w:pPr>
      <w:r>
        <w:tab/>
        <w:t>(a)</w:t>
      </w:r>
      <w:r>
        <w:tab/>
        <w:t>there is an agreement for the transfer of a mining tenement to a person (</w:t>
      </w:r>
      <w:r>
        <w:rPr>
          <w:rStyle w:val="CharDefText"/>
        </w:rPr>
        <w:t>person A</w:t>
      </w:r>
      <w:r>
        <w:t>); and</w:t>
      </w:r>
    </w:p>
    <w:p>
      <w:pPr>
        <w:pStyle w:val="Indenta"/>
        <w:keepNext/>
      </w:pPr>
      <w:r>
        <w:tab/>
        <w:t>(b)</w:t>
      </w:r>
      <w:r>
        <w:tab/>
        <w:t xml:space="preserve">it is a condition of the agreement for the transfer that after the transfer person A is to grant a derivative mining right (the </w:t>
      </w:r>
      <w:r>
        <w:rPr>
          <w:rStyle w:val="CharDefText"/>
        </w:rPr>
        <w:t>prospective right</w:t>
      </w:r>
      <w:r>
        <w:t>) in relation to the mining tenement to another person (</w:t>
      </w:r>
      <w:r>
        <w:rPr>
          <w:rStyle w:val="CharDefText"/>
        </w:rPr>
        <w:t>person B</w:t>
      </w:r>
      <w:r>
        <w:t xml:space="preserve">) who — </w:t>
      </w:r>
    </w:p>
    <w:p>
      <w:pPr>
        <w:pStyle w:val="Indenti"/>
      </w:pPr>
      <w:r>
        <w:tab/>
        <w:t>(i)</w:t>
      </w:r>
      <w:r>
        <w:tab/>
        <w:t xml:space="preserve">when the agreement is made, holds a derivative mining right (the </w:t>
      </w:r>
      <w:r>
        <w:rPr>
          <w:rStyle w:val="CharDefText"/>
        </w:rPr>
        <w:t>previous right</w:t>
      </w:r>
      <w:r>
        <w:t>) in relation to the mining tenement that is substantially the same as the prospective right; and</w:t>
      </w:r>
    </w:p>
    <w:p>
      <w:pPr>
        <w:pStyle w:val="Indenti"/>
      </w:pPr>
      <w:r>
        <w:tab/>
        <w:t>(ii)</w:t>
      </w:r>
      <w:r>
        <w:tab/>
        <w:t>will hold the previous right until immediately before the transfer of the mining tenement.</w:t>
      </w:r>
    </w:p>
    <w:p>
      <w:pPr>
        <w:pStyle w:val="Subsection"/>
      </w:pPr>
      <w:r>
        <w:tab/>
        <w:t>(2)</w:t>
      </w:r>
      <w:r>
        <w:tab/>
        <w:t>In determining the dutiable value of the agreement referred to in subsection (1)(a), the unencumbered value of the mining tenement is to be determined, despite section 36(1), having regard to the effect of the previous right on the value of the mining tenement when liability for duty on the agreement arose.</w:t>
      </w:r>
    </w:p>
    <w:p>
      <w:pPr>
        <w:pStyle w:val="Subsection"/>
      </w:pPr>
      <w:r>
        <w:tab/>
        <w:t>(3)</w:t>
      </w:r>
      <w:r>
        <w:tab/>
        <w:t xml:space="preserve">Duty is not chargeable on the acquisition of the prospective right on its grant by person A if both of the following are duty endorsed — </w:t>
      </w:r>
    </w:p>
    <w:p>
      <w:pPr>
        <w:pStyle w:val="Indenta"/>
      </w:pPr>
      <w:r>
        <w:tab/>
        <w:t>(a)</w:t>
      </w:r>
      <w:r>
        <w:tab/>
        <w:t>the agreement referred to in subsection (1)(a);</w:t>
      </w:r>
    </w:p>
    <w:p>
      <w:pPr>
        <w:pStyle w:val="Indenta"/>
        <w:keepNext/>
      </w:pPr>
      <w:r>
        <w:tab/>
        <w:t>(b)</w:t>
      </w:r>
      <w:r>
        <w:tab/>
        <w:t>the acquisition, on its grant, of the previous right.</w:t>
      </w:r>
    </w:p>
    <w:p>
      <w:pPr>
        <w:pStyle w:val="Footnotesection"/>
      </w:pPr>
      <w:r>
        <w:tab/>
        <w:t>[Section 91F inserted: No. 12 of 2019 s. 34.]</w:t>
      </w:r>
    </w:p>
    <w:p>
      <w:pPr>
        <w:pStyle w:val="Heading5"/>
      </w:pPr>
      <w:bookmarkStart w:id="461" w:name="_Toc201228988"/>
      <w:bookmarkStart w:id="462" w:name="_Toc182410053"/>
      <w:r>
        <w:rPr>
          <w:rStyle w:val="CharSectno"/>
        </w:rPr>
        <w:t>91G</w:t>
      </w:r>
      <w:r>
        <w:t>.</w:t>
      </w:r>
      <w:r>
        <w:tab/>
        <w:t>Transfer or agreement for transfer of mining tenement to holder of derivative mining right</w:t>
      </w:r>
      <w:bookmarkEnd w:id="461"/>
      <w:bookmarkEnd w:id="462"/>
    </w:p>
    <w:p>
      <w:pPr>
        <w:pStyle w:val="Subsection"/>
      </w:pPr>
      <w:r>
        <w:tab/>
        <w:t>(1)</w:t>
      </w:r>
      <w:r>
        <w:tab/>
        <w:t xml:space="preserve">This section applies if — </w:t>
      </w:r>
    </w:p>
    <w:p>
      <w:pPr>
        <w:pStyle w:val="Indenta"/>
      </w:pPr>
      <w:r>
        <w:tab/>
        <w:t>(a)</w:t>
      </w:r>
      <w:r>
        <w:tab/>
        <w:t>a person (</w:t>
      </w:r>
      <w:r>
        <w:rPr>
          <w:rStyle w:val="CharDefText"/>
        </w:rPr>
        <w:t>person A</w:t>
      </w:r>
      <w:r>
        <w:t xml:space="preserve">) holds a derivative mining right (the </w:t>
      </w:r>
      <w:r>
        <w:rPr>
          <w:rStyle w:val="CharDefText"/>
        </w:rPr>
        <w:t>previous right</w:t>
      </w:r>
      <w:r>
        <w:t>) in relation to a mining tenement held by another person (</w:t>
      </w:r>
      <w:r>
        <w:rPr>
          <w:rStyle w:val="CharDefText"/>
        </w:rPr>
        <w:t>person B</w:t>
      </w:r>
      <w:r>
        <w:t>); and</w:t>
      </w:r>
    </w:p>
    <w:p>
      <w:pPr>
        <w:pStyle w:val="Indenta"/>
      </w:pPr>
      <w:r>
        <w:tab/>
        <w:t>(b)</w:t>
      </w:r>
      <w:r>
        <w:tab/>
        <w:t>the acquisition of the previous right, on its grant, is duty endorsed; and</w:t>
      </w:r>
    </w:p>
    <w:p>
      <w:pPr>
        <w:pStyle w:val="Indenta"/>
      </w:pPr>
      <w:r>
        <w:tab/>
        <w:t>(c)</w:t>
      </w:r>
      <w:r>
        <w:tab/>
        <w:t>there is a transfer, or agreement for the transfer, of the mining tenement from person B to person A; and</w:t>
      </w:r>
    </w:p>
    <w:p>
      <w:pPr>
        <w:pStyle w:val="Indenta"/>
      </w:pPr>
      <w:r>
        <w:tab/>
        <w:t>(d)</w:t>
      </w:r>
      <w:r>
        <w:tab/>
        <w:t>person A holds, or will hold, the previous right until immediately before the transfer of the mining tenement.</w:t>
      </w:r>
    </w:p>
    <w:p>
      <w:pPr>
        <w:pStyle w:val="Subsection"/>
      </w:pPr>
      <w:r>
        <w:tab/>
        <w:t>(2)</w:t>
      </w:r>
      <w:r>
        <w:tab/>
        <w:t>In determining the dutiable value of a transfer referred to in subsection (1)(c), the unencumbered value of the mining tenement is to be determined, despite section 36(1), having regard to the effect of the previous right on the value of the mining tenement, as if the previous right were in force when liability for duty on the transfer arose.</w:t>
      </w:r>
    </w:p>
    <w:p>
      <w:pPr>
        <w:pStyle w:val="Subsection"/>
      </w:pPr>
      <w:r>
        <w:tab/>
        <w:t>(3)</w:t>
      </w:r>
      <w:r>
        <w:tab/>
        <w:t>In determining the dutiable value of an agreement referred to in subsection (1)(c), the unencumbered value of the mining tenement is to be determined, despite section 36(1), having regard to the effect of the previous right on the value of the mining tenement when liability for duty on the agreement arose.</w:t>
      </w:r>
    </w:p>
    <w:p>
      <w:pPr>
        <w:pStyle w:val="Footnotesection"/>
      </w:pPr>
      <w:r>
        <w:tab/>
        <w:t>[Section 91G inserted: No. 12 of 2019 s. 34.]</w:t>
      </w:r>
    </w:p>
    <w:p>
      <w:pPr>
        <w:pStyle w:val="Heading5"/>
      </w:pPr>
      <w:bookmarkStart w:id="463" w:name="_Toc201228989"/>
      <w:bookmarkStart w:id="464" w:name="_Toc182410054"/>
      <w:r>
        <w:rPr>
          <w:rStyle w:val="CharSectno"/>
        </w:rPr>
        <w:t>91H</w:t>
      </w:r>
      <w:r>
        <w:t>.</w:t>
      </w:r>
      <w:r>
        <w:tab/>
        <w:t>Acquisition of derivative mining right substantially the same as was held in relation to previous mining tenement</w:t>
      </w:r>
      <w:bookmarkEnd w:id="463"/>
      <w:bookmarkEnd w:id="464"/>
    </w:p>
    <w:p>
      <w:pPr>
        <w:pStyle w:val="Subsection"/>
      </w:pPr>
      <w:r>
        <w:tab/>
        <w:t>(1)</w:t>
      </w:r>
      <w:r>
        <w:tab/>
        <w:t>Duty is not chargeable on an acquisition of a derivative mining right by a person (</w:t>
      </w:r>
      <w:r>
        <w:rPr>
          <w:rStyle w:val="CharDefText"/>
        </w:rPr>
        <w:t>person A</w:t>
      </w:r>
      <w:r>
        <w:t>) on its grant by another person (</w:t>
      </w:r>
      <w:r>
        <w:rPr>
          <w:rStyle w:val="CharDefText"/>
        </w:rPr>
        <w:t>person B</w:t>
      </w:r>
      <w:r>
        <w:t xml:space="preserve">) if — </w:t>
      </w:r>
    </w:p>
    <w:p>
      <w:pPr>
        <w:pStyle w:val="Indenta"/>
      </w:pPr>
      <w:r>
        <w:tab/>
        <w:t>(a)</w:t>
      </w:r>
      <w:r>
        <w:tab/>
        <w:t>the derivative mining right relates to a mining lease granted to person B; and</w:t>
      </w:r>
    </w:p>
    <w:p>
      <w:pPr>
        <w:pStyle w:val="Indenta"/>
      </w:pPr>
      <w:r>
        <w:tab/>
        <w:t>(b)</w:t>
      </w:r>
      <w:r>
        <w:tab/>
        <w:t>before the grant of the mining lease, person B held a prospecting licence or an exploration licence in relation to land including the land the subject of the mining lease; and</w:t>
      </w:r>
    </w:p>
    <w:p>
      <w:pPr>
        <w:pStyle w:val="Indenta"/>
      </w:pPr>
      <w:r>
        <w:tab/>
        <w:t>(c)</w:t>
      </w:r>
      <w:r>
        <w:tab/>
        <w:t>person A held a derivative mining right in relation to the prospecting licence or exploration licence that was substantially the same as the derivative mining right in relation to the mining lease; and</w:t>
      </w:r>
    </w:p>
    <w:p>
      <w:pPr>
        <w:pStyle w:val="Indenta"/>
      </w:pPr>
      <w:r>
        <w:tab/>
        <w:t>(d)</w:t>
      </w:r>
      <w:r>
        <w:tab/>
        <w:t>the acquisition of the derivative mining right in relation to the prospecting licence or exploration licence, on its grant, is duty endorsed or is not a dutiable transaction.</w:t>
      </w:r>
    </w:p>
    <w:p>
      <w:pPr>
        <w:pStyle w:val="Subsection"/>
      </w:pPr>
      <w:r>
        <w:tab/>
        <w:t>(2)</w:t>
      </w:r>
      <w:r>
        <w:tab/>
        <w:t xml:space="preserve">A reference in this section to a mining lease, prospecting licence or exploration licence is to a mining lease, prospecting licence or exploration licence (as the case requires) granted or continued under the </w:t>
      </w:r>
      <w:r>
        <w:rPr>
          <w:i/>
        </w:rPr>
        <w:t>Mining Act 1978</w:t>
      </w:r>
      <w:r>
        <w:t>.</w:t>
      </w:r>
    </w:p>
    <w:p>
      <w:pPr>
        <w:pStyle w:val="Footnotesection"/>
      </w:pPr>
      <w:r>
        <w:tab/>
        <w:t>[Section 91H inserted: No. 12 of 2019 s. 34; amended: No. 16 of 2022 s. 20.]</w:t>
      </w:r>
    </w:p>
    <w:p>
      <w:pPr>
        <w:pStyle w:val="Heading5"/>
      </w:pPr>
      <w:bookmarkStart w:id="465" w:name="_Toc201228990"/>
      <w:bookmarkStart w:id="466" w:name="_Toc182410055"/>
      <w:r>
        <w:rPr>
          <w:rStyle w:val="CharSectno"/>
        </w:rPr>
        <w:t>91I</w:t>
      </w:r>
      <w:r>
        <w:t>.</w:t>
      </w:r>
      <w:r>
        <w:tab/>
        <w:t>Failure to grant, or surrender of, derivative mining right after transfer of mining tenement</w:t>
      </w:r>
      <w:bookmarkEnd w:id="465"/>
      <w:bookmarkEnd w:id="466"/>
    </w:p>
    <w:p>
      <w:pPr>
        <w:pStyle w:val="Subsection"/>
      </w:pPr>
      <w:r>
        <w:tab/>
        <w:t>(1)</w:t>
      </w:r>
      <w:r>
        <w:tab/>
        <w:t xml:space="preserve">In this section — </w:t>
      </w:r>
    </w:p>
    <w:p>
      <w:pPr>
        <w:pStyle w:val="Defstart"/>
      </w:pPr>
      <w:r>
        <w:tab/>
      </w:r>
      <w:r>
        <w:rPr>
          <w:rStyle w:val="CharDefText"/>
        </w:rPr>
        <w:t>mining tenement valuation provision</w:t>
      </w:r>
      <w:r>
        <w:t xml:space="preserve"> means section 91E(2) or 91F(2);</w:t>
      </w:r>
    </w:p>
    <w:p>
      <w:pPr>
        <w:pStyle w:val="Defstart"/>
      </w:pPr>
      <w:r>
        <w:tab/>
      </w:r>
      <w:r>
        <w:rPr>
          <w:rStyle w:val="CharDefText"/>
        </w:rPr>
        <w:t>prospective right</w:t>
      </w:r>
      <w:r>
        <w:t>, in relation to a mining tenement valuation provision, means the prospective right referred to in whichever of section 91E(1)(b) or 91F(1)(b) is relevant.</w:t>
      </w:r>
    </w:p>
    <w:p>
      <w:pPr>
        <w:pStyle w:val="Subsection"/>
      </w:pPr>
      <w:r>
        <w:tab/>
        <w:t>(2)</w:t>
      </w:r>
      <w:r>
        <w:tab/>
        <w:t xml:space="preserve">A mining tenement valuation provision that applies to an agreement for the transfer of a mining tenement when liability for duty on the agreement arises ceases to apply to the agreement if — </w:t>
      </w:r>
    </w:p>
    <w:p>
      <w:pPr>
        <w:pStyle w:val="Indenta"/>
      </w:pPr>
      <w:r>
        <w:tab/>
        <w:t>(a)</w:t>
      </w:r>
      <w:r>
        <w:tab/>
        <w:t>the prospective right is not granted within the period that applies under subsection (3); or</w:t>
      </w:r>
    </w:p>
    <w:p>
      <w:pPr>
        <w:pStyle w:val="Indenta"/>
      </w:pPr>
      <w:r>
        <w:tab/>
        <w:t>(b)</w:t>
      </w:r>
      <w:r>
        <w:tab/>
        <w:t>the prospective right is surrendered for no consideration within 12 months after the day on which the mining tenement is transferred.</w:t>
      </w:r>
    </w:p>
    <w:p>
      <w:pPr>
        <w:pStyle w:val="Subsection"/>
      </w:pPr>
      <w:r>
        <w:tab/>
        <w:t>(3)</w:t>
      </w:r>
      <w:r>
        <w:tab/>
        <w:t xml:space="preserve">For the purposes of subsection (2)(a), the period is — </w:t>
      </w:r>
    </w:p>
    <w:p>
      <w:pPr>
        <w:pStyle w:val="Indenta"/>
      </w:pPr>
      <w:r>
        <w:tab/>
        <w:t>(a)</w:t>
      </w:r>
      <w:r>
        <w:tab/>
        <w:t>the period of 90 days starting on the day on which the mining tenement is transferred; or</w:t>
      </w:r>
    </w:p>
    <w:p>
      <w:pPr>
        <w:pStyle w:val="Indenta"/>
      </w:pPr>
      <w:r>
        <w:tab/>
        <w:t>(b)</w:t>
      </w:r>
      <w:r>
        <w:tab/>
        <w:t>any longer period allowed, on application within the period referred to in paragraph (a), by the Commissioner on any conditions the Commissioner thinks fit.</w:t>
      </w:r>
    </w:p>
    <w:p>
      <w:pPr>
        <w:pStyle w:val="Subsection"/>
      </w:pPr>
      <w:r>
        <w:tab/>
        <w:t>(4)</w:t>
      </w:r>
      <w:r>
        <w:tab/>
        <w:t>If a failure to grant the prospective right referred to in subsection (2)(a) occurs, the transferee in respect of the agreement for transfer referred to in subsection (2) must lodge a notice of the failure in the approved form within 2 months after the last day of the period that applies under subsection (3).</w:t>
      </w:r>
    </w:p>
    <w:p>
      <w:pPr>
        <w:pStyle w:val="Penstart"/>
      </w:pPr>
      <w:r>
        <w:tab/>
        <w:t>Penalty for this subsection: a fine of $20 000.</w:t>
      </w:r>
    </w:p>
    <w:p>
      <w:pPr>
        <w:pStyle w:val="Subsection"/>
      </w:pPr>
      <w:r>
        <w:tab/>
        <w:t>(5)</w:t>
      </w:r>
      <w:r>
        <w:tab/>
        <w:t>If a surrender referred to in subsection (2)(b) occurs, the person who surrenders the prospective right must lodge a notice of the surrender in the approved form within 2 months after the day on which the surrender occurs.</w:t>
      </w:r>
    </w:p>
    <w:p>
      <w:pPr>
        <w:pStyle w:val="Penstart"/>
      </w:pPr>
      <w:r>
        <w:tab/>
        <w:t>Penalty for this subsection: a fine of $20 000.</w:t>
      </w:r>
    </w:p>
    <w:p>
      <w:pPr>
        <w:pStyle w:val="Subsection"/>
      </w:pPr>
      <w:r>
        <w:tab/>
        <w:t>(6)</w:t>
      </w:r>
      <w:r>
        <w:tab/>
        <w:t>Subject to the Taxation Administration Act section 17, the Commissioner must make any reassessment necessary as a result of the operation of subsection (2).</w:t>
      </w:r>
    </w:p>
    <w:p>
      <w:pPr>
        <w:pStyle w:val="Footnotesection"/>
      </w:pPr>
      <w:r>
        <w:tab/>
        <w:t>[Section 91I inserted: No. 12 of 2019 s. 34.]</w:t>
      </w:r>
    </w:p>
    <w:p>
      <w:pPr>
        <w:pStyle w:val="Heading4"/>
        <w:keepLines/>
        <w:rPr>
          <w:sz w:val="26"/>
          <w:szCs w:val="26"/>
        </w:rPr>
      </w:pPr>
      <w:bookmarkStart w:id="467" w:name="_Toc201217920"/>
      <w:bookmarkStart w:id="468" w:name="_Toc201224293"/>
      <w:bookmarkStart w:id="469" w:name="_Toc201228991"/>
      <w:bookmarkStart w:id="470" w:name="_Toc182388596"/>
      <w:bookmarkStart w:id="471" w:name="_Toc182389258"/>
      <w:bookmarkStart w:id="472" w:name="_Toc182410056"/>
      <w:r>
        <w:rPr>
          <w:sz w:val="26"/>
          <w:szCs w:val="26"/>
        </w:rPr>
        <w:t>Division 9 — Farm</w:t>
      </w:r>
      <w:r>
        <w:rPr>
          <w:sz w:val="26"/>
          <w:szCs w:val="26"/>
        </w:rPr>
        <w:noBreakHyphen/>
        <w:t>in agreements and farm</w:t>
      </w:r>
      <w:r>
        <w:rPr>
          <w:sz w:val="26"/>
          <w:szCs w:val="26"/>
        </w:rPr>
        <w:noBreakHyphen/>
        <w:t>in transactions</w:t>
      </w:r>
      <w:bookmarkEnd w:id="467"/>
      <w:bookmarkEnd w:id="468"/>
      <w:bookmarkEnd w:id="469"/>
      <w:bookmarkEnd w:id="470"/>
      <w:bookmarkEnd w:id="471"/>
      <w:bookmarkEnd w:id="472"/>
    </w:p>
    <w:p>
      <w:pPr>
        <w:pStyle w:val="Footnoteheading"/>
      </w:pPr>
      <w:r>
        <w:tab/>
        <w:t>[Heading inserted: No. 37 of 2022 s. 8.]</w:t>
      </w:r>
    </w:p>
    <w:p>
      <w:pPr>
        <w:pStyle w:val="Heading4"/>
        <w:keepNext w:val="0"/>
        <w:rPr>
          <w:sz w:val="26"/>
          <w:szCs w:val="26"/>
        </w:rPr>
      </w:pPr>
      <w:bookmarkStart w:id="473" w:name="_Toc201217921"/>
      <w:bookmarkStart w:id="474" w:name="_Toc201224294"/>
      <w:bookmarkStart w:id="475" w:name="_Toc201228992"/>
      <w:bookmarkStart w:id="476" w:name="_Toc182388597"/>
      <w:bookmarkStart w:id="477" w:name="_Toc182389259"/>
      <w:bookmarkStart w:id="478" w:name="_Toc182410057"/>
      <w:r>
        <w:rPr>
          <w:sz w:val="26"/>
          <w:szCs w:val="26"/>
        </w:rPr>
        <w:t>Subdivision 1 — Preliminary</w:t>
      </w:r>
      <w:bookmarkEnd w:id="473"/>
      <w:bookmarkEnd w:id="474"/>
      <w:bookmarkEnd w:id="475"/>
      <w:bookmarkEnd w:id="476"/>
      <w:bookmarkEnd w:id="477"/>
      <w:bookmarkEnd w:id="478"/>
    </w:p>
    <w:p>
      <w:pPr>
        <w:pStyle w:val="Footnoteheading"/>
      </w:pPr>
      <w:r>
        <w:tab/>
        <w:t>[Heading inserted: No. 37 of 2022 s. 8.]</w:t>
      </w:r>
    </w:p>
    <w:p>
      <w:pPr>
        <w:pStyle w:val="Heading5"/>
      </w:pPr>
      <w:bookmarkStart w:id="479" w:name="_Toc201228993"/>
      <w:bookmarkStart w:id="480" w:name="_Toc182410058"/>
      <w:r>
        <w:rPr>
          <w:rStyle w:val="CharSectno"/>
        </w:rPr>
        <w:t>91J</w:t>
      </w:r>
      <w:r>
        <w:t>.</w:t>
      </w:r>
      <w:r>
        <w:tab/>
        <w:t>Introduction to Division</w:t>
      </w:r>
      <w:bookmarkEnd w:id="479"/>
      <w:bookmarkEnd w:id="480"/>
    </w:p>
    <w:p>
      <w:pPr>
        <w:pStyle w:val="Subsection"/>
        <w:keepNext/>
      </w:pPr>
      <w:r>
        <w:tab/>
      </w:r>
      <w:r>
        <w:tab/>
        <w:t xml:space="preserve">This Division — </w:t>
      </w:r>
    </w:p>
    <w:p>
      <w:pPr>
        <w:pStyle w:val="Indenta"/>
        <w:keepNext/>
      </w:pPr>
      <w:r>
        <w:tab/>
        <w:t>(a)</w:t>
      </w:r>
      <w:r>
        <w:tab/>
        <w:t>explains farm</w:t>
      </w:r>
      <w:r>
        <w:noBreakHyphen/>
        <w:t>in agreements, farm</w:t>
      </w:r>
      <w:r>
        <w:noBreakHyphen/>
        <w:t>in transactions and related concepts; and</w:t>
      </w:r>
    </w:p>
    <w:p>
      <w:pPr>
        <w:pStyle w:val="Indenta"/>
        <w:keepNext/>
      </w:pPr>
      <w:r>
        <w:tab/>
        <w:t>(b)</w:t>
      </w:r>
      <w:r>
        <w:tab/>
        <w:t>includes various provisions dealing with the treatment of farm</w:t>
      </w:r>
      <w:r>
        <w:noBreakHyphen/>
        <w:t>in agreements and farm</w:t>
      </w:r>
      <w:r>
        <w:noBreakHyphen/>
        <w:t>in transactions for duty purposes.</w:t>
      </w:r>
    </w:p>
    <w:p>
      <w:pPr>
        <w:pStyle w:val="Footnotesection"/>
      </w:pPr>
      <w:r>
        <w:tab/>
        <w:t>[Section 91J inserted: No. 37 of 2022 s. 8.]</w:t>
      </w:r>
    </w:p>
    <w:p>
      <w:pPr>
        <w:pStyle w:val="Heading5"/>
        <w:keepNext w:val="0"/>
      </w:pPr>
      <w:bookmarkStart w:id="481" w:name="_Toc201228994"/>
      <w:bookmarkStart w:id="482" w:name="_Toc182410059"/>
      <w:r>
        <w:rPr>
          <w:rStyle w:val="CharSectno"/>
        </w:rPr>
        <w:t>91K</w:t>
      </w:r>
      <w:r>
        <w:t>.</w:t>
      </w:r>
      <w:r>
        <w:tab/>
        <w:t>Terms used</w:t>
      </w:r>
      <w:bookmarkEnd w:id="481"/>
      <w:bookmarkEnd w:id="482"/>
    </w:p>
    <w:p>
      <w:pPr>
        <w:pStyle w:val="Subsection"/>
      </w:pPr>
      <w:r>
        <w:tab/>
        <w:t>(1)</w:t>
      </w:r>
      <w:r>
        <w:tab/>
        <w:t xml:space="preserve">In this Division — </w:t>
      </w:r>
    </w:p>
    <w:p>
      <w:pPr>
        <w:pStyle w:val="Defstart"/>
      </w:pPr>
      <w:r>
        <w:tab/>
      </w:r>
      <w:r>
        <w:rPr>
          <w:rStyle w:val="CharDefText"/>
        </w:rPr>
        <w:t>concessional farm</w:t>
      </w:r>
      <w:r>
        <w:rPr>
          <w:rStyle w:val="CharDefText"/>
        </w:rPr>
        <w:noBreakHyphen/>
        <w:t>in transaction</w:t>
      </w:r>
      <w:r>
        <w:t xml:space="preserve"> has the meaning given in section 91L(3), subject to section 91L(4), Subdivision 4 and section 91U;</w:t>
      </w:r>
    </w:p>
    <w:p>
      <w:pPr>
        <w:pStyle w:val="Defstart"/>
      </w:pPr>
      <w:r>
        <w:tab/>
      </w:r>
      <w:r>
        <w:rPr>
          <w:rStyle w:val="CharDefText"/>
        </w:rPr>
        <w:t>exploration</w:t>
      </w:r>
      <w:r>
        <w:t xml:space="preserve"> includes development that is carried out solely —</w:t>
      </w:r>
    </w:p>
    <w:p>
      <w:pPr>
        <w:pStyle w:val="Defpara"/>
      </w:pPr>
      <w:r>
        <w:tab/>
        <w:t>(a)</w:t>
      </w:r>
      <w:r>
        <w:tab/>
        <w:t>for the purpose of facilitating exploration; or</w:t>
      </w:r>
    </w:p>
    <w:p>
      <w:pPr>
        <w:pStyle w:val="Defpara"/>
      </w:pPr>
      <w:r>
        <w:tab/>
        <w:t>(b)</w:t>
      </w:r>
      <w:r>
        <w:tab/>
        <w:t>otherwise incidentally to exploration;</w:t>
      </w:r>
    </w:p>
    <w:p>
      <w:pPr>
        <w:pStyle w:val="Defstart"/>
      </w:pPr>
      <w:r>
        <w:tab/>
      </w:r>
      <w:r>
        <w:rPr>
          <w:rStyle w:val="CharDefText"/>
        </w:rPr>
        <w:t>exploration amount</w:t>
      </w:r>
      <w:r>
        <w:t xml:space="preserve"> has the meaning given in section 91N(5), subject to section 91N(6);</w:t>
      </w:r>
    </w:p>
    <w:p>
      <w:pPr>
        <w:pStyle w:val="Defstart"/>
      </w:pPr>
      <w:r>
        <w:tab/>
      </w:r>
      <w:r>
        <w:rPr>
          <w:rStyle w:val="CharDefText"/>
        </w:rPr>
        <w:t>exploration licence</w:t>
      </w:r>
      <w:r>
        <w:t xml:space="preserve"> means an exploration licence granted under the </w:t>
      </w:r>
      <w:r>
        <w:rPr>
          <w:i/>
        </w:rPr>
        <w:t>Mining Act 1978</w:t>
      </w:r>
      <w:r>
        <w:t xml:space="preserve"> section 57;</w:t>
      </w:r>
    </w:p>
    <w:p>
      <w:pPr>
        <w:pStyle w:val="Defstart"/>
      </w:pPr>
      <w:r>
        <w:tab/>
      </w:r>
      <w:r>
        <w:rPr>
          <w:rStyle w:val="CharDefText"/>
        </w:rPr>
        <w:t>exploration requirement</w:t>
      </w:r>
      <w:r>
        <w:t xml:space="preserve"> has the meaning given in section 91N(1) to (4), subject to section 91N(6);</w:t>
      </w:r>
    </w:p>
    <w:p>
      <w:pPr>
        <w:pStyle w:val="Defstart"/>
      </w:pPr>
      <w:r>
        <w:tab/>
      </w:r>
      <w:r>
        <w:rPr>
          <w:rStyle w:val="CharDefText"/>
        </w:rPr>
        <w:t>farmee</w:t>
      </w:r>
      <w:r>
        <w:t xml:space="preserve"> has the meaning given in section 91L(1)(b);</w:t>
      </w:r>
    </w:p>
    <w:p>
      <w:pPr>
        <w:pStyle w:val="Defstart"/>
      </w:pPr>
      <w:r>
        <w:tab/>
      </w:r>
      <w:r>
        <w:rPr>
          <w:rStyle w:val="CharDefText"/>
        </w:rPr>
        <w:t>farm</w:t>
      </w:r>
      <w:r>
        <w:rPr>
          <w:rStyle w:val="CharDefText"/>
        </w:rPr>
        <w:noBreakHyphen/>
        <w:t>in agreement</w:t>
      </w:r>
      <w:r>
        <w:t xml:space="preserve"> has the meaning given in section 91L(1) and (2);</w:t>
      </w:r>
    </w:p>
    <w:p>
      <w:pPr>
        <w:pStyle w:val="Defstart"/>
      </w:pPr>
      <w:r>
        <w:tab/>
      </w:r>
      <w:r>
        <w:rPr>
          <w:rStyle w:val="CharDefText"/>
        </w:rPr>
        <w:t>farm</w:t>
      </w:r>
      <w:r>
        <w:rPr>
          <w:rStyle w:val="CharDefText"/>
        </w:rPr>
        <w:noBreakHyphen/>
        <w:t>in transaction</w:t>
      </w:r>
      <w:r>
        <w:t xml:space="preserve"> has the meaning given in section 91M(1), subject to section 91M(2) to (5);</w:t>
      </w:r>
    </w:p>
    <w:p>
      <w:pPr>
        <w:pStyle w:val="Defstart"/>
      </w:pPr>
      <w:r>
        <w:tab/>
      </w:r>
      <w:r>
        <w:rPr>
          <w:rStyle w:val="CharDefText"/>
        </w:rPr>
        <w:t>farmor</w:t>
      </w:r>
      <w:r>
        <w:t xml:space="preserve"> has the meaning given in section 91L(1)(a);</w:t>
      </w:r>
    </w:p>
    <w:p>
      <w:pPr>
        <w:pStyle w:val="Defstart"/>
      </w:pPr>
      <w:r>
        <w:tab/>
      </w:r>
      <w:r>
        <w:rPr>
          <w:rStyle w:val="CharDefText"/>
        </w:rPr>
        <w:t>minerals</w:t>
      </w:r>
      <w:r>
        <w:t xml:space="preserve"> has the meaning given in the </w:t>
      </w:r>
      <w:r>
        <w:rPr>
          <w:i/>
        </w:rPr>
        <w:t>Mining Act 1978</w:t>
      </w:r>
      <w:r>
        <w:t xml:space="preserve"> section 8(1);</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primary farmor</w:t>
      </w:r>
      <w:r>
        <w:t xml:space="preserve"> — </w:t>
      </w:r>
    </w:p>
    <w:p>
      <w:pPr>
        <w:pStyle w:val="Defpara"/>
      </w:pPr>
      <w:r>
        <w:tab/>
        <w:t>(a)</w:t>
      </w:r>
      <w:r>
        <w:tab/>
        <w:t>means a person who is the holder, or 1 of the holders, of a mining tenement; and</w:t>
      </w:r>
    </w:p>
    <w:p>
      <w:pPr>
        <w:pStyle w:val="Defpara"/>
      </w:pPr>
      <w:r>
        <w:tab/>
        <w:t>(b)</w:t>
      </w:r>
      <w:r>
        <w:tab/>
        <w:t xml:space="preserve">includes a person (the </w:t>
      </w:r>
      <w:r>
        <w:rPr>
          <w:rStyle w:val="CharDefText"/>
        </w:rPr>
        <w:t>transferee</w:t>
      </w:r>
      <w:r>
        <w:t>) who is not the holder, or 1 of the holders, of a mining tenement in a case where —</w:t>
      </w:r>
    </w:p>
    <w:p>
      <w:pPr>
        <w:pStyle w:val="Defsubpara"/>
        <w:keepLines w:val="0"/>
      </w:pPr>
      <w:r>
        <w:tab/>
        <w:t>(i)</w:t>
      </w:r>
      <w:r>
        <w:tab/>
        <w:t>there is a transfer of an interest in the mining tenement to the transferee in order to make the transferee the holder, or 1 of the holders, of the mining tenement; and</w:t>
      </w:r>
    </w:p>
    <w:p>
      <w:pPr>
        <w:pStyle w:val="Defsubpara"/>
        <w:keepLines w:val="0"/>
      </w:pPr>
      <w:r>
        <w:tab/>
        <w:t>(ii)</w:t>
      </w:r>
      <w:r>
        <w:tab/>
        <w:t xml:space="preserve">the transfer is still to be registered under the </w:t>
      </w:r>
      <w:r>
        <w:rPr>
          <w:i/>
        </w:rPr>
        <w:t>Mining Act 1978</w:t>
      </w:r>
      <w:r>
        <w:t xml:space="preserve"> section 103C; and</w:t>
      </w:r>
    </w:p>
    <w:p>
      <w:pPr>
        <w:pStyle w:val="Defsubpara"/>
        <w:keepLines w:val="0"/>
      </w:pPr>
      <w:r>
        <w:tab/>
        <w:t>(iii)</w:t>
      </w:r>
      <w:r>
        <w:tab/>
        <w:t xml:space="preserve">but for the application of the </w:t>
      </w:r>
      <w:r>
        <w:rPr>
          <w:i/>
        </w:rPr>
        <w:t>Mining Act 1978</w:t>
      </w:r>
      <w:r>
        <w:t xml:space="preserve"> section 103C(8) to the transfer, the transferee would be the holder, or 1 of the holders, of the mining tenement; and</w:t>
      </w:r>
    </w:p>
    <w:p>
      <w:pPr>
        <w:pStyle w:val="Defsubpara"/>
        <w:keepLines w:val="0"/>
      </w:pPr>
      <w:r>
        <w:tab/>
        <w:t>(iv)</w:t>
      </w:r>
      <w:r>
        <w:tab/>
        <w:t>subsection (2) of this section applies to the transfer;</w:t>
      </w:r>
    </w:p>
    <w:p>
      <w:pPr>
        <w:pStyle w:val="Defpara"/>
      </w:pPr>
      <w:r>
        <w:tab/>
      </w:r>
      <w:r>
        <w:tab/>
        <w:t>and</w:t>
      </w:r>
    </w:p>
    <w:p>
      <w:pPr>
        <w:pStyle w:val="Defpara"/>
      </w:pPr>
      <w:r>
        <w:tab/>
        <w:t>(c)</w:t>
      </w:r>
      <w:r>
        <w:tab/>
        <w:t xml:space="preserve">includes a person who is the applicant, or 1 of the applicants, under the </w:t>
      </w:r>
      <w:r>
        <w:rPr>
          <w:i/>
        </w:rPr>
        <w:t xml:space="preserve">Mining Act 1978 </w:t>
      </w:r>
      <w:r>
        <w:t>for a mining tenement in a case where the application is still to be determined;</w:t>
      </w:r>
    </w:p>
    <w:p>
      <w:pPr>
        <w:pStyle w:val="Defstart"/>
      </w:pPr>
      <w:r>
        <w:tab/>
      </w:r>
      <w:r>
        <w:rPr>
          <w:rStyle w:val="CharDefText"/>
        </w:rPr>
        <w:t>prospecting licence</w:t>
      </w:r>
      <w:r>
        <w:t xml:space="preserve"> means a prospecting licence granted under the </w:t>
      </w:r>
      <w:r>
        <w:rPr>
          <w:i/>
        </w:rPr>
        <w:t>Mining Act 1978</w:t>
      </w:r>
      <w:r>
        <w:t xml:space="preserve"> section 40;</w:t>
      </w:r>
    </w:p>
    <w:p>
      <w:pPr>
        <w:pStyle w:val="Defstart"/>
        <w:keepNext/>
      </w:pPr>
      <w:r>
        <w:tab/>
      </w:r>
      <w:r>
        <w:rPr>
          <w:rStyle w:val="CharDefText"/>
        </w:rPr>
        <w:t>purchase agreement</w:t>
      </w:r>
      <w:r>
        <w:t xml:space="preserve"> has the meaning given in section 91M(9);</w:t>
      </w:r>
    </w:p>
    <w:p>
      <w:pPr>
        <w:pStyle w:val="Defstart"/>
        <w:keepNext/>
      </w:pPr>
      <w:r>
        <w:tab/>
      </w:r>
      <w:r>
        <w:rPr>
          <w:rStyle w:val="CharDefText"/>
        </w:rPr>
        <w:t>relevant derivative mining right</w:t>
      </w:r>
      <w:r>
        <w:t>, in relation to a farm</w:t>
      </w:r>
      <w:r>
        <w:noBreakHyphen/>
        <w:t>in transaction, means a derivative mining right that is a relevant derivative mining right for the farm</w:t>
      </w:r>
      <w:r>
        <w:noBreakHyphen/>
        <w:t>in transaction under section 91M(1)(a)(ii), subject to subsection (3) of this section;</w:t>
      </w:r>
    </w:p>
    <w:p>
      <w:pPr>
        <w:pStyle w:val="Defstart"/>
        <w:keepNext/>
      </w:pPr>
      <w:r>
        <w:tab/>
      </w:r>
      <w:r>
        <w:rPr>
          <w:rStyle w:val="CharDefText"/>
        </w:rPr>
        <w:t>relevant mining tenement</w:t>
      </w:r>
      <w:r>
        <w:t>, in relation to a farm</w:t>
      </w:r>
      <w:r>
        <w:noBreakHyphen/>
        <w:t>in transaction, means a mining tenement that is a relevant mining tenement for the farm</w:t>
      </w:r>
      <w:r>
        <w:noBreakHyphen/>
        <w:t>in transaction under section 91M(1)(a)(i), subject to subsection (3) of this section;</w:t>
      </w:r>
    </w:p>
    <w:p>
      <w:pPr>
        <w:pStyle w:val="Defstart"/>
        <w:keepNext/>
      </w:pPr>
      <w:r>
        <w:tab/>
      </w:r>
      <w:r>
        <w:rPr>
          <w:rStyle w:val="CharDefText"/>
        </w:rPr>
        <w:t>replacement derivative mining right</w:t>
      </w:r>
      <w:r>
        <w:t xml:space="preserve"> has the meaning given in section 91M(7) and (8);</w:t>
      </w:r>
    </w:p>
    <w:p>
      <w:pPr>
        <w:pStyle w:val="Defstart"/>
        <w:keepNext/>
      </w:pPr>
      <w:r>
        <w:tab/>
      </w:r>
      <w:r>
        <w:rPr>
          <w:rStyle w:val="CharDefText"/>
        </w:rPr>
        <w:t>replacement mining tenement</w:t>
      </w:r>
      <w:r>
        <w:t xml:space="preserve"> has the meaning given in section 91M(6);</w:t>
      </w:r>
    </w:p>
    <w:p>
      <w:pPr>
        <w:pStyle w:val="Defstart"/>
        <w:keepNext/>
      </w:pPr>
      <w:r>
        <w:tab/>
      </w:r>
      <w:r>
        <w:rPr>
          <w:rStyle w:val="CharDefText"/>
        </w:rPr>
        <w:t>vary</w:t>
      </w:r>
      <w:r>
        <w:t>, in relation to an agreement, includes to modify the agreement’s effect.</w:t>
      </w:r>
    </w:p>
    <w:p>
      <w:pPr>
        <w:pStyle w:val="Subsection"/>
        <w:keepNext/>
      </w:pPr>
      <w:r>
        <w:tab/>
        <w:t>(2)</w:t>
      </w:r>
      <w:r>
        <w:tab/>
        <w:t xml:space="preserve">This subsection applies to a transfer for the purposes of paragraph (b)(iv) of the definition of </w:t>
      </w:r>
      <w:r>
        <w:rPr>
          <w:b/>
          <w:i/>
        </w:rPr>
        <w:t>primary farmor</w:t>
      </w:r>
      <w:r>
        <w:t xml:space="preserve"> in subsection (1) if —</w:t>
      </w:r>
    </w:p>
    <w:p>
      <w:pPr>
        <w:pStyle w:val="Indenta"/>
      </w:pPr>
      <w:r>
        <w:tab/>
        <w:t>(a)</w:t>
      </w:r>
      <w:r>
        <w:tab/>
        <w:t xml:space="preserve">the transfer is made to the transferee — </w:t>
      </w:r>
    </w:p>
    <w:p>
      <w:pPr>
        <w:pStyle w:val="Indenti"/>
        <w:keepNext/>
      </w:pPr>
      <w:r>
        <w:tab/>
        <w:t>(i)</w:t>
      </w:r>
      <w:r>
        <w:tab/>
        <w:t>under a farm</w:t>
      </w:r>
      <w:r>
        <w:noBreakHyphen/>
        <w:t>in transaction as contemplated in section 91M(1)(c)(i); and</w:t>
      </w:r>
    </w:p>
    <w:p>
      <w:pPr>
        <w:pStyle w:val="Indenti"/>
        <w:keepNext/>
      </w:pPr>
      <w:r>
        <w:tab/>
        <w:t>(ii)</w:t>
      </w:r>
      <w:r>
        <w:tab/>
        <w:t>without limiting subparagraph (i), after the transferee has fulfilled the exploration requirement;</w:t>
      </w:r>
    </w:p>
    <w:p>
      <w:pPr>
        <w:pStyle w:val="Indenta"/>
        <w:keepNext/>
      </w:pPr>
      <w:r>
        <w:tab/>
      </w:r>
      <w:r>
        <w:tab/>
        <w:t>or</w:t>
      </w:r>
    </w:p>
    <w:p>
      <w:pPr>
        <w:pStyle w:val="Indenta"/>
        <w:keepNext/>
      </w:pPr>
      <w:r>
        <w:tab/>
        <w:t>(b)</w:t>
      </w:r>
      <w:r>
        <w:tab/>
        <w:t>the transfer is made to the transferee as a purchaser of the interest in the mining tenement.</w:t>
      </w:r>
    </w:p>
    <w:p>
      <w:pPr>
        <w:pStyle w:val="Subsection"/>
      </w:pPr>
      <w:r>
        <w:tab/>
        <w:t>(3)</w:t>
      </w:r>
      <w:r>
        <w:tab/>
        <w:t xml:space="preserve">In sections 91M(1)(c) and (d) and (3) to (5), 91N(2) and (4), 91Q(2), 91T(3) and (4)(b) and 91V(1), references to a relevant mining tenement or relevant derivative mining right include, respectively — </w:t>
      </w:r>
    </w:p>
    <w:p>
      <w:pPr>
        <w:pStyle w:val="Indenta"/>
      </w:pPr>
      <w:r>
        <w:tab/>
        <w:t>(a)</w:t>
      </w:r>
      <w:r>
        <w:tab/>
        <w:t>a replacement mining tenement for the relevant mining tenement; or</w:t>
      </w:r>
    </w:p>
    <w:p>
      <w:pPr>
        <w:pStyle w:val="Indenta"/>
      </w:pPr>
      <w:r>
        <w:tab/>
        <w:t>(b)</w:t>
      </w:r>
      <w:r>
        <w:tab/>
        <w:t>a replacement derivative mining right for the relevant derivative mining right.</w:t>
      </w:r>
    </w:p>
    <w:p>
      <w:pPr>
        <w:pStyle w:val="Subsection"/>
      </w:pPr>
      <w:r>
        <w:tab/>
        <w:t>(4)</w:t>
      </w:r>
      <w:r>
        <w:tab/>
        <w:t>In this Division, references to a mining tenement or derivative mining right being granted to replace another mining tenement or derivative mining right include cases where the mining tenement or derivative mining right is granted in substitution, conversion or renewal of the other mining tenement or derivative mining right.</w:t>
      </w:r>
    </w:p>
    <w:p>
      <w:pPr>
        <w:pStyle w:val="Subsection"/>
      </w:pPr>
      <w:r>
        <w:tab/>
        <w:t>(5)</w:t>
      </w:r>
      <w:r>
        <w:tab/>
        <w:t>In this Division, references to exploration of a mining tenement or derivative mining right are to exploration of land the subject of the mining tenement or derivative mining right.</w:t>
      </w:r>
    </w:p>
    <w:p>
      <w:pPr>
        <w:pStyle w:val="Footnotesection"/>
      </w:pPr>
      <w:r>
        <w:tab/>
        <w:t>[Section 91K inserted: No. 37 of 2022 s. 8.]</w:t>
      </w:r>
    </w:p>
    <w:p>
      <w:pPr>
        <w:pStyle w:val="Heading4"/>
      </w:pPr>
      <w:bookmarkStart w:id="483" w:name="_Toc201217924"/>
      <w:bookmarkStart w:id="484" w:name="_Toc201224297"/>
      <w:bookmarkStart w:id="485" w:name="_Toc201228995"/>
      <w:bookmarkStart w:id="486" w:name="_Toc182388600"/>
      <w:bookmarkStart w:id="487" w:name="_Toc182389262"/>
      <w:bookmarkStart w:id="488" w:name="_Toc182410060"/>
      <w:r>
        <w:rPr>
          <w:sz w:val="26"/>
          <w:szCs w:val="26"/>
        </w:rPr>
        <w:t>Subdivision 2 — Explanation of farm</w:t>
      </w:r>
      <w:r>
        <w:rPr>
          <w:sz w:val="26"/>
          <w:szCs w:val="26"/>
        </w:rPr>
        <w:noBreakHyphen/>
        <w:t>in agreements, farm</w:t>
      </w:r>
      <w:r>
        <w:rPr>
          <w:sz w:val="26"/>
          <w:szCs w:val="26"/>
        </w:rPr>
        <w:noBreakHyphen/>
        <w:t>in transactions and related concepts</w:t>
      </w:r>
      <w:bookmarkEnd w:id="483"/>
      <w:bookmarkEnd w:id="484"/>
      <w:bookmarkEnd w:id="485"/>
      <w:bookmarkEnd w:id="486"/>
      <w:bookmarkEnd w:id="487"/>
      <w:bookmarkEnd w:id="488"/>
    </w:p>
    <w:p>
      <w:pPr>
        <w:pStyle w:val="Footnoteheading"/>
      </w:pPr>
      <w:r>
        <w:tab/>
        <w:t>[Heading inserted: No. 37 of 2022 s. 8.]</w:t>
      </w:r>
    </w:p>
    <w:p>
      <w:pPr>
        <w:pStyle w:val="Heading5"/>
      </w:pPr>
      <w:bookmarkStart w:id="489" w:name="_Toc201228996"/>
      <w:bookmarkStart w:id="490" w:name="_Toc182410061"/>
      <w:r>
        <w:rPr>
          <w:rStyle w:val="CharSectno"/>
        </w:rPr>
        <w:t>91L</w:t>
      </w:r>
      <w:r>
        <w:t>.</w:t>
      </w:r>
      <w:r>
        <w:tab/>
        <w:t>Farm</w:t>
      </w:r>
      <w:r>
        <w:noBreakHyphen/>
        <w:t>in agreements and concessional farm</w:t>
      </w:r>
      <w:r>
        <w:noBreakHyphen/>
        <w:t>in transactions</w:t>
      </w:r>
      <w:bookmarkEnd w:id="489"/>
      <w:bookmarkEnd w:id="490"/>
    </w:p>
    <w:p>
      <w:pPr>
        <w:pStyle w:val="Subsection"/>
      </w:pPr>
      <w:r>
        <w:tab/>
        <w:t>(1)</w:t>
      </w:r>
      <w:r>
        <w:tab/>
        <w:t xml:space="preserve">A </w:t>
      </w:r>
      <w:r>
        <w:rPr>
          <w:rStyle w:val="CharDefText"/>
        </w:rPr>
        <w:t>farm</w:t>
      </w:r>
      <w:r>
        <w:rPr>
          <w:rStyle w:val="CharDefText"/>
        </w:rPr>
        <w:noBreakHyphen/>
        <w:t>in agreement</w:t>
      </w:r>
      <w:r>
        <w:t xml:space="preserve"> is an agreement, whether conditional or not, that is made between the following persons and contains 1 or more farm</w:t>
      </w:r>
      <w:r>
        <w:noBreakHyphen/>
        <w:t xml:space="preserve">in transactions — </w:t>
      </w:r>
    </w:p>
    <w:p>
      <w:pPr>
        <w:pStyle w:val="Indenta"/>
      </w:pPr>
      <w:r>
        <w:tab/>
        <w:t>(a)</w:t>
      </w:r>
      <w:r>
        <w:tab/>
        <w:t xml:space="preserve">a person (the </w:t>
      </w:r>
      <w:r>
        <w:rPr>
          <w:rStyle w:val="CharDefText"/>
        </w:rPr>
        <w:t>farmor</w:t>
      </w:r>
      <w:r>
        <w:t xml:space="preserve">) who is either or both of the following — </w:t>
      </w:r>
    </w:p>
    <w:p>
      <w:pPr>
        <w:pStyle w:val="Indenti"/>
      </w:pPr>
      <w:r>
        <w:tab/>
        <w:t>(i)</w:t>
      </w:r>
      <w:r>
        <w:tab/>
        <w:t>a primary farmor for 1 or more mining tenements;</w:t>
      </w:r>
    </w:p>
    <w:p>
      <w:pPr>
        <w:pStyle w:val="Indenti"/>
      </w:pPr>
      <w:r>
        <w:tab/>
        <w:t>(ii)</w:t>
      </w:r>
      <w:r>
        <w:tab/>
        <w:t>the holder, or 1 of the holders, of 1 or more derivative mining rights;</w:t>
      </w:r>
    </w:p>
    <w:p>
      <w:pPr>
        <w:pStyle w:val="Indenta"/>
      </w:pPr>
      <w:r>
        <w:tab/>
        <w:t>(b)</w:t>
      </w:r>
      <w:r>
        <w:tab/>
        <w:t xml:space="preserve">another person (the </w:t>
      </w:r>
      <w:r>
        <w:rPr>
          <w:rStyle w:val="CharDefText"/>
        </w:rPr>
        <w:t>farmee</w:t>
      </w:r>
      <w:r>
        <w:t>).</w:t>
      </w:r>
    </w:p>
    <w:p>
      <w:pPr>
        <w:pStyle w:val="Subsection"/>
      </w:pPr>
      <w:r>
        <w:tab/>
        <w:t>(2)</w:t>
      </w:r>
      <w:r>
        <w:tab/>
        <w:t>In addition to the 1 or more farm</w:t>
      </w:r>
      <w:r>
        <w:noBreakHyphen/>
        <w:t>in transactions, a farm</w:t>
      </w:r>
      <w:r>
        <w:noBreakHyphen/>
        <w:t>in agreement may contain other types of transactions.</w:t>
      </w:r>
    </w:p>
    <w:p>
      <w:pPr>
        <w:pStyle w:val="Subsection"/>
      </w:pPr>
      <w:r>
        <w:tab/>
        <w:t>(3)</w:t>
      </w:r>
      <w:r>
        <w:tab/>
        <w:t>A farm</w:t>
      </w:r>
      <w:r>
        <w:noBreakHyphen/>
        <w:t>in transaction contained in a farm</w:t>
      </w:r>
      <w:r>
        <w:noBreakHyphen/>
        <w:t xml:space="preserve">in agreement is a </w:t>
      </w:r>
      <w:r>
        <w:rPr>
          <w:rStyle w:val="CharDefText"/>
        </w:rPr>
        <w:t>concessional farm</w:t>
      </w:r>
      <w:r>
        <w:rPr>
          <w:rStyle w:val="CharDefText"/>
        </w:rPr>
        <w:noBreakHyphen/>
        <w:t>in transaction</w:t>
      </w:r>
      <w:r>
        <w:t>.</w:t>
      </w:r>
    </w:p>
    <w:p>
      <w:pPr>
        <w:pStyle w:val="Subsection"/>
      </w:pPr>
      <w:r>
        <w:tab/>
        <w:t>(4)</w:t>
      </w:r>
      <w:r>
        <w:tab/>
        <w:t>Despite subsection (3), a farm</w:t>
      </w:r>
      <w:r>
        <w:noBreakHyphen/>
        <w:t>in transaction contained in a farm</w:t>
      </w:r>
      <w:r>
        <w:noBreakHyphen/>
        <w:t xml:space="preserve">in agreement is not a </w:t>
      </w:r>
      <w:r>
        <w:rPr>
          <w:rStyle w:val="CharDefText"/>
        </w:rPr>
        <w:t>concessional farm</w:t>
      </w:r>
      <w:r>
        <w:rPr>
          <w:rStyle w:val="CharDefText"/>
        </w:rPr>
        <w:noBreakHyphen/>
        <w:t>in transaction</w:t>
      </w:r>
      <w:r>
        <w:t xml:space="preserve"> if, when the farm</w:t>
      </w:r>
      <w:r>
        <w:noBreakHyphen/>
        <w:t xml:space="preserve">in agreement is made — </w:t>
      </w:r>
    </w:p>
    <w:p>
      <w:pPr>
        <w:pStyle w:val="Indenta"/>
      </w:pPr>
      <w:r>
        <w:tab/>
        <w:t>(a)</w:t>
      </w:r>
      <w:r>
        <w:tab/>
        <w:t xml:space="preserve">the farmee — </w:t>
      </w:r>
    </w:p>
    <w:p>
      <w:pPr>
        <w:pStyle w:val="Indenti"/>
      </w:pPr>
      <w:r>
        <w:tab/>
        <w:t>(i)</w:t>
      </w:r>
      <w:r>
        <w:tab/>
        <w:t>is a primary farmor for a relevant mining tenement; or</w:t>
      </w:r>
    </w:p>
    <w:p>
      <w:pPr>
        <w:pStyle w:val="Indenti"/>
      </w:pPr>
      <w:r>
        <w:tab/>
        <w:t>(ii)</w:t>
      </w:r>
      <w:r>
        <w:tab/>
        <w:t>is the holder, or 1 of the holders, of a derivative mining right that authorises exploitation of land the subject of a relevant mining tenement; or</w:t>
      </w:r>
    </w:p>
    <w:p>
      <w:pPr>
        <w:pStyle w:val="Indenti"/>
      </w:pPr>
      <w:r>
        <w:tab/>
        <w:t>(iii)</w:t>
      </w:r>
      <w:r>
        <w:tab/>
        <w:t>otherwise has any interest in a relevant mining tenement or in a derivative mining right of the type referred to in subparagraph (ii);</w:t>
      </w:r>
    </w:p>
    <w:p>
      <w:pPr>
        <w:pStyle w:val="Indenta"/>
      </w:pPr>
      <w:r>
        <w:tab/>
      </w:r>
      <w:r>
        <w:tab/>
        <w:t>or</w:t>
      </w:r>
    </w:p>
    <w:p>
      <w:pPr>
        <w:pStyle w:val="Indenta"/>
      </w:pPr>
      <w:r>
        <w:tab/>
        <w:t>(b)</w:t>
      </w:r>
      <w:r>
        <w:tab/>
        <w:t xml:space="preserve">the farmee — </w:t>
      </w:r>
    </w:p>
    <w:p>
      <w:pPr>
        <w:pStyle w:val="Indenti"/>
      </w:pPr>
      <w:r>
        <w:tab/>
        <w:t>(i)</w:t>
      </w:r>
      <w:r>
        <w:tab/>
        <w:t>is 1 of the holders of a relevant derivative mining right; or</w:t>
      </w:r>
    </w:p>
    <w:p>
      <w:pPr>
        <w:pStyle w:val="Indenti"/>
      </w:pPr>
      <w:r>
        <w:tab/>
        <w:t>(ii)</w:t>
      </w:r>
      <w:r>
        <w:tab/>
        <w:t>is a primary farmor for a mining tenement to which a relevant derivative mining right relates; or</w:t>
      </w:r>
    </w:p>
    <w:p>
      <w:pPr>
        <w:pStyle w:val="Indenti"/>
      </w:pPr>
      <w:r>
        <w:tab/>
        <w:t>(iii)</w:t>
      </w:r>
      <w:r>
        <w:tab/>
        <w:t>is the holder, or 1 of the holders, of a derivative mining right (other than a relevant derivative mining right) that authorises exploitation of land the subject of a mining tenement of the type referred to in subparagraph (ii); or</w:t>
      </w:r>
    </w:p>
    <w:p>
      <w:pPr>
        <w:pStyle w:val="Indenti"/>
        <w:keepNext/>
      </w:pPr>
      <w:r>
        <w:tab/>
        <w:t>(iv)</w:t>
      </w:r>
      <w:r>
        <w:tab/>
        <w:t>otherwise has any interest in a relevant derivative mining right, in a mining tenement of the type referred to in subparagraph (ii) or in a derivative mining right of the type referred to in subparagraph (iii).</w:t>
      </w:r>
    </w:p>
    <w:p>
      <w:pPr>
        <w:pStyle w:val="Footnotesection"/>
      </w:pPr>
      <w:r>
        <w:tab/>
        <w:t>[Section 91L inserted: No. 37 of 2022 s. 8.]</w:t>
      </w:r>
    </w:p>
    <w:p>
      <w:pPr>
        <w:pStyle w:val="Heading5"/>
      </w:pPr>
      <w:bookmarkStart w:id="491" w:name="_Toc201228997"/>
      <w:bookmarkStart w:id="492" w:name="_Toc182410062"/>
      <w:r>
        <w:rPr>
          <w:rStyle w:val="CharSectno"/>
        </w:rPr>
        <w:t>91M</w:t>
      </w:r>
      <w:r>
        <w:t>.</w:t>
      </w:r>
      <w:r>
        <w:tab/>
        <w:t>Farm</w:t>
      </w:r>
      <w:r>
        <w:noBreakHyphen/>
        <w:t>in transactions and other concepts</w:t>
      </w:r>
      <w:bookmarkEnd w:id="491"/>
      <w:bookmarkEnd w:id="492"/>
    </w:p>
    <w:p>
      <w:pPr>
        <w:pStyle w:val="Subsection"/>
      </w:pPr>
      <w:r>
        <w:tab/>
        <w:t>(1)</w:t>
      </w:r>
      <w:r>
        <w:tab/>
        <w:t xml:space="preserve">A </w:t>
      </w:r>
      <w:r>
        <w:rPr>
          <w:rStyle w:val="CharDefText"/>
        </w:rPr>
        <w:t>farm</w:t>
      </w:r>
      <w:r>
        <w:rPr>
          <w:rStyle w:val="CharDefText"/>
        </w:rPr>
        <w:noBreakHyphen/>
        <w:t>in transaction</w:t>
      </w:r>
      <w:r>
        <w:t xml:space="preserve"> is an agreement, whether conditional or not, to the effect that — </w:t>
      </w:r>
    </w:p>
    <w:p>
      <w:pPr>
        <w:pStyle w:val="Indenta"/>
      </w:pPr>
      <w:r>
        <w:tab/>
        <w:t>(a)</w:t>
      </w:r>
      <w:r>
        <w:tab/>
        <w:t xml:space="preserve">as set out in paragraphs (b) to (d), the agreement relates to either or both of the following — </w:t>
      </w:r>
    </w:p>
    <w:p>
      <w:pPr>
        <w:pStyle w:val="Indenti"/>
      </w:pPr>
      <w:r>
        <w:tab/>
        <w:t>(i)</w:t>
      </w:r>
      <w:r>
        <w:tab/>
        <w:t xml:space="preserve">the mining tenement, or 1 or more of the mining tenements, referred to in section 91L(1)(a)(i) (each such mining tenement to which the agreement relates being a </w:t>
      </w:r>
      <w:r>
        <w:rPr>
          <w:rStyle w:val="CharDefText"/>
        </w:rPr>
        <w:t>relevant mining tenement</w:t>
      </w:r>
      <w:r>
        <w:t>);</w:t>
      </w:r>
    </w:p>
    <w:p>
      <w:pPr>
        <w:pStyle w:val="Indenti"/>
      </w:pPr>
      <w:r>
        <w:tab/>
        <w:t>(ii)</w:t>
      </w:r>
      <w:r>
        <w:tab/>
        <w:t xml:space="preserve">the derivative mining right, or 1 or more of the derivative mining rights, referred to in section 91L(1)(a)(ii) (each such derivative mining right to which the agreement relates being a </w:t>
      </w:r>
      <w:r>
        <w:rPr>
          <w:rStyle w:val="CharDefText"/>
        </w:rPr>
        <w:t>relevant derivative mining right</w:t>
      </w:r>
      <w:r>
        <w:t>);</w:t>
      </w:r>
    </w:p>
    <w:p>
      <w:pPr>
        <w:pStyle w:val="Indenta"/>
      </w:pPr>
      <w:r>
        <w:tab/>
      </w:r>
      <w:r>
        <w:tab/>
        <w:t>and</w:t>
      </w:r>
    </w:p>
    <w:p>
      <w:pPr>
        <w:pStyle w:val="Indenta"/>
      </w:pPr>
      <w:r>
        <w:tab/>
        <w:t>(b)</w:t>
      </w:r>
      <w:r>
        <w:tab/>
        <w:t>the farmee is to fulfil, or has the option of fulfilling, an exploration requirement; and</w:t>
      </w:r>
    </w:p>
    <w:p>
      <w:pPr>
        <w:pStyle w:val="Indenta"/>
      </w:pPr>
      <w:r>
        <w:tab/>
        <w:t>(c)</w:t>
      </w:r>
      <w:r>
        <w:tab/>
        <w:t xml:space="preserve">if paragraph (a)(i) applies — after the farmee fulfils the exploration requirement, the farmor is to do, or the farmee has the option of requiring the farmor to do, either or both of the following — </w:t>
      </w:r>
    </w:p>
    <w:p>
      <w:pPr>
        <w:pStyle w:val="Indenti"/>
      </w:pPr>
      <w:r>
        <w:tab/>
        <w:t>(i)</w:t>
      </w:r>
      <w:r>
        <w:tab/>
        <w:t>transfer to the farmee an interest in each relevant mining tenement;</w:t>
      </w:r>
    </w:p>
    <w:p>
      <w:pPr>
        <w:pStyle w:val="Indenti"/>
      </w:pPr>
      <w:r>
        <w:tab/>
        <w:t>(ii)</w:t>
      </w:r>
      <w:r>
        <w:tab/>
        <w:t>grant the farmee a derivative mining right in relation to each relevant mining tenement;</w:t>
      </w:r>
    </w:p>
    <w:p>
      <w:pPr>
        <w:pStyle w:val="Indenta"/>
      </w:pPr>
      <w:r>
        <w:tab/>
      </w:r>
      <w:r>
        <w:tab/>
        <w:t>and</w:t>
      </w:r>
    </w:p>
    <w:p>
      <w:pPr>
        <w:pStyle w:val="Indenta"/>
      </w:pPr>
      <w:r>
        <w:tab/>
        <w:t>(d)</w:t>
      </w:r>
      <w:r>
        <w:tab/>
        <w:t>if paragraph (a)(ii) applies — after the farmee fulfils the exploration requirement, the farmor is to arrange, or the farmee has the option of requiring the farmor to arrange, for the farmee to acquire an interest in each relevant derivative mining right.</w:t>
      </w:r>
    </w:p>
    <w:p>
      <w:pPr>
        <w:pStyle w:val="Subsection"/>
      </w:pPr>
      <w:r>
        <w:tab/>
        <w:t>(2)</w:t>
      </w:r>
      <w:r>
        <w:tab/>
        <w:t xml:space="preserve">Despite subsection (1), an agreement is not a </w:t>
      </w:r>
      <w:r>
        <w:rPr>
          <w:rStyle w:val="CharDefText"/>
        </w:rPr>
        <w:t>farm</w:t>
      </w:r>
      <w:r>
        <w:rPr>
          <w:rStyle w:val="CharDefText"/>
        </w:rPr>
        <w:noBreakHyphen/>
        <w:t>in transaction</w:t>
      </w:r>
      <w:r>
        <w:t xml:space="preserve"> if — </w:t>
      </w:r>
    </w:p>
    <w:p>
      <w:pPr>
        <w:pStyle w:val="Indenta"/>
      </w:pPr>
      <w:r>
        <w:tab/>
        <w:t>(a)</w:t>
      </w:r>
      <w:r>
        <w:tab/>
        <w:t>otherwise than under a purchase agreement, the farmee is to acquire, or has the option of acquiring, a beneficial interest without fulfilling the exploration requirement; and</w:t>
      </w:r>
    </w:p>
    <w:p>
      <w:pPr>
        <w:pStyle w:val="Indenta"/>
      </w:pPr>
      <w:r>
        <w:tab/>
        <w:t>(b)</w:t>
      </w:r>
      <w:r>
        <w:tab/>
        <w:t>the beneficial interest corresponds (wholly or partly) to a legal interest that the farmee is to acquire, or has the option of acquiring, after fulfilling the exploration requirement as contemplated in subsection (1)(c)(i) or (ii) or (d).</w:t>
      </w:r>
    </w:p>
    <w:p>
      <w:pPr>
        <w:pStyle w:val="Subsection"/>
      </w:pPr>
      <w:r>
        <w:tab/>
        <w:t>(3)</w:t>
      </w:r>
      <w:r>
        <w:tab/>
        <w:t xml:space="preserve">The requirement of subsection (1)(c)(i) is met only if — </w:t>
      </w:r>
    </w:p>
    <w:p>
      <w:pPr>
        <w:pStyle w:val="Indenta"/>
      </w:pPr>
      <w:r>
        <w:tab/>
        <w:t>(a)</w:t>
      </w:r>
      <w:r>
        <w:tab/>
        <w:t xml:space="preserve">the agreement specifies — </w:t>
      </w:r>
    </w:p>
    <w:p>
      <w:pPr>
        <w:pStyle w:val="Indenti"/>
      </w:pPr>
      <w:r>
        <w:tab/>
        <w:t>(i)</w:t>
      </w:r>
      <w:r>
        <w:tab/>
        <w:t>the interest or interests to be transferred; or</w:t>
      </w:r>
    </w:p>
    <w:p>
      <w:pPr>
        <w:pStyle w:val="Indenti"/>
      </w:pPr>
      <w:r>
        <w:tab/>
        <w:t>(ii)</w:t>
      </w:r>
      <w:r>
        <w:tab/>
        <w:t>the way in which the interest or interests are to be determined;</w:t>
      </w:r>
    </w:p>
    <w:p>
      <w:pPr>
        <w:pStyle w:val="Indenta"/>
      </w:pPr>
      <w:r>
        <w:tab/>
      </w:r>
      <w:r>
        <w:tab/>
        <w:t>and</w:t>
      </w:r>
    </w:p>
    <w:p>
      <w:pPr>
        <w:pStyle w:val="Indenta"/>
      </w:pPr>
      <w:r>
        <w:tab/>
        <w:t>(b)</w:t>
      </w:r>
      <w:r>
        <w:tab/>
        <w:t>in relation to each relevant mining tenement, the interest to be transferred is, or will be, such that, were the transfer to be made, the farmor and farmee would both be, or would still both be, holders of the relevant mining tenement.</w:t>
      </w:r>
    </w:p>
    <w:p>
      <w:pPr>
        <w:pStyle w:val="Subsection"/>
      </w:pPr>
      <w:r>
        <w:tab/>
        <w:t>(4)</w:t>
      </w:r>
      <w:r>
        <w:tab/>
        <w:t xml:space="preserve">The requirement of subsection (1)(c)(ii) is met only if — </w:t>
      </w:r>
    </w:p>
    <w:p>
      <w:pPr>
        <w:pStyle w:val="Indenta"/>
      </w:pPr>
      <w:r>
        <w:tab/>
        <w:t>(a)</w:t>
      </w:r>
      <w:r>
        <w:tab/>
        <w:t xml:space="preserve">the agreement specifies — </w:t>
      </w:r>
    </w:p>
    <w:p>
      <w:pPr>
        <w:pStyle w:val="Indenti"/>
      </w:pPr>
      <w:r>
        <w:tab/>
        <w:t>(i)</w:t>
      </w:r>
      <w:r>
        <w:tab/>
        <w:t>the mining to be authorised by each derivative mining right; or</w:t>
      </w:r>
    </w:p>
    <w:p>
      <w:pPr>
        <w:pStyle w:val="Indenti"/>
      </w:pPr>
      <w:r>
        <w:tab/>
        <w:t>(ii)</w:t>
      </w:r>
      <w:r>
        <w:tab/>
        <w:t>the way in which that mining is to be determined;</w:t>
      </w:r>
    </w:p>
    <w:p>
      <w:pPr>
        <w:pStyle w:val="Indenta"/>
      </w:pPr>
      <w:r>
        <w:tab/>
      </w:r>
      <w:r>
        <w:tab/>
        <w:t>and</w:t>
      </w:r>
    </w:p>
    <w:p>
      <w:pPr>
        <w:pStyle w:val="Indenta"/>
      </w:pPr>
      <w:r>
        <w:tab/>
        <w:t>(b)</w:t>
      </w:r>
      <w:r>
        <w:tab/>
        <w:t>in relation to each relevant mining tenement, were the derivative mining right to be granted, the grant would not result in the farmee having, at any time, substantially the same authority to carry out mining that the farmor has, at that time, under the relevant mining tenement.</w:t>
      </w:r>
    </w:p>
    <w:p>
      <w:pPr>
        <w:pStyle w:val="Subsection"/>
      </w:pPr>
      <w:r>
        <w:tab/>
        <w:t>(5)</w:t>
      </w:r>
      <w:r>
        <w:tab/>
        <w:t>The requirement of subsection (1)(d) is met only if —</w:t>
      </w:r>
    </w:p>
    <w:p>
      <w:pPr>
        <w:pStyle w:val="Indenta"/>
      </w:pPr>
      <w:r>
        <w:tab/>
        <w:t>(a)</w:t>
      </w:r>
      <w:r>
        <w:tab/>
        <w:t xml:space="preserve">the agreement specifies — </w:t>
      </w:r>
    </w:p>
    <w:p>
      <w:pPr>
        <w:pStyle w:val="Indenti"/>
      </w:pPr>
      <w:r>
        <w:tab/>
        <w:t>(i)</w:t>
      </w:r>
      <w:r>
        <w:tab/>
        <w:t>the interest or interests to be acquired; or</w:t>
      </w:r>
    </w:p>
    <w:p>
      <w:pPr>
        <w:pStyle w:val="Indenti"/>
      </w:pPr>
      <w:r>
        <w:tab/>
        <w:t>(ii)</w:t>
      </w:r>
      <w:r>
        <w:tab/>
        <w:t>the way in which the interest or interests are to be determined;</w:t>
      </w:r>
    </w:p>
    <w:p>
      <w:pPr>
        <w:pStyle w:val="Indenta"/>
      </w:pPr>
      <w:r>
        <w:tab/>
      </w:r>
      <w:r>
        <w:tab/>
        <w:t>and</w:t>
      </w:r>
    </w:p>
    <w:p>
      <w:pPr>
        <w:pStyle w:val="Indenta"/>
      </w:pPr>
      <w:r>
        <w:tab/>
        <w:t>(b)</w:t>
      </w:r>
      <w:r>
        <w:tab/>
        <w:t>in relation to each relevant derivative mining right, the interest to be acquired is, or will be, such that, were it to be acquired, the farmor and farmee would both be, or would still both be, holders of the relevant derivative mining right.</w:t>
      </w:r>
    </w:p>
    <w:p>
      <w:pPr>
        <w:pStyle w:val="Subsection"/>
      </w:pPr>
      <w:r>
        <w:tab/>
        <w:t>(6)</w:t>
      </w:r>
      <w:r>
        <w:tab/>
        <w:t xml:space="preserve">A </w:t>
      </w:r>
      <w:r>
        <w:rPr>
          <w:rStyle w:val="CharDefText"/>
        </w:rPr>
        <w:t>replacement mining tenement</w:t>
      </w:r>
      <w:r>
        <w:t xml:space="preserve">, for a relevant mining tenement, is a mining tenement — </w:t>
      </w:r>
    </w:p>
    <w:p>
      <w:pPr>
        <w:pStyle w:val="Indenta"/>
      </w:pPr>
      <w:r>
        <w:tab/>
        <w:t>(a)</w:t>
      </w:r>
      <w:r>
        <w:tab/>
        <w:t>that is granted, after the making of the farm</w:t>
      </w:r>
      <w:r>
        <w:noBreakHyphen/>
        <w:t xml:space="preserve">in transaction concerned, to replace (wholly or partly) — </w:t>
      </w:r>
    </w:p>
    <w:p>
      <w:pPr>
        <w:pStyle w:val="Indenti"/>
      </w:pPr>
      <w:r>
        <w:tab/>
        <w:t>(i)</w:t>
      </w:r>
      <w:r>
        <w:tab/>
        <w:t>the relevant mining tenement; or</w:t>
      </w:r>
    </w:p>
    <w:p>
      <w:pPr>
        <w:pStyle w:val="Indenti"/>
      </w:pPr>
      <w:r>
        <w:tab/>
        <w:t>(ii)</w:t>
      </w:r>
      <w:r>
        <w:tab/>
        <w:t>an earlier replacement mining tenement for the relevant mining tenement; or</w:t>
      </w:r>
    </w:p>
    <w:p>
      <w:pPr>
        <w:pStyle w:val="Indenti"/>
      </w:pPr>
      <w:r>
        <w:tab/>
        <w:t>(iii)</w:t>
      </w:r>
      <w:r>
        <w:tab/>
        <w:t>a mining tenement referred to in subparagraph (i) or (ii), together with 1 or more other mining tenements each of which is also a relevant mining tenement for the farm</w:t>
      </w:r>
      <w:r>
        <w:noBreakHyphen/>
        <w:t>in transaction or a replacement mining tenement for such a relevant mining tenement;</w:t>
      </w:r>
    </w:p>
    <w:p>
      <w:pPr>
        <w:pStyle w:val="Indenta"/>
      </w:pPr>
      <w:r>
        <w:tab/>
      </w:r>
      <w:r>
        <w:tab/>
        <w:t>and</w:t>
      </w:r>
    </w:p>
    <w:p>
      <w:pPr>
        <w:pStyle w:val="Indenta"/>
        <w:keepNext/>
      </w:pPr>
      <w:r>
        <w:tab/>
        <w:t>(b)</w:t>
      </w:r>
      <w:r>
        <w:tab/>
        <w:t xml:space="preserve">that relates only to the land, or to a part of the land, the subject of — </w:t>
      </w:r>
    </w:p>
    <w:p>
      <w:pPr>
        <w:pStyle w:val="Indenti"/>
      </w:pPr>
      <w:r>
        <w:tab/>
        <w:t>(i)</w:t>
      </w:r>
      <w:r>
        <w:tab/>
        <w:t>the mining tenement that is replaced; or</w:t>
      </w:r>
    </w:p>
    <w:p>
      <w:pPr>
        <w:pStyle w:val="Indenti"/>
      </w:pPr>
      <w:r>
        <w:tab/>
        <w:t>(ii)</w:t>
      </w:r>
      <w:r>
        <w:tab/>
        <w:t>the mining tenements that are replaced (taken together as if they were a single mining tenement);</w:t>
      </w:r>
    </w:p>
    <w:p>
      <w:pPr>
        <w:pStyle w:val="Indenta"/>
      </w:pPr>
      <w:r>
        <w:tab/>
      </w:r>
      <w:r>
        <w:tab/>
        <w:t>and</w:t>
      </w:r>
    </w:p>
    <w:p>
      <w:pPr>
        <w:pStyle w:val="Indenta"/>
      </w:pPr>
      <w:r>
        <w:tab/>
        <w:t>(c)</w:t>
      </w:r>
      <w:r>
        <w:tab/>
        <w:t>of which the farmor is the holder or 1 of the holders.</w:t>
      </w:r>
    </w:p>
    <w:p>
      <w:pPr>
        <w:pStyle w:val="Subsection"/>
      </w:pPr>
      <w:r>
        <w:tab/>
        <w:t>(7)</w:t>
      </w:r>
      <w:r>
        <w:tab/>
        <w:t xml:space="preserve">A </w:t>
      </w:r>
      <w:r>
        <w:rPr>
          <w:rStyle w:val="CharDefText"/>
        </w:rPr>
        <w:t>replacement derivative mining right</w:t>
      </w:r>
      <w:r>
        <w:t xml:space="preserve">, for a relevant derivative mining right, is a derivative mining right — </w:t>
      </w:r>
    </w:p>
    <w:p>
      <w:pPr>
        <w:pStyle w:val="Indenta"/>
      </w:pPr>
      <w:r>
        <w:tab/>
        <w:t>(a)</w:t>
      </w:r>
      <w:r>
        <w:tab/>
        <w:t>that is granted, after the making of the farm</w:t>
      </w:r>
      <w:r>
        <w:noBreakHyphen/>
        <w:t xml:space="preserve">in transaction concerned, to replace (wholly or partly) — </w:t>
      </w:r>
    </w:p>
    <w:p>
      <w:pPr>
        <w:pStyle w:val="Indenti"/>
      </w:pPr>
      <w:r>
        <w:tab/>
        <w:t>(i)</w:t>
      </w:r>
      <w:r>
        <w:tab/>
        <w:t>the relevant derivative mining right; or</w:t>
      </w:r>
    </w:p>
    <w:p>
      <w:pPr>
        <w:pStyle w:val="Indenti"/>
      </w:pPr>
      <w:r>
        <w:tab/>
        <w:t>(ii)</w:t>
      </w:r>
      <w:r>
        <w:tab/>
        <w:t>an earlier replacement derivative mining right for the relevant derivative mining right; or</w:t>
      </w:r>
    </w:p>
    <w:p>
      <w:pPr>
        <w:pStyle w:val="Indenti"/>
      </w:pPr>
      <w:r>
        <w:tab/>
        <w:t>(iii)</w:t>
      </w:r>
      <w:r>
        <w:tab/>
        <w:t>a derivative mining right referred to in subparagraph (i) or (ii), together with 1 or more other derivative mining rights each of which is also a relevant derivative mining right for the farm</w:t>
      </w:r>
      <w:r>
        <w:noBreakHyphen/>
        <w:t>in transaction or a replacement derivative mining right for such a relevant derivative mining right;</w:t>
      </w:r>
    </w:p>
    <w:p>
      <w:pPr>
        <w:pStyle w:val="Indenta"/>
      </w:pPr>
      <w:r>
        <w:tab/>
      </w:r>
      <w:r>
        <w:tab/>
        <w:t>and</w:t>
      </w:r>
    </w:p>
    <w:p>
      <w:pPr>
        <w:pStyle w:val="Indenta"/>
      </w:pPr>
      <w:r>
        <w:tab/>
        <w:t>(b)</w:t>
      </w:r>
      <w:r>
        <w:tab/>
        <w:t xml:space="preserve">that relates only to the land, or to a part of the land, the subject of — </w:t>
      </w:r>
    </w:p>
    <w:p>
      <w:pPr>
        <w:pStyle w:val="Indenti"/>
      </w:pPr>
      <w:r>
        <w:tab/>
        <w:t>(i)</w:t>
      </w:r>
      <w:r>
        <w:tab/>
        <w:t>the derivative mining right that is replaced; or</w:t>
      </w:r>
    </w:p>
    <w:p>
      <w:pPr>
        <w:pStyle w:val="Indenti"/>
      </w:pPr>
      <w:r>
        <w:tab/>
        <w:t>(ii)</w:t>
      </w:r>
      <w:r>
        <w:tab/>
        <w:t>the derivative mining rights that are replaced (taken together as if they were a single derivative mining right);</w:t>
      </w:r>
    </w:p>
    <w:p>
      <w:pPr>
        <w:pStyle w:val="Indenta"/>
      </w:pPr>
      <w:r>
        <w:tab/>
      </w:r>
      <w:r>
        <w:tab/>
        <w:t>and</w:t>
      </w:r>
    </w:p>
    <w:p>
      <w:pPr>
        <w:pStyle w:val="Indenta"/>
        <w:keepNext/>
      </w:pPr>
      <w:r>
        <w:tab/>
        <w:t>(c)</w:t>
      </w:r>
      <w:r>
        <w:tab/>
        <w:t xml:space="preserve">subject to subsection (8), that does not authorise any mining beyond the mining authorised by — </w:t>
      </w:r>
    </w:p>
    <w:p>
      <w:pPr>
        <w:pStyle w:val="Indenti"/>
      </w:pPr>
      <w:r>
        <w:tab/>
        <w:t>(i)</w:t>
      </w:r>
      <w:r>
        <w:tab/>
        <w:t>the derivative mining right that is replaced; or</w:t>
      </w:r>
    </w:p>
    <w:p>
      <w:pPr>
        <w:pStyle w:val="Indenti"/>
      </w:pPr>
      <w:r>
        <w:tab/>
        <w:t>(ii)</w:t>
      </w:r>
      <w:r>
        <w:tab/>
        <w:t>the derivative mining rights that are replaced;</w:t>
      </w:r>
    </w:p>
    <w:p>
      <w:pPr>
        <w:pStyle w:val="Indenta"/>
      </w:pPr>
      <w:r>
        <w:tab/>
      </w:r>
      <w:r>
        <w:tab/>
        <w:t>and</w:t>
      </w:r>
    </w:p>
    <w:p>
      <w:pPr>
        <w:pStyle w:val="Indenta"/>
      </w:pPr>
      <w:r>
        <w:tab/>
        <w:t>(d)</w:t>
      </w:r>
      <w:r>
        <w:tab/>
        <w:t>of which the farmor is the holder or 1 of the holders.</w:t>
      </w:r>
    </w:p>
    <w:p>
      <w:pPr>
        <w:pStyle w:val="Subsection"/>
      </w:pPr>
      <w:r>
        <w:tab/>
        <w:t>(8)</w:t>
      </w:r>
      <w:r>
        <w:tab/>
        <w:t xml:space="preserve">The requirement of subsection (7)(c) does not have to be met if — </w:t>
      </w:r>
    </w:p>
    <w:p>
      <w:pPr>
        <w:pStyle w:val="Indenta"/>
      </w:pPr>
      <w:r>
        <w:tab/>
        <w:t>(a)</w:t>
      </w:r>
      <w:r>
        <w:tab/>
        <w:t xml:space="preserve">the derivative mining right is granted in relation to a mining tenement (the </w:t>
      </w:r>
      <w:r>
        <w:rPr>
          <w:rStyle w:val="CharDefText"/>
        </w:rPr>
        <w:t>new mining tenement</w:t>
      </w:r>
      <w:r>
        <w:t xml:space="preserve">) that was granted to replace (wholly or partly) another mining tenement (the </w:t>
      </w:r>
      <w:r>
        <w:rPr>
          <w:rStyle w:val="CharDefText"/>
        </w:rPr>
        <w:t>previous mining tenement</w:t>
      </w:r>
      <w:r>
        <w:t>); and</w:t>
      </w:r>
    </w:p>
    <w:p>
      <w:pPr>
        <w:pStyle w:val="Indenta"/>
      </w:pPr>
      <w:r>
        <w:tab/>
        <w:t>(b)</w:t>
      </w:r>
      <w:r>
        <w:tab/>
        <w:t>the new mining tenement authorises mining beyond the mining authorised by the previous mining tenement; and</w:t>
      </w:r>
    </w:p>
    <w:p>
      <w:pPr>
        <w:pStyle w:val="Indenta"/>
      </w:pPr>
      <w:r>
        <w:tab/>
        <w:t>(c)</w:t>
      </w:r>
      <w:r>
        <w:tab/>
        <w:t xml:space="preserve">the derivative mining right only authorises mining for minerals for which mining is authorised by — </w:t>
      </w:r>
    </w:p>
    <w:p>
      <w:pPr>
        <w:pStyle w:val="Indenti"/>
      </w:pPr>
      <w:r>
        <w:tab/>
        <w:t>(i)</w:t>
      </w:r>
      <w:r>
        <w:tab/>
        <w:t>the derivative mining right that is replaced; or</w:t>
      </w:r>
    </w:p>
    <w:p>
      <w:pPr>
        <w:pStyle w:val="Indenti"/>
      </w:pPr>
      <w:r>
        <w:tab/>
        <w:t>(ii)</w:t>
      </w:r>
      <w:r>
        <w:tab/>
        <w:t>the derivative mining rights that are replaced.</w:t>
      </w:r>
    </w:p>
    <w:p>
      <w:pPr>
        <w:pStyle w:val="Subsection"/>
      </w:pPr>
      <w:r>
        <w:tab/>
        <w:t>(9)</w:t>
      </w:r>
      <w:r>
        <w:tab/>
        <w:t xml:space="preserve">A </w:t>
      </w:r>
      <w:r>
        <w:rPr>
          <w:rStyle w:val="CharDefText"/>
        </w:rPr>
        <w:t>purchase agreement</w:t>
      </w:r>
      <w:r>
        <w:t>, in relation to a farm</w:t>
      </w:r>
      <w:r>
        <w:noBreakHyphen/>
        <w:t xml:space="preserve">in transaction, is an agreement made between the farmor and farmee to the effect that — </w:t>
      </w:r>
    </w:p>
    <w:p>
      <w:pPr>
        <w:pStyle w:val="Indenta"/>
      </w:pPr>
      <w:r>
        <w:tab/>
        <w:t>(a)</w:t>
      </w:r>
      <w:r>
        <w:tab/>
        <w:t>the farmee is to provide consideration, or has the option of providing consideration, to the farmor; and</w:t>
      </w:r>
    </w:p>
    <w:p>
      <w:pPr>
        <w:pStyle w:val="Indenta"/>
      </w:pPr>
      <w:r>
        <w:tab/>
        <w:t>(b)</w:t>
      </w:r>
      <w:r>
        <w:tab/>
        <w:t>the providing of the consideration by the farmee would be in lieu of the farmee fulfilling a part (but not the whole) of the exploration requirement; and</w:t>
      </w:r>
    </w:p>
    <w:p>
      <w:pPr>
        <w:pStyle w:val="Indenta"/>
      </w:pPr>
      <w:r>
        <w:tab/>
        <w:t>(c)</w:t>
      </w:r>
      <w:r>
        <w:tab/>
        <w:t>were the farmee to provide the consideration — the farm</w:t>
      </w:r>
      <w:r>
        <w:noBreakHyphen/>
        <w:t xml:space="preserve">in transaction would be varied — </w:t>
      </w:r>
    </w:p>
    <w:p>
      <w:pPr>
        <w:pStyle w:val="Indenti"/>
      </w:pPr>
      <w:r>
        <w:tab/>
        <w:t>(i)</w:t>
      </w:r>
      <w:r>
        <w:tab/>
        <w:t>so as to reduce the exploration requirement by excluding the part referred to in paragraph (b); and</w:t>
      </w:r>
    </w:p>
    <w:p>
      <w:pPr>
        <w:pStyle w:val="Indenti"/>
        <w:keepNext/>
      </w:pPr>
      <w:r>
        <w:tab/>
        <w:t>(ii)</w:t>
      </w:r>
      <w:r>
        <w:tab/>
        <w:t>so that, accordingly, the reduced exploration requirement would become the exploration requirement for the farm</w:t>
      </w:r>
      <w:r>
        <w:noBreakHyphen/>
        <w:t>in transaction.</w:t>
      </w:r>
    </w:p>
    <w:p>
      <w:pPr>
        <w:pStyle w:val="Footnotesection"/>
      </w:pPr>
      <w:r>
        <w:tab/>
        <w:t>[Section 91M inserted: No. 37 of 2022 s. 8.]</w:t>
      </w:r>
    </w:p>
    <w:p>
      <w:pPr>
        <w:pStyle w:val="Heading5"/>
      </w:pPr>
      <w:bookmarkStart w:id="493" w:name="_Toc201228998"/>
      <w:bookmarkStart w:id="494" w:name="_Toc182410063"/>
      <w:r>
        <w:rPr>
          <w:rStyle w:val="CharSectno"/>
        </w:rPr>
        <w:t>91N</w:t>
      </w:r>
      <w:r>
        <w:t>.</w:t>
      </w:r>
      <w:r>
        <w:tab/>
        <w:t>Exploration requirement and exploration amount</w:t>
      </w:r>
      <w:bookmarkEnd w:id="493"/>
      <w:bookmarkEnd w:id="494"/>
    </w:p>
    <w:p>
      <w:pPr>
        <w:pStyle w:val="Subsection"/>
      </w:pPr>
      <w:r>
        <w:tab/>
        <w:t>(1)</w:t>
      </w:r>
      <w:r>
        <w:tab/>
        <w:t xml:space="preserve">For the purposes of section 91M(1), an </w:t>
      </w:r>
      <w:r>
        <w:rPr>
          <w:rStyle w:val="CharDefText"/>
        </w:rPr>
        <w:t>exploration requirement</w:t>
      </w:r>
      <w:r>
        <w:t xml:space="preserve"> is a requirement to do either or both of the following after the farm</w:t>
      </w:r>
      <w:r>
        <w:noBreakHyphen/>
        <w:t xml:space="preserve">in transaction is made — </w:t>
      </w:r>
    </w:p>
    <w:p>
      <w:pPr>
        <w:pStyle w:val="Indenta"/>
      </w:pPr>
      <w:r>
        <w:tab/>
        <w:t>(a)</w:t>
      </w:r>
      <w:r>
        <w:tab/>
        <w:t>expend, on exploration carried out by the farmee after the farm</w:t>
      </w:r>
      <w:r>
        <w:noBreakHyphen/>
        <w:t>in transaction is made, an amount that is specified in, or determined in accordance with, the farm</w:t>
      </w:r>
      <w:r>
        <w:noBreakHyphen/>
        <w:t>in transaction;</w:t>
      </w:r>
    </w:p>
    <w:p>
      <w:pPr>
        <w:pStyle w:val="Indenta"/>
      </w:pPr>
      <w:r>
        <w:tab/>
        <w:t>(b)</w:t>
      </w:r>
      <w:r>
        <w:tab/>
        <w:t>carry out exploration as specified in, or determined in accordance with, the farm</w:t>
      </w:r>
      <w:r>
        <w:noBreakHyphen/>
        <w:t>in transaction.</w:t>
      </w:r>
    </w:p>
    <w:p>
      <w:pPr>
        <w:pStyle w:val="Subsection"/>
      </w:pPr>
      <w:r>
        <w:tab/>
        <w:t>(2)</w:t>
      </w:r>
      <w:r>
        <w:tab/>
        <w:t xml:space="preserve">In subsection (1)(a) and (b), references to exploration are to — </w:t>
      </w:r>
    </w:p>
    <w:p>
      <w:pPr>
        <w:pStyle w:val="Indenta"/>
      </w:pPr>
      <w:r>
        <w:tab/>
        <w:t>(a)</w:t>
      </w:r>
      <w:r>
        <w:tab/>
        <w:t xml:space="preserve">subject to paragraph (b) and subsection (4), exploration that consists, and only consists, of the following — </w:t>
      </w:r>
    </w:p>
    <w:p>
      <w:pPr>
        <w:pStyle w:val="Indenti"/>
      </w:pPr>
      <w:r>
        <w:tab/>
        <w:t>(i)</w:t>
      </w:r>
      <w:r>
        <w:tab/>
        <w:t>if only section 91M(1)(a)(i) applies — exploration of each relevant mining tenement;</w:t>
      </w:r>
    </w:p>
    <w:p>
      <w:pPr>
        <w:pStyle w:val="Indenti"/>
      </w:pPr>
      <w:r>
        <w:tab/>
        <w:t>(ii)</w:t>
      </w:r>
      <w:r>
        <w:tab/>
        <w:t>if only section 91M(1)(a)(ii) applies — exploration of each relevant derivative mining right;</w:t>
      </w:r>
    </w:p>
    <w:p>
      <w:pPr>
        <w:pStyle w:val="Indenti"/>
      </w:pPr>
      <w:r>
        <w:tab/>
        <w:t>(iii)</w:t>
      </w:r>
      <w:r>
        <w:tab/>
        <w:t>if both section 91M(1)(a)(i) and (ii) apply — exploration of each relevant mining tenement and each relevant derivative mining right;</w:t>
      </w:r>
    </w:p>
    <w:p>
      <w:pPr>
        <w:pStyle w:val="Indenta"/>
      </w:pPr>
      <w:r>
        <w:tab/>
      </w:r>
      <w:r>
        <w:tab/>
        <w:t>and</w:t>
      </w:r>
    </w:p>
    <w:p>
      <w:pPr>
        <w:pStyle w:val="Indenta"/>
      </w:pPr>
      <w:r>
        <w:tab/>
        <w:t>(b)</w:t>
      </w:r>
      <w:r>
        <w:tab/>
        <w:t xml:space="preserve">in relation to exploration of a relevant derivative mining right, exploration that consists only of either or both of the following — </w:t>
      </w:r>
    </w:p>
    <w:p>
      <w:pPr>
        <w:pStyle w:val="Indenti"/>
      </w:pPr>
      <w:r>
        <w:tab/>
        <w:t>(i)</w:t>
      </w:r>
      <w:r>
        <w:tab/>
        <w:t>mining that is authorised by the relevant derivative mining right;</w:t>
      </w:r>
    </w:p>
    <w:p>
      <w:pPr>
        <w:pStyle w:val="Indenti"/>
      </w:pPr>
      <w:r>
        <w:tab/>
        <w:t>(ii)</w:t>
      </w:r>
      <w:r>
        <w:tab/>
        <w:t>activities that are solely incidental to mining that is so authorised.</w:t>
      </w:r>
    </w:p>
    <w:p>
      <w:pPr>
        <w:pStyle w:val="Subsection"/>
      </w:pPr>
      <w:r>
        <w:tab/>
        <w:t>(3)</w:t>
      </w:r>
      <w:r>
        <w:tab/>
        <w:t xml:space="preserve">Subsection (4) — </w:t>
      </w:r>
    </w:p>
    <w:p>
      <w:pPr>
        <w:pStyle w:val="Indenta"/>
      </w:pPr>
      <w:r>
        <w:tab/>
        <w:t>(a)</w:t>
      </w:r>
      <w:r>
        <w:tab/>
        <w:t>applies to any relevant mining tenement that has not been granted when the farm</w:t>
      </w:r>
      <w:r>
        <w:noBreakHyphen/>
        <w:t>in transaction is made; but</w:t>
      </w:r>
    </w:p>
    <w:p>
      <w:pPr>
        <w:pStyle w:val="Indenta"/>
      </w:pPr>
      <w:r>
        <w:tab/>
        <w:t>(b)</w:t>
      </w:r>
      <w:r>
        <w:tab/>
        <w:t xml:space="preserve">cannot be relied upon in a way that would mean, in effect, that — </w:t>
      </w:r>
    </w:p>
    <w:p>
      <w:pPr>
        <w:pStyle w:val="Indenti"/>
      </w:pPr>
      <w:r>
        <w:tab/>
        <w:t>(i)</w:t>
      </w:r>
      <w:r>
        <w:tab/>
        <w:t>no amount is required to be expended as referred to in subsection (1)(a); and</w:t>
      </w:r>
    </w:p>
    <w:p>
      <w:pPr>
        <w:pStyle w:val="Indenti"/>
      </w:pPr>
      <w:r>
        <w:tab/>
        <w:t>(ii)</w:t>
      </w:r>
      <w:r>
        <w:tab/>
        <w:t>no exploration is required to be carried out as referred to in subsection (1)(b).</w:t>
      </w:r>
    </w:p>
    <w:p>
      <w:pPr>
        <w:pStyle w:val="Subsection"/>
      </w:pPr>
      <w:r>
        <w:tab/>
        <w:t>(4)</w:t>
      </w:r>
      <w:r>
        <w:tab/>
        <w:t>Despite subsection (2)(a)(i) and (iii), the exploration on which an amount is required to be expended as referred to in subsection (1)(a), or that is required to be carried out as referred to in subsection (1)(b), need not include any exploration of the relevant mining tenement.</w:t>
      </w:r>
    </w:p>
    <w:p>
      <w:pPr>
        <w:pStyle w:val="Subsection"/>
      </w:pPr>
      <w:r>
        <w:tab/>
        <w:t>(5)</w:t>
      </w:r>
      <w:r>
        <w:tab/>
        <w:t>In relation to a concessional farm</w:t>
      </w:r>
      <w:r>
        <w:noBreakHyphen/>
        <w:t xml:space="preserve">in transaction, the </w:t>
      </w:r>
      <w:r>
        <w:rPr>
          <w:rStyle w:val="CharDefText"/>
        </w:rPr>
        <w:t>exploration amount</w:t>
      </w:r>
      <w:r>
        <w:t xml:space="preserve"> is, as the case requires — </w:t>
      </w:r>
    </w:p>
    <w:p>
      <w:pPr>
        <w:pStyle w:val="Indenta"/>
      </w:pPr>
      <w:r>
        <w:tab/>
        <w:t>(a)</w:t>
      </w:r>
      <w:r>
        <w:tab/>
        <w:t>the amount required to be expended as referred to in subsection (1)(a); or</w:t>
      </w:r>
    </w:p>
    <w:p>
      <w:pPr>
        <w:pStyle w:val="Indenta"/>
      </w:pPr>
      <w:r>
        <w:tab/>
        <w:t>(b)</w:t>
      </w:r>
      <w:r>
        <w:tab/>
        <w:t>the amount expended by the farmee after the concessional farm</w:t>
      </w:r>
      <w:r>
        <w:noBreakHyphen/>
        <w:t>in transaction is made on the exploration required to be carried out as referred to in subsection (1)(b); or</w:t>
      </w:r>
    </w:p>
    <w:p>
      <w:pPr>
        <w:pStyle w:val="Indenta"/>
      </w:pPr>
      <w:r>
        <w:tab/>
        <w:t>(c)</w:t>
      </w:r>
      <w:r>
        <w:tab/>
        <w:t>the amount required to be expended as referred to in subsection (1)(a) and any additional amount expended by the farmee after the concessional farm</w:t>
      </w:r>
      <w:r>
        <w:noBreakHyphen/>
        <w:t>in transaction is made on the exploration required to be carried out as referred to in subsection (1)(b).</w:t>
      </w:r>
    </w:p>
    <w:p>
      <w:pPr>
        <w:pStyle w:val="Subsection"/>
        <w:keepNext/>
      </w:pPr>
      <w:r>
        <w:tab/>
        <w:t>(6)</w:t>
      </w:r>
      <w:r>
        <w:tab/>
        <w:t>The Commissioner may, in relation to an agreement, allow expenditure on administrative costs that would not otherwise be regarded as expenditure on exploration for the purposes of this section to be so regarded, subject to any limits or other conditions imposed by the Commissioner.</w:t>
      </w:r>
    </w:p>
    <w:p>
      <w:pPr>
        <w:pStyle w:val="Footnotesection"/>
      </w:pPr>
      <w:r>
        <w:tab/>
        <w:t>[Section 91N inserted: No. 37 of 2022 s. 8.]</w:t>
      </w:r>
    </w:p>
    <w:p>
      <w:pPr>
        <w:pStyle w:val="Heading4"/>
      </w:pPr>
      <w:bookmarkStart w:id="495" w:name="_Toc201217928"/>
      <w:bookmarkStart w:id="496" w:name="_Toc201224301"/>
      <w:bookmarkStart w:id="497" w:name="_Toc201228999"/>
      <w:bookmarkStart w:id="498" w:name="_Toc182388604"/>
      <w:bookmarkStart w:id="499" w:name="_Toc182389266"/>
      <w:bookmarkStart w:id="500" w:name="_Toc182410064"/>
      <w:r>
        <w:rPr>
          <w:sz w:val="26"/>
          <w:szCs w:val="26"/>
        </w:rPr>
        <w:t>Subdivision 3 — Treatment of farm</w:t>
      </w:r>
      <w:r>
        <w:rPr>
          <w:sz w:val="26"/>
          <w:szCs w:val="26"/>
        </w:rPr>
        <w:noBreakHyphen/>
        <w:t>in agreements and farm</w:t>
      </w:r>
      <w:r>
        <w:rPr>
          <w:sz w:val="26"/>
          <w:szCs w:val="26"/>
        </w:rPr>
        <w:noBreakHyphen/>
        <w:t>in transactions for duty purposes</w:t>
      </w:r>
      <w:bookmarkEnd w:id="495"/>
      <w:bookmarkEnd w:id="496"/>
      <w:bookmarkEnd w:id="497"/>
      <w:bookmarkEnd w:id="498"/>
      <w:bookmarkEnd w:id="499"/>
      <w:bookmarkEnd w:id="500"/>
    </w:p>
    <w:p>
      <w:pPr>
        <w:pStyle w:val="Footnoteheading"/>
      </w:pPr>
      <w:r>
        <w:tab/>
        <w:t>[Heading inserted: No. 37 of 2022 s. 8.]</w:t>
      </w:r>
    </w:p>
    <w:p>
      <w:pPr>
        <w:pStyle w:val="Heading5"/>
        <w:keepNext w:val="0"/>
        <w:keepLines w:val="0"/>
      </w:pPr>
      <w:bookmarkStart w:id="501" w:name="_Toc201229000"/>
      <w:bookmarkStart w:id="502" w:name="_Toc182410065"/>
      <w:r>
        <w:rPr>
          <w:rStyle w:val="CharSectno"/>
        </w:rPr>
        <w:t>91O</w:t>
      </w:r>
      <w:r>
        <w:t>.</w:t>
      </w:r>
      <w:r>
        <w:tab/>
        <w:t>Consideration</w:t>
      </w:r>
      <w:bookmarkEnd w:id="501"/>
      <w:bookmarkEnd w:id="502"/>
    </w:p>
    <w:p>
      <w:pPr>
        <w:pStyle w:val="Subsection"/>
      </w:pPr>
      <w:r>
        <w:tab/>
        <w:t>(1)</w:t>
      </w:r>
      <w:r>
        <w:tab/>
        <w:t>For the purposes of this Act, the exploration amount for a concessional farm</w:t>
      </w:r>
      <w:r>
        <w:noBreakHyphen/>
        <w:t>in transaction is taken not to be consideration for the concessional farm</w:t>
      </w:r>
      <w:r>
        <w:noBreakHyphen/>
        <w:t>in transaction.</w:t>
      </w:r>
    </w:p>
    <w:p>
      <w:pPr>
        <w:pStyle w:val="Subsection"/>
      </w:pPr>
      <w:r>
        <w:tab/>
        <w:t>(2)</w:t>
      </w:r>
      <w:r>
        <w:tab/>
        <w:t>Section 11(2) does not prevent a concessional farm</w:t>
      </w:r>
      <w:r>
        <w:noBreakHyphen/>
        <w:t>in transaction from being a dutiable transaction.</w:t>
      </w:r>
    </w:p>
    <w:p>
      <w:pPr>
        <w:pStyle w:val="Subsection"/>
      </w:pPr>
      <w:r>
        <w:tab/>
        <w:t>(3)</w:t>
      </w:r>
      <w:r>
        <w:tab/>
        <w:t xml:space="preserve">Subsections (4) to (6) apply if — </w:t>
      </w:r>
    </w:p>
    <w:p>
      <w:pPr>
        <w:pStyle w:val="Indenta"/>
      </w:pPr>
      <w:r>
        <w:tab/>
        <w:t>(a)</w:t>
      </w:r>
      <w:r>
        <w:tab/>
        <w:t>a farm</w:t>
      </w:r>
      <w:r>
        <w:noBreakHyphen/>
        <w:t>in agreement is made; and</w:t>
      </w:r>
    </w:p>
    <w:p>
      <w:pPr>
        <w:pStyle w:val="Indenta"/>
      </w:pPr>
      <w:r>
        <w:tab/>
        <w:t>(b)</w:t>
      </w:r>
      <w:r>
        <w:tab/>
        <w:t xml:space="preserve">there is, or will be, consideration (the </w:t>
      </w:r>
      <w:r>
        <w:rPr>
          <w:rStyle w:val="CharDefText"/>
        </w:rPr>
        <w:t>relevant consideration</w:t>
      </w:r>
      <w:r>
        <w:t>) that is, or will be, consideration for the farm</w:t>
      </w:r>
      <w:r>
        <w:noBreakHyphen/>
        <w:t>in agreement (as opposed to being, for example, consideration for a concessional farm</w:t>
      </w:r>
      <w:r>
        <w:noBreakHyphen/>
        <w:t>in transaction, or for another type of transaction, contained in the farm</w:t>
      </w:r>
      <w:r>
        <w:noBreakHyphen/>
        <w:t>in agreement).</w:t>
      </w:r>
    </w:p>
    <w:p>
      <w:pPr>
        <w:pStyle w:val="Subsection"/>
      </w:pPr>
      <w:r>
        <w:tab/>
        <w:t>(4)</w:t>
      </w:r>
      <w:r>
        <w:tab/>
        <w:t>The farm</w:t>
      </w:r>
      <w:r>
        <w:noBreakHyphen/>
        <w:t>in agreement is taken to contain, in addition to the 1 or more transactions that it actually contains, a dutiable transaction that is the acquisition by the farmee of a derivative mining right.</w:t>
      </w:r>
    </w:p>
    <w:p>
      <w:pPr>
        <w:pStyle w:val="Subsection"/>
      </w:pPr>
      <w:r>
        <w:tab/>
        <w:t>(5)</w:t>
      </w:r>
      <w:r>
        <w:tab/>
        <w:t>The derivative mining right is taken to be acquired by the farmee on the making of the farm</w:t>
      </w:r>
      <w:r>
        <w:noBreakHyphen/>
        <w:t>in agreement.</w:t>
      </w:r>
    </w:p>
    <w:p>
      <w:pPr>
        <w:pStyle w:val="Subsection"/>
      </w:pPr>
      <w:r>
        <w:tab/>
        <w:t>(6)</w:t>
      </w:r>
      <w:r>
        <w:tab/>
        <w:t>The dutiable value of the dutiable transaction is taken to be the relevant consideration.</w:t>
      </w:r>
    </w:p>
    <w:p>
      <w:pPr>
        <w:pStyle w:val="Footnotesection"/>
      </w:pPr>
      <w:r>
        <w:tab/>
        <w:t>[Section 91O inserted: No. 37 of 2022 s. 8.]</w:t>
      </w:r>
    </w:p>
    <w:p>
      <w:pPr>
        <w:pStyle w:val="Heading5"/>
        <w:keepNext w:val="0"/>
        <w:keepLines w:val="0"/>
      </w:pPr>
      <w:bookmarkStart w:id="503" w:name="_Toc201229001"/>
      <w:bookmarkStart w:id="504" w:name="_Toc182410066"/>
      <w:r>
        <w:rPr>
          <w:rStyle w:val="CharSectno"/>
        </w:rPr>
        <w:t>91P</w:t>
      </w:r>
      <w:r>
        <w:t>.</w:t>
      </w:r>
      <w:r>
        <w:tab/>
        <w:t>General rules relating to charging of duty</w:t>
      </w:r>
      <w:bookmarkEnd w:id="503"/>
      <w:bookmarkEnd w:id="504"/>
    </w:p>
    <w:p>
      <w:pPr>
        <w:pStyle w:val="Subsection"/>
      </w:pPr>
      <w:r>
        <w:tab/>
        <w:t>(1)</w:t>
      </w:r>
      <w:r>
        <w:tab/>
        <w:t>Nominal duty is chargeable on a concessional farm</w:t>
      </w:r>
      <w:r>
        <w:noBreakHyphen/>
        <w:t>in transaction if there is not, and will not be, any consideration for the concessional farm</w:t>
      </w:r>
      <w:r>
        <w:noBreakHyphen/>
        <w:t>in transaction.</w:t>
      </w:r>
    </w:p>
    <w:p>
      <w:pPr>
        <w:pStyle w:val="Subsection"/>
      </w:pPr>
      <w:r>
        <w:tab/>
        <w:t>(2)</w:t>
      </w:r>
      <w:r>
        <w:tab/>
        <w:t xml:space="preserve">Subsection (3) applies if — </w:t>
      </w:r>
    </w:p>
    <w:p>
      <w:pPr>
        <w:pStyle w:val="Indenta"/>
      </w:pPr>
      <w:r>
        <w:tab/>
        <w:t>(a)</w:t>
      </w:r>
      <w:r>
        <w:tab/>
        <w:t>a farm</w:t>
      </w:r>
      <w:r>
        <w:noBreakHyphen/>
        <w:t>in agreement contains 2 or more concessional farm</w:t>
      </w:r>
      <w:r>
        <w:noBreakHyphen/>
        <w:t>in transactions; and</w:t>
      </w:r>
    </w:p>
    <w:p>
      <w:pPr>
        <w:pStyle w:val="Indenta"/>
      </w:pPr>
      <w:r>
        <w:tab/>
        <w:t>(b)</w:t>
      </w:r>
      <w:r>
        <w:tab/>
        <w:t>apart from subsection (3), nominal duty would be chargeable on all of the concessional farm</w:t>
      </w:r>
      <w:r>
        <w:noBreakHyphen/>
        <w:t>in transactions contained in the farm</w:t>
      </w:r>
      <w:r>
        <w:noBreakHyphen/>
        <w:t>in agreement.</w:t>
      </w:r>
    </w:p>
    <w:p>
      <w:pPr>
        <w:pStyle w:val="Subsection"/>
      </w:pPr>
      <w:r>
        <w:tab/>
        <w:t>(3)</w:t>
      </w:r>
      <w:r>
        <w:tab/>
        <w:t>Nominal duty is chargeable on all of the concessional farm</w:t>
      </w:r>
      <w:r>
        <w:noBreakHyphen/>
        <w:t>in transactions taken together as if they were a single dutiable transaction.</w:t>
      </w:r>
    </w:p>
    <w:p>
      <w:pPr>
        <w:pStyle w:val="Subsection"/>
      </w:pPr>
      <w:r>
        <w:tab/>
        <w:t>(4)</w:t>
      </w:r>
      <w:r>
        <w:tab/>
        <w:t>The dutiable value of a dutiable transaction that is a concessional farm</w:t>
      </w:r>
      <w:r>
        <w:noBreakHyphen/>
        <w:t>in transaction is the consideration for the concessional farm</w:t>
      </w:r>
      <w:r>
        <w:noBreakHyphen/>
        <w:t>in transaction.</w:t>
      </w:r>
    </w:p>
    <w:p>
      <w:pPr>
        <w:pStyle w:val="Subsection"/>
      </w:pPr>
      <w:r>
        <w:tab/>
        <w:t>(5)</w:t>
      </w:r>
      <w:r>
        <w:tab/>
        <w:t>Duty is not chargeable on a concessional farm</w:t>
      </w:r>
      <w:r>
        <w:noBreakHyphen/>
        <w:t xml:space="preserve">in transaction if — </w:t>
      </w:r>
    </w:p>
    <w:p>
      <w:pPr>
        <w:pStyle w:val="Indenta"/>
      </w:pPr>
      <w:r>
        <w:tab/>
        <w:t>(a)</w:t>
      </w:r>
      <w:r>
        <w:tab/>
        <w:t>apart from this subsection, the concessional farm</w:t>
      </w:r>
      <w:r>
        <w:noBreakHyphen/>
        <w:t>in transaction would be chargeable with nominal duty; and</w:t>
      </w:r>
    </w:p>
    <w:p>
      <w:pPr>
        <w:pStyle w:val="Indenta"/>
      </w:pPr>
      <w:r>
        <w:tab/>
        <w:t>(b)</w:t>
      </w:r>
      <w:r>
        <w:tab/>
        <w:t>the farm</w:t>
      </w:r>
      <w:r>
        <w:noBreakHyphen/>
        <w:t>in agreement that contains the concessional farm</w:t>
      </w:r>
      <w:r>
        <w:noBreakHyphen/>
        <w:t>in transaction also contains 1 or more other concessional farm</w:t>
      </w:r>
      <w:r>
        <w:noBreakHyphen/>
        <w:t>in transactions on which duty is chargeable at the general rate of duty.</w:t>
      </w:r>
    </w:p>
    <w:p>
      <w:pPr>
        <w:pStyle w:val="Subsection"/>
      </w:pPr>
      <w:r>
        <w:tab/>
        <w:t>(6)</w:t>
      </w:r>
      <w:r>
        <w:tab/>
        <w:t>If a farm</w:t>
      </w:r>
      <w:r>
        <w:noBreakHyphen/>
        <w:t>in agreement contains 2 or more concessional farm</w:t>
      </w:r>
      <w:r>
        <w:noBreakHyphen/>
        <w:t>in transactions on which duty is chargeable at the general rate of duty, the amount of duty chargeable on each of those concessional farm</w:t>
      </w:r>
      <w:r>
        <w:noBreakHyphen/>
        <w:t xml:space="preserve">in transactions must be determined as follows — </w:t>
      </w:r>
    </w:p>
    <w:p>
      <w:pPr>
        <w:pStyle w:val="Indenta"/>
      </w:pPr>
      <w:r>
        <w:tab/>
        <w:t>(a)</w:t>
      </w:r>
      <w:r>
        <w:tab/>
        <w:t>first, aggregate the dutiable values of the concessional farm</w:t>
      </w:r>
      <w:r>
        <w:noBreakHyphen/>
        <w:t>in transactions;</w:t>
      </w:r>
    </w:p>
    <w:p>
      <w:pPr>
        <w:pStyle w:val="Indenta"/>
      </w:pPr>
      <w:r>
        <w:tab/>
        <w:t>(b)</w:t>
      </w:r>
      <w:r>
        <w:tab/>
        <w:t>second, apply the general rate of duty to the aggregate dutiable value;</w:t>
      </w:r>
    </w:p>
    <w:p>
      <w:pPr>
        <w:pStyle w:val="Indenta"/>
      </w:pPr>
      <w:r>
        <w:tab/>
        <w:t>(c)</w:t>
      </w:r>
      <w:r>
        <w:tab/>
        <w:t>third, apportion the resulting amount of duty between the concessional farm</w:t>
      </w:r>
      <w:r>
        <w:noBreakHyphen/>
        <w:t>in transactions in the way determined by the Commissioner.</w:t>
      </w:r>
    </w:p>
    <w:p>
      <w:pPr>
        <w:pStyle w:val="Subsection"/>
      </w:pPr>
      <w:r>
        <w:tab/>
        <w:t>(7)</w:t>
      </w:r>
      <w:r>
        <w:tab/>
        <w:t>If a farm</w:t>
      </w:r>
      <w:r>
        <w:noBreakHyphen/>
        <w:t>in agreement contains 2 or more concessional farm</w:t>
      </w:r>
      <w:r>
        <w:noBreakHyphen/>
        <w:t>in transactions and the Commissioner is, at any time, reassessing the duty chargeable on any of the concessional farm</w:t>
      </w:r>
      <w:r>
        <w:noBreakHyphen/>
        <w:t>in transactions, the Commissioner must also reassess the duty chargeable on any of the other concessional farm</w:t>
      </w:r>
      <w:r>
        <w:noBreakHyphen/>
        <w:t>in transactions as necessary for the purpose of applying subsection (3), (5) or (6).</w:t>
      </w:r>
    </w:p>
    <w:p>
      <w:pPr>
        <w:pStyle w:val="Subsection"/>
      </w:pPr>
      <w:r>
        <w:tab/>
        <w:t>(8)</w:t>
      </w:r>
      <w:r>
        <w:tab/>
        <w:t>The limitations as to time in the Taxation Administration Act section 17 do not apply in respect of a reassessment under subsection (7).</w:t>
      </w:r>
    </w:p>
    <w:p>
      <w:pPr>
        <w:pStyle w:val="Footnotesection"/>
      </w:pPr>
      <w:r>
        <w:tab/>
        <w:t>[Section 91P inserted: No. 37 of 2022 s. 8.]</w:t>
      </w:r>
    </w:p>
    <w:p>
      <w:pPr>
        <w:pStyle w:val="Heading5"/>
        <w:keepNext w:val="0"/>
        <w:keepLines w:val="0"/>
      </w:pPr>
      <w:bookmarkStart w:id="505" w:name="_Toc201229002"/>
      <w:bookmarkStart w:id="506" w:name="_Toc182410067"/>
      <w:r>
        <w:rPr>
          <w:rStyle w:val="CharSectno"/>
        </w:rPr>
        <w:t>91Q</w:t>
      </w:r>
      <w:r>
        <w:t>.</w:t>
      </w:r>
      <w:r>
        <w:tab/>
        <w:t>Changes to consideration</w:t>
      </w:r>
      <w:bookmarkEnd w:id="505"/>
      <w:bookmarkEnd w:id="506"/>
    </w:p>
    <w:p>
      <w:pPr>
        <w:pStyle w:val="Subsection"/>
      </w:pPr>
      <w:r>
        <w:tab/>
        <w:t>(1)</w:t>
      </w:r>
      <w:r>
        <w:tab/>
        <w:t>Subsection (3) applies to a concessional farm</w:t>
      </w:r>
      <w:r>
        <w:noBreakHyphen/>
        <w:t>in transaction if, before the concessional farm</w:t>
      </w:r>
      <w:r>
        <w:noBreakHyphen/>
        <w:t>in transaction is completed, the consideration for the concessional farm</w:t>
      </w:r>
      <w:r>
        <w:noBreakHyphen/>
        <w:t>in transaction is increased or reduced.</w:t>
      </w:r>
    </w:p>
    <w:p>
      <w:pPr>
        <w:pStyle w:val="PermNoteHeading"/>
        <w:keepNext w:val="0"/>
      </w:pPr>
      <w:r>
        <w:tab/>
        <w:t>Example for this subsection:</w:t>
      </w:r>
    </w:p>
    <w:p>
      <w:pPr>
        <w:pStyle w:val="PermNoteText"/>
      </w:pPr>
      <w:r>
        <w:tab/>
      </w:r>
      <w:r>
        <w:tab/>
        <w:t>There is a purchase agreement in relation to a concessional farm</w:t>
      </w:r>
      <w:r>
        <w:noBreakHyphen/>
        <w:t>in transaction and the farmee provides the consideration referred to in section 91M(9)(a).</w:t>
      </w:r>
    </w:p>
    <w:p>
      <w:pPr>
        <w:pStyle w:val="Subsection"/>
      </w:pPr>
      <w:r>
        <w:tab/>
        <w:t>(2)</w:t>
      </w:r>
      <w:r>
        <w:tab/>
        <w:t>For the purposes of subsection (1), a concessional farm</w:t>
      </w:r>
      <w:r>
        <w:noBreakHyphen/>
        <w:t xml:space="preserve">in transaction is </w:t>
      </w:r>
      <w:r>
        <w:rPr>
          <w:rStyle w:val="CharDefText"/>
        </w:rPr>
        <w:t>completed</w:t>
      </w:r>
      <w:r>
        <w:t xml:space="preserve"> when either of the following applies after the farmee has fulfilled the exploration requirement — </w:t>
      </w:r>
    </w:p>
    <w:p>
      <w:pPr>
        <w:pStyle w:val="Indenta"/>
      </w:pPr>
      <w:r>
        <w:tab/>
        <w:t>(a)</w:t>
      </w:r>
      <w:r>
        <w:tab/>
        <w:t xml:space="preserve">as contemplated in section 91M(1)(c) or (d), the farmee — </w:t>
      </w:r>
    </w:p>
    <w:p>
      <w:pPr>
        <w:pStyle w:val="Indenti"/>
      </w:pPr>
      <w:r>
        <w:tab/>
        <w:t>(i)</w:t>
      </w:r>
      <w:r>
        <w:tab/>
        <w:t>acquires an interest in a relevant mining tenement; or</w:t>
      </w:r>
    </w:p>
    <w:p>
      <w:pPr>
        <w:pStyle w:val="Indenti"/>
      </w:pPr>
      <w:r>
        <w:tab/>
        <w:t>(ii)</w:t>
      </w:r>
      <w:r>
        <w:tab/>
        <w:t>is granted a derivative mining right in relation to a relevant mining tenement; or</w:t>
      </w:r>
    </w:p>
    <w:p>
      <w:pPr>
        <w:pStyle w:val="Indenti"/>
      </w:pPr>
      <w:r>
        <w:tab/>
        <w:t>(iii)</w:t>
      </w:r>
      <w:r>
        <w:tab/>
        <w:t>acquires an interest in a relevant derivative mining right;</w:t>
      </w:r>
    </w:p>
    <w:p>
      <w:pPr>
        <w:pStyle w:val="Indenta"/>
      </w:pPr>
      <w:r>
        <w:tab/>
        <w:t>(b)</w:t>
      </w:r>
      <w:r>
        <w:tab/>
        <w:t>paragraph (a) cannot apply because all of the farmee’s options, as contemplated in section 91M(1)(c) and (d), have terminated without being exercised.</w:t>
      </w:r>
    </w:p>
    <w:p>
      <w:pPr>
        <w:pStyle w:val="Subsection"/>
      </w:pPr>
      <w:r>
        <w:tab/>
        <w:t>(3)</w:t>
      </w:r>
      <w:r>
        <w:tab/>
        <w:t>The Commissioner must assess or reassess the duty chargeable on the concessional farm</w:t>
      </w:r>
      <w:r>
        <w:noBreakHyphen/>
        <w:t>in transaction on the basis of the increased or reduced consideration.</w:t>
      </w:r>
    </w:p>
    <w:p>
      <w:pPr>
        <w:pStyle w:val="Subsection"/>
      </w:pPr>
      <w:r>
        <w:tab/>
        <w:t>(4)</w:t>
      </w:r>
      <w:r>
        <w:tab/>
        <w:t>However, if it is reduced consideration, the Commissioner does not have to reassess the duty unless the taxpayer makes an application for the reassessment.</w:t>
      </w:r>
    </w:p>
    <w:p>
      <w:pPr>
        <w:pStyle w:val="Subsection"/>
      </w:pPr>
      <w:r>
        <w:tab/>
        <w:t>(5)</w:t>
      </w:r>
      <w:r>
        <w:tab/>
        <w:t>If there is increased consideration after the concessional farm</w:t>
      </w:r>
      <w:r>
        <w:noBreakHyphen/>
        <w:t>in transaction is duty endorsed, section 31(5) applies with any necessary modifications.</w:t>
      </w:r>
    </w:p>
    <w:p>
      <w:pPr>
        <w:pStyle w:val="Subsection"/>
      </w:pPr>
      <w:r>
        <w:tab/>
        <w:t>(6)</w:t>
      </w:r>
      <w:r>
        <w:tab/>
        <w:t>Duty is chargeable on a reassessment under subsection (3) in relation to a concessional farm</w:t>
      </w:r>
      <w:r>
        <w:noBreakHyphen/>
        <w:t>in transaction at the same rate and using the same thresholds that applied when liability for duty on the concessional farm</w:t>
      </w:r>
      <w:r>
        <w:noBreakHyphen/>
        <w:t>in transaction initially arose.</w:t>
      </w:r>
    </w:p>
    <w:p>
      <w:pPr>
        <w:pStyle w:val="Subsection"/>
      </w:pPr>
      <w:r>
        <w:tab/>
        <w:t>(7)</w:t>
      </w:r>
      <w:r>
        <w:tab/>
        <w:t>Subsection (3) does not apply in a case where a taxpayer may apply for a reassessment because of subsection (8).</w:t>
      </w:r>
    </w:p>
    <w:p>
      <w:pPr>
        <w:pStyle w:val="Subsection"/>
      </w:pPr>
      <w:r>
        <w:tab/>
        <w:t>(8)</w:t>
      </w:r>
      <w:r>
        <w:tab/>
        <w:t>If any part of the consideration for a concessional farm</w:t>
      </w:r>
      <w:r>
        <w:noBreakHyphen/>
        <w:t>in transaction is dependent on the happening of a future event, or on a future event not happening, section 32(1) and (3) apply, with any necessary modifications, as if references to an agreement for the transfer of dutiable property were to the concessional farm</w:t>
      </w:r>
      <w:r>
        <w:noBreakHyphen/>
        <w:t>in transaction.</w:t>
      </w:r>
    </w:p>
    <w:p>
      <w:pPr>
        <w:pStyle w:val="Subsection"/>
        <w:keepNext/>
      </w:pPr>
      <w:r>
        <w:tab/>
        <w:t>(9)</w:t>
      </w:r>
      <w:r>
        <w:tab/>
        <w:t xml:space="preserve">For the purposes of subsection (8), the Taxation Administration Act section 17 applies as if — </w:t>
      </w:r>
    </w:p>
    <w:p>
      <w:pPr>
        <w:pStyle w:val="Indenta"/>
      </w:pPr>
      <w:r>
        <w:tab/>
        <w:t>(a)</w:t>
      </w:r>
      <w:r>
        <w:tab/>
        <w:t xml:space="preserve">despite subsection (1) of that section, a person is not entitled to apply for a reassessment after the later of the following — </w:t>
      </w:r>
    </w:p>
    <w:p>
      <w:pPr>
        <w:pStyle w:val="Indenti"/>
      </w:pPr>
      <w:r>
        <w:tab/>
        <w:t>(i)</w:t>
      </w:r>
      <w:r>
        <w:tab/>
        <w:t>5 years after the day on which the concessional farm</w:t>
      </w:r>
      <w:r>
        <w:noBreakHyphen/>
        <w:t>in transaction was made;</w:t>
      </w:r>
    </w:p>
    <w:p>
      <w:pPr>
        <w:pStyle w:val="Indenti"/>
      </w:pPr>
      <w:r>
        <w:tab/>
        <w:t>(ii)</w:t>
      </w:r>
      <w:r>
        <w:tab/>
        <w:t>12 months after the day on which the requirements of section 32(1)(b) and (c) (as applied under subsection (8)) were fulfilled;</w:t>
      </w:r>
    </w:p>
    <w:p>
      <w:pPr>
        <w:pStyle w:val="Indenta"/>
      </w:pPr>
      <w:r>
        <w:tab/>
      </w:r>
      <w:r>
        <w:tab/>
        <w:t>and</w:t>
      </w:r>
    </w:p>
    <w:p>
      <w:pPr>
        <w:pStyle w:val="Indenta"/>
      </w:pPr>
      <w:r>
        <w:tab/>
        <w:t>(b)</w:t>
      </w:r>
      <w:r>
        <w:tab/>
        <w:t>despite subsection (4) of that section, the Commissioner may only make a reassessment on an application if the application was made within that time.</w:t>
      </w:r>
    </w:p>
    <w:p>
      <w:pPr>
        <w:pStyle w:val="Footnotesection"/>
      </w:pPr>
      <w:r>
        <w:tab/>
        <w:t>[Section 91Q inserted: No. 37 of 2022 s. 8.]</w:t>
      </w:r>
    </w:p>
    <w:p>
      <w:pPr>
        <w:pStyle w:val="Heading5"/>
        <w:keepNext w:val="0"/>
        <w:keepLines w:val="0"/>
      </w:pPr>
      <w:bookmarkStart w:id="507" w:name="_Toc201229003"/>
      <w:bookmarkStart w:id="508" w:name="_Toc182410068"/>
      <w:r>
        <w:rPr>
          <w:rStyle w:val="CharSectno"/>
        </w:rPr>
        <w:t>91R</w:t>
      </w:r>
      <w:r>
        <w:t>.</w:t>
      </w:r>
      <w:r>
        <w:tab/>
        <w:t>No double duty</w:t>
      </w:r>
      <w:bookmarkEnd w:id="507"/>
      <w:bookmarkEnd w:id="508"/>
    </w:p>
    <w:p>
      <w:pPr>
        <w:pStyle w:val="Subsection"/>
      </w:pPr>
      <w:r>
        <w:tab/>
        <w:t>(1)</w:t>
      </w:r>
      <w:r>
        <w:tab/>
        <w:t xml:space="preserve">In this section — </w:t>
      </w:r>
    </w:p>
    <w:p>
      <w:pPr>
        <w:pStyle w:val="Defstart"/>
      </w:pPr>
      <w:r>
        <w:tab/>
      </w:r>
      <w:r>
        <w:rPr>
          <w:rStyle w:val="CharDefText"/>
        </w:rPr>
        <w:t>consideration</w:t>
      </w:r>
      <w:r>
        <w:t>, in relation to a dutiable transaction, does not include the exploration amount for the concessional farm</w:t>
      </w:r>
      <w:r>
        <w:noBreakHyphen/>
        <w:t>in transaction concerned.</w:t>
      </w:r>
    </w:p>
    <w:p>
      <w:pPr>
        <w:pStyle w:val="Subsection"/>
      </w:pPr>
      <w:r>
        <w:tab/>
        <w:t>(2)</w:t>
      </w:r>
      <w:r>
        <w:tab/>
        <w:t xml:space="preserve">Duty is not chargeable on a dutiable transaction if — </w:t>
      </w:r>
    </w:p>
    <w:p>
      <w:pPr>
        <w:pStyle w:val="Indenta"/>
      </w:pPr>
      <w:r>
        <w:tab/>
        <w:t>(a)</w:t>
      </w:r>
      <w:r>
        <w:tab/>
        <w:t xml:space="preserve">the dutiable transaction — </w:t>
      </w:r>
    </w:p>
    <w:p>
      <w:pPr>
        <w:pStyle w:val="Indenti"/>
      </w:pPr>
      <w:r>
        <w:tab/>
        <w:t>(i)</w:t>
      </w:r>
      <w:r>
        <w:tab/>
        <w:t>is under a concessional farm</w:t>
      </w:r>
      <w:r>
        <w:noBreakHyphen/>
        <w:t>in transaction as contemplated in section 91M(1)(c) or (d); and</w:t>
      </w:r>
    </w:p>
    <w:p>
      <w:pPr>
        <w:pStyle w:val="Indenti"/>
      </w:pPr>
      <w:r>
        <w:tab/>
        <w:t>(ii)</w:t>
      </w:r>
      <w:r>
        <w:tab/>
        <w:t>without limiting subparagraph (i), occurs after the farmee has fulfilled the exploration requirement;</w:t>
      </w:r>
    </w:p>
    <w:p>
      <w:pPr>
        <w:pStyle w:val="Indenta"/>
      </w:pPr>
      <w:r>
        <w:tab/>
      </w:r>
      <w:r>
        <w:tab/>
        <w:t>and</w:t>
      </w:r>
    </w:p>
    <w:p>
      <w:pPr>
        <w:pStyle w:val="Indenta"/>
      </w:pPr>
      <w:r>
        <w:tab/>
        <w:t>(b)</w:t>
      </w:r>
      <w:r>
        <w:tab/>
        <w:t>the concessional farm</w:t>
      </w:r>
      <w:r>
        <w:noBreakHyphen/>
        <w:t>in transaction is duty endorsed.</w:t>
      </w:r>
    </w:p>
    <w:p>
      <w:pPr>
        <w:pStyle w:val="Subsection"/>
      </w:pPr>
      <w:r>
        <w:tab/>
        <w:t>(3)</w:t>
      </w:r>
      <w:r>
        <w:tab/>
        <w:t xml:space="preserve">Duty is not chargeable on a dutiable transaction (the </w:t>
      </w:r>
      <w:r>
        <w:rPr>
          <w:rStyle w:val="CharDefText"/>
        </w:rPr>
        <w:t>replacement dutiable transaction</w:t>
      </w:r>
      <w:r>
        <w:t xml:space="preserve">) if — </w:t>
      </w:r>
    </w:p>
    <w:p>
      <w:pPr>
        <w:pStyle w:val="Indenta"/>
      </w:pPr>
      <w:r>
        <w:tab/>
        <w:t>(a)</w:t>
      </w:r>
      <w:r>
        <w:tab/>
        <w:t xml:space="preserve">the replacement dutiable transaction — </w:t>
      </w:r>
    </w:p>
    <w:p>
      <w:pPr>
        <w:pStyle w:val="Indenti"/>
      </w:pPr>
      <w:r>
        <w:tab/>
        <w:t>(i)</w:t>
      </w:r>
      <w:r>
        <w:tab/>
        <w:t>is in lieu of a dutiable transaction that, had it occurred, would have been under a concessional farm</w:t>
      </w:r>
      <w:r>
        <w:noBreakHyphen/>
        <w:t>in transaction as contemplated in section 91M(1)(c) or (d); and</w:t>
      </w:r>
    </w:p>
    <w:p>
      <w:pPr>
        <w:pStyle w:val="Indenti"/>
        <w:keepNext/>
        <w:keepLines/>
      </w:pPr>
      <w:r>
        <w:tab/>
        <w:t>(ii)</w:t>
      </w:r>
      <w:r>
        <w:tab/>
        <w:t>would be a dutiable transaction under the concessional farm</w:t>
      </w:r>
      <w:r>
        <w:noBreakHyphen/>
        <w:t>in transaction as contemplated in section 91M(1)(c) or (d) except only that the replacement dutiable transaction involves a replacement mining tenement for a relevant mining tenement, or a replacement derivative mining right for a relevant derivative mining right, that was not anticipated in the concessional farm</w:t>
      </w:r>
      <w:r>
        <w:noBreakHyphen/>
        <w:t>in transaction; and</w:t>
      </w:r>
    </w:p>
    <w:p>
      <w:pPr>
        <w:pStyle w:val="Indenti"/>
      </w:pPr>
      <w:r>
        <w:tab/>
        <w:t>(iii)</w:t>
      </w:r>
      <w:r>
        <w:tab/>
        <w:t>without limiting subparagraphs (i) and (ii), occurs after the farmee has fulfilled the exploration requirement for the concessional farm</w:t>
      </w:r>
      <w:r>
        <w:noBreakHyphen/>
        <w:t>in transaction;</w:t>
      </w:r>
    </w:p>
    <w:p>
      <w:pPr>
        <w:pStyle w:val="Indenta"/>
      </w:pPr>
      <w:r>
        <w:tab/>
      </w:r>
      <w:r>
        <w:tab/>
        <w:t>and</w:t>
      </w:r>
    </w:p>
    <w:p>
      <w:pPr>
        <w:pStyle w:val="Indenta"/>
      </w:pPr>
      <w:r>
        <w:tab/>
        <w:t>(b)</w:t>
      </w:r>
      <w:r>
        <w:tab/>
        <w:t>the concessional farm</w:t>
      </w:r>
      <w:r>
        <w:noBreakHyphen/>
        <w:t>in transaction is duty endorsed.</w:t>
      </w:r>
    </w:p>
    <w:p>
      <w:pPr>
        <w:pStyle w:val="Subsection"/>
      </w:pPr>
      <w:r>
        <w:tab/>
        <w:t>(4)</w:t>
      </w:r>
      <w:r>
        <w:tab/>
        <w:t>Duty is chargeable on a dutiable transaction to which subsection (2) or (3) would otherwise apply if there is, or will be, consideration for the dutiable transaction.</w:t>
      </w:r>
    </w:p>
    <w:p>
      <w:pPr>
        <w:pStyle w:val="Subsection"/>
      </w:pPr>
      <w:r>
        <w:tab/>
        <w:t>(5)</w:t>
      </w:r>
      <w:r>
        <w:tab/>
        <w:t>For the purposes of subsection (4), the dutiable value of the dutiable transaction is the consideration for the dutiable transaction to the extent that the consideration was not taken into account when the concessional farm</w:t>
      </w:r>
      <w:r>
        <w:noBreakHyphen/>
        <w:t>in transaction was duty endorsed.</w:t>
      </w:r>
    </w:p>
    <w:p>
      <w:pPr>
        <w:pStyle w:val="Subsection"/>
        <w:keepNext/>
      </w:pPr>
      <w:r>
        <w:tab/>
        <w:t>(6)</w:t>
      </w:r>
      <w:r>
        <w:tab/>
        <w:t>In subsection (3)(a)(i), the reference to a dutiable transaction includes a transaction that would be a dutiable transaction but for the application of section 91DA to the transaction.</w:t>
      </w:r>
    </w:p>
    <w:p>
      <w:pPr>
        <w:pStyle w:val="Footnotesection"/>
      </w:pPr>
      <w:r>
        <w:tab/>
        <w:t>[Section 91R inserted: No. 37 of 2022 s. 8.]</w:t>
      </w:r>
    </w:p>
    <w:p>
      <w:pPr>
        <w:pStyle w:val="Heading4"/>
      </w:pPr>
      <w:bookmarkStart w:id="509" w:name="_Toc201217933"/>
      <w:bookmarkStart w:id="510" w:name="_Toc201224306"/>
      <w:bookmarkStart w:id="511" w:name="_Toc201229004"/>
      <w:bookmarkStart w:id="512" w:name="_Toc182388609"/>
      <w:bookmarkStart w:id="513" w:name="_Toc182389271"/>
      <w:bookmarkStart w:id="514" w:name="_Toc182410069"/>
      <w:r>
        <w:rPr>
          <w:sz w:val="26"/>
          <w:szCs w:val="26"/>
        </w:rPr>
        <w:t>Subdivision 4 — Variations and other events affecting farm</w:t>
      </w:r>
      <w:r>
        <w:rPr>
          <w:sz w:val="26"/>
          <w:szCs w:val="26"/>
        </w:rPr>
        <w:noBreakHyphen/>
        <w:t>in agreements and farm</w:t>
      </w:r>
      <w:r>
        <w:rPr>
          <w:sz w:val="26"/>
          <w:szCs w:val="26"/>
        </w:rPr>
        <w:noBreakHyphen/>
        <w:t>in transactions</w:t>
      </w:r>
      <w:bookmarkEnd w:id="509"/>
      <w:bookmarkEnd w:id="510"/>
      <w:bookmarkEnd w:id="511"/>
      <w:bookmarkEnd w:id="512"/>
      <w:bookmarkEnd w:id="513"/>
      <w:bookmarkEnd w:id="514"/>
    </w:p>
    <w:p>
      <w:pPr>
        <w:pStyle w:val="Footnoteheading"/>
        <w:keepNext/>
      </w:pPr>
      <w:r>
        <w:tab/>
        <w:t>[Heading inserted: No. 37 of 2022 s. 8.]</w:t>
      </w:r>
    </w:p>
    <w:p>
      <w:pPr>
        <w:pStyle w:val="Heading5"/>
        <w:keepLines w:val="0"/>
      </w:pPr>
      <w:bookmarkStart w:id="515" w:name="_Toc201229005"/>
      <w:bookmarkStart w:id="516" w:name="_Toc182410070"/>
      <w:r>
        <w:rPr>
          <w:rStyle w:val="CharSectno"/>
        </w:rPr>
        <w:t>91S</w:t>
      </w:r>
      <w:r>
        <w:t>.</w:t>
      </w:r>
      <w:r>
        <w:tab/>
        <w:t>Farm</w:t>
      </w:r>
      <w:r>
        <w:noBreakHyphen/>
        <w:t>in transaction added to farm</w:t>
      </w:r>
      <w:r>
        <w:noBreakHyphen/>
        <w:t>in agreement</w:t>
      </w:r>
      <w:bookmarkEnd w:id="515"/>
      <w:bookmarkEnd w:id="516"/>
    </w:p>
    <w:p>
      <w:pPr>
        <w:pStyle w:val="Subsection"/>
      </w:pPr>
      <w:r>
        <w:tab/>
        <w:t>(1)</w:t>
      </w:r>
      <w:r>
        <w:tab/>
        <w:t>This section applies if a farm</w:t>
      </w:r>
      <w:r>
        <w:noBreakHyphen/>
        <w:t xml:space="preserve">in transaction (the </w:t>
      </w:r>
      <w:r>
        <w:rPr>
          <w:rStyle w:val="CharDefText"/>
        </w:rPr>
        <w:t>additional farm</w:t>
      </w:r>
      <w:r>
        <w:rPr>
          <w:rStyle w:val="CharDefText"/>
        </w:rPr>
        <w:noBreakHyphen/>
        <w:t>in transaction</w:t>
      </w:r>
      <w:r>
        <w:t>) is added to a farm</w:t>
      </w:r>
      <w:r>
        <w:noBreakHyphen/>
        <w:t>in agreement after the farm</w:t>
      </w:r>
      <w:r>
        <w:noBreakHyphen/>
        <w:t>in agreement is made.</w:t>
      </w:r>
    </w:p>
    <w:p>
      <w:pPr>
        <w:pStyle w:val="Subsection"/>
      </w:pPr>
      <w:r>
        <w:tab/>
        <w:t>(2)</w:t>
      </w:r>
      <w:r>
        <w:tab/>
        <w:t>The additional farm</w:t>
      </w:r>
      <w:r>
        <w:noBreakHyphen/>
        <w:t>in transaction is a concessional farm</w:t>
      </w:r>
      <w:r>
        <w:noBreakHyphen/>
        <w:t xml:space="preserve">in transaction only — </w:t>
      </w:r>
    </w:p>
    <w:p>
      <w:pPr>
        <w:pStyle w:val="Indenta"/>
      </w:pPr>
      <w:r>
        <w:tab/>
        <w:t>(a)</w:t>
      </w:r>
      <w:r>
        <w:tab/>
        <w:t>if the additional farm</w:t>
      </w:r>
      <w:r>
        <w:noBreakHyphen/>
        <w:t xml:space="preserve">in transaction — </w:t>
      </w:r>
    </w:p>
    <w:p>
      <w:pPr>
        <w:pStyle w:val="Indenti"/>
      </w:pPr>
      <w:r>
        <w:tab/>
        <w:t>(i)</w:t>
      </w:r>
      <w:r>
        <w:tab/>
        <w:t>is a concessional farm</w:t>
      </w:r>
      <w:r>
        <w:noBreakHyphen/>
        <w:t>in transaction under subsection (3) or (4); and</w:t>
      </w:r>
    </w:p>
    <w:p>
      <w:pPr>
        <w:pStyle w:val="Indenti"/>
      </w:pPr>
      <w:r>
        <w:tab/>
        <w:t>(ii)</w:t>
      </w:r>
      <w:r>
        <w:tab/>
        <w:t>if both section 91M(1)(a)(i) and (ii) apply — is a concessional farm</w:t>
      </w:r>
      <w:r>
        <w:noBreakHyphen/>
        <w:t>in transaction under both subsections (3) and (4);</w:t>
      </w:r>
    </w:p>
    <w:p>
      <w:pPr>
        <w:pStyle w:val="Indenta"/>
      </w:pPr>
      <w:r>
        <w:tab/>
      </w:r>
      <w:r>
        <w:tab/>
        <w:t>or</w:t>
      </w:r>
    </w:p>
    <w:p>
      <w:pPr>
        <w:pStyle w:val="Indenta"/>
      </w:pPr>
      <w:r>
        <w:tab/>
        <w:t>(b)</w:t>
      </w:r>
      <w:r>
        <w:tab/>
        <w:t>in any circumstances prescribed for the purposes of this paragraph.</w:t>
      </w:r>
    </w:p>
    <w:p>
      <w:pPr>
        <w:pStyle w:val="Subsection"/>
      </w:pPr>
      <w:r>
        <w:tab/>
        <w:t>(3)</w:t>
      </w:r>
      <w:r>
        <w:tab/>
        <w:t>The additional farm</w:t>
      </w:r>
      <w:r>
        <w:noBreakHyphen/>
        <w:t>in transaction is a concessional farm</w:t>
      </w:r>
      <w:r>
        <w:noBreakHyphen/>
        <w:t xml:space="preserve">in transaction if — </w:t>
      </w:r>
    </w:p>
    <w:p>
      <w:pPr>
        <w:pStyle w:val="Indenta"/>
      </w:pPr>
      <w:r>
        <w:tab/>
        <w:t>(a)</w:t>
      </w:r>
      <w:r>
        <w:tab/>
        <w:t>section 91M(1)(a)(i) and (c)(i) apply; and</w:t>
      </w:r>
    </w:p>
    <w:p>
      <w:pPr>
        <w:pStyle w:val="Indenta"/>
      </w:pPr>
      <w:r>
        <w:tab/>
        <w:t>(b)</w:t>
      </w:r>
      <w:r>
        <w:tab/>
        <w:t>each relevant mining tenement for the additional farm</w:t>
      </w:r>
      <w:r>
        <w:noBreakHyphen/>
        <w:t xml:space="preserve">in transaction is also either of the following — </w:t>
      </w:r>
    </w:p>
    <w:p>
      <w:pPr>
        <w:pStyle w:val="Indenti"/>
      </w:pPr>
      <w:r>
        <w:tab/>
        <w:t>(i)</w:t>
      </w:r>
      <w:r>
        <w:tab/>
        <w:t>a relevant mining tenement for a concessional farm</w:t>
      </w:r>
      <w:r>
        <w:noBreakHyphen/>
        <w:t>in transaction that was contained in the farm</w:t>
      </w:r>
      <w:r>
        <w:noBreakHyphen/>
        <w:t>in agreement when the farm</w:t>
      </w:r>
      <w:r>
        <w:noBreakHyphen/>
        <w:t>in agreement was made;</w:t>
      </w:r>
    </w:p>
    <w:p>
      <w:pPr>
        <w:pStyle w:val="Indenti"/>
        <w:keepNext/>
      </w:pPr>
      <w:r>
        <w:tab/>
        <w:t>(ii)</w:t>
      </w:r>
      <w:r>
        <w:tab/>
        <w:t>a replacement mining tenement for a relevant mining tenement referred to in subparagraph (i);</w:t>
      </w:r>
    </w:p>
    <w:p>
      <w:pPr>
        <w:pStyle w:val="Indenta"/>
        <w:keepNext/>
      </w:pPr>
      <w:r>
        <w:tab/>
      </w:r>
      <w:r>
        <w:tab/>
        <w:t>and</w:t>
      </w:r>
    </w:p>
    <w:p>
      <w:pPr>
        <w:pStyle w:val="Indenta"/>
      </w:pPr>
      <w:r>
        <w:tab/>
        <w:t>(c)</w:t>
      </w:r>
      <w:r>
        <w:tab/>
        <w:t>when the additional farm</w:t>
      </w:r>
      <w:r>
        <w:noBreakHyphen/>
        <w:t>in transaction is added to the farm</w:t>
      </w:r>
      <w:r>
        <w:noBreakHyphen/>
        <w:t>in agreement, the farmee is not the holder, or 1 of the holders, of any relevant mining tenement for the additional farm</w:t>
      </w:r>
      <w:r>
        <w:noBreakHyphen/>
        <w:t>in transaction.</w:t>
      </w:r>
    </w:p>
    <w:p>
      <w:pPr>
        <w:pStyle w:val="Subsection"/>
      </w:pPr>
      <w:r>
        <w:tab/>
        <w:t>(4)</w:t>
      </w:r>
      <w:r>
        <w:tab/>
        <w:t>The additional farm</w:t>
      </w:r>
      <w:r>
        <w:noBreakHyphen/>
        <w:t>in transaction is a concessional farm</w:t>
      </w:r>
      <w:r>
        <w:noBreakHyphen/>
        <w:t xml:space="preserve">in transaction if — </w:t>
      </w:r>
    </w:p>
    <w:p>
      <w:pPr>
        <w:pStyle w:val="Indenta"/>
      </w:pPr>
      <w:r>
        <w:tab/>
        <w:t>(a)</w:t>
      </w:r>
      <w:r>
        <w:tab/>
        <w:t>section 91M(1)(a)(ii) applies; and</w:t>
      </w:r>
    </w:p>
    <w:p>
      <w:pPr>
        <w:pStyle w:val="Indenta"/>
      </w:pPr>
      <w:r>
        <w:tab/>
        <w:t>(b)</w:t>
      </w:r>
      <w:r>
        <w:tab/>
        <w:t>each relevant derivative mining right for the additional farm</w:t>
      </w:r>
      <w:r>
        <w:noBreakHyphen/>
        <w:t xml:space="preserve">in transaction is also either of the following — </w:t>
      </w:r>
    </w:p>
    <w:p>
      <w:pPr>
        <w:pStyle w:val="Indenti"/>
      </w:pPr>
      <w:r>
        <w:tab/>
        <w:t>(i)</w:t>
      </w:r>
      <w:r>
        <w:tab/>
        <w:t>a relevant derivative mining right for a concessional farm</w:t>
      </w:r>
      <w:r>
        <w:noBreakHyphen/>
        <w:t>in transaction that was contained in the farm</w:t>
      </w:r>
      <w:r>
        <w:noBreakHyphen/>
        <w:t>in agreement when the farm</w:t>
      </w:r>
      <w:r>
        <w:noBreakHyphen/>
        <w:t>in agreement was made;</w:t>
      </w:r>
    </w:p>
    <w:p>
      <w:pPr>
        <w:pStyle w:val="Indenti"/>
      </w:pPr>
      <w:r>
        <w:tab/>
        <w:t>(ii)</w:t>
      </w:r>
      <w:r>
        <w:tab/>
        <w:t>a replacement derivative mining right for a relevant derivative mining right referred to in subparagraph (i);</w:t>
      </w:r>
    </w:p>
    <w:p>
      <w:pPr>
        <w:pStyle w:val="Indenta"/>
      </w:pPr>
      <w:r>
        <w:tab/>
      </w:r>
      <w:r>
        <w:tab/>
        <w:t>and</w:t>
      </w:r>
    </w:p>
    <w:p>
      <w:pPr>
        <w:pStyle w:val="Indenta"/>
      </w:pPr>
      <w:r>
        <w:tab/>
        <w:t>(c)</w:t>
      </w:r>
      <w:r>
        <w:tab/>
        <w:t>the Commissioner is satisfied that, when the additional farm</w:t>
      </w:r>
      <w:r>
        <w:noBreakHyphen/>
        <w:t>in transaction is added to the farm</w:t>
      </w:r>
      <w:r>
        <w:noBreakHyphen/>
        <w:t>in agreement, the farmee is not the holder, or 1 of the holders, of any relevant derivative mining right for the additional farm</w:t>
      </w:r>
      <w:r>
        <w:noBreakHyphen/>
        <w:t>in transaction.</w:t>
      </w:r>
    </w:p>
    <w:p>
      <w:pPr>
        <w:pStyle w:val="Subsection"/>
      </w:pPr>
      <w:r>
        <w:tab/>
        <w:t>(5)</w:t>
      </w:r>
      <w:r>
        <w:tab/>
        <w:t>If the additional farm</w:t>
      </w:r>
      <w:r>
        <w:noBreakHyphen/>
        <w:t>in transaction is a concessional farm</w:t>
      </w:r>
      <w:r>
        <w:noBreakHyphen/>
        <w:t>in transaction, the Commissioner may, for the purpose of applying section 91P(3), (5) or (6), reassess the duty chargeable on any other concessional farm</w:t>
      </w:r>
      <w:r>
        <w:noBreakHyphen/>
        <w:t>in transaction contained in the farm</w:t>
      </w:r>
      <w:r>
        <w:noBreakHyphen/>
        <w:t xml:space="preserve">in agreement — </w:t>
      </w:r>
    </w:p>
    <w:p>
      <w:pPr>
        <w:pStyle w:val="Indenta"/>
      </w:pPr>
      <w:r>
        <w:tab/>
        <w:t>(a)</w:t>
      </w:r>
      <w:r>
        <w:tab/>
        <w:t>on the Commissioner’s own initiative; or</w:t>
      </w:r>
    </w:p>
    <w:p>
      <w:pPr>
        <w:pStyle w:val="Indenta"/>
      </w:pPr>
      <w:r>
        <w:tab/>
        <w:t>(b)</w:t>
      </w:r>
      <w:r>
        <w:tab/>
        <w:t>on the application of the taxpayer.</w:t>
      </w:r>
    </w:p>
    <w:p>
      <w:pPr>
        <w:pStyle w:val="Subsection"/>
      </w:pPr>
      <w:r>
        <w:tab/>
        <w:t>(6)</w:t>
      </w:r>
      <w:r>
        <w:tab/>
        <w:t>For the purposes of a reassessment under subsection (5) of the duty chargeable on a concessional farm</w:t>
      </w:r>
      <w:r>
        <w:noBreakHyphen/>
        <w:t>in transaction, the concessional farm</w:t>
      </w:r>
      <w:r>
        <w:noBreakHyphen/>
        <w:t>in transaction is to be taken to have been made when the additional farm</w:t>
      </w:r>
      <w:r>
        <w:noBreakHyphen/>
        <w:t>in transaction is added to the farm</w:t>
      </w:r>
      <w:r>
        <w:noBreakHyphen/>
        <w:t>in agreement.</w:t>
      </w:r>
    </w:p>
    <w:p>
      <w:pPr>
        <w:pStyle w:val="Subsection"/>
      </w:pPr>
      <w:r>
        <w:tab/>
        <w:t>(7)</w:t>
      </w:r>
      <w:r>
        <w:tab/>
        <w:t xml:space="preserve">For the purposes of a reassessment under subsection (5), the Taxation Administration Act section 17 applies as if — </w:t>
      </w:r>
    </w:p>
    <w:p>
      <w:pPr>
        <w:pStyle w:val="Indenta"/>
      </w:pPr>
      <w:r>
        <w:tab/>
        <w:t>(a)</w:t>
      </w:r>
      <w:r>
        <w:tab/>
        <w:t xml:space="preserve">in subsection (1) of that section, the reference to 5 years after the original assessment was made were to the later of the following — </w:t>
      </w:r>
    </w:p>
    <w:p>
      <w:pPr>
        <w:pStyle w:val="Indenti"/>
      </w:pPr>
      <w:r>
        <w:tab/>
        <w:t>(i)</w:t>
      </w:r>
      <w:r>
        <w:tab/>
        <w:t>5 years after the day on which the original assessment was made;</w:t>
      </w:r>
    </w:p>
    <w:p>
      <w:pPr>
        <w:pStyle w:val="Indenti"/>
      </w:pPr>
      <w:r>
        <w:tab/>
        <w:t>(ii)</w:t>
      </w:r>
      <w:r>
        <w:tab/>
        <w:t>12 months after the day on which the additional farm</w:t>
      </w:r>
      <w:r>
        <w:noBreakHyphen/>
        <w:t>in transaction is added to the farm</w:t>
      </w:r>
      <w:r>
        <w:noBreakHyphen/>
        <w:t>in agreement;</w:t>
      </w:r>
    </w:p>
    <w:p>
      <w:pPr>
        <w:pStyle w:val="Indenta"/>
      </w:pPr>
      <w:r>
        <w:tab/>
      </w:r>
      <w:r>
        <w:tab/>
        <w:t>and</w:t>
      </w:r>
    </w:p>
    <w:p>
      <w:pPr>
        <w:pStyle w:val="Indenta"/>
      </w:pPr>
      <w:r>
        <w:tab/>
        <w:t>(b)</w:t>
      </w:r>
      <w:r>
        <w:tab/>
        <w:t xml:space="preserve">in subsection (4) of that section, references to 5 years after the date of the original assessment were to the later of the following — </w:t>
      </w:r>
    </w:p>
    <w:p>
      <w:pPr>
        <w:pStyle w:val="Indenti"/>
      </w:pPr>
      <w:r>
        <w:tab/>
        <w:t>(i)</w:t>
      </w:r>
      <w:r>
        <w:tab/>
        <w:t>5 years after the day on which the original assessment was made;</w:t>
      </w:r>
    </w:p>
    <w:p>
      <w:pPr>
        <w:pStyle w:val="Indenti"/>
      </w:pPr>
      <w:r>
        <w:tab/>
        <w:t>(ii)</w:t>
      </w:r>
      <w:r>
        <w:tab/>
        <w:t>12 months after the day on which the additional farm</w:t>
      </w:r>
      <w:r>
        <w:noBreakHyphen/>
        <w:t>in transaction is added to the farm</w:t>
      </w:r>
      <w:r>
        <w:noBreakHyphen/>
        <w:t>in agreement.</w:t>
      </w:r>
    </w:p>
    <w:p>
      <w:pPr>
        <w:pStyle w:val="Footnotesection"/>
      </w:pPr>
      <w:r>
        <w:tab/>
        <w:t>[Section 91S inserted: No. 37 of 2022 s. 8.]</w:t>
      </w:r>
    </w:p>
    <w:p>
      <w:pPr>
        <w:pStyle w:val="Heading5"/>
        <w:keepNext w:val="0"/>
        <w:keepLines w:val="0"/>
      </w:pPr>
      <w:bookmarkStart w:id="517" w:name="_Toc201229006"/>
      <w:bookmarkStart w:id="518" w:name="_Toc182410071"/>
      <w:r>
        <w:rPr>
          <w:rStyle w:val="CharSectno"/>
        </w:rPr>
        <w:t>91T</w:t>
      </w:r>
      <w:r>
        <w:t>.</w:t>
      </w:r>
      <w:r>
        <w:tab/>
        <w:t>Variation to farm</w:t>
      </w:r>
      <w:r>
        <w:noBreakHyphen/>
        <w:t>in transaction</w:t>
      </w:r>
      <w:bookmarkEnd w:id="517"/>
      <w:bookmarkEnd w:id="518"/>
    </w:p>
    <w:p>
      <w:pPr>
        <w:pStyle w:val="Subsection"/>
      </w:pPr>
      <w:r>
        <w:tab/>
        <w:t>(1)</w:t>
      </w:r>
      <w:r>
        <w:tab/>
        <w:t>If an agreement that is a concessional farm</w:t>
      </w:r>
      <w:r>
        <w:noBreakHyphen/>
        <w:t>in transaction ceases to meet the requirements for a farm</w:t>
      </w:r>
      <w:r>
        <w:noBreakHyphen/>
        <w:t>in transaction set out in section 91M(1) to (5), the agreement ceases to be a concessional farm</w:t>
      </w:r>
      <w:r>
        <w:noBreakHyphen/>
        <w:t>in transaction accordingly.</w:t>
      </w:r>
    </w:p>
    <w:p>
      <w:pPr>
        <w:pStyle w:val="Subsection"/>
      </w:pPr>
      <w:r>
        <w:tab/>
        <w:t>(2)</w:t>
      </w:r>
      <w:r>
        <w:tab/>
        <w:t>Subsection (4) applies if an agreement that is a concessional farm</w:t>
      </w:r>
      <w:r>
        <w:noBreakHyphen/>
        <w:t xml:space="preserve">in transaction is varied so as to add a relevant mining tenement or relevant derivative mining right, except that subsection (4) does not apply in any of the following circumstances — </w:t>
      </w:r>
    </w:p>
    <w:p>
      <w:pPr>
        <w:pStyle w:val="Indenta"/>
      </w:pPr>
      <w:r>
        <w:tab/>
        <w:t>(a)</w:t>
      </w:r>
      <w:r>
        <w:tab/>
        <w:t>subsection (1) applies as a result of the variation;</w:t>
      </w:r>
    </w:p>
    <w:p>
      <w:pPr>
        <w:pStyle w:val="Indenta"/>
      </w:pPr>
      <w:r>
        <w:tab/>
        <w:t>(b)</w:t>
      </w:r>
      <w:r>
        <w:tab/>
        <w:t xml:space="preserve">all of the following apply — </w:t>
      </w:r>
    </w:p>
    <w:p>
      <w:pPr>
        <w:pStyle w:val="Indenti"/>
      </w:pPr>
      <w:r>
        <w:tab/>
        <w:t>(i)</w:t>
      </w:r>
      <w:r>
        <w:tab/>
        <w:t>the relevant mining tenement is a prospecting licence or exploration licence or the relevant derivative mining right relates to a prospecting licence or exploration licence;</w:t>
      </w:r>
    </w:p>
    <w:p>
      <w:pPr>
        <w:pStyle w:val="Indenti"/>
      </w:pPr>
      <w:r>
        <w:tab/>
        <w:t>(ii)</w:t>
      </w:r>
      <w:r>
        <w:tab/>
        <w:t>the relevant mining tenement or relevant derivative mining right was granted after the concessional farm</w:t>
      </w:r>
      <w:r>
        <w:noBreakHyphen/>
        <w:t>in transaction was made;</w:t>
      </w:r>
    </w:p>
    <w:p>
      <w:pPr>
        <w:pStyle w:val="Indenti"/>
      </w:pPr>
      <w:r>
        <w:tab/>
        <w:t>(iii)</w:t>
      </w:r>
      <w:r>
        <w:tab/>
        <w:t>the variation occurs within 3 months after the day on which the relevant mining tenement or relevant derivative mining right was granted or within a longer period allowed by the Commissioner;</w:t>
      </w:r>
    </w:p>
    <w:p>
      <w:pPr>
        <w:pStyle w:val="Indenta"/>
      </w:pPr>
      <w:r>
        <w:tab/>
        <w:t>(c)</w:t>
      </w:r>
      <w:r>
        <w:tab/>
        <w:t>any circumstances prescribed for the purposes of this paragraph.</w:t>
      </w:r>
    </w:p>
    <w:p>
      <w:pPr>
        <w:pStyle w:val="Subsection"/>
      </w:pPr>
      <w:r>
        <w:tab/>
        <w:t>(3)</w:t>
      </w:r>
      <w:r>
        <w:tab/>
        <w:t>Subsection (4) also applies if an agreement that is a concessional farm</w:t>
      </w:r>
      <w:r>
        <w:noBreakHyphen/>
        <w:t xml:space="preserve">in transaction is varied so as to increase the interest in a relevant mining tenement, or in a relevant derivative mining right, that the farmee is to acquire, or might acquire, as contemplated in section 91M(1)(c)(i) or (d), except that subsection (4) does not apply in any of the following circumstances — </w:t>
      </w:r>
    </w:p>
    <w:p>
      <w:pPr>
        <w:pStyle w:val="Indenta"/>
      </w:pPr>
      <w:r>
        <w:tab/>
        <w:t>(a)</w:t>
      </w:r>
      <w:r>
        <w:tab/>
        <w:t>subsection (1) applies as a result of the variation;</w:t>
      </w:r>
    </w:p>
    <w:p>
      <w:pPr>
        <w:pStyle w:val="Indenta"/>
      </w:pPr>
      <w:r>
        <w:tab/>
        <w:t>(b)</w:t>
      </w:r>
      <w:r>
        <w:tab/>
        <w:t xml:space="preserve">as the case requires — </w:t>
      </w:r>
    </w:p>
    <w:p>
      <w:pPr>
        <w:pStyle w:val="Indenti"/>
      </w:pPr>
      <w:r>
        <w:tab/>
        <w:t>(i)</w:t>
      </w:r>
      <w:r>
        <w:tab/>
        <w:t>the farmee is not the holder, or 1 of the holders, of the relevant mining tenement when the variation occurs; or</w:t>
      </w:r>
    </w:p>
    <w:p>
      <w:pPr>
        <w:pStyle w:val="Indenti"/>
        <w:keepNext/>
        <w:keepLines/>
      </w:pPr>
      <w:r>
        <w:tab/>
        <w:t>(ii)</w:t>
      </w:r>
      <w:r>
        <w:tab/>
        <w:t>the Commissioner is satisfied that, when the variation occurs, the farmee is not the holder, or 1 of the holders, of the relevant derivative mining right;</w:t>
      </w:r>
    </w:p>
    <w:p>
      <w:pPr>
        <w:pStyle w:val="Indenta"/>
      </w:pPr>
      <w:r>
        <w:tab/>
        <w:t>(c)</w:t>
      </w:r>
      <w:r>
        <w:tab/>
        <w:t>any circumstances prescribed for the purposes of this paragraph.</w:t>
      </w:r>
    </w:p>
    <w:p>
      <w:pPr>
        <w:pStyle w:val="Subsection"/>
      </w:pPr>
      <w:r>
        <w:tab/>
        <w:t>(4)</w:t>
      </w:r>
      <w:r>
        <w:tab/>
        <w:t>The agreement is taken not to be a concessional farm</w:t>
      </w:r>
      <w:r>
        <w:noBreakHyphen/>
        <w:t xml:space="preserve">in transaction to the extent that the agreement relates to — </w:t>
      </w:r>
    </w:p>
    <w:p>
      <w:pPr>
        <w:pStyle w:val="Indenta"/>
      </w:pPr>
      <w:r>
        <w:tab/>
        <w:t>(a)</w:t>
      </w:r>
      <w:r>
        <w:tab/>
        <w:t>the relevant mining tenement or relevant derivative mining right that is added; or</w:t>
      </w:r>
    </w:p>
    <w:p>
      <w:pPr>
        <w:pStyle w:val="Indenta"/>
      </w:pPr>
      <w:r>
        <w:tab/>
        <w:t>(b)</w:t>
      </w:r>
      <w:r>
        <w:tab/>
        <w:t>the increase in the interest in the relevant mining tenement or relevant derivative mining right.</w:t>
      </w:r>
    </w:p>
    <w:p>
      <w:pPr>
        <w:pStyle w:val="Subsection"/>
      </w:pPr>
      <w:r>
        <w:tab/>
        <w:t>(5)</w:t>
      </w:r>
      <w:r>
        <w:tab/>
        <w:t>Regulations may prescribe circumstances in which, if an agreement that is a concessional farm</w:t>
      </w:r>
      <w:r>
        <w:noBreakHyphen/>
        <w:t xml:space="preserve">in transaction is varied, the agreement — </w:t>
      </w:r>
    </w:p>
    <w:p>
      <w:pPr>
        <w:pStyle w:val="Indenta"/>
      </w:pPr>
      <w:r>
        <w:tab/>
        <w:t>(a)</w:t>
      </w:r>
      <w:r>
        <w:tab/>
        <w:t>ceases to be a concessional farm</w:t>
      </w:r>
      <w:r>
        <w:noBreakHyphen/>
        <w:t>in transaction; or</w:t>
      </w:r>
    </w:p>
    <w:p>
      <w:pPr>
        <w:pStyle w:val="Indenta"/>
      </w:pPr>
      <w:r>
        <w:tab/>
        <w:t>(b)</w:t>
      </w:r>
      <w:r>
        <w:tab/>
        <w:t>is taken</w:t>
      </w:r>
      <w:r>
        <w:rPr>
          <w:b/>
        </w:rPr>
        <w:t xml:space="preserve"> </w:t>
      </w:r>
      <w:r>
        <w:t>not to be a concessional farm</w:t>
      </w:r>
      <w:r>
        <w:noBreakHyphen/>
        <w:t>in transaction to a prescribed extent.</w:t>
      </w:r>
    </w:p>
    <w:p>
      <w:pPr>
        <w:pStyle w:val="Subsection"/>
      </w:pPr>
      <w:r>
        <w:tab/>
        <w:t>(6)</w:t>
      </w:r>
      <w:r>
        <w:tab/>
        <w:t xml:space="preserve">Subsections (7) to (10) apply if, at any time (the </w:t>
      </w:r>
      <w:r>
        <w:rPr>
          <w:rStyle w:val="CharDefText"/>
        </w:rPr>
        <w:t>relevant time</w:t>
      </w:r>
      <w:r>
        <w:t xml:space="preserve">), under this section or under regulations made for the purposes of subsection (5) — </w:t>
      </w:r>
    </w:p>
    <w:p>
      <w:pPr>
        <w:pStyle w:val="Indenta"/>
      </w:pPr>
      <w:r>
        <w:tab/>
        <w:t>(a)</w:t>
      </w:r>
      <w:r>
        <w:tab/>
        <w:t>an agreement ceases to be a concessional farm</w:t>
      </w:r>
      <w:r>
        <w:noBreakHyphen/>
        <w:t>in transaction; or</w:t>
      </w:r>
    </w:p>
    <w:p>
      <w:pPr>
        <w:pStyle w:val="Indenta"/>
      </w:pPr>
      <w:r>
        <w:tab/>
        <w:t>(b)</w:t>
      </w:r>
      <w:r>
        <w:tab/>
        <w:t>an agreement is taken not to be a concessional farm</w:t>
      </w:r>
      <w:r>
        <w:noBreakHyphen/>
        <w:t>in transaction to an extent.</w:t>
      </w:r>
    </w:p>
    <w:p>
      <w:pPr>
        <w:pStyle w:val="Subsection"/>
      </w:pPr>
      <w:r>
        <w:tab/>
        <w:t>(7)</w:t>
      </w:r>
      <w:r>
        <w:tab/>
        <w:t>If, as the agreement stands at the relevant time, the agreement gives effect to, or evidences, a dutiable transaction that is not a concessional farm</w:t>
      </w:r>
      <w:r>
        <w:noBreakHyphen/>
        <w:t xml:space="preserve">in transaction — </w:t>
      </w:r>
    </w:p>
    <w:p>
      <w:pPr>
        <w:pStyle w:val="Indenta"/>
      </w:pPr>
      <w:r>
        <w:tab/>
        <w:t>(a)</w:t>
      </w:r>
      <w:r>
        <w:tab/>
        <w:t>duty is chargeable on the dutiable transaction as if the dutiable transaction had occurred at the relevant time; and</w:t>
      </w:r>
    </w:p>
    <w:p>
      <w:pPr>
        <w:pStyle w:val="Indenta"/>
        <w:keepNext/>
      </w:pPr>
      <w:r>
        <w:tab/>
        <w:t>(b)</w:t>
      </w:r>
      <w:r>
        <w:tab/>
        <w:t>the other provisions of this Act apply accordingly.</w:t>
      </w:r>
    </w:p>
    <w:p>
      <w:pPr>
        <w:pStyle w:val="Subsection"/>
      </w:pPr>
      <w:r>
        <w:tab/>
        <w:t>(8)</w:t>
      </w:r>
      <w:r>
        <w:tab/>
        <w:t>If subsection (7) applies because of subsection (6)(b), the reference in subsection (7) to the agreement is to the agreement to the extent that it is taken not to be a concessional farm</w:t>
      </w:r>
      <w:r>
        <w:noBreakHyphen/>
        <w:t>in transaction.</w:t>
      </w:r>
    </w:p>
    <w:p>
      <w:pPr>
        <w:pStyle w:val="Subsection"/>
      </w:pPr>
      <w:r>
        <w:tab/>
        <w:t>(9)</w:t>
      </w:r>
      <w:r>
        <w:tab/>
        <w:t>The ceasing of the agreement to be a concessional farm</w:t>
      </w:r>
      <w:r>
        <w:noBreakHyphen/>
        <w:t>in transaction, or the taking of the agreement not to be a concessional farm</w:t>
      </w:r>
      <w:r>
        <w:noBreakHyphen/>
        <w:t>in transaction to an extent, does not affect any liability for duty that arose before the relevant time.</w:t>
      </w:r>
    </w:p>
    <w:p>
      <w:pPr>
        <w:pStyle w:val="Subsection"/>
      </w:pPr>
      <w:r>
        <w:tab/>
        <w:t>(10)</w:t>
      </w:r>
      <w:r>
        <w:tab/>
        <w:t>However, nothing in this section, or in regulations made for the purposes of subsection (5), prevents section 107 from applying to the agreement as a concessional farm</w:t>
      </w:r>
      <w:r>
        <w:noBreakHyphen/>
        <w:t>in transaction if the event giving rise to the application of this section or those regulations would, apart from this section or those regulations, cause the agreement to become a cancelled transaction as defined in that section.</w:t>
      </w:r>
    </w:p>
    <w:p>
      <w:pPr>
        <w:pStyle w:val="Footnotesection"/>
      </w:pPr>
      <w:r>
        <w:tab/>
        <w:t>[Section 91T inserted: No. 37 of 2022 s. 8.]</w:t>
      </w:r>
    </w:p>
    <w:p>
      <w:pPr>
        <w:pStyle w:val="Heading4"/>
        <w:keepNext w:val="0"/>
      </w:pPr>
      <w:bookmarkStart w:id="519" w:name="_Toc201217936"/>
      <w:bookmarkStart w:id="520" w:name="_Toc201224309"/>
      <w:bookmarkStart w:id="521" w:name="_Toc201229007"/>
      <w:bookmarkStart w:id="522" w:name="_Toc182388612"/>
      <w:bookmarkStart w:id="523" w:name="_Toc182389274"/>
      <w:bookmarkStart w:id="524" w:name="_Toc182410072"/>
      <w:r>
        <w:rPr>
          <w:sz w:val="26"/>
          <w:szCs w:val="26"/>
        </w:rPr>
        <w:t>Subdivision 5 — Other provisions</w:t>
      </w:r>
      <w:bookmarkEnd w:id="519"/>
      <w:bookmarkEnd w:id="520"/>
      <w:bookmarkEnd w:id="521"/>
      <w:bookmarkEnd w:id="522"/>
      <w:bookmarkEnd w:id="523"/>
      <w:bookmarkEnd w:id="524"/>
    </w:p>
    <w:p>
      <w:pPr>
        <w:pStyle w:val="Footnoteheading"/>
      </w:pPr>
      <w:r>
        <w:tab/>
        <w:t>[Heading inserted: No. 37 of 2022 s. 8.]</w:t>
      </w:r>
    </w:p>
    <w:p>
      <w:pPr>
        <w:pStyle w:val="Heading5"/>
        <w:keepNext w:val="0"/>
        <w:keepLines w:val="0"/>
      </w:pPr>
      <w:bookmarkStart w:id="525" w:name="_Toc201229008"/>
      <w:bookmarkStart w:id="526" w:name="_Toc182410073"/>
      <w:r>
        <w:rPr>
          <w:rStyle w:val="CharSectno"/>
        </w:rPr>
        <w:t>91U</w:t>
      </w:r>
      <w:r>
        <w:t>.</w:t>
      </w:r>
      <w:r>
        <w:tab/>
        <w:t>Farm</w:t>
      </w:r>
      <w:r>
        <w:noBreakHyphen/>
        <w:t>in transactions relating to prospecting licences</w:t>
      </w:r>
      <w:bookmarkEnd w:id="525"/>
      <w:bookmarkEnd w:id="526"/>
    </w:p>
    <w:p>
      <w:pPr>
        <w:pStyle w:val="Subsection"/>
      </w:pPr>
      <w:r>
        <w:tab/>
        <w:t>(1)</w:t>
      </w:r>
      <w:r>
        <w:tab/>
        <w:t xml:space="preserve">In this section — </w:t>
      </w:r>
    </w:p>
    <w:p>
      <w:pPr>
        <w:pStyle w:val="Defstart"/>
      </w:pPr>
      <w:r>
        <w:tab/>
      </w:r>
      <w:r>
        <w:rPr>
          <w:rStyle w:val="CharDefText"/>
        </w:rPr>
        <w:t>non</w:t>
      </w:r>
      <w:r>
        <w:rPr>
          <w:rStyle w:val="CharDefText"/>
        </w:rPr>
        <w:noBreakHyphen/>
        <w:t>prospecting interest</w:t>
      </w:r>
      <w:r>
        <w:t>, in relation to a farm</w:t>
      </w:r>
      <w:r>
        <w:noBreakHyphen/>
        <w:t xml:space="preserve">in transaction, means — </w:t>
      </w:r>
    </w:p>
    <w:p>
      <w:pPr>
        <w:pStyle w:val="Defpara"/>
      </w:pPr>
      <w:r>
        <w:tab/>
        <w:t>(a)</w:t>
      </w:r>
      <w:r>
        <w:tab/>
        <w:t>an interest in a non</w:t>
      </w:r>
      <w:r>
        <w:noBreakHyphen/>
        <w:t>prospecting mining tenement in a case where the non</w:t>
      </w:r>
      <w:r>
        <w:noBreakHyphen/>
        <w:t>prospecting mining tenement is a replacement mining tenement for a relevant mining tenement; or</w:t>
      </w:r>
    </w:p>
    <w:p>
      <w:pPr>
        <w:pStyle w:val="Defpara"/>
      </w:pPr>
      <w:r>
        <w:tab/>
        <w:t>(b)</w:t>
      </w:r>
      <w:r>
        <w:tab/>
        <w:t>a derivative mining right that relates to a non</w:t>
      </w:r>
      <w:r>
        <w:noBreakHyphen/>
        <w:t>prospecting mining tenement in a case where the non</w:t>
      </w:r>
      <w:r>
        <w:noBreakHyphen/>
        <w:t>prospecting mining tenement is a replacement mining tenement for a relevant mining tenement; or</w:t>
      </w:r>
    </w:p>
    <w:p>
      <w:pPr>
        <w:pStyle w:val="Defpara"/>
      </w:pPr>
      <w:r>
        <w:tab/>
        <w:t>(c)</w:t>
      </w:r>
      <w:r>
        <w:tab/>
        <w:t xml:space="preserve">an interest in a derivative mining right in a case where the derivative mining right — </w:t>
      </w:r>
    </w:p>
    <w:p>
      <w:pPr>
        <w:pStyle w:val="Defsubpara"/>
        <w:keepLines w:val="0"/>
      </w:pPr>
      <w:r>
        <w:tab/>
        <w:t>(i)</w:t>
      </w:r>
      <w:r>
        <w:tab/>
        <w:t>is a replacement derivative mining right for a relevant derivative mining right; and</w:t>
      </w:r>
    </w:p>
    <w:p>
      <w:pPr>
        <w:pStyle w:val="Defsubpara"/>
        <w:keepLines w:val="0"/>
      </w:pPr>
      <w:r>
        <w:tab/>
        <w:t>(ii)</w:t>
      </w:r>
      <w:r>
        <w:tab/>
        <w:t>relates to a non</w:t>
      </w:r>
      <w:r>
        <w:noBreakHyphen/>
        <w:t>prospecting mining tenement;</w:t>
      </w:r>
    </w:p>
    <w:p>
      <w:pPr>
        <w:pStyle w:val="Defstart"/>
      </w:pPr>
      <w:r>
        <w:tab/>
      </w:r>
      <w:r>
        <w:rPr>
          <w:rStyle w:val="CharDefText"/>
        </w:rPr>
        <w:t>non</w:t>
      </w:r>
      <w:r>
        <w:rPr>
          <w:rStyle w:val="CharDefText"/>
        </w:rPr>
        <w:noBreakHyphen/>
        <w:t>prospecting mining tenement</w:t>
      </w:r>
      <w:r>
        <w:t xml:space="preserve"> means a mining tenement that is not a prospecting licence;</w:t>
      </w:r>
    </w:p>
    <w:p>
      <w:pPr>
        <w:pStyle w:val="Defstart"/>
      </w:pPr>
      <w:r>
        <w:tab/>
      </w:r>
      <w:r>
        <w:rPr>
          <w:rStyle w:val="CharDefText"/>
        </w:rPr>
        <w:t>prospecting farm</w:t>
      </w:r>
      <w:r>
        <w:rPr>
          <w:rStyle w:val="CharDefText"/>
        </w:rPr>
        <w:noBreakHyphen/>
        <w:t>in transaction</w:t>
      </w:r>
      <w:r>
        <w:t xml:space="preserve"> means a farm</w:t>
      </w:r>
      <w:r>
        <w:noBreakHyphen/>
        <w:t>in transaction contained in a farm</w:t>
      </w:r>
      <w:r>
        <w:noBreakHyphen/>
        <w:t xml:space="preserve">in agreement in a case where — </w:t>
      </w:r>
    </w:p>
    <w:p>
      <w:pPr>
        <w:pStyle w:val="Defpara"/>
      </w:pPr>
      <w:r>
        <w:tab/>
        <w:t>(a)</w:t>
      </w:r>
      <w:r>
        <w:tab/>
        <w:t xml:space="preserve">if only section 91M(1)(a)(i) applies — </w:t>
      </w:r>
    </w:p>
    <w:p>
      <w:pPr>
        <w:pStyle w:val="Defsubpara"/>
        <w:keepLines w:val="0"/>
      </w:pPr>
      <w:r>
        <w:tab/>
        <w:t>(i)</w:t>
      </w:r>
      <w:r>
        <w:tab/>
        <w:t>each relevant mining tenement is a prospecting licence; and</w:t>
      </w:r>
    </w:p>
    <w:p>
      <w:pPr>
        <w:pStyle w:val="Defsubpara"/>
        <w:keepLines w:val="0"/>
      </w:pPr>
      <w:r>
        <w:tab/>
        <w:t>(ii)</w:t>
      </w:r>
      <w:r>
        <w:tab/>
        <w:t>apart from this section, section 91L(4) would not prevent the farm</w:t>
      </w:r>
      <w:r>
        <w:noBreakHyphen/>
        <w:t>in transaction from being a concessional farm</w:t>
      </w:r>
      <w:r>
        <w:noBreakHyphen/>
        <w:t>in transaction;</w:t>
      </w:r>
    </w:p>
    <w:p>
      <w:pPr>
        <w:pStyle w:val="Defpara"/>
      </w:pPr>
      <w:r>
        <w:tab/>
      </w:r>
      <w:r>
        <w:tab/>
        <w:t>or</w:t>
      </w:r>
    </w:p>
    <w:p>
      <w:pPr>
        <w:pStyle w:val="Defpara"/>
      </w:pPr>
      <w:r>
        <w:tab/>
        <w:t>(b)</w:t>
      </w:r>
      <w:r>
        <w:tab/>
        <w:t xml:space="preserve">if only section 91M(1)(a)(ii) applies — </w:t>
      </w:r>
    </w:p>
    <w:p>
      <w:pPr>
        <w:pStyle w:val="Defsubpara"/>
        <w:keepLines w:val="0"/>
      </w:pPr>
      <w:r>
        <w:tab/>
        <w:t>(i)</w:t>
      </w:r>
      <w:r>
        <w:tab/>
        <w:t>each relevant derivative mining right relates to a mining tenement that is a prospecting licence; and</w:t>
      </w:r>
    </w:p>
    <w:p>
      <w:pPr>
        <w:pStyle w:val="Defsubpara"/>
        <w:keepLines w:val="0"/>
      </w:pPr>
      <w:r>
        <w:tab/>
        <w:t>(ii)</w:t>
      </w:r>
      <w:r>
        <w:tab/>
        <w:t>apart from this section, section 91L(4) would not prevent the farm</w:t>
      </w:r>
      <w:r>
        <w:noBreakHyphen/>
        <w:t>in transaction from being a concessional farm</w:t>
      </w:r>
      <w:r>
        <w:noBreakHyphen/>
        <w:t>in transaction;</w:t>
      </w:r>
    </w:p>
    <w:p>
      <w:pPr>
        <w:pStyle w:val="Defpara"/>
      </w:pPr>
      <w:r>
        <w:tab/>
      </w:r>
      <w:r>
        <w:tab/>
        <w:t>or</w:t>
      </w:r>
    </w:p>
    <w:p>
      <w:pPr>
        <w:pStyle w:val="Defpara"/>
      </w:pPr>
      <w:r>
        <w:tab/>
        <w:t>(c)</w:t>
      </w:r>
      <w:r>
        <w:tab/>
        <w:t xml:space="preserve">if both section 91M(1)(a)(i) and (ii) apply — </w:t>
      </w:r>
    </w:p>
    <w:p>
      <w:pPr>
        <w:pStyle w:val="Defsubpara"/>
        <w:keepLines w:val="0"/>
      </w:pPr>
      <w:r>
        <w:tab/>
        <w:t>(i)</w:t>
      </w:r>
      <w:r>
        <w:tab/>
        <w:t>each relevant mining tenement is a prospecting licence; and</w:t>
      </w:r>
    </w:p>
    <w:p>
      <w:pPr>
        <w:pStyle w:val="Defsubpara"/>
        <w:keepLines w:val="0"/>
      </w:pPr>
      <w:r>
        <w:tab/>
        <w:t>(ii)</w:t>
      </w:r>
      <w:r>
        <w:tab/>
        <w:t>each relevant derivative mining right relates to a mining tenement that is a prospecting licence; and</w:t>
      </w:r>
    </w:p>
    <w:p>
      <w:pPr>
        <w:pStyle w:val="Defsubpara"/>
        <w:keepLines w:val="0"/>
      </w:pPr>
      <w:r>
        <w:tab/>
        <w:t>(iii)</w:t>
      </w:r>
      <w:r>
        <w:tab/>
        <w:t>apart from this section, section 91L(4) would not prevent the farm</w:t>
      </w:r>
      <w:r>
        <w:noBreakHyphen/>
        <w:t>in transaction from being a concessional farm</w:t>
      </w:r>
      <w:r>
        <w:noBreakHyphen/>
        <w:t>in transaction.</w:t>
      </w:r>
    </w:p>
    <w:p>
      <w:pPr>
        <w:pStyle w:val="Subsection"/>
      </w:pPr>
      <w:r>
        <w:tab/>
        <w:t>(2)</w:t>
      </w:r>
      <w:r>
        <w:tab/>
        <w:t>Section 91DA does not prevent a concessional farm</w:t>
      </w:r>
      <w:r>
        <w:noBreakHyphen/>
        <w:t>in transaction from being a dutiable transaction.</w:t>
      </w:r>
    </w:p>
    <w:p>
      <w:pPr>
        <w:pStyle w:val="Subsection"/>
      </w:pPr>
      <w:r>
        <w:tab/>
        <w:t>(3)</w:t>
      </w:r>
      <w:r>
        <w:tab/>
        <w:t>Subject to subsections (6) and (8), a prospecting farm</w:t>
      </w:r>
      <w:r>
        <w:noBreakHyphen/>
        <w:t>in transaction is neither a concessional farm</w:t>
      </w:r>
      <w:r>
        <w:noBreakHyphen/>
        <w:t>in transaction nor a dutiable transaction.</w:t>
      </w:r>
    </w:p>
    <w:p>
      <w:pPr>
        <w:pStyle w:val="Subsection"/>
      </w:pPr>
      <w:r>
        <w:tab/>
        <w:t>(4)</w:t>
      </w:r>
      <w:r>
        <w:tab/>
        <w:t>Subsection (6) applies to a farm</w:t>
      </w:r>
      <w:r>
        <w:noBreakHyphen/>
        <w:t>in transaction that is a prospecting farm</w:t>
      </w:r>
      <w:r>
        <w:noBreakHyphen/>
        <w:t>in transaction if a dutiable transaction involving a non</w:t>
      </w:r>
      <w:r>
        <w:noBreakHyphen/>
        <w:t xml:space="preserve">prospecting interest (the </w:t>
      </w:r>
      <w:r>
        <w:rPr>
          <w:rStyle w:val="CharDefText"/>
        </w:rPr>
        <w:t>non</w:t>
      </w:r>
      <w:r>
        <w:rPr>
          <w:rStyle w:val="CharDefText"/>
        </w:rPr>
        <w:noBreakHyphen/>
        <w:t>prospecting dutiable transaction</w:t>
      </w:r>
      <w:r>
        <w:t xml:space="preserve">) occurs — </w:t>
      </w:r>
    </w:p>
    <w:p>
      <w:pPr>
        <w:pStyle w:val="Indenta"/>
      </w:pPr>
      <w:r>
        <w:tab/>
        <w:t>(a)</w:t>
      </w:r>
      <w:r>
        <w:tab/>
        <w:t>under the farm</w:t>
      </w:r>
      <w:r>
        <w:noBreakHyphen/>
        <w:t>in transaction as contemplated in section 91M(1)(c) or (d); and</w:t>
      </w:r>
    </w:p>
    <w:p>
      <w:pPr>
        <w:pStyle w:val="Indenta"/>
      </w:pPr>
      <w:r>
        <w:tab/>
        <w:t>(b)</w:t>
      </w:r>
      <w:r>
        <w:tab/>
        <w:t>without limiting paragraph (a), after the farmee has fulfilled the exploration requirement.</w:t>
      </w:r>
    </w:p>
    <w:p>
      <w:pPr>
        <w:pStyle w:val="Subsection"/>
      </w:pPr>
      <w:r>
        <w:tab/>
        <w:t>(5)</w:t>
      </w:r>
      <w:r>
        <w:tab/>
        <w:t>Subsection (6) also applies to a farm</w:t>
      </w:r>
      <w:r>
        <w:noBreakHyphen/>
        <w:t>in transaction that is a prospecting farm</w:t>
      </w:r>
      <w:r>
        <w:noBreakHyphen/>
        <w:t xml:space="preserve">in transaction if — </w:t>
      </w:r>
    </w:p>
    <w:p>
      <w:pPr>
        <w:pStyle w:val="Indenta"/>
      </w:pPr>
      <w:r>
        <w:tab/>
        <w:t>(a)</w:t>
      </w:r>
      <w:r>
        <w:tab/>
        <w:t>a dutiable transaction involving a non</w:t>
      </w:r>
      <w:r>
        <w:noBreakHyphen/>
        <w:t xml:space="preserve">prospecting interest (the </w:t>
      </w:r>
      <w:r>
        <w:rPr>
          <w:rStyle w:val="CharDefText"/>
        </w:rPr>
        <w:t>non</w:t>
      </w:r>
      <w:r>
        <w:rPr>
          <w:rStyle w:val="CharDefText"/>
        </w:rPr>
        <w:noBreakHyphen/>
        <w:t>prospecting dutiable transaction</w:t>
      </w:r>
      <w:r>
        <w:t>) occurs; and</w:t>
      </w:r>
    </w:p>
    <w:p>
      <w:pPr>
        <w:pStyle w:val="Indenta"/>
      </w:pPr>
      <w:r>
        <w:tab/>
        <w:t>(b)</w:t>
      </w:r>
      <w:r>
        <w:tab/>
        <w:t>the non</w:t>
      </w:r>
      <w:r>
        <w:noBreakHyphen/>
        <w:t xml:space="preserve">prospecting dutiable transaction — </w:t>
      </w:r>
    </w:p>
    <w:p>
      <w:pPr>
        <w:pStyle w:val="Indenti"/>
      </w:pPr>
      <w:r>
        <w:tab/>
        <w:t>(i)</w:t>
      </w:r>
      <w:r>
        <w:tab/>
        <w:t>is in lieu of a transaction that, had it occurred, would have been under the farm</w:t>
      </w:r>
      <w:r>
        <w:noBreakHyphen/>
        <w:t>in transaction as contemplated in section 91M(1)(c) or (d); and</w:t>
      </w:r>
    </w:p>
    <w:p>
      <w:pPr>
        <w:pStyle w:val="Indenti"/>
      </w:pPr>
      <w:r>
        <w:tab/>
        <w:t>(ii)</w:t>
      </w:r>
      <w:r>
        <w:tab/>
        <w:t>would be a transaction under the farm</w:t>
      </w:r>
      <w:r>
        <w:noBreakHyphen/>
        <w:t>in transaction as contemplated in section 91M(1)(c) or (d) except only that the non</w:t>
      </w:r>
      <w:r>
        <w:noBreakHyphen/>
        <w:t>prospecting dutiable transaction involves a replacement mining tenement for a relevant mining tenement, or a replacement derivative mining right for a relevant derivative mining right, that was not anticipated in the farm</w:t>
      </w:r>
      <w:r>
        <w:noBreakHyphen/>
        <w:t>in transaction; and</w:t>
      </w:r>
    </w:p>
    <w:p>
      <w:pPr>
        <w:pStyle w:val="Indenti"/>
        <w:keepNext/>
        <w:keepLines/>
      </w:pPr>
      <w:r>
        <w:tab/>
        <w:t>(iii)</w:t>
      </w:r>
      <w:r>
        <w:tab/>
        <w:t>without limiting subparagraphs (i) and (ii), occurs after the farmee has fulfilled the exploration requirement for the farm</w:t>
      </w:r>
      <w:r>
        <w:noBreakHyphen/>
        <w:t>in transaction.</w:t>
      </w:r>
    </w:p>
    <w:p>
      <w:pPr>
        <w:pStyle w:val="Subsection"/>
      </w:pPr>
      <w:r>
        <w:tab/>
        <w:t>(6)</w:t>
      </w:r>
      <w:r>
        <w:tab/>
        <w:t>The following apply in relation to the farm</w:t>
      </w:r>
      <w:r>
        <w:noBreakHyphen/>
        <w:t xml:space="preserve">in transaction — </w:t>
      </w:r>
    </w:p>
    <w:p>
      <w:pPr>
        <w:pStyle w:val="Indenta"/>
      </w:pPr>
      <w:r>
        <w:tab/>
        <w:t>(a)</w:t>
      </w:r>
      <w:r>
        <w:tab/>
        <w:t>the farm</w:t>
      </w:r>
      <w:r>
        <w:noBreakHyphen/>
        <w:t>in transaction ceases to be a prospecting farm</w:t>
      </w:r>
      <w:r>
        <w:noBreakHyphen/>
        <w:t>in transaction when the non</w:t>
      </w:r>
      <w:r>
        <w:noBreakHyphen/>
        <w:t>prospecting dutiable transaction occurs;</w:t>
      </w:r>
    </w:p>
    <w:p>
      <w:pPr>
        <w:pStyle w:val="Indenta"/>
      </w:pPr>
      <w:r>
        <w:tab/>
        <w:t>(b)</w:t>
      </w:r>
      <w:r>
        <w:tab/>
        <w:t>the farm</w:t>
      </w:r>
      <w:r>
        <w:noBreakHyphen/>
        <w:t>in transaction is, and is taken always to have been, a concessional farm</w:t>
      </w:r>
      <w:r>
        <w:noBreakHyphen/>
        <w:t>in transaction and, accordingly, a dutiable transaction;</w:t>
      </w:r>
    </w:p>
    <w:p>
      <w:pPr>
        <w:pStyle w:val="Indenta"/>
      </w:pPr>
      <w:r>
        <w:tab/>
        <w:t>(c)</w:t>
      </w:r>
      <w:r>
        <w:tab/>
        <w:t>liability for duty chargeable on the farm</w:t>
      </w:r>
      <w:r>
        <w:noBreakHyphen/>
        <w:t>in transaction arises when the non</w:t>
      </w:r>
      <w:r>
        <w:noBreakHyphen/>
        <w:t>prospecting dutiable transaction occurs (despite the item for a concessional farm</w:t>
      </w:r>
      <w:r>
        <w:noBreakHyphen/>
        <w:t>in transaction in Schedule 1).</w:t>
      </w:r>
    </w:p>
    <w:p>
      <w:pPr>
        <w:pStyle w:val="Subsection"/>
      </w:pPr>
      <w:r>
        <w:tab/>
        <w:t>(7)</w:t>
      </w:r>
      <w:r>
        <w:tab/>
        <w:t xml:space="preserve">Subsection (8) applies if, at any time (the </w:t>
      </w:r>
      <w:r>
        <w:rPr>
          <w:rStyle w:val="CharDefText"/>
        </w:rPr>
        <w:t>relevant time</w:t>
      </w:r>
      <w:r>
        <w:t>), a farm</w:t>
      </w:r>
      <w:r>
        <w:noBreakHyphen/>
        <w:t>in transaction that is a prospecting farm</w:t>
      </w:r>
      <w:r>
        <w:noBreakHyphen/>
        <w:t xml:space="preserve">in transaction is varied so as to add — </w:t>
      </w:r>
    </w:p>
    <w:p>
      <w:pPr>
        <w:pStyle w:val="Indenta"/>
      </w:pPr>
      <w:r>
        <w:tab/>
        <w:t>(a)</w:t>
      </w:r>
      <w:r>
        <w:tab/>
        <w:t>a relevant mining tenement that is a non</w:t>
      </w:r>
      <w:r>
        <w:noBreakHyphen/>
        <w:t>prospecting mining tenement; or</w:t>
      </w:r>
    </w:p>
    <w:p>
      <w:pPr>
        <w:pStyle w:val="Indenta"/>
      </w:pPr>
      <w:r>
        <w:tab/>
        <w:t>(b)</w:t>
      </w:r>
      <w:r>
        <w:tab/>
        <w:t>a relevant derivative mining right that relates to a non</w:t>
      </w:r>
      <w:r>
        <w:noBreakHyphen/>
        <w:t>prospecting mining tenement.</w:t>
      </w:r>
    </w:p>
    <w:p>
      <w:pPr>
        <w:pStyle w:val="Subsection"/>
      </w:pPr>
      <w:r>
        <w:tab/>
        <w:t>(8)</w:t>
      </w:r>
      <w:r>
        <w:tab/>
        <w:t>The following apply in relation to the farm</w:t>
      </w:r>
      <w:r>
        <w:noBreakHyphen/>
        <w:t xml:space="preserve">in transaction — </w:t>
      </w:r>
    </w:p>
    <w:p>
      <w:pPr>
        <w:pStyle w:val="Indenta"/>
      </w:pPr>
      <w:r>
        <w:tab/>
        <w:t>(a)</w:t>
      </w:r>
      <w:r>
        <w:tab/>
        <w:t>the farm</w:t>
      </w:r>
      <w:r>
        <w:noBreakHyphen/>
        <w:t>in transaction ceases to be a prospecting farm</w:t>
      </w:r>
      <w:r>
        <w:noBreakHyphen/>
        <w:t>in transaction at the relevant time;</w:t>
      </w:r>
    </w:p>
    <w:p>
      <w:pPr>
        <w:pStyle w:val="Indenta"/>
      </w:pPr>
      <w:r>
        <w:tab/>
        <w:t>(b)</w:t>
      </w:r>
      <w:r>
        <w:tab/>
        <w:t>the farm</w:t>
      </w:r>
      <w:r>
        <w:noBreakHyphen/>
        <w:t>in transaction is, and is taken always to have been, a concessional farm</w:t>
      </w:r>
      <w:r>
        <w:noBreakHyphen/>
        <w:t>in transaction and, accordingly, a dutiable transaction;</w:t>
      </w:r>
    </w:p>
    <w:p>
      <w:pPr>
        <w:pStyle w:val="Indenta"/>
      </w:pPr>
      <w:r>
        <w:tab/>
        <w:t>(c)</w:t>
      </w:r>
      <w:r>
        <w:tab/>
        <w:t>liability for duty chargeable on the farm</w:t>
      </w:r>
      <w:r>
        <w:noBreakHyphen/>
        <w:t>in transaction arises at the relevant time (despite the item for a concessional farm</w:t>
      </w:r>
      <w:r>
        <w:noBreakHyphen/>
        <w:t>in transaction in Schedule 1).</w:t>
      </w:r>
    </w:p>
    <w:p>
      <w:pPr>
        <w:pStyle w:val="Subsection"/>
      </w:pPr>
      <w:r>
        <w:tab/>
        <w:t>(9)</w:t>
      </w:r>
      <w:r>
        <w:tab/>
        <w:t xml:space="preserve">The Commissioner may reassess the duty chargeable on any dutiable transaction for the purpose of applying subsection (6) or (8) — </w:t>
      </w:r>
    </w:p>
    <w:p>
      <w:pPr>
        <w:pStyle w:val="Indenta"/>
      </w:pPr>
      <w:r>
        <w:tab/>
        <w:t>(a)</w:t>
      </w:r>
      <w:r>
        <w:tab/>
        <w:t>on the Commissioner’s own initiative; or</w:t>
      </w:r>
    </w:p>
    <w:p>
      <w:pPr>
        <w:pStyle w:val="Indenta"/>
      </w:pPr>
      <w:r>
        <w:tab/>
        <w:t>(b)</w:t>
      </w:r>
      <w:r>
        <w:tab/>
        <w:t>on the application of the taxpayer.</w:t>
      </w:r>
    </w:p>
    <w:p>
      <w:pPr>
        <w:pStyle w:val="Subsection"/>
      </w:pPr>
      <w:r>
        <w:tab/>
        <w:t>(10)</w:t>
      </w:r>
      <w:r>
        <w:tab/>
        <w:t>The limitations as to time in the Taxation Administration Act section 17 do not apply in respect of a reassessment under subsection (9).</w:t>
      </w:r>
    </w:p>
    <w:p>
      <w:pPr>
        <w:pStyle w:val="Footnotesection"/>
      </w:pPr>
      <w:r>
        <w:tab/>
        <w:t>[Section 91U inserted: No. 37 of 2022 s. 8.]</w:t>
      </w:r>
    </w:p>
    <w:p>
      <w:pPr>
        <w:pStyle w:val="Heading5"/>
        <w:keepNext w:val="0"/>
        <w:keepLines w:val="0"/>
      </w:pPr>
      <w:bookmarkStart w:id="527" w:name="_Toc201229009"/>
      <w:bookmarkStart w:id="528" w:name="_Toc182410074"/>
      <w:r>
        <w:rPr>
          <w:rStyle w:val="CharSectno"/>
        </w:rPr>
        <w:t>91V</w:t>
      </w:r>
      <w:r>
        <w:t>.</w:t>
      </w:r>
      <w:r>
        <w:tab/>
        <w:t>Treatment of certain options under farm</w:t>
      </w:r>
      <w:r>
        <w:noBreakHyphen/>
        <w:t>in agreements</w:t>
      </w:r>
      <w:bookmarkEnd w:id="527"/>
      <w:bookmarkEnd w:id="528"/>
    </w:p>
    <w:p>
      <w:pPr>
        <w:pStyle w:val="Subsection"/>
      </w:pPr>
      <w:r>
        <w:tab/>
        <w:t>(1)</w:t>
      </w:r>
      <w:r>
        <w:tab/>
        <w:t xml:space="preserve">Subsection (2) applies if — </w:t>
      </w:r>
    </w:p>
    <w:p>
      <w:pPr>
        <w:pStyle w:val="Indenta"/>
      </w:pPr>
      <w:r>
        <w:tab/>
        <w:t>(a)</w:t>
      </w:r>
      <w:r>
        <w:tab/>
        <w:t>separately from any concessional farm</w:t>
      </w:r>
      <w:r>
        <w:noBreakHyphen/>
        <w:t>in transaction contained in it, a farm</w:t>
      </w:r>
      <w:r>
        <w:noBreakHyphen/>
        <w:t>in agreement provides, whether conditionally or not, for the grant to the farmee, after the making of the farm</w:t>
      </w:r>
      <w:r>
        <w:noBreakHyphen/>
        <w:t xml:space="preserve">in agreement, of an option to acquire an interest in — </w:t>
      </w:r>
    </w:p>
    <w:p>
      <w:pPr>
        <w:pStyle w:val="Indenti"/>
      </w:pPr>
      <w:r>
        <w:tab/>
        <w:t>(i)</w:t>
      </w:r>
      <w:r>
        <w:tab/>
        <w:t>a mining tenement that is a relevant mining tenement for a concessional farm</w:t>
      </w:r>
      <w:r>
        <w:noBreakHyphen/>
        <w:t>in transaction contained in the farm</w:t>
      </w:r>
      <w:r>
        <w:noBreakHyphen/>
        <w:t>in agreement; or</w:t>
      </w:r>
    </w:p>
    <w:p>
      <w:pPr>
        <w:pStyle w:val="Indenti"/>
      </w:pPr>
      <w:r>
        <w:tab/>
        <w:t>(ii)</w:t>
      </w:r>
      <w:r>
        <w:tab/>
        <w:t>a derivative mining right that is a relevant derivative mining right for a concessional farm</w:t>
      </w:r>
      <w:r>
        <w:noBreakHyphen/>
        <w:t>in transaction contained in the farm</w:t>
      </w:r>
      <w:r>
        <w:noBreakHyphen/>
        <w:t>in agreement;</w:t>
      </w:r>
    </w:p>
    <w:p>
      <w:pPr>
        <w:pStyle w:val="Indenta"/>
      </w:pPr>
      <w:r>
        <w:tab/>
      </w:r>
      <w:r>
        <w:tab/>
        <w:t>and</w:t>
      </w:r>
    </w:p>
    <w:p>
      <w:pPr>
        <w:pStyle w:val="Indenta"/>
      </w:pPr>
      <w:r>
        <w:tab/>
        <w:t>(b)</w:t>
      </w:r>
      <w:r>
        <w:tab/>
        <w:t>were the option to be granted, the farmee’s acquisition of the option on the grant would be a dutiable transaction under section 11(1)(f).</w:t>
      </w:r>
    </w:p>
    <w:p>
      <w:pPr>
        <w:pStyle w:val="Subsection"/>
      </w:pPr>
      <w:r>
        <w:tab/>
        <w:t>(2)</w:t>
      </w:r>
      <w:r>
        <w:tab/>
        <w:t>The option is taken to have been granted, and therefore to have been acquired by the farmee, on the making of the farm</w:t>
      </w:r>
      <w:r>
        <w:noBreakHyphen/>
        <w:t>in agreement.</w:t>
      </w:r>
    </w:p>
    <w:p>
      <w:pPr>
        <w:pStyle w:val="Subsection"/>
      </w:pPr>
      <w:r>
        <w:tab/>
        <w:t>(3)</w:t>
      </w:r>
      <w:r>
        <w:tab/>
        <w:t xml:space="preserve">Duty is not chargeable on the acquisition of an option that is taken to have occurred under subsection (2) if, subsequently, the option will not actually be granted because — </w:t>
      </w:r>
    </w:p>
    <w:p>
      <w:pPr>
        <w:pStyle w:val="Indenta"/>
      </w:pPr>
      <w:r>
        <w:tab/>
        <w:t>(a)</w:t>
      </w:r>
      <w:r>
        <w:tab/>
        <w:t>the time for the grant of the option, as specified in, or determined in accordance with, the farm</w:t>
      </w:r>
      <w:r>
        <w:noBreakHyphen/>
        <w:t>in agreement, passes or expires without the option being granted; or</w:t>
      </w:r>
    </w:p>
    <w:p>
      <w:pPr>
        <w:pStyle w:val="Indenta"/>
      </w:pPr>
      <w:r>
        <w:tab/>
        <w:t>(b)</w:t>
      </w:r>
      <w:r>
        <w:tab/>
        <w:t>the farmor and farmee otherwise agree that the option is not to be granted.</w:t>
      </w:r>
    </w:p>
    <w:p>
      <w:pPr>
        <w:pStyle w:val="Subsection"/>
      </w:pPr>
      <w:r>
        <w:tab/>
        <w:t>(4)</w:t>
      </w:r>
      <w:r>
        <w:tab/>
        <w:t>If subsection (3) applies, the Commissioner must, on the application of the taxpayer, reassess the liability to duty on the acquisition of the option.</w:t>
      </w:r>
    </w:p>
    <w:p>
      <w:pPr>
        <w:pStyle w:val="Subsection"/>
      </w:pPr>
      <w:r>
        <w:tab/>
        <w:t>(5)</w:t>
      </w:r>
      <w:r>
        <w:tab/>
        <w:t xml:space="preserve">For the purposes of subsection (4), the Taxation Administration Act section 17 applies as if — </w:t>
      </w:r>
    </w:p>
    <w:p>
      <w:pPr>
        <w:pStyle w:val="Indenta"/>
      </w:pPr>
      <w:r>
        <w:tab/>
        <w:t>(a)</w:t>
      </w:r>
      <w:r>
        <w:tab/>
        <w:t xml:space="preserve">despite subsection (1) of that section, a person is not entitled to apply for a reassessment after the later of the following — </w:t>
      </w:r>
    </w:p>
    <w:p>
      <w:pPr>
        <w:pStyle w:val="Indenti"/>
      </w:pPr>
      <w:r>
        <w:tab/>
        <w:t>(i)</w:t>
      </w:r>
      <w:r>
        <w:tab/>
        <w:t>5 years after the day on which the original assessment was made;</w:t>
      </w:r>
    </w:p>
    <w:p>
      <w:pPr>
        <w:pStyle w:val="Indenti"/>
      </w:pPr>
      <w:r>
        <w:tab/>
        <w:t>(ii)</w:t>
      </w:r>
      <w:r>
        <w:tab/>
        <w:t>12 months after the day on which the event referred to in subsection (3)(a) or (b) occurred;</w:t>
      </w:r>
    </w:p>
    <w:p>
      <w:pPr>
        <w:pStyle w:val="Indenta"/>
      </w:pPr>
      <w:r>
        <w:tab/>
      </w:r>
      <w:r>
        <w:tab/>
        <w:t>and</w:t>
      </w:r>
    </w:p>
    <w:p>
      <w:pPr>
        <w:pStyle w:val="Indenta"/>
      </w:pPr>
      <w:r>
        <w:tab/>
        <w:t>(b)</w:t>
      </w:r>
      <w:r>
        <w:tab/>
        <w:t>despite subsection (4) of that section, the Commissioner may only make a reassessment on an application if the application was made within that time.</w:t>
      </w:r>
    </w:p>
    <w:p>
      <w:pPr>
        <w:pStyle w:val="Footnotesection"/>
      </w:pPr>
      <w:r>
        <w:tab/>
        <w:t>[Section 91V inserted: No. 37 of 2022 s. 8.]</w:t>
      </w:r>
    </w:p>
    <w:p>
      <w:pPr>
        <w:pStyle w:val="Heading5"/>
        <w:keepNext w:val="0"/>
        <w:keepLines w:val="0"/>
      </w:pPr>
      <w:bookmarkStart w:id="529" w:name="_Toc201229010"/>
      <w:bookmarkStart w:id="530" w:name="_Toc182410075"/>
      <w:r>
        <w:rPr>
          <w:rStyle w:val="CharSectno"/>
        </w:rPr>
        <w:t>91W</w:t>
      </w:r>
      <w:r>
        <w:t>.</w:t>
      </w:r>
      <w:r>
        <w:tab/>
        <w:t>Derivative mining right granted for purposes of exploration requirement for farm</w:t>
      </w:r>
      <w:r>
        <w:noBreakHyphen/>
        <w:t>in transaction</w:t>
      </w:r>
      <w:bookmarkEnd w:id="529"/>
      <w:bookmarkEnd w:id="530"/>
    </w:p>
    <w:p>
      <w:pPr>
        <w:pStyle w:val="Subsection"/>
      </w:pPr>
      <w:r>
        <w:tab/>
      </w:r>
      <w:r>
        <w:tab/>
        <w:t xml:space="preserve">Duty is not chargeable on a dutiable transaction that is the acquisition of a derivative mining right if — </w:t>
      </w:r>
    </w:p>
    <w:p>
      <w:pPr>
        <w:pStyle w:val="Indenta"/>
      </w:pPr>
      <w:r>
        <w:tab/>
        <w:t>(a)</w:t>
      </w:r>
      <w:r>
        <w:tab/>
        <w:t>the person who acquires the derivative mining right is the farmee under a farm</w:t>
      </w:r>
      <w:r>
        <w:noBreakHyphen/>
        <w:t>in agreement; and</w:t>
      </w:r>
    </w:p>
    <w:p>
      <w:pPr>
        <w:pStyle w:val="Indenta"/>
      </w:pPr>
      <w:r>
        <w:tab/>
        <w:t>(b)</w:t>
      </w:r>
      <w:r>
        <w:tab/>
        <w:t>the derivative mining right authorises mining only for the purpose of fulfilling the exploration requirement for a concessional farm</w:t>
      </w:r>
      <w:r>
        <w:noBreakHyphen/>
        <w:t>in transaction contained in the farm</w:t>
      </w:r>
      <w:r>
        <w:noBreakHyphen/>
        <w:t>in agreement; and</w:t>
      </w:r>
    </w:p>
    <w:p>
      <w:pPr>
        <w:pStyle w:val="Indenta"/>
        <w:keepNext/>
      </w:pPr>
      <w:r>
        <w:tab/>
        <w:t>(c)</w:t>
      </w:r>
      <w:r>
        <w:tab/>
        <w:t>there is not, and will not be, any consideration for the dutiable transaction.</w:t>
      </w:r>
    </w:p>
    <w:p>
      <w:pPr>
        <w:pStyle w:val="Footnotesection"/>
      </w:pPr>
      <w:r>
        <w:tab/>
        <w:t>[Section 91W inserted: No. 37 of 2022 s. 8.]</w:t>
      </w:r>
    </w:p>
    <w:p>
      <w:pPr>
        <w:pStyle w:val="Heading3"/>
        <w:keepNext w:val="0"/>
        <w:spacing w:before="260"/>
        <w:rPr>
          <w:sz w:val="28"/>
        </w:rPr>
      </w:pPr>
      <w:bookmarkStart w:id="531" w:name="_Toc201217940"/>
      <w:bookmarkStart w:id="532" w:name="_Toc201224313"/>
      <w:bookmarkStart w:id="533" w:name="_Toc201229011"/>
      <w:bookmarkStart w:id="534" w:name="_Toc182388616"/>
      <w:bookmarkStart w:id="535" w:name="_Toc182389278"/>
      <w:bookmarkStart w:id="536" w:name="_Toc182410076"/>
      <w:r>
        <w:rPr>
          <w:rStyle w:val="CharDivNo"/>
          <w:sz w:val="28"/>
        </w:rPr>
        <w:t>Part 6</w:t>
      </w:r>
      <w:r>
        <w:rPr>
          <w:sz w:val="28"/>
        </w:rPr>
        <w:t> — </w:t>
      </w:r>
      <w:r>
        <w:rPr>
          <w:rStyle w:val="CharDivText"/>
          <w:sz w:val="28"/>
        </w:rPr>
        <w:t>Exemptions, nominal duty and concessions</w:t>
      </w:r>
      <w:bookmarkEnd w:id="531"/>
      <w:bookmarkEnd w:id="532"/>
      <w:bookmarkEnd w:id="533"/>
      <w:bookmarkEnd w:id="534"/>
      <w:bookmarkEnd w:id="535"/>
      <w:bookmarkEnd w:id="536"/>
    </w:p>
    <w:p>
      <w:pPr>
        <w:pStyle w:val="Heading4"/>
        <w:keepNext w:val="0"/>
        <w:spacing w:before="180"/>
        <w:rPr>
          <w:sz w:val="26"/>
        </w:rPr>
      </w:pPr>
      <w:bookmarkStart w:id="537" w:name="_Toc201217941"/>
      <w:bookmarkStart w:id="538" w:name="_Toc201224314"/>
      <w:bookmarkStart w:id="539" w:name="_Toc201229012"/>
      <w:bookmarkStart w:id="540" w:name="_Toc182388617"/>
      <w:bookmarkStart w:id="541" w:name="_Toc182389279"/>
      <w:bookmarkStart w:id="542" w:name="_Toc182410077"/>
      <w:r>
        <w:rPr>
          <w:sz w:val="26"/>
        </w:rPr>
        <w:t>Division 1 — Exemptions</w:t>
      </w:r>
      <w:bookmarkEnd w:id="537"/>
      <w:bookmarkEnd w:id="538"/>
      <w:bookmarkEnd w:id="539"/>
      <w:bookmarkEnd w:id="540"/>
      <w:bookmarkEnd w:id="541"/>
      <w:bookmarkEnd w:id="542"/>
    </w:p>
    <w:p>
      <w:pPr>
        <w:pStyle w:val="Heading4"/>
        <w:rPr>
          <w:sz w:val="26"/>
        </w:rPr>
      </w:pPr>
      <w:bookmarkStart w:id="543" w:name="_Toc201217942"/>
      <w:bookmarkStart w:id="544" w:name="_Toc201224315"/>
      <w:bookmarkStart w:id="545" w:name="_Toc201229013"/>
      <w:bookmarkStart w:id="546" w:name="_Toc182388618"/>
      <w:bookmarkStart w:id="547" w:name="_Toc182389280"/>
      <w:bookmarkStart w:id="548" w:name="_Toc182410078"/>
      <w:r>
        <w:rPr>
          <w:sz w:val="26"/>
        </w:rPr>
        <w:t>Subdivision 1 — Exemptions for public and governmental purposes</w:t>
      </w:r>
      <w:bookmarkEnd w:id="543"/>
      <w:bookmarkEnd w:id="544"/>
      <w:bookmarkEnd w:id="545"/>
      <w:bookmarkEnd w:id="546"/>
      <w:bookmarkEnd w:id="547"/>
      <w:bookmarkEnd w:id="548"/>
    </w:p>
    <w:p>
      <w:pPr>
        <w:pStyle w:val="Heading5"/>
        <w:keepNext w:val="0"/>
        <w:keepLines w:val="0"/>
        <w:spacing w:before="240"/>
      </w:pPr>
      <w:bookmarkStart w:id="549" w:name="_Toc201229014"/>
      <w:bookmarkStart w:id="550" w:name="_Toc182410079"/>
      <w:r>
        <w:rPr>
          <w:rStyle w:val="CharSectno"/>
        </w:rPr>
        <w:t>92</w:t>
      </w:r>
      <w:r>
        <w:t>.</w:t>
      </w:r>
      <w:r>
        <w:tab/>
        <w:t>Public authorities, declaration of as exempt bodies</w:t>
      </w:r>
      <w:bookmarkEnd w:id="549"/>
      <w:bookmarkEnd w:id="550"/>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551" w:name="_Toc201229015"/>
      <w:bookmarkStart w:id="552" w:name="_Toc182410080"/>
      <w:r>
        <w:rPr>
          <w:rStyle w:val="CharSectno"/>
        </w:rPr>
        <w:t>93</w:t>
      </w:r>
      <w:r>
        <w:t>.</w:t>
      </w:r>
      <w:r>
        <w:tab/>
        <w:t>Transactions for which exempt body would be solely liable</w:t>
      </w:r>
      <w:bookmarkEnd w:id="551"/>
      <w:bookmarkEnd w:id="552"/>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553" w:name="_Toc201229016"/>
      <w:bookmarkStart w:id="554" w:name="_Toc182410081"/>
      <w:r>
        <w:rPr>
          <w:rStyle w:val="CharSectno"/>
        </w:rPr>
        <w:t>94</w:t>
      </w:r>
      <w:r>
        <w:t>.</w:t>
      </w:r>
      <w:r>
        <w:tab/>
        <w:t>Transactions for which exempt body and another party would be liable, duty reduction for etc.</w:t>
      </w:r>
      <w:bookmarkEnd w:id="553"/>
      <w:bookmarkEnd w:id="554"/>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pict>
          <v:shape id="_x0000_i1030" type="#_x0000_t75" style="width:109.5pt;height:12.75pt">
            <v:imagedata r:id="rId18" o:title=""/>
          </v:shape>
        </w:pict>
      </w:r>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keepNext/>
        <w:spacing w:before="120"/>
      </w:pPr>
      <w:r>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del w:id="555" w:author="Master Repository Process" w:date="2025-06-19T17:03:00Z">
        <w:r>
          <w:rPr>
            <w:position w:val="-22"/>
          </w:rPr>
          <w:pict>
            <v:shape id="_x0000_i1031" type="#_x0000_t75" style="width:172.5pt;height:29.25pt">
              <v:imagedata r:id="rId19" o:title=""/>
            </v:shape>
          </w:pict>
        </w:r>
      </w:del>
      <w:ins w:id="556" w:author="Master Repository Process" w:date="2025-06-19T17:03:00Z">
        <w:r>
          <w:rPr>
            <w:position w:val="-22"/>
          </w:rPr>
          <w:pict>
            <v:shape id="_x0000_i1032" type="#_x0000_t75" style="width:171.75pt;height:29.25pt">
              <v:imagedata r:id="rId19" o:title=""/>
            </v:shape>
          </w:pict>
        </w:r>
      </w:ins>
    </w:p>
    <w:p>
      <w:pPr>
        <w:pStyle w:val="PermNoteText"/>
      </w:pPr>
      <w:r>
        <w:tab/>
      </w:r>
      <w:r>
        <w:tab/>
        <w:t>This amount (i.e. $1 800) is the amount of transfer duty payable by the other party.</w:t>
      </w:r>
    </w:p>
    <w:p>
      <w:pPr>
        <w:pStyle w:val="Heading5"/>
        <w:keepLines w:val="0"/>
        <w:spacing w:before="180"/>
      </w:pPr>
      <w:bookmarkStart w:id="557" w:name="_Toc201229017"/>
      <w:bookmarkStart w:id="558" w:name="_Toc182410082"/>
      <w:r>
        <w:rPr>
          <w:rStyle w:val="CharSectno"/>
        </w:rPr>
        <w:t>95</w:t>
      </w:r>
      <w:r>
        <w:t>.</w:t>
      </w:r>
      <w:r>
        <w:tab/>
        <w:t>Transactions for charitable etc. purposes</w:t>
      </w:r>
      <w:bookmarkEnd w:id="557"/>
      <w:bookmarkEnd w:id="558"/>
    </w:p>
    <w:p>
      <w:pPr>
        <w:pStyle w:val="Subsection"/>
        <w:spacing w:before="120"/>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keepNext/>
      </w:pPr>
      <w:r>
        <w:tab/>
        <w:t>(ii)</w:t>
      </w:r>
      <w:r>
        <w:tab/>
        <w:t>the Commissioner decides in a particular case that it would be inequitable for the person to be treated as related to the relevant body.</w:t>
      </w:r>
    </w:p>
    <w:p>
      <w:pPr>
        <w:pStyle w:val="Footnotesection"/>
      </w:pPr>
      <w:r>
        <w:tab/>
        <w:t>[Section 95 amended: No. 8 of 2015 s. 5.]</w:t>
      </w:r>
    </w:p>
    <w:p>
      <w:pPr>
        <w:pStyle w:val="Heading5"/>
        <w:spacing w:before="240"/>
      </w:pPr>
      <w:bookmarkStart w:id="559" w:name="_Toc201229018"/>
      <w:bookmarkStart w:id="560" w:name="_Toc182410083"/>
      <w:r>
        <w:rPr>
          <w:rStyle w:val="CharSectno"/>
        </w:rPr>
        <w:t>96A</w:t>
      </w:r>
      <w:r>
        <w:t>.</w:t>
      </w:r>
      <w:r>
        <w:tab/>
        <w:t>What is a relevant body</w:t>
      </w:r>
      <w:bookmarkEnd w:id="559"/>
      <w:bookmarkEnd w:id="560"/>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keepNext/>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 No. 8 of 2015 s. 6.]</w:t>
      </w:r>
    </w:p>
    <w:p>
      <w:pPr>
        <w:pStyle w:val="Heading5"/>
      </w:pPr>
      <w:bookmarkStart w:id="561" w:name="_Toc201229019"/>
      <w:bookmarkStart w:id="562" w:name="_Toc182410084"/>
      <w:r>
        <w:rPr>
          <w:rStyle w:val="CharSectno"/>
        </w:rPr>
        <w:t>96B</w:t>
      </w:r>
      <w:r>
        <w:t>.</w:t>
      </w:r>
      <w:r>
        <w:tab/>
        <w:t>Application for a beneficial body determination</w:t>
      </w:r>
      <w:bookmarkEnd w:id="561"/>
      <w:bookmarkEnd w:id="562"/>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168(3)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 No. 8 of 2015 s. 6; amended: No. 12 of 2019 s. 35.]</w:t>
      </w:r>
    </w:p>
    <w:p>
      <w:pPr>
        <w:pStyle w:val="Heading5"/>
      </w:pPr>
      <w:bookmarkStart w:id="563" w:name="_Toc201229020"/>
      <w:bookmarkStart w:id="564" w:name="_Toc182410085"/>
      <w:r>
        <w:rPr>
          <w:rStyle w:val="CharSectno"/>
        </w:rPr>
        <w:t>96C</w:t>
      </w:r>
      <w:r>
        <w:t>.</w:t>
      </w:r>
      <w:r>
        <w:tab/>
        <w:t>Beneficial body determination</w:t>
      </w:r>
      <w:bookmarkEnd w:id="563"/>
      <w:bookmarkEnd w:id="564"/>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keepNext/>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No. 8 of 2015 s. 6.]</w:t>
      </w:r>
    </w:p>
    <w:p>
      <w:pPr>
        <w:pStyle w:val="Heading4"/>
        <w:rPr>
          <w:sz w:val="26"/>
        </w:rPr>
      </w:pPr>
      <w:bookmarkStart w:id="565" w:name="_Toc201217950"/>
      <w:bookmarkStart w:id="566" w:name="_Toc201224323"/>
      <w:bookmarkStart w:id="567" w:name="_Toc201229021"/>
      <w:bookmarkStart w:id="568" w:name="_Toc182388626"/>
      <w:bookmarkStart w:id="569" w:name="_Toc182389288"/>
      <w:bookmarkStart w:id="570" w:name="_Toc182410086"/>
      <w:r>
        <w:rPr>
          <w:sz w:val="26"/>
        </w:rPr>
        <w:t>Subdivision 2 — Certain transactions between spouses or de facto partners</w:t>
      </w:r>
      <w:bookmarkEnd w:id="565"/>
      <w:bookmarkEnd w:id="566"/>
      <w:bookmarkEnd w:id="567"/>
      <w:bookmarkEnd w:id="568"/>
      <w:bookmarkEnd w:id="569"/>
      <w:bookmarkEnd w:id="570"/>
    </w:p>
    <w:p>
      <w:pPr>
        <w:pStyle w:val="Heading5"/>
        <w:spacing w:before="180"/>
      </w:pPr>
      <w:bookmarkStart w:id="571" w:name="_Toc201229022"/>
      <w:bookmarkStart w:id="572" w:name="_Toc182410087"/>
      <w:r>
        <w:rPr>
          <w:rStyle w:val="CharSectno"/>
        </w:rPr>
        <w:t>96</w:t>
      </w:r>
      <w:r>
        <w:t>.</w:t>
      </w:r>
      <w:r>
        <w:tab/>
        <w:t>Terms used</w:t>
      </w:r>
      <w:bookmarkEnd w:id="571"/>
      <w:bookmarkEnd w:id="572"/>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573" w:name="_Toc201229023"/>
      <w:bookmarkStart w:id="574" w:name="_Toc182410088"/>
      <w:r>
        <w:rPr>
          <w:rStyle w:val="CharSectno"/>
        </w:rPr>
        <w:t>97</w:t>
      </w:r>
      <w:r>
        <w:t>.</w:t>
      </w:r>
      <w:r>
        <w:tab/>
        <w:t>Some transactions between spouses or de facto partners</w:t>
      </w:r>
      <w:bookmarkEnd w:id="573"/>
      <w:bookmarkEnd w:id="574"/>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575" w:name="_Toc201229024"/>
      <w:bookmarkStart w:id="576" w:name="_Toc182410089"/>
      <w:r>
        <w:rPr>
          <w:rStyle w:val="CharSectno"/>
        </w:rPr>
        <w:t>98</w:t>
      </w:r>
      <w:r>
        <w:t>.</w:t>
      </w:r>
      <w:r>
        <w:tab/>
        <w:t>Application for exemption under this Subdivision</w:t>
      </w:r>
      <w:bookmarkEnd w:id="575"/>
      <w:bookmarkEnd w:id="576"/>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Heading4"/>
        <w:rPr>
          <w:sz w:val="26"/>
        </w:rPr>
      </w:pPr>
      <w:bookmarkStart w:id="577" w:name="_Toc201217954"/>
      <w:bookmarkStart w:id="578" w:name="_Toc201224327"/>
      <w:bookmarkStart w:id="579" w:name="_Toc201229025"/>
      <w:bookmarkStart w:id="580" w:name="_Toc182388630"/>
      <w:bookmarkStart w:id="581" w:name="_Toc182389292"/>
      <w:bookmarkStart w:id="582" w:name="_Toc182410090"/>
      <w:r>
        <w:rPr>
          <w:sz w:val="26"/>
        </w:rPr>
        <w:t>Subdivision 3 — Family farm transactions</w:t>
      </w:r>
      <w:bookmarkEnd w:id="577"/>
      <w:bookmarkEnd w:id="578"/>
      <w:bookmarkEnd w:id="579"/>
      <w:bookmarkEnd w:id="580"/>
      <w:bookmarkEnd w:id="581"/>
      <w:bookmarkEnd w:id="582"/>
    </w:p>
    <w:p>
      <w:pPr>
        <w:pStyle w:val="Heading5"/>
        <w:spacing w:before="240"/>
      </w:pPr>
      <w:bookmarkStart w:id="583" w:name="_Toc201229026"/>
      <w:bookmarkStart w:id="584" w:name="_Toc182410091"/>
      <w:r>
        <w:rPr>
          <w:rStyle w:val="CharSectno"/>
        </w:rPr>
        <w:t>99</w:t>
      </w:r>
      <w:r>
        <w:t>.</w:t>
      </w:r>
      <w:r>
        <w:tab/>
        <w:t>Terms used</w:t>
      </w:r>
      <w:bookmarkEnd w:id="583"/>
      <w:bookmarkEnd w:id="584"/>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Western Australia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keepNext/>
      </w:pPr>
      <w:r>
        <w:tab/>
        <w:t>(3)</w:t>
      </w:r>
      <w:r>
        <w:tab/>
        <w:t>For the purposes of this Subdivision, farming property is the subject of a dutiable transaction that is a partnership acquisition to the extent that the property of a kind referred to in section 72(a) to (d) held by the partnership, or in which the partnership has an indirect interest under section 73, is farming property.</w:t>
      </w:r>
    </w:p>
    <w:p>
      <w:pPr>
        <w:pStyle w:val="Footnotesection"/>
      </w:pPr>
      <w:r>
        <w:tab/>
        <w:t>[Section 99 amended: No. 12 of 2019 s. 36.]</w:t>
      </w:r>
    </w:p>
    <w:p>
      <w:pPr>
        <w:pStyle w:val="Heading5"/>
      </w:pPr>
      <w:bookmarkStart w:id="585" w:name="_Toc201229027"/>
      <w:bookmarkStart w:id="586" w:name="_Toc182410092"/>
      <w:r>
        <w:rPr>
          <w:rStyle w:val="CharSectno"/>
        </w:rPr>
        <w:t>100</w:t>
      </w:r>
      <w:r>
        <w:t>.</w:t>
      </w:r>
      <w:r>
        <w:tab/>
        <w:t>References to family member</w:t>
      </w:r>
      <w:bookmarkEnd w:id="585"/>
      <w:bookmarkEnd w:id="586"/>
    </w:p>
    <w:p>
      <w:pPr>
        <w:pStyle w:val="Subsection"/>
      </w:pPr>
      <w:r>
        <w:tab/>
        <w:t>(1)</w:t>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 or</w:t>
      </w:r>
    </w:p>
    <w:p>
      <w:pPr>
        <w:pStyle w:val="Indenta"/>
      </w:pPr>
      <w:r>
        <w:tab/>
        <w:t>(g)</w:t>
      </w:r>
      <w:r>
        <w:tab/>
        <w:t>a brother or sister of the person’s spouse or of the person’s de facto partner of 2 years; or</w:t>
      </w:r>
    </w:p>
    <w:p>
      <w:pPr>
        <w:pStyle w:val="Indenta"/>
      </w:pPr>
      <w:r>
        <w:tab/>
        <w:t>(h)</w:t>
      </w:r>
      <w:r>
        <w:tab/>
        <w:t>the spouse or de facto partner of 2 years of a brother or sister to whom paragraph (g) applies,</w:t>
      </w:r>
    </w:p>
    <w:p>
      <w:pPr>
        <w:pStyle w:val="Subsection"/>
      </w:pPr>
      <w:r>
        <w:tab/>
      </w:r>
      <w:r>
        <w:tab/>
        <w:t>or more than one of them.</w:t>
      </w:r>
    </w:p>
    <w:p>
      <w:pPr>
        <w:pStyle w:val="Subsection"/>
      </w:pPr>
      <w:r>
        <w:tab/>
        <w:t>(2)</w:t>
      </w:r>
      <w:r>
        <w:tab/>
        <w:t>A reference in this Subdivision to a family member is to a family member acting in their own capacity and not as agent, trustee or otherwise on behalf of any other person.</w:t>
      </w:r>
    </w:p>
    <w:p>
      <w:pPr>
        <w:pStyle w:val="Footnotesection"/>
      </w:pPr>
      <w:r>
        <w:tab/>
        <w:t>[Section 100 amended: No. 12 of 2019 s. 37.]</w:t>
      </w:r>
    </w:p>
    <w:p>
      <w:pPr>
        <w:pStyle w:val="Heading5"/>
      </w:pPr>
      <w:bookmarkStart w:id="587" w:name="_Toc201229028"/>
      <w:bookmarkStart w:id="588" w:name="_Toc182410093"/>
      <w:r>
        <w:rPr>
          <w:rStyle w:val="CharSectno"/>
        </w:rPr>
        <w:t>101A</w:t>
      </w:r>
      <w:r>
        <w:t>.</w:t>
      </w:r>
      <w:r>
        <w:tab/>
        <w:t>References to primary production</w:t>
      </w:r>
      <w:bookmarkEnd w:id="587"/>
      <w:bookmarkEnd w:id="588"/>
    </w:p>
    <w:p>
      <w:pPr>
        <w:pStyle w:val="Subsection"/>
        <w:keepNext/>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No. 1 of 2015 s. 11.]</w:t>
      </w:r>
    </w:p>
    <w:p>
      <w:pPr>
        <w:pStyle w:val="Heading5"/>
        <w:spacing w:before="240"/>
      </w:pPr>
      <w:bookmarkStart w:id="589" w:name="_Toc201229029"/>
      <w:bookmarkStart w:id="590" w:name="_Toc182410094"/>
      <w:r>
        <w:rPr>
          <w:rStyle w:val="CharSectno"/>
        </w:rPr>
        <w:t>101</w:t>
      </w:r>
      <w:r>
        <w:t>.</w:t>
      </w:r>
      <w:r>
        <w:tab/>
        <w:t>References to transferee</w:t>
      </w:r>
      <w:bookmarkEnd w:id="589"/>
      <w:bookmarkEnd w:id="590"/>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 xml:space="preserve">a family member of the transferor; or </w:t>
      </w:r>
    </w:p>
    <w:p>
      <w:pPr>
        <w:pStyle w:val="Indenta"/>
      </w:pPr>
      <w:r>
        <w:tab/>
        <w:t>(b)</w:t>
      </w:r>
      <w:r>
        <w:tab/>
        <w:t>a trustee of a trust, other than a unit trust scheme or a discretionary trust, if each beneficiary of the trust is a family member of the transferor; or</w:t>
      </w:r>
    </w:p>
    <w:p>
      <w:pPr>
        <w:pStyle w:val="Indenta"/>
      </w:pPr>
      <w:r>
        <w:tab/>
        <w:t>(c)</w:t>
      </w:r>
      <w:r>
        <w:tab/>
        <w:t xml:space="preserve">a trustee of a discretionary trust, if — </w:t>
      </w:r>
    </w:p>
    <w:p>
      <w:pPr>
        <w:pStyle w:val="Indenti"/>
      </w:pPr>
      <w:r>
        <w:tab/>
        <w:t>(i)</w:t>
      </w:r>
      <w:r>
        <w:tab/>
        <w:t>each beneficiary of the trust is the transferor or a family member of the transferor; and</w:t>
      </w:r>
    </w:p>
    <w:p>
      <w:pPr>
        <w:pStyle w:val="Indenti"/>
      </w:pPr>
      <w:r>
        <w:tab/>
        <w:t>(ia)</w:t>
      </w:r>
      <w:r>
        <w:tab/>
        <w:t>the transferor is not the only beneficiary of the trust; and</w:t>
      </w:r>
    </w:p>
    <w:p>
      <w:pPr>
        <w:pStyle w:val="Indenti"/>
      </w:pPr>
      <w:r>
        <w:tab/>
        <w:t>(ii)</w:t>
      </w:r>
      <w:r>
        <w:tab/>
        <w:t>the transferor does not control the discretionary trust.</w:t>
      </w:r>
    </w:p>
    <w:p>
      <w:pPr>
        <w:pStyle w:val="Footnotesection"/>
      </w:pPr>
      <w:r>
        <w:tab/>
        <w:t>[Section 101 amended: No. 12 of 2019 s. 38.]</w:t>
      </w:r>
    </w:p>
    <w:p>
      <w:pPr>
        <w:pStyle w:val="Heading5"/>
        <w:spacing w:before="240"/>
      </w:pPr>
      <w:bookmarkStart w:id="591" w:name="_Toc201229030"/>
      <w:bookmarkStart w:id="592" w:name="_Toc182410095"/>
      <w:r>
        <w:rPr>
          <w:rStyle w:val="CharSectno"/>
        </w:rPr>
        <w:t>102</w:t>
      </w:r>
      <w:r>
        <w:t>.</w:t>
      </w:r>
      <w:r>
        <w:tab/>
        <w:t>References to exempt family farm transaction</w:t>
      </w:r>
      <w:bookmarkEnd w:id="591"/>
      <w:bookmarkEnd w:id="592"/>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 with others; or</w:t>
      </w:r>
    </w:p>
    <w:p>
      <w:pPr>
        <w:pStyle w:val="Indenta"/>
      </w:pPr>
      <w:r>
        <w:tab/>
        <w:t>(b)</w:t>
      </w:r>
      <w:r>
        <w:tab/>
        <w:t xml:space="preserve">through a trust or corporation (an </w:t>
      </w:r>
      <w:r>
        <w:rPr>
          <w:rStyle w:val="CharDefText"/>
        </w:rPr>
        <w:t>entity</w:t>
      </w:r>
      <w:r>
        <w:t>) to which the transferor or transferee, as is relevant, is related under section 102A; or</w:t>
      </w:r>
    </w:p>
    <w:p>
      <w:pPr>
        <w:pStyle w:val="Indenta"/>
      </w:pPr>
      <w:r>
        <w:tab/>
        <w:t>(c)</w:t>
      </w:r>
      <w:r>
        <w:tab/>
        <w:t>through a combination of entities to which the transferor or transferee, as is relevant, is related under section 102A.</w:t>
      </w:r>
    </w:p>
    <w:p>
      <w:pPr>
        <w:pStyle w:val="Subsection"/>
      </w:pPr>
      <w:r>
        <w:tab/>
        <w:t>(4)</w:t>
      </w:r>
      <w:r>
        <w:tab/>
        <w:t xml:space="preserve">The Commissioner may treat the requirement in subsection (2)(a) as being satisfied, even though any of the transferors was not using the farming property in the business of primary production immediately before the transaction took place, if the Commissioner is satisfied that — </w:t>
      </w:r>
    </w:p>
    <w:p>
      <w:pPr>
        <w:pStyle w:val="Indenta"/>
      </w:pPr>
      <w:r>
        <w:tab/>
        <w:t>(a)</w:t>
      </w:r>
      <w:r>
        <w:tab/>
        <w:t>the relevant transferor had previously used the farming property in the business of primary production; and</w:t>
      </w:r>
    </w:p>
    <w:p>
      <w:pPr>
        <w:pStyle w:val="Indenta"/>
        <w:keepNext/>
        <w:keepLines/>
      </w:pPr>
      <w:r>
        <w:tab/>
        <w:t>(b)</w:t>
      </w:r>
      <w:r>
        <w:tab/>
        <w:t>a family member of the relevant transferor, or an entity to which a family member of the relevant transferor is related under section 102A, was using the farming property in the business of primary production immediately before the transaction took place.</w:t>
      </w:r>
    </w:p>
    <w:p>
      <w:pPr>
        <w:pStyle w:val="Ednotesubsection"/>
      </w:pPr>
      <w:r>
        <w:tab/>
        <w:t>[(5)</w:t>
      </w:r>
      <w:r>
        <w:tab/>
        <w:t>deleted]</w:t>
      </w:r>
    </w:p>
    <w:p>
      <w:pPr>
        <w:pStyle w:val="Subsection"/>
      </w:pPr>
      <w:r>
        <w:tab/>
        <w:t>(6)</w:t>
      </w:r>
      <w:r>
        <w:tab/>
        <w:t>For the purposes of this section, a farming property is being used in the business of primary production even if —</w:t>
      </w:r>
    </w:p>
    <w:p>
      <w:pPr>
        <w:pStyle w:val="Indenta"/>
      </w:pPr>
      <w:r>
        <w:tab/>
        <w:t>(a)</w:t>
      </w:r>
      <w:r>
        <w:tab/>
        <w:t>some, but not all, of the farming land of that property is leased to another person; and</w:t>
      </w:r>
    </w:p>
    <w:p>
      <w:pPr>
        <w:pStyle w:val="Indenta"/>
        <w:keepNext/>
        <w:keepLines/>
      </w:pPr>
      <w:r>
        <w:tab/>
        <w:t>(b)</w:t>
      </w:r>
      <w:r>
        <w:tab/>
        <w:t>under the lease, the lessee is using the leased land solely or dominantly for the purposes of silviculture or reafforestation.</w:t>
      </w:r>
    </w:p>
    <w:p>
      <w:pPr>
        <w:pStyle w:val="Footnotesection"/>
      </w:pPr>
      <w:r>
        <w:tab/>
        <w:t>[Section 102 amended: No. 12 of 2019 s. 39.]</w:t>
      </w:r>
    </w:p>
    <w:p>
      <w:pPr>
        <w:pStyle w:val="Heading5"/>
      </w:pPr>
      <w:bookmarkStart w:id="593" w:name="_Toc201229031"/>
      <w:bookmarkStart w:id="594" w:name="_Toc182410096"/>
      <w:r>
        <w:rPr>
          <w:rStyle w:val="CharSectno"/>
        </w:rPr>
        <w:t>102A</w:t>
      </w:r>
      <w:r>
        <w:t>.</w:t>
      </w:r>
      <w:r>
        <w:tab/>
        <w:t>Related entities for s. 102</w:t>
      </w:r>
      <w:bookmarkEnd w:id="593"/>
      <w:bookmarkEnd w:id="594"/>
    </w:p>
    <w:p>
      <w:pPr>
        <w:pStyle w:val="Subsection"/>
        <w:keepNext/>
      </w:pPr>
      <w:r>
        <w:tab/>
        <w:t>(1)</w:t>
      </w:r>
      <w:r>
        <w:tab/>
        <w:t xml:space="preserve">For the purposes of section 102(3), a transferor is related to an entity that is — </w:t>
      </w:r>
    </w:p>
    <w:p>
      <w:pPr>
        <w:pStyle w:val="Indenta"/>
      </w:pPr>
      <w:r>
        <w:tab/>
        <w:t>(a)</w:t>
      </w:r>
      <w:r>
        <w:tab/>
        <w:t>a trust (other than a unit trust scheme) if the transferor is a beneficiary of the trust and every other beneficiary is a family member of the transferor; or</w:t>
      </w:r>
    </w:p>
    <w:p>
      <w:pPr>
        <w:pStyle w:val="Indenta"/>
      </w:pPr>
      <w:r>
        <w:tab/>
        <w:t>(b)</w:t>
      </w:r>
      <w:r>
        <w:tab/>
        <w:t>a unit trust scheme if the transferor holds a unit in the unit trust scheme and every other person who holds a unit in the unit trust scheme is a family member of the transferor; or</w:t>
      </w:r>
    </w:p>
    <w:p>
      <w:pPr>
        <w:pStyle w:val="Indenta"/>
      </w:pPr>
      <w:r>
        <w:tab/>
        <w:t>(c)</w:t>
      </w:r>
      <w:r>
        <w:tab/>
        <w:t>a corporation if the transferor is a shareholder in the corporation and every other shareholder is a family member of the transferor.</w:t>
      </w:r>
    </w:p>
    <w:p>
      <w:pPr>
        <w:pStyle w:val="Subsection"/>
      </w:pPr>
      <w:r>
        <w:tab/>
        <w:t>(2)</w:t>
      </w:r>
      <w:r>
        <w:tab/>
        <w:t xml:space="preserve">For the purposes of section 102(3), a transferee is related to an entity that is — </w:t>
      </w:r>
    </w:p>
    <w:p>
      <w:pPr>
        <w:pStyle w:val="Indenta"/>
      </w:pPr>
      <w:r>
        <w:tab/>
        <w:t>(a)</w:t>
      </w:r>
      <w:r>
        <w:tab/>
        <w:t>a trust (other than a unit trust scheme or a discretionary trust) if the transferee is a beneficiary of the trust and every other beneficiary is the transferor or a family member of the transferor; or</w:t>
      </w:r>
    </w:p>
    <w:p>
      <w:pPr>
        <w:pStyle w:val="Indenta"/>
      </w:pPr>
      <w:r>
        <w:tab/>
        <w:t>(b)</w:t>
      </w:r>
      <w:r>
        <w:tab/>
        <w:t xml:space="preserve">a discretionary trust if — </w:t>
      </w:r>
    </w:p>
    <w:p>
      <w:pPr>
        <w:pStyle w:val="Indenti"/>
      </w:pPr>
      <w:r>
        <w:tab/>
        <w:t>(i)</w:t>
      </w:r>
      <w:r>
        <w:tab/>
        <w:t>the transferee is a beneficiary of the trust; and</w:t>
      </w:r>
    </w:p>
    <w:p>
      <w:pPr>
        <w:pStyle w:val="Indenti"/>
      </w:pPr>
      <w:r>
        <w:tab/>
        <w:t>(ii)</w:t>
      </w:r>
      <w:r>
        <w:tab/>
        <w:t>every other beneficiary is the transferor or a family member of the transferor; and</w:t>
      </w:r>
    </w:p>
    <w:p>
      <w:pPr>
        <w:pStyle w:val="Indenti"/>
      </w:pPr>
      <w:r>
        <w:tab/>
        <w:t>(iii)</w:t>
      </w:r>
      <w:r>
        <w:tab/>
        <w:t>the transferor does not control the discretionary trust;</w:t>
      </w:r>
    </w:p>
    <w:p>
      <w:pPr>
        <w:pStyle w:val="Indenta"/>
      </w:pPr>
      <w:r>
        <w:tab/>
      </w:r>
      <w:r>
        <w:tab/>
        <w:t>or</w:t>
      </w:r>
    </w:p>
    <w:p>
      <w:pPr>
        <w:pStyle w:val="Indenta"/>
        <w:keepLines/>
      </w:pPr>
      <w:r>
        <w:tab/>
        <w:t>(c)</w:t>
      </w:r>
      <w:r>
        <w:tab/>
        <w:t>a unit trust scheme if the transferee holds a unit in the unit trust scheme and every other person who holds a unit in the unit trust scheme is the transferor or a family member of the transferor; or</w:t>
      </w:r>
    </w:p>
    <w:p>
      <w:pPr>
        <w:pStyle w:val="Indenta"/>
      </w:pPr>
      <w:r>
        <w:tab/>
        <w:t>(d)</w:t>
      </w:r>
      <w:r>
        <w:tab/>
        <w:t>a corporation if the transferee is a shareholder in the corporation and every other shareholder is the transferor or a family member of the transferor.</w:t>
      </w:r>
    </w:p>
    <w:p>
      <w:pPr>
        <w:pStyle w:val="Subsection"/>
      </w:pPr>
      <w:r>
        <w:tab/>
        <w:t>(3)</w:t>
      </w:r>
      <w:r>
        <w:tab/>
        <w:t>If a transferee is a trustee of a trust to which section 101(b) applies, subsection (2) applies to the transferee as if the references to the transferee in subsection (2)(a), (b), (c) and (d) were references to each beneficiary of that trust.</w:t>
      </w:r>
    </w:p>
    <w:p>
      <w:pPr>
        <w:pStyle w:val="Subsection"/>
      </w:pPr>
      <w:r>
        <w:tab/>
        <w:t>(4)</w:t>
      </w:r>
      <w:r>
        <w:tab/>
        <w:t>For the purposes of section 102(4)(b), subsection (2) applies in determining whether a family member of a relevant transferor is related to an entity as if the family member were a transferee referred to in that subsection.</w:t>
      </w:r>
    </w:p>
    <w:p>
      <w:pPr>
        <w:pStyle w:val="Footnotesection"/>
      </w:pPr>
      <w:r>
        <w:tab/>
        <w:t>[Section 102A inserted: No. 12 of 2019 s. 40.]</w:t>
      </w:r>
    </w:p>
    <w:p>
      <w:pPr>
        <w:pStyle w:val="Heading5"/>
        <w:keepNext w:val="0"/>
        <w:keepLines w:val="0"/>
        <w:spacing w:before="240"/>
      </w:pPr>
      <w:bookmarkStart w:id="595" w:name="_Toc201229032"/>
      <w:bookmarkStart w:id="596" w:name="_Toc182410097"/>
      <w:r>
        <w:rPr>
          <w:rStyle w:val="CharSectno"/>
        </w:rPr>
        <w:t>103</w:t>
      </w:r>
      <w:r>
        <w:t>.</w:t>
      </w:r>
      <w:r>
        <w:tab/>
        <w:t>Exempt family farm transactions, exemption for</w:t>
      </w:r>
      <w:bookmarkEnd w:id="595"/>
      <w:bookmarkEnd w:id="596"/>
    </w:p>
    <w:p>
      <w:pPr>
        <w:pStyle w:val="Subsection"/>
      </w:pPr>
      <w:r>
        <w:tab/>
      </w:r>
      <w:r>
        <w:tab/>
        <w:t>Duty is not chargeable on an exempt family farm transaction.</w:t>
      </w:r>
    </w:p>
    <w:p>
      <w:pPr>
        <w:pStyle w:val="Heading5"/>
        <w:spacing w:before="240"/>
      </w:pPr>
      <w:bookmarkStart w:id="597" w:name="_Toc201229033"/>
      <w:bookmarkStart w:id="598" w:name="_Toc182410098"/>
      <w:r>
        <w:rPr>
          <w:rStyle w:val="CharSectno"/>
        </w:rPr>
        <w:t>104</w:t>
      </w:r>
      <w:r>
        <w:t>.</w:t>
      </w:r>
      <w:r>
        <w:tab/>
        <w:t>No exemption for subsequent transactions for same farming property within 5 years</w:t>
      </w:r>
      <w:bookmarkEnd w:id="597"/>
      <w:bookmarkEnd w:id="598"/>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599" w:name="_Toc201229034"/>
      <w:bookmarkStart w:id="600" w:name="_Toc182410099"/>
      <w:r>
        <w:rPr>
          <w:rStyle w:val="CharSectno"/>
        </w:rPr>
        <w:t>105</w:t>
      </w:r>
      <w:r>
        <w:t>.</w:t>
      </w:r>
      <w:r>
        <w:tab/>
        <w:t>Subsequent liability to duty in certain circumstances</w:t>
      </w:r>
      <w:bookmarkEnd w:id="599"/>
      <w:bookmarkEnd w:id="600"/>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Footnotesection"/>
      </w:pPr>
      <w:r>
        <w:tab/>
        <w:t>[Section 105 amended: No. 12 of 2019 s. 41.]</w:t>
      </w:r>
    </w:p>
    <w:p>
      <w:pPr>
        <w:pStyle w:val="Heading5"/>
      </w:pPr>
      <w:bookmarkStart w:id="601" w:name="_Toc201229035"/>
      <w:bookmarkStart w:id="602" w:name="_Toc182410100"/>
      <w:r>
        <w:rPr>
          <w:rStyle w:val="CharSectno"/>
        </w:rPr>
        <w:t>106</w:t>
      </w:r>
      <w:r>
        <w:t>.</w:t>
      </w:r>
      <w:r>
        <w:tab/>
        <w:t>Application for exemption under this Subdivision</w:t>
      </w:r>
      <w:bookmarkEnd w:id="601"/>
      <w:bookmarkEnd w:id="602"/>
    </w:p>
    <w:p>
      <w:pPr>
        <w:pStyle w:val="Subsection"/>
        <w:keepNext/>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Heading4"/>
        <w:rPr>
          <w:sz w:val="26"/>
        </w:rPr>
      </w:pPr>
      <w:bookmarkStart w:id="603" w:name="_Toc201217965"/>
      <w:bookmarkStart w:id="604" w:name="_Toc201224338"/>
      <w:bookmarkStart w:id="605" w:name="_Toc201229036"/>
      <w:bookmarkStart w:id="606" w:name="_Toc182388641"/>
      <w:bookmarkStart w:id="607" w:name="_Toc182389303"/>
      <w:bookmarkStart w:id="608" w:name="_Toc182410101"/>
      <w:r>
        <w:rPr>
          <w:sz w:val="26"/>
        </w:rPr>
        <w:t>Subdivision 4 — Other exempt transactions</w:t>
      </w:r>
      <w:bookmarkEnd w:id="603"/>
      <w:bookmarkEnd w:id="604"/>
      <w:bookmarkEnd w:id="605"/>
      <w:bookmarkEnd w:id="606"/>
      <w:bookmarkEnd w:id="607"/>
      <w:bookmarkEnd w:id="608"/>
    </w:p>
    <w:p>
      <w:pPr>
        <w:pStyle w:val="Heading5"/>
      </w:pPr>
      <w:bookmarkStart w:id="609" w:name="_Toc201229037"/>
      <w:bookmarkStart w:id="610" w:name="_Toc182410102"/>
      <w:r>
        <w:rPr>
          <w:rStyle w:val="CharSectno"/>
        </w:rPr>
        <w:t>107</w:t>
      </w:r>
      <w:r>
        <w:t>.</w:t>
      </w:r>
      <w:r>
        <w:tab/>
        <w:t>Cancelled transactions</w:t>
      </w:r>
      <w:bookmarkEnd w:id="609"/>
      <w:bookmarkEnd w:id="610"/>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tax;</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Indenta"/>
      </w:pPr>
      <w:r>
        <w:tab/>
        <w:t>(d)</w:t>
      </w:r>
      <w:r>
        <w:tab/>
        <w:t>a concessional farm</w:t>
      </w:r>
      <w:r>
        <w:noBreakHyphen/>
        <w:t>in transaction if the farmee has fulfilled the exploration requirement for the concessional farm</w:t>
      </w:r>
      <w:r>
        <w:noBreakHyphen/>
        <w:t>in transaction.</w:t>
      </w:r>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spacing w:before="120"/>
      </w:pPr>
      <w:r>
        <w:tab/>
        <w:t>(7)</w:t>
      </w:r>
      <w:r>
        <w:tab/>
        <w:t>For the purposes of this section, in relation to an agreement for the transfer of dutiable property or to a concessional farm</w:t>
      </w:r>
      <w:r>
        <w:noBreakHyphen/>
        <w:t xml:space="preserve">in transaction, the Taxation Administration Act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for the transfer of dutiable property, or the concessional farm</w:t>
      </w:r>
      <w:r>
        <w:noBreakHyphen/>
        <w:t>in transaction,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No. 29 of 2012 s. 6; No. 2 of 2014 s. 53; No. 12 of 2019 s. 42; No. 37 of 2022 s. 9.]</w:t>
      </w:r>
    </w:p>
    <w:p>
      <w:pPr>
        <w:pStyle w:val="Heading5"/>
        <w:spacing w:before="180"/>
      </w:pPr>
      <w:bookmarkStart w:id="611" w:name="_Toc201229038"/>
      <w:bookmarkStart w:id="612" w:name="_Toc182410103"/>
      <w:r>
        <w:rPr>
          <w:rStyle w:val="CharSectno"/>
        </w:rPr>
        <w:t>108</w:t>
      </w:r>
      <w:r>
        <w:t>.</w:t>
      </w:r>
      <w:r>
        <w:tab/>
        <w:t>Bankruptcy transactions</w:t>
      </w:r>
      <w:bookmarkEnd w:id="611"/>
      <w:bookmarkEnd w:id="612"/>
    </w:p>
    <w:p>
      <w:pPr>
        <w:pStyle w:val="Subsection"/>
        <w:keepNext/>
        <w:spacing w:before="120"/>
      </w:pPr>
      <w:r>
        <w:tab/>
        <w:t>(1)</w:t>
      </w:r>
      <w:r>
        <w:tab/>
        <w:t xml:space="preserve">In this section — </w:t>
      </w:r>
    </w:p>
    <w:p>
      <w:pPr>
        <w:pStyle w:val="Defstart"/>
        <w:keepNex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613" w:name="_Toc201229039"/>
      <w:bookmarkStart w:id="614" w:name="_Toc182410104"/>
      <w:r>
        <w:rPr>
          <w:rStyle w:val="CharSectno"/>
        </w:rPr>
        <w:t>109</w:t>
      </w:r>
      <w:r>
        <w:t>.</w:t>
      </w:r>
      <w:r>
        <w:tab/>
        <w:t>Transfer etc. to foreign country’s representative etc.</w:t>
      </w:r>
      <w:bookmarkEnd w:id="613"/>
      <w:bookmarkEnd w:id="614"/>
    </w:p>
    <w:p>
      <w:pPr>
        <w:pStyle w:val="Subsection"/>
        <w:spacing w:before="180"/>
      </w:pPr>
      <w:r>
        <w:tab/>
      </w:r>
      <w:r>
        <w:tab/>
        <w:t>Duty is not chargeable on a transfer of, or an agreement for the transfer of, dutiable property to a representative in Australia of the Government of another country, a foreign consul, or a trade commissioner of another country, if that property is intended for official use.</w:t>
      </w:r>
    </w:p>
    <w:p>
      <w:pPr>
        <w:pStyle w:val="Heading5"/>
        <w:keepNext w:val="0"/>
        <w:keepLines w:val="0"/>
        <w:spacing w:before="180"/>
      </w:pPr>
      <w:bookmarkStart w:id="615" w:name="_Toc201229040"/>
      <w:bookmarkStart w:id="616" w:name="_Toc182410105"/>
      <w:r>
        <w:rPr>
          <w:rStyle w:val="CharSectno"/>
        </w:rPr>
        <w:t>110</w:t>
      </w:r>
      <w:r>
        <w:t>.</w:t>
      </w:r>
      <w:r>
        <w:tab/>
      </w:r>
      <w:r>
        <w:rPr>
          <w:i/>
          <w:iCs/>
        </w:rPr>
        <w:t xml:space="preserve">Financial Sector (Business Transfer and Group Restructure) Act 1999 </w:t>
      </w:r>
      <w:r>
        <w:rPr>
          <w:iCs/>
        </w:rPr>
        <w:t xml:space="preserve">(Cwlth) </w:t>
      </w:r>
      <w:r>
        <w:t>Part 4 transactions</w:t>
      </w:r>
      <w:bookmarkEnd w:id="615"/>
      <w:bookmarkEnd w:id="616"/>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No. 31 of 2008 s. 32.]</w:t>
      </w:r>
    </w:p>
    <w:p>
      <w:pPr>
        <w:pStyle w:val="Heading5"/>
      </w:pPr>
      <w:bookmarkStart w:id="617" w:name="_Toc201229041"/>
      <w:bookmarkStart w:id="618" w:name="_Toc182410106"/>
      <w:r>
        <w:rPr>
          <w:rStyle w:val="CharSectno"/>
        </w:rPr>
        <w:t>111</w:t>
      </w:r>
      <w:r>
        <w:t>.</w:t>
      </w:r>
      <w:r>
        <w:tab/>
        <w:t>Special disability trust transactions</w:t>
      </w:r>
      <w:bookmarkEnd w:id="617"/>
      <w:bookmarkEnd w:id="618"/>
    </w:p>
    <w:p>
      <w:pPr>
        <w:pStyle w:val="Subsection"/>
        <w:keepNext/>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619" w:name="_Toc201229042"/>
      <w:bookmarkStart w:id="620" w:name="_Toc182410107"/>
      <w:r>
        <w:rPr>
          <w:rStyle w:val="CharSectno"/>
        </w:rPr>
        <w:t>112</w:t>
      </w:r>
      <w:r>
        <w:t>.</w:t>
      </w:r>
      <w:r>
        <w:tab/>
        <w:t>Some transactions under other Acts</w:t>
      </w:r>
      <w:bookmarkEnd w:id="619"/>
      <w:bookmarkEnd w:id="620"/>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keepNext/>
        <w:spacing w:before="60"/>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3</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Schedule 2A clause 21I; or</w:t>
      </w:r>
    </w:p>
    <w:p>
      <w:pPr>
        <w:pStyle w:val="Ednotepara"/>
      </w:pPr>
      <w:r>
        <w:tab/>
        <w:t>[(b), (c)</w:t>
      </w:r>
      <w:r>
        <w:tab/>
        <w:t>deleted]</w:t>
      </w:r>
    </w:p>
    <w:p>
      <w:pPr>
        <w:pStyle w:val="Indenta"/>
        <w:keepNext/>
      </w:pPr>
      <w:r>
        <w:tab/>
        <w:t>(d)</w:t>
      </w:r>
      <w:r>
        <w:tab/>
        <w:t xml:space="preserve">under, or to give effect to, the </w:t>
      </w:r>
      <w:r>
        <w:rPr>
          <w:i/>
          <w:iCs/>
        </w:rPr>
        <w:t xml:space="preserve">Strata Titles Act 1985 </w:t>
      </w:r>
      <w:r>
        <w:t>Schedule 2A Part 4 Division 1 or 2,</w:t>
      </w:r>
    </w:p>
    <w:p>
      <w:pPr>
        <w:pStyle w:val="Subsection"/>
      </w:pPr>
      <w:r>
        <w:tab/>
      </w:r>
      <w:r>
        <w:tab/>
        <w:t>to the extent that the consideration for the transaction is an interest in common property, within the meaning of that term in that Act.</w:t>
      </w:r>
    </w:p>
    <w:p>
      <w:pPr>
        <w:pStyle w:val="Footnotesection"/>
      </w:pPr>
      <w:r>
        <w:tab/>
        <w:t>[Section 112 amended: No. 30 of 2018 s. 136.]</w:t>
      </w:r>
    </w:p>
    <w:p>
      <w:pPr>
        <w:pStyle w:val="Heading5"/>
      </w:pPr>
      <w:bookmarkStart w:id="621" w:name="_Toc201229043"/>
      <w:bookmarkStart w:id="622" w:name="_Toc182410108"/>
      <w:r>
        <w:rPr>
          <w:rStyle w:val="CharSectno"/>
        </w:rPr>
        <w:t>113</w:t>
      </w:r>
      <w:r>
        <w:t>.</w:t>
      </w:r>
      <w:r>
        <w:tab/>
        <w:t>Transactions effected by matrimonial instrument or de facto relationship instrument</w:t>
      </w:r>
      <w:bookmarkEnd w:id="621"/>
      <w:bookmarkEnd w:id="622"/>
    </w:p>
    <w:p>
      <w:pPr>
        <w:pStyle w:val="Subsection"/>
      </w:pPr>
      <w:r>
        <w:tab/>
        <w:t>(1)</w:t>
      </w:r>
      <w:r>
        <w:tab/>
        <w:t>Duty is not chargeable on a dutiable transaction to the extent that it is effected by a matrimonial instrument mentioned in section 129 or a de facto relationship instrument mentioned in section 130.</w:t>
      </w:r>
    </w:p>
    <w:p>
      <w:pPr>
        <w:pStyle w:val="Subsection"/>
      </w:pPr>
      <w:r>
        <w:tab/>
        <w:t>(2)</w:t>
      </w:r>
      <w:r>
        <w:tab/>
        <w:t>A dutiable transaction that is duty endorsed to indicate that duty is not chargeable because of subsection (1) is taken not to be duty endorsed for the purposes of section 42.</w:t>
      </w:r>
    </w:p>
    <w:p>
      <w:pPr>
        <w:pStyle w:val="Footnotesection"/>
      </w:pPr>
      <w:r>
        <w:tab/>
        <w:t>[Section 113 amended: No. 16 of 2022 s. 4.]</w:t>
      </w:r>
    </w:p>
    <w:p>
      <w:pPr>
        <w:pStyle w:val="Heading5"/>
      </w:pPr>
      <w:bookmarkStart w:id="623" w:name="_Toc201229044"/>
      <w:bookmarkStart w:id="624" w:name="_Toc182410109"/>
      <w:r>
        <w:rPr>
          <w:rStyle w:val="CharSectno"/>
        </w:rPr>
        <w:t>113A</w:t>
      </w:r>
      <w:r>
        <w:t>.</w:t>
      </w:r>
      <w:r>
        <w:tab/>
        <w:t>Certain incorporated association transactions</w:t>
      </w:r>
      <w:bookmarkEnd w:id="623"/>
      <w:bookmarkEnd w:id="624"/>
    </w:p>
    <w:p>
      <w:pPr>
        <w:pStyle w:val="Subsection"/>
      </w:pPr>
      <w:r>
        <w:tab/>
        <w:t>(1)</w:t>
      </w:r>
      <w:r>
        <w:tab/>
        <w:t xml:space="preserve">In this section — </w:t>
      </w:r>
    </w:p>
    <w:p>
      <w:pPr>
        <w:pStyle w:val="Defstart"/>
      </w:pPr>
      <w:r>
        <w:tab/>
      </w:r>
      <w:r>
        <w:rPr>
          <w:rStyle w:val="CharDefText"/>
        </w:rPr>
        <w:t>Commissioner</w:t>
      </w:r>
      <w:r>
        <w:t xml:space="preserve"> has the meaning given in the </w:t>
      </w:r>
      <w:r>
        <w:rPr>
          <w:i/>
        </w:rPr>
        <w:t>Associations Incorporation Act 2015</w:t>
      </w:r>
      <w:r>
        <w:t xml:space="preserve"> section 3;</w:t>
      </w:r>
    </w:p>
    <w:p>
      <w:pPr>
        <w:pStyle w:val="Defstart"/>
      </w:pPr>
      <w:r>
        <w:tab/>
      </w:r>
      <w:r>
        <w:rPr>
          <w:rStyle w:val="CharDefText"/>
        </w:rPr>
        <w:t>prescribed body corporate</w:t>
      </w:r>
      <w:r>
        <w:t xml:space="preserve"> has the meaning given in the </w:t>
      </w:r>
      <w:r>
        <w:rPr>
          <w:i/>
        </w:rPr>
        <w:t>Associations Incorporation Act 2015</w:t>
      </w:r>
      <w:r>
        <w:t xml:space="preserve"> section 92;</w:t>
      </w:r>
    </w:p>
    <w:p>
      <w:pPr>
        <w:pStyle w:val="Defstart"/>
      </w:pPr>
      <w:r>
        <w:tab/>
      </w:r>
      <w:r>
        <w:rPr>
          <w:rStyle w:val="CharDefText"/>
        </w:rPr>
        <w:t>surplus property</w:t>
      </w:r>
      <w:r>
        <w:t xml:space="preserve"> has the meaning given in the </w:t>
      </w:r>
      <w:r>
        <w:rPr>
          <w:i/>
        </w:rPr>
        <w:t>Associations Incorporation Act 2015</w:t>
      </w:r>
      <w:r>
        <w:t xml:space="preserve"> section 3;</w:t>
      </w:r>
    </w:p>
    <w:p>
      <w:pPr>
        <w:pStyle w:val="Defstart"/>
      </w:pPr>
      <w:r>
        <w:tab/>
      </w:r>
      <w:r>
        <w:rPr>
          <w:rStyle w:val="CharDefText"/>
        </w:rPr>
        <w:t>surplus receiving body</w:t>
      </w:r>
      <w:r>
        <w:t xml:space="preserve"> means a body described in the </w:t>
      </w:r>
      <w:r>
        <w:rPr>
          <w:i/>
        </w:rPr>
        <w:t>Associations Incorporation Act 2015</w:t>
      </w:r>
      <w:r>
        <w:t xml:space="preserve"> section 24(1).</w:t>
      </w:r>
    </w:p>
    <w:p>
      <w:pPr>
        <w:pStyle w:val="Subsection"/>
      </w:pPr>
      <w:r>
        <w:tab/>
        <w:t>(2)</w:t>
      </w:r>
      <w:r>
        <w:tab/>
        <w:t xml:space="preserve">Duty is not chargeable on the following transactions — </w:t>
      </w:r>
    </w:p>
    <w:p>
      <w:pPr>
        <w:pStyle w:val="Indenta"/>
      </w:pPr>
      <w:r>
        <w:tab/>
        <w:t>(a)</w:t>
      </w:r>
      <w:r>
        <w:tab/>
        <w:t xml:space="preserve">a vesting of dutiable property by, or expressly authorised by, statute law (as referred to in section 11(1)(d)(i)) in an incorporated association (that is an amalgamation of 2 or more former associations) on the incorporation of the association under the </w:t>
      </w:r>
      <w:r>
        <w:rPr>
          <w:i/>
        </w:rPr>
        <w:t>Associations Incorporation Act 2015</w:t>
      </w:r>
      <w:r>
        <w:t xml:space="preserve"> Part 7;</w:t>
      </w:r>
    </w:p>
    <w:p>
      <w:pPr>
        <w:pStyle w:val="Indenta"/>
      </w:pPr>
      <w:r>
        <w:tab/>
        <w:t>(b)</w:t>
      </w:r>
      <w:r>
        <w:tab/>
        <w:t xml:space="preserve">a transfer of, or an agreement for the transfer of, dutiable property from an incorporated association to a prescribed body corporate on the transfer of incorporation by the association under the </w:t>
      </w:r>
      <w:r>
        <w:rPr>
          <w:i/>
        </w:rPr>
        <w:t>Associations Incorporation Act 2015</w:t>
      </w:r>
      <w:r>
        <w:t xml:space="preserve"> Part 6;</w:t>
      </w:r>
    </w:p>
    <w:p>
      <w:pPr>
        <w:pStyle w:val="Indenta"/>
        <w:keepNext/>
      </w:pPr>
      <w:r>
        <w:tab/>
        <w:t>(c)</w:t>
      </w:r>
      <w:r>
        <w:tab/>
        <w:t xml:space="preserve">a transfer of, or an agreement for the transfer of, dutiable property that is surplus property to a surplus receiving body — </w:t>
      </w:r>
    </w:p>
    <w:p>
      <w:pPr>
        <w:pStyle w:val="Indenti"/>
      </w:pPr>
      <w:r>
        <w:tab/>
        <w:t>(i)</w:t>
      </w:r>
      <w:r>
        <w:tab/>
        <w:t xml:space="preserve">from an incorporated association on the winding up of the association under the </w:t>
      </w:r>
      <w:r>
        <w:rPr>
          <w:i/>
        </w:rPr>
        <w:t>Associations Incorporation Act 2015</w:t>
      </w:r>
      <w:r>
        <w:t xml:space="preserve"> Part 9; or</w:t>
      </w:r>
    </w:p>
    <w:p>
      <w:pPr>
        <w:pStyle w:val="Indenti"/>
      </w:pPr>
      <w:r>
        <w:tab/>
        <w:t>(ii)</w:t>
      </w:r>
      <w:r>
        <w:tab/>
        <w:t xml:space="preserve">from an incorporated association under a distribution plan approved under the </w:t>
      </w:r>
      <w:r>
        <w:rPr>
          <w:i/>
        </w:rPr>
        <w:t>Associations Incorporation Act 2015</w:t>
      </w:r>
      <w:r>
        <w:t xml:space="preserve"> Part 10 Division 1; or</w:t>
      </w:r>
    </w:p>
    <w:p>
      <w:pPr>
        <w:pStyle w:val="Indenti"/>
      </w:pPr>
      <w:r>
        <w:tab/>
        <w:t>(iii)</w:t>
      </w:r>
      <w:r>
        <w:tab/>
        <w:t xml:space="preserve">where the property is vested in the State under the </w:t>
      </w:r>
      <w:r>
        <w:rPr>
          <w:i/>
        </w:rPr>
        <w:t>Associations Incorporation Act 2015</w:t>
      </w:r>
      <w:r>
        <w:t xml:space="preserve"> section 148(1)(a), from the Commissioner, acting under subsection (1)(b) of that section.</w:t>
      </w:r>
    </w:p>
    <w:p>
      <w:pPr>
        <w:pStyle w:val="Footnotesection"/>
      </w:pPr>
      <w:r>
        <w:tab/>
        <w:t>[Section 113A inserted: No. 12 of 2019 s. 43.]</w:t>
      </w:r>
    </w:p>
    <w:p>
      <w:pPr>
        <w:pStyle w:val="Heading4"/>
        <w:rPr>
          <w:sz w:val="26"/>
        </w:rPr>
      </w:pPr>
      <w:bookmarkStart w:id="625" w:name="_Toc201217974"/>
      <w:bookmarkStart w:id="626" w:name="_Toc201224347"/>
      <w:bookmarkStart w:id="627" w:name="_Toc201229045"/>
      <w:bookmarkStart w:id="628" w:name="_Toc182388650"/>
      <w:bookmarkStart w:id="629" w:name="_Toc182389312"/>
      <w:bookmarkStart w:id="630" w:name="_Toc182410110"/>
      <w:r>
        <w:rPr>
          <w:sz w:val="26"/>
        </w:rPr>
        <w:t>Division 2 — Nominal duty</w:t>
      </w:r>
      <w:bookmarkEnd w:id="625"/>
      <w:bookmarkEnd w:id="626"/>
      <w:bookmarkEnd w:id="627"/>
      <w:bookmarkEnd w:id="628"/>
      <w:bookmarkEnd w:id="629"/>
      <w:bookmarkEnd w:id="630"/>
      <w:r>
        <w:rPr>
          <w:sz w:val="26"/>
        </w:rPr>
        <w:t xml:space="preserve"> </w:t>
      </w:r>
    </w:p>
    <w:p>
      <w:pPr>
        <w:pStyle w:val="Heading4"/>
        <w:rPr>
          <w:sz w:val="26"/>
        </w:rPr>
      </w:pPr>
      <w:bookmarkStart w:id="631" w:name="_Toc201217975"/>
      <w:bookmarkStart w:id="632" w:name="_Toc201224348"/>
      <w:bookmarkStart w:id="633" w:name="_Toc201229046"/>
      <w:bookmarkStart w:id="634" w:name="_Toc182388651"/>
      <w:bookmarkStart w:id="635" w:name="_Toc182389313"/>
      <w:bookmarkStart w:id="636" w:name="_Toc182410111"/>
      <w:r>
        <w:rPr>
          <w:sz w:val="26"/>
        </w:rPr>
        <w:t>Subdivision 1 — Certain trust transactions</w:t>
      </w:r>
      <w:bookmarkEnd w:id="631"/>
      <w:bookmarkEnd w:id="632"/>
      <w:bookmarkEnd w:id="633"/>
      <w:bookmarkEnd w:id="634"/>
      <w:bookmarkEnd w:id="635"/>
      <w:bookmarkEnd w:id="636"/>
    </w:p>
    <w:p>
      <w:pPr>
        <w:pStyle w:val="Heading5"/>
      </w:pPr>
      <w:bookmarkStart w:id="637" w:name="_Toc201229047"/>
      <w:bookmarkStart w:id="638" w:name="_Toc182410112"/>
      <w:r>
        <w:rPr>
          <w:rStyle w:val="CharSectno"/>
        </w:rPr>
        <w:t>114</w:t>
      </w:r>
      <w:r>
        <w:t>.</w:t>
      </w:r>
      <w:r>
        <w:tab/>
        <w:t>Some transfers etc. on vesting or termination of discretionary trust</w:t>
      </w:r>
      <w:bookmarkEnd w:id="637"/>
      <w:bookmarkEnd w:id="638"/>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639" w:name="_Toc201229048"/>
      <w:bookmarkStart w:id="640" w:name="_Toc182410113"/>
      <w:r>
        <w:rPr>
          <w:rStyle w:val="CharSectno"/>
        </w:rPr>
        <w:t>115</w:t>
      </w:r>
      <w:r>
        <w:t>.</w:t>
      </w:r>
      <w:r>
        <w:tab/>
        <w:t>Some transfers etc. on exercise of power of appointment by trustee of discretionary trust</w:t>
      </w:r>
      <w:bookmarkEnd w:id="639"/>
      <w:bookmarkEnd w:id="640"/>
    </w:p>
    <w:p>
      <w:pPr>
        <w:pStyle w:val="Subsection"/>
        <w:keepNext/>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641" w:name="_Toc201229049"/>
      <w:bookmarkStart w:id="642" w:name="_Toc182410114"/>
      <w:r>
        <w:rPr>
          <w:rStyle w:val="CharSectno"/>
        </w:rPr>
        <w:t>116</w:t>
      </w:r>
      <w:r>
        <w:t>.</w:t>
      </w:r>
      <w:r>
        <w:tab/>
        <w:t>Some transfers etc. of dutiable property to beneficiary</w:t>
      </w:r>
      <w:bookmarkEnd w:id="641"/>
      <w:bookmarkEnd w:id="642"/>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Subsection"/>
        <w:keepNext/>
      </w:pPr>
      <w:r>
        <w:tab/>
        <w:t>(3)</w:t>
      </w:r>
      <w:r>
        <w:tab/>
        <w:t>Subsection (1) does not apply to a subsequent transfer to which section 118(1) applies.</w:t>
      </w:r>
    </w:p>
    <w:p>
      <w:pPr>
        <w:pStyle w:val="Footnotesection"/>
      </w:pPr>
      <w:r>
        <w:tab/>
        <w:t>[Section 116 amended: No. 12 of 2019 s. 44.]</w:t>
      </w:r>
    </w:p>
    <w:p>
      <w:pPr>
        <w:pStyle w:val="Heading5"/>
        <w:spacing w:before="240"/>
      </w:pPr>
      <w:bookmarkStart w:id="643" w:name="_Toc201229050"/>
      <w:bookmarkStart w:id="644" w:name="_Toc182410115"/>
      <w:r>
        <w:rPr>
          <w:rStyle w:val="CharSectno"/>
        </w:rPr>
        <w:t>117</w:t>
      </w:r>
      <w:r>
        <w:t>.</w:t>
      </w:r>
      <w:r>
        <w:tab/>
        <w:t>Transactions involving apparent purchaser</w:t>
      </w:r>
      <w:bookmarkEnd w:id="643"/>
      <w:bookmarkEnd w:id="644"/>
    </w:p>
    <w:p>
      <w:pPr>
        <w:pStyle w:val="Subsection"/>
        <w:keepNext/>
      </w:pPr>
      <w:r>
        <w:tab/>
        <w:t>(1)</w:t>
      </w:r>
      <w:r>
        <w:tab/>
        <w:t xml:space="preserve">Nominal duty is chargeable on — </w:t>
      </w:r>
    </w:p>
    <w:p>
      <w:pPr>
        <w:pStyle w:val="Indenta"/>
        <w:keepNext/>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keepNext/>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keepNext/>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keepLines/>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keepNext/>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Pr>
      <w:bookmarkStart w:id="645" w:name="_Toc201229051"/>
      <w:bookmarkStart w:id="646" w:name="_Toc182410116"/>
      <w:r>
        <w:rPr>
          <w:rStyle w:val="CharSectno"/>
        </w:rPr>
        <w:t>118</w:t>
      </w:r>
      <w:r>
        <w:t>.</w:t>
      </w:r>
      <w:r>
        <w:tab/>
        <w:t>Transfers to and from bare trustee</w:t>
      </w:r>
      <w:bookmarkEnd w:id="645"/>
      <w:bookmarkEnd w:id="646"/>
    </w:p>
    <w:p>
      <w:pPr>
        <w:pStyle w:val="Subsection"/>
        <w:keepNext/>
      </w:pPr>
      <w:r>
        <w:tab/>
        <w:t>(1)</w:t>
      </w:r>
      <w:r>
        <w:tab/>
        <w:t xml:space="preserve">Nominal duty is chargeable on a transfer (the </w:t>
      </w:r>
      <w:r>
        <w:rPr>
          <w:rStyle w:val="CharDefText"/>
        </w:rPr>
        <w:t>subsequent transfer</w:t>
      </w:r>
      <w:r>
        <w:t xml:space="preserve">) if — </w:t>
      </w:r>
    </w:p>
    <w:p>
      <w:pPr>
        <w:pStyle w:val="Indenta"/>
      </w:pPr>
      <w:r>
        <w:tab/>
        <w:t>(a)</w:t>
      </w:r>
      <w:r>
        <w:tab/>
        <w:t xml:space="preserve">there has been a dutiable transaction (the </w:t>
      </w:r>
      <w:r>
        <w:rPr>
          <w:rStyle w:val="CharDefText"/>
        </w:rPr>
        <w:t>original transfer</w:t>
      </w:r>
      <w:r>
        <w:t xml:space="preserve">) that is a transfer of dutiable property from a person (the </w:t>
      </w:r>
      <w:r>
        <w:rPr>
          <w:rStyle w:val="CharDefText"/>
        </w:rPr>
        <w:t>transferor</w:t>
      </w:r>
      <w:r>
        <w:t>) to another person who is to hold the property solely as a bare trustee for the transferor; and</w:t>
      </w:r>
    </w:p>
    <w:p>
      <w:pPr>
        <w:pStyle w:val="Indenta"/>
        <w:keepNext/>
      </w:pPr>
      <w:r>
        <w:tab/>
        <w:t>(b)</w:t>
      </w:r>
      <w:r>
        <w:tab/>
        <w:t xml:space="preserve">any of the following transactions (the </w:t>
      </w:r>
      <w:r>
        <w:rPr>
          <w:rStyle w:val="CharDefText"/>
        </w:rPr>
        <w:t>endorsed transaction</w:t>
      </w:r>
      <w:r>
        <w:t xml:space="preserve">) is duty endorsed — </w:t>
      </w:r>
    </w:p>
    <w:p>
      <w:pPr>
        <w:pStyle w:val="Indenti"/>
      </w:pPr>
      <w:r>
        <w:tab/>
        <w:t>(i)</w:t>
      </w:r>
      <w:r>
        <w:tab/>
        <w:t>the original transfer;</w:t>
      </w:r>
    </w:p>
    <w:p>
      <w:pPr>
        <w:pStyle w:val="Indenti"/>
      </w:pPr>
      <w:r>
        <w:tab/>
        <w:t>(ii)</w:t>
      </w:r>
      <w:r>
        <w:tab/>
        <w:t>the agreement for the original transfer;</w:t>
      </w:r>
    </w:p>
    <w:p>
      <w:pPr>
        <w:pStyle w:val="Indenti"/>
        <w:keepNext/>
      </w:pPr>
      <w:r>
        <w:tab/>
        <w:t>(iii)</w:t>
      </w:r>
      <w:r>
        <w:tab/>
        <w:t>the declaration of trust;</w:t>
      </w:r>
    </w:p>
    <w:p>
      <w:pPr>
        <w:pStyle w:val="Indenta"/>
      </w:pPr>
      <w:r>
        <w:tab/>
      </w:r>
      <w:r>
        <w:tab/>
        <w:t>and</w:t>
      </w:r>
    </w:p>
    <w:p>
      <w:pPr>
        <w:pStyle w:val="Indenta"/>
      </w:pPr>
      <w:r>
        <w:tab/>
        <w:t>(c)</w:t>
      </w:r>
      <w:r>
        <w:tab/>
        <w:t>the subsequent transfer is a transfer of the dutiable property back to the transferor or to a person to whom the transferor’s beneficial interest in the property has been transmitted by death or bankruptcy; and</w:t>
      </w:r>
    </w:p>
    <w:p>
      <w:pPr>
        <w:pStyle w:val="Indenta"/>
        <w:keepNext/>
        <w:keepLines/>
      </w:pPr>
      <w:r>
        <w:tab/>
        <w:t>(d)</w:t>
      </w:r>
      <w:r>
        <w:tab/>
        <w:t>the Commissioner is satisfied that, between the original transfer and the subsequent transfer, no person other than the transferor has held a beneficial interest in the dutiable property (other than the trustee’s right of indemnity).</w:t>
      </w:r>
    </w:p>
    <w:p>
      <w:pPr>
        <w:pStyle w:val="Subsection"/>
        <w:keepNext/>
      </w:pPr>
      <w:r>
        <w:tab/>
        <w:t>(2)</w:t>
      </w:r>
      <w:r>
        <w:tab/>
        <w:t xml:space="preserve">In subsection (1) — </w:t>
      </w:r>
    </w:p>
    <w:p>
      <w:pPr>
        <w:pStyle w:val="Defstart"/>
        <w:keepNext/>
      </w:pPr>
      <w:r>
        <w:tab/>
      </w:r>
      <w:r>
        <w:rPr>
          <w:rStyle w:val="CharDefText"/>
        </w:rPr>
        <w:t>bare trustee</w:t>
      </w:r>
      <w:r>
        <w:t xml:space="preserve"> — </w:t>
      </w:r>
    </w:p>
    <w:p>
      <w:pPr>
        <w:pStyle w:val="Defpara"/>
      </w:pPr>
      <w:r>
        <w:tab/>
        <w:t>(a)</w:t>
      </w:r>
      <w:r>
        <w:tab/>
        <w:t>means a trustee of a trust, other than a unit trust scheme or a discretionary trust, if the trustee has no active duties or powers in relation to the trust other than conveying the dutiable property to the transferor or as directed by the transferor; and</w:t>
      </w:r>
    </w:p>
    <w:p>
      <w:pPr>
        <w:pStyle w:val="Defpara"/>
      </w:pPr>
      <w:r>
        <w:tab/>
        <w:t>(b)</w:t>
      </w:r>
      <w:r>
        <w:tab/>
        <w:t>includes a trustee appointed in substitution for a trustee or a trustee appointed in addition to a trustee or trustees.</w:t>
      </w:r>
    </w:p>
    <w:p>
      <w:pPr>
        <w:pStyle w:val="Subsection"/>
      </w:pPr>
      <w:r>
        <w:tab/>
        <w:t>(3)</w:t>
      </w:r>
      <w:r>
        <w:tab/>
        <w:t>If nominal duty is chargeable on a subsequent transfer under subsection (1), nominal duty is also chargeable on the endorsed transaction.</w:t>
      </w:r>
    </w:p>
    <w:p>
      <w:pPr>
        <w:pStyle w:val="Subsection"/>
      </w:pPr>
      <w:r>
        <w:tab/>
        <w:t>(4)</w:t>
      </w:r>
      <w:r>
        <w:tab/>
        <w:t>The Commissioner, on the application of the taxpayer, is to reassess the liability to duty of the endorsed transaction in accordance with subsection (3).</w:t>
      </w:r>
    </w:p>
    <w:p>
      <w:pPr>
        <w:pStyle w:val="Subsection"/>
        <w:keepNext/>
      </w:pPr>
      <w:r>
        <w:tab/>
        <w:t>(5)</w:t>
      </w:r>
      <w:r>
        <w:tab/>
        <w:t>The limitations as to time in the Taxation Administration Act section 17 do not apply in respect of a reassessment under subsection (4).</w:t>
      </w:r>
    </w:p>
    <w:p>
      <w:pPr>
        <w:pStyle w:val="Footnotesection"/>
      </w:pPr>
      <w:r>
        <w:tab/>
        <w:t>[Section 118 inserted: No. 12 of 2019 s. 45.]</w:t>
      </w:r>
    </w:p>
    <w:p>
      <w:pPr>
        <w:pStyle w:val="Heading5"/>
      </w:pPr>
      <w:bookmarkStart w:id="647" w:name="_Toc201229052"/>
      <w:bookmarkStart w:id="648" w:name="_Toc182410117"/>
      <w:r>
        <w:rPr>
          <w:rStyle w:val="CharSectno"/>
        </w:rPr>
        <w:t>118A</w:t>
      </w:r>
      <w:r>
        <w:t>.</w:t>
      </w:r>
      <w:r>
        <w:tab/>
        <w:t>Transfers to and from bare trustee: failure to lodge subsequent transfer</w:t>
      </w:r>
      <w:bookmarkEnd w:id="647"/>
      <w:bookmarkEnd w:id="648"/>
    </w:p>
    <w:p>
      <w:pPr>
        <w:pStyle w:val="Subsection"/>
        <w:keepNext/>
      </w:pPr>
      <w:r>
        <w:tab/>
        <w:t>(1)</w:t>
      </w:r>
      <w:r>
        <w:tab/>
        <w:t xml:space="preserve">This section applies if — </w:t>
      </w:r>
    </w:p>
    <w:p>
      <w:pPr>
        <w:pStyle w:val="Indenta"/>
      </w:pPr>
      <w:r>
        <w:tab/>
        <w:t>(a)</w:t>
      </w:r>
      <w:r>
        <w:tab/>
        <w:t>under section 118, nominal duty is chargeable on a subsequent transfer and an endorsed transaction referred to in that section; and</w:t>
      </w:r>
    </w:p>
    <w:p>
      <w:pPr>
        <w:pStyle w:val="Indenta"/>
        <w:keepNext/>
        <w:keepLines/>
      </w:pPr>
      <w:r>
        <w:tab/>
        <w:t>(b)</w:t>
      </w:r>
      <w:r>
        <w:tab/>
        <w:t xml:space="preserve">the subsequent transfer is required to be lodged for registration under — </w:t>
      </w:r>
    </w:p>
    <w:p>
      <w:pPr>
        <w:pStyle w:val="Indenti"/>
      </w:pPr>
      <w:r>
        <w:tab/>
        <w:t>(i)</w:t>
      </w:r>
      <w:r>
        <w:tab/>
        <w:t xml:space="preserve">the </w:t>
      </w:r>
      <w:r>
        <w:rPr>
          <w:i/>
        </w:rPr>
        <w:t>Transfer of Land Act 1893</w:t>
      </w:r>
      <w:r>
        <w:t>; or</w:t>
      </w:r>
    </w:p>
    <w:p>
      <w:pPr>
        <w:pStyle w:val="Indenti"/>
      </w:pPr>
      <w:r>
        <w:tab/>
        <w:t>(ii)</w:t>
      </w:r>
      <w:r>
        <w:tab/>
        <w:t xml:space="preserve">the </w:t>
      </w:r>
      <w:r>
        <w:rPr>
          <w:i/>
        </w:rPr>
        <w:t>Registration of Deeds Act 1856</w:t>
      </w:r>
      <w:r>
        <w:t>; or</w:t>
      </w:r>
    </w:p>
    <w:p>
      <w:pPr>
        <w:pStyle w:val="Indenti"/>
        <w:keepNext/>
      </w:pPr>
      <w:r>
        <w:tab/>
        <w:t>(iii)</w:t>
      </w:r>
      <w:r>
        <w:tab/>
        <w:t xml:space="preserve">the </w:t>
      </w:r>
      <w:r>
        <w:rPr>
          <w:i/>
        </w:rPr>
        <w:t>Mining Act 1978</w:t>
      </w:r>
      <w:r>
        <w:t>;</w:t>
      </w:r>
    </w:p>
    <w:p>
      <w:pPr>
        <w:pStyle w:val="Indenta"/>
      </w:pPr>
      <w:r>
        <w:tab/>
      </w:r>
      <w:r>
        <w:tab/>
        <w:t>and</w:t>
      </w:r>
    </w:p>
    <w:p>
      <w:pPr>
        <w:pStyle w:val="Indenta"/>
      </w:pPr>
      <w:r>
        <w:tab/>
        <w:t>(c)</w:t>
      </w:r>
      <w:r>
        <w:tab/>
        <w:t>the liability to duty of the subsequent transfer is assessed in accordance with section 118(1) on the basis that nominal duty is chargeable; and</w:t>
      </w:r>
    </w:p>
    <w:p>
      <w:pPr>
        <w:pStyle w:val="Indenta"/>
      </w:pPr>
      <w:r>
        <w:tab/>
        <w:t>(d)</w:t>
      </w:r>
      <w:r>
        <w:tab/>
        <w:t>the liability to duty of the endorsed transaction is reassessed in accordance with section 118(3) on the basis that nominal duty is chargeable; and</w:t>
      </w:r>
    </w:p>
    <w:p>
      <w:pPr>
        <w:pStyle w:val="Indenta"/>
        <w:keepNext/>
        <w:keepLines/>
      </w:pPr>
      <w:r>
        <w:tab/>
        <w:t>(e)</w:t>
      </w:r>
      <w:r>
        <w:tab/>
        <w:t xml:space="preserve">the subsequent transfer is not lodged for registration under the </w:t>
      </w:r>
      <w:r>
        <w:rPr>
          <w:i/>
        </w:rPr>
        <w:t>Transfer of Land Act 1893</w:t>
      </w:r>
      <w:r>
        <w:t xml:space="preserve">, the </w:t>
      </w:r>
      <w:r>
        <w:rPr>
          <w:i/>
        </w:rPr>
        <w:t>Registration of Deeds Act 1856</w:t>
      </w:r>
      <w:r>
        <w:t xml:space="preserve"> or the </w:t>
      </w:r>
      <w:r>
        <w:rPr>
          <w:i/>
        </w:rPr>
        <w:t>Mining Act 1978</w:t>
      </w:r>
      <w:r>
        <w:t xml:space="preserve"> (whichever is relevant) within 60 days after it is duty endorsed.</w:t>
      </w:r>
    </w:p>
    <w:p>
      <w:pPr>
        <w:pStyle w:val="Subsection"/>
      </w:pPr>
      <w:r>
        <w:tab/>
        <w:t>(2)</w:t>
      </w:r>
      <w:r>
        <w:tab/>
        <w:t>Despite section 118(1) and (3), nominal duty is not chargeable on the subsequent transfer or the endorsed transaction.</w:t>
      </w:r>
    </w:p>
    <w:p>
      <w:pPr>
        <w:pStyle w:val="Subsection"/>
      </w:pPr>
      <w:r>
        <w:tab/>
        <w:t>(3)</w:t>
      </w:r>
      <w:r>
        <w:tab/>
        <w:t>The Commissioner must make any reassessment necessary as a result of the operation of subsection (2).</w:t>
      </w:r>
    </w:p>
    <w:p>
      <w:pPr>
        <w:pStyle w:val="Subsection"/>
        <w:keepNext/>
      </w:pPr>
      <w:r>
        <w:tab/>
        <w:t>(4)</w:t>
      </w:r>
      <w:r>
        <w:tab/>
        <w:t>The limitations as to time in the Taxation Administration Act section 17 do not apply in respect of a reassessment under subsection (3).</w:t>
      </w:r>
    </w:p>
    <w:p>
      <w:pPr>
        <w:pStyle w:val="Footnotesection"/>
      </w:pPr>
      <w:r>
        <w:tab/>
        <w:t>[Section 118A inserted: No. 12 of 2019 s. 45.]</w:t>
      </w:r>
    </w:p>
    <w:p>
      <w:pPr>
        <w:pStyle w:val="Heading5"/>
      </w:pPr>
      <w:bookmarkStart w:id="649" w:name="_Toc201229053"/>
      <w:bookmarkStart w:id="650" w:name="_Toc182410118"/>
      <w:r>
        <w:rPr>
          <w:rStyle w:val="CharSectno"/>
        </w:rPr>
        <w:t>119</w:t>
      </w:r>
      <w:r>
        <w:t>.</w:t>
      </w:r>
      <w:r>
        <w:tab/>
        <w:t>Transactions related to changes in trustees and managed investment schemes</w:t>
      </w:r>
      <w:bookmarkEnd w:id="649"/>
      <w:bookmarkEnd w:id="650"/>
    </w:p>
    <w:p>
      <w:pPr>
        <w:pStyle w:val="Subsection"/>
        <w:keepNext/>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keepNext/>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pPr>
      <w:r>
        <w:tab/>
        <w:t>(b)</w:t>
      </w:r>
      <w:r>
        <w:tab/>
        <w:t>to hold the dutiable property on trust for the responsible entity of the managed investment scheme.</w:t>
      </w:r>
    </w:p>
    <w:p>
      <w:pPr>
        <w:pStyle w:val="Subsection"/>
        <w:keepNext/>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651" w:name="_Toc201229054"/>
      <w:bookmarkStart w:id="652" w:name="_Toc182410119"/>
      <w:r>
        <w:rPr>
          <w:rStyle w:val="CharSectno"/>
        </w:rPr>
        <w:t>120</w:t>
      </w:r>
      <w:r>
        <w:t>.</w:t>
      </w:r>
      <w:r>
        <w:tab/>
        <w:t>Transfer by way of security</w:t>
      </w:r>
      <w:bookmarkEnd w:id="651"/>
      <w:bookmarkEnd w:id="652"/>
    </w:p>
    <w:p>
      <w:pPr>
        <w:pStyle w:val="Subsection"/>
        <w:keepNext/>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Heading4"/>
        <w:rPr>
          <w:sz w:val="26"/>
          <w:szCs w:val="26"/>
        </w:rPr>
      </w:pPr>
      <w:bookmarkStart w:id="653" w:name="_Toc201217984"/>
      <w:bookmarkStart w:id="654" w:name="_Toc201224357"/>
      <w:bookmarkStart w:id="655" w:name="_Toc201229055"/>
      <w:bookmarkStart w:id="656" w:name="_Toc182388660"/>
      <w:bookmarkStart w:id="657" w:name="_Toc182389322"/>
      <w:bookmarkStart w:id="658" w:name="_Toc182410120"/>
      <w:r>
        <w:rPr>
          <w:sz w:val="26"/>
          <w:szCs w:val="26"/>
        </w:rPr>
        <w:t>Subdivision 1A — Transfers to facilitate subdivision of land</w:t>
      </w:r>
      <w:bookmarkEnd w:id="653"/>
      <w:bookmarkEnd w:id="654"/>
      <w:bookmarkEnd w:id="655"/>
      <w:bookmarkEnd w:id="656"/>
      <w:bookmarkEnd w:id="657"/>
      <w:bookmarkEnd w:id="658"/>
    </w:p>
    <w:p>
      <w:pPr>
        <w:pStyle w:val="Footnoteheading"/>
        <w:keepNext/>
      </w:pPr>
      <w:r>
        <w:tab/>
        <w:t>[Heading inserted: No. 12 of 2019 s. 46.]</w:t>
      </w:r>
    </w:p>
    <w:p>
      <w:pPr>
        <w:pStyle w:val="Heading5"/>
      </w:pPr>
      <w:bookmarkStart w:id="659" w:name="_Toc201229056"/>
      <w:bookmarkStart w:id="660" w:name="_Toc182410121"/>
      <w:r>
        <w:rPr>
          <w:rStyle w:val="CharSectno"/>
        </w:rPr>
        <w:t>120A</w:t>
      </w:r>
      <w:r>
        <w:t>.</w:t>
      </w:r>
      <w:r>
        <w:tab/>
        <w:t>Transfers to facilitate subdivision of land</w:t>
      </w:r>
      <w:bookmarkEnd w:id="659"/>
      <w:bookmarkEnd w:id="660"/>
    </w:p>
    <w:p>
      <w:pPr>
        <w:pStyle w:val="Subsection"/>
        <w:keepNext/>
      </w:pPr>
      <w:r>
        <w:tab/>
        <w:t>(1)</w:t>
      </w:r>
      <w:r>
        <w:tab/>
        <w:t xml:space="preserve">Nominal duty is chargeable on a dutiable transaction (the </w:t>
      </w:r>
      <w:r>
        <w:rPr>
          <w:rStyle w:val="CharDefText"/>
        </w:rPr>
        <w:t>original transfer</w:t>
      </w:r>
      <w:r>
        <w:t xml:space="preserve">) if — </w:t>
      </w:r>
    </w:p>
    <w:p>
      <w:pPr>
        <w:pStyle w:val="Indenta"/>
      </w:pPr>
      <w:r>
        <w:tab/>
        <w:t>(a)</w:t>
      </w:r>
      <w:r>
        <w:tab/>
        <w:t xml:space="preserve">the transaction is a transfer, or agreement for the transfer, of land in Western Australia from a person (the </w:t>
      </w:r>
      <w:r>
        <w:rPr>
          <w:rStyle w:val="CharDefText"/>
        </w:rPr>
        <w:t>original transferor</w:t>
      </w:r>
      <w:r>
        <w:t>) to another person; and</w:t>
      </w:r>
    </w:p>
    <w:p>
      <w:pPr>
        <w:pStyle w:val="Indenta"/>
        <w:keepNext/>
      </w:pPr>
      <w:r>
        <w:tab/>
        <w:t>(b)</w:t>
      </w:r>
      <w:r>
        <w:tab/>
        <w:t xml:space="preserve">the Commissioner is satisfied that — </w:t>
      </w:r>
    </w:p>
    <w:p>
      <w:pPr>
        <w:pStyle w:val="Indenti"/>
      </w:pPr>
      <w:r>
        <w:tab/>
        <w:t>(i)</w:t>
      </w:r>
      <w:r>
        <w:tab/>
        <w:t>the transfer is for the sole purpose of facilitating a subdivision of the land; and</w:t>
      </w:r>
    </w:p>
    <w:p>
      <w:pPr>
        <w:pStyle w:val="Indenti"/>
      </w:pPr>
      <w:r>
        <w:tab/>
        <w:t>(ii)</w:t>
      </w:r>
      <w:r>
        <w:tab/>
        <w:t>after the subdivision there is to be a transfer back to the original transferor of the land or part of the land.</w:t>
      </w:r>
    </w:p>
    <w:p>
      <w:pPr>
        <w:pStyle w:val="Subsection"/>
      </w:pPr>
      <w:r>
        <w:tab/>
        <w:t>(2)</w:t>
      </w:r>
      <w:r>
        <w:tab/>
        <w:t xml:space="preserve">If nominal duty is chargeable on an original transfer under subsection (1), nominal duty is also chargeable on a transfer (the </w:t>
      </w:r>
      <w:r>
        <w:rPr>
          <w:rStyle w:val="CharDefText"/>
        </w:rPr>
        <w:t>subsequent transfer</w:t>
      </w:r>
      <w:r>
        <w:t>) of the land, or part of the land, back to the original transferor after the subdivision.</w:t>
      </w:r>
    </w:p>
    <w:p>
      <w:pPr>
        <w:pStyle w:val="Subsection"/>
        <w:keepNext/>
      </w:pPr>
      <w:r>
        <w:tab/>
        <w:t>(3)</w:t>
      </w:r>
      <w:r>
        <w:tab/>
        <w:t>If the land the subject of the subsequent transfer includes land that was not the subject of the original transfer, then despite subsection (2) nominal duty is chargeable on the subsequent transfer only to the extent that it relates to land that is also the subject of the original transfer.</w:t>
      </w:r>
    </w:p>
    <w:p>
      <w:pPr>
        <w:pStyle w:val="Footnotesection"/>
      </w:pPr>
      <w:r>
        <w:tab/>
        <w:t>[Section 120A inserted: No. 12 of 2019 s. 46.]</w:t>
      </w:r>
    </w:p>
    <w:p>
      <w:pPr>
        <w:pStyle w:val="Heading5"/>
      </w:pPr>
      <w:bookmarkStart w:id="661" w:name="_Toc201229057"/>
      <w:bookmarkStart w:id="662" w:name="_Toc182410122"/>
      <w:r>
        <w:rPr>
          <w:rStyle w:val="CharSectno"/>
        </w:rPr>
        <w:t>120B</w:t>
      </w:r>
      <w:r>
        <w:t>.</w:t>
      </w:r>
      <w:r>
        <w:tab/>
        <w:t>Land retained by transferee following transfer to facilitate subdivision</w:t>
      </w:r>
      <w:bookmarkEnd w:id="661"/>
      <w:bookmarkEnd w:id="662"/>
    </w:p>
    <w:p>
      <w:pPr>
        <w:pStyle w:val="Subsection"/>
        <w:keepNext/>
      </w:pPr>
      <w:r>
        <w:tab/>
        <w:t>(1)</w:t>
      </w:r>
      <w:r>
        <w:tab/>
        <w:t xml:space="preserve">This section applies if — </w:t>
      </w:r>
    </w:p>
    <w:p>
      <w:pPr>
        <w:pStyle w:val="Indenta"/>
      </w:pPr>
      <w:r>
        <w:tab/>
        <w:t>(a)</w:t>
      </w:r>
      <w:r>
        <w:tab/>
        <w:t xml:space="preserve">nominal duty is chargeable under section 120A(1) on an original transfer of land from a person (the </w:t>
      </w:r>
      <w:r>
        <w:rPr>
          <w:rStyle w:val="CharDefText"/>
        </w:rPr>
        <w:t>original transferor</w:t>
      </w:r>
      <w:r>
        <w:t xml:space="preserve">) to another person (the </w:t>
      </w:r>
      <w:r>
        <w:rPr>
          <w:rStyle w:val="CharDefText"/>
        </w:rPr>
        <w:t>original transferee</w:t>
      </w:r>
      <w:r>
        <w:t>) for the purpose of facilitating a subdivision of the land; and</w:t>
      </w:r>
    </w:p>
    <w:p>
      <w:pPr>
        <w:pStyle w:val="Indenta"/>
      </w:pPr>
      <w:r>
        <w:tab/>
        <w:t>(b)</w:t>
      </w:r>
      <w:r>
        <w:tab/>
        <w:t xml:space="preserve">after the subdivision, there is a transfer (the </w:t>
      </w:r>
      <w:r>
        <w:rPr>
          <w:rStyle w:val="CharDefText"/>
        </w:rPr>
        <w:t>subsequent transfer</w:t>
      </w:r>
      <w:r>
        <w:t>) of the land, or part of the land, back to the original transferor; and</w:t>
      </w:r>
    </w:p>
    <w:p>
      <w:pPr>
        <w:pStyle w:val="Indenta"/>
        <w:keepNext/>
      </w:pPr>
      <w:r>
        <w:tab/>
        <w:t>(c)</w:t>
      </w:r>
      <w:r>
        <w:tab/>
        <w:t xml:space="preserve">either or both of the following applies — </w:t>
      </w:r>
    </w:p>
    <w:p>
      <w:pPr>
        <w:pStyle w:val="Indenti"/>
      </w:pPr>
      <w:r>
        <w:tab/>
        <w:t>(i)</w:t>
      </w:r>
      <w:r>
        <w:tab/>
        <w:t>the land the subject of the subsequent transfer is only a part of the land the subject of the original transfer and the remainder of that land is retained by the original transferee after the subsequent transfer;</w:t>
      </w:r>
    </w:p>
    <w:p>
      <w:pPr>
        <w:pStyle w:val="Indenti"/>
      </w:pPr>
      <w:r>
        <w:tab/>
        <w:t>(ii)</w:t>
      </w:r>
      <w:r>
        <w:tab/>
        <w:t>after the subsequent transfer, the land the subject of the subsequent transfer, or part of that land, is held jointly by the original transferor with the original transferee.</w:t>
      </w:r>
    </w:p>
    <w:p>
      <w:pPr>
        <w:pStyle w:val="Subsection"/>
        <w:keepNext/>
      </w:pPr>
      <w:r>
        <w:tab/>
        <w:t>(2)</w:t>
      </w:r>
      <w:r>
        <w:tab/>
        <w:t xml:space="preserve">When the subsequent transfer is made, there is taken to be a dutiable transaction consisting of the transfer to the original transferee of the following — </w:t>
      </w:r>
    </w:p>
    <w:p>
      <w:pPr>
        <w:pStyle w:val="Indenta"/>
      </w:pPr>
      <w:r>
        <w:tab/>
        <w:t>(a)</w:t>
      </w:r>
      <w:r>
        <w:tab/>
        <w:t>any land the subject of the original transfer that is not also the subject of the subsequent transfer;</w:t>
      </w:r>
    </w:p>
    <w:p>
      <w:pPr>
        <w:pStyle w:val="Indenta"/>
      </w:pPr>
      <w:r>
        <w:tab/>
        <w:t>(b)</w:t>
      </w:r>
      <w:r>
        <w:tab/>
        <w:t>the original transferee’s interest in any land held jointly with the original transferor as referred to in subsection (1)(c)(ii).</w:t>
      </w:r>
    </w:p>
    <w:p>
      <w:pPr>
        <w:pStyle w:val="Subsection"/>
      </w:pPr>
      <w:r>
        <w:tab/>
        <w:t>(3)</w:t>
      </w:r>
      <w:r>
        <w:tab/>
        <w:t xml:space="preserve">In determining the dutiable value of a dutiable transaction under subsection (2) (a </w:t>
      </w:r>
      <w:r>
        <w:rPr>
          <w:rStyle w:val="CharDefText"/>
        </w:rPr>
        <w:t>deemed transaction</w:t>
      </w:r>
      <w:r>
        <w:t>), the unencumbered value of the dutiable property the subject of the deemed transaction is the unencumbered value of that property when liability for duty arose on the original transfer.</w:t>
      </w:r>
    </w:p>
    <w:p>
      <w:pPr>
        <w:pStyle w:val="Subsection"/>
        <w:keepNext/>
      </w:pPr>
      <w:r>
        <w:tab/>
        <w:t>(4)</w:t>
      </w:r>
      <w:r>
        <w:tab/>
        <w:t>Subsection (1)(c)(i) does not apply if the original transferee is to transfer the remainder of the land to another person for the purposes of the subdivision.</w:t>
      </w:r>
    </w:p>
    <w:p>
      <w:pPr>
        <w:pStyle w:val="Footnotesection"/>
      </w:pPr>
      <w:r>
        <w:tab/>
        <w:t>[Section 120B inserted: No. 12 of 2019 s. 46.]</w:t>
      </w:r>
    </w:p>
    <w:p>
      <w:pPr>
        <w:pStyle w:val="Heading5"/>
      </w:pPr>
      <w:bookmarkStart w:id="663" w:name="_Toc201229058"/>
      <w:bookmarkStart w:id="664" w:name="_Toc182410123"/>
      <w:r>
        <w:rPr>
          <w:rStyle w:val="CharSectno"/>
        </w:rPr>
        <w:t>120C</w:t>
      </w:r>
      <w:r>
        <w:t>.</w:t>
      </w:r>
      <w:r>
        <w:tab/>
        <w:t>Transfers to facilitate subdivision: failure to lodge subsequent transfer within 5 years</w:t>
      </w:r>
      <w:bookmarkEnd w:id="663"/>
      <w:bookmarkEnd w:id="664"/>
    </w:p>
    <w:p>
      <w:pPr>
        <w:pStyle w:val="Subsection"/>
      </w:pPr>
      <w:r>
        <w:tab/>
        <w:t>(1)</w:t>
      </w:r>
      <w:r>
        <w:tab/>
        <w:t xml:space="preserve">If a subsequent transfer referred to in section 120A is not lodged for registration under the </w:t>
      </w:r>
      <w:r>
        <w:rPr>
          <w:i/>
        </w:rPr>
        <w:t xml:space="preserve">Transfer of Land Act 1893 </w:t>
      </w:r>
      <w:r>
        <w:t xml:space="preserve">within the period of 5 years after the day on which the original transfer referred to in that section was registered under the </w:t>
      </w:r>
      <w:r>
        <w:rPr>
          <w:i/>
        </w:rPr>
        <w:t>Transfer of Land Act 1893</w:t>
      </w:r>
      <w:r>
        <w:t>, then, despite that section, nominal duty is not chargeable on the original transfer or the subsequent transfer.</w:t>
      </w:r>
    </w:p>
    <w:p>
      <w:pPr>
        <w:pStyle w:val="Subsection"/>
      </w:pPr>
      <w:r>
        <w:tab/>
        <w:t>(2)</w:t>
      </w:r>
      <w:r>
        <w:tab/>
        <w:t>The Commissioner may on application extend the period of 5 years referred to in subsection (1) and may do so on any conditions the Commissioner thinks fit.</w:t>
      </w:r>
    </w:p>
    <w:p>
      <w:pPr>
        <w:pStyle w:val="Subsection"/>
      </w:pPr>
      <w:r>
        <w:tab/>
        <w:t>(3)</w:t>
      </w:r>
      <w:r>
        <w:tab/>
        <w:t>The Commissioner must make any reassessment necessary as a result of the operation of subsection (1).</w:t>
      </w:r>
    </w:p>
    <w:p>
      <w:pPr>
        <w:pStyle w:val="Subsection"/>
        <w:keepNext/>
      </w:pPr>
      <w:r>
        <w:tab/>
        <w:t>(4)</w:t>
      </w:r>
      <w:r>
        <w:tab/>
        <w:t>The limitations as to time in the Taxation Administration Act section 17 do not apply in respect of a reassessment under subsection (3).</w:t>
      </w:r>
    </w:p>
    <w:p>
      <w:pPr>
        <w:pStyle w:val="Footnotesection"/>
      </w:pPr>
      <w:r>
        <w:tab/>
        <w:t>[Section 120C inserted: No. 12 of 2019 s. 46.]</w:t>
      </w:r>
    </w:p>
    <w:p>
      <w:pPr>
        <w:pStyle w:val="Heading5"/>
      </w:pPr>
      <w:bookmarkStart w:id="665" w:name="_Toc201229059"/>
      <w:bookmarkStart w:id="666" w:name="_Toc182410124"/>
      <w:r>
        <w:rPr>
          <w:rStyle w:val="CharSectno"/>
        </w:rPr>
        <w:t>120D</w:t>
      </w:r>
      <w:r>
        <w:t>.</w:t>
      </w:r>
      <w:r>
        <w:tab/>
        <w:t>Subdivisions of land excluded from s. 120A and 120B</w:t>
      </w:r>
      <w:bookmarkEnd w:id="665"/>
      <w:bookmarkEnd w:id="666"/>
    </w:p>
    <w:p>
      <w:pPr>
        <w:pStyle w:val="Subsection"/>
        <w:keepNext/>
      </w:pPr>
      <w:r>
        <w:tab/>
      </w:r>
      <w:r>
        <w:tab/>
        <w:t xml:space="preserve">Sections 120A and 120B do not apply in relation to — </w:t>
      </w:r>
    </w:p>
    <w:p>
      <w:pPr>
        <w:pStyle w:val="Indenta"/>
        <w:keepNext/>
      </w:pPr>
      <w:r>
        <w:tab/>
        <w:t>(a)</w:t>
      </w:r>
      <w:r>
        <w:tab/>
        <w:t xml:space="preserve">a subdivision under — </w:t>
      </w:r>
    </w:p>
    <w:p>
      <w:pPr>
        <w:pStyle w:val="Indenti"/>
      </w:pPr>
      <w:r>
        <w:tab/>
        <w:t>(i)</w:t>
      </w:r>
      <w:r>
        <w:tab/>
        <w:t xml:space="preserve">before the coming into operation of the </w:t>
      </w:r>
      <w:r>
        <w:rPr>
          <w:i/>
          <w:iCs/>
        </w:rPr>
        <w:t>Strata Titles Amendment Act 2018</w:t>
      </w:r>
      <w:r>
        <w:t xml:space="preserve"> section 7 — a strata plan registered under the </w:t>
      </w:r>
      <w:r>
        <w:rPr>
          <w:i/>
          <w:iCs/>
        </w:rPr>
        <w:t>Strata Titles Act 1985</w:t>
      </w:r>
      <w:r>
        <w:t xml:space="preserve"> (other than under a strata plan for a single tier strata scheme as defined in the </w:t>
      </w:r>
      <w:r>
        <w:rPr>
          <w:i/>
          <w:iCs/>
        </w:rPr>
        <w:t>Strata Titles Act</w:t>
      </w:r>
      <w:del w:id="667" w:author="Master Repository Process" w:date="2025-06-19T17:03:00Z">
        <w:r>
          <w:rPr>
            <w:i/>
            <w:iCs/>
          </w:rPr>
          <w:delText xml:space="preserve"> </w:delText>
        </w:r>
      </w:del>
      <w:ins w:id="668" w:author="Master Repository Process" w:date="2025-06-19T17:03:00Z">
        <w:r>
          <w:rPr>
            <w:i/>
            <w:iCs/>
          </w:rPr>
          <w:t> </w:t>
        </w:r>
      </w:ins>
      <w:r>
        <w:rPr>
          <w:i/>
          <w:iCs/>
        </w:rPr>
        <w:t xml:space="preserve">1985 </w:t>
      </w:r>
      <w:r>
        <w:t>section 3(1)); or</w:t>
      </w:r>
    </w:p>
    <w:p>
      <w:pPr>
        <w:pStyle w:val="Indenti"/>
        <w:keepNext/>
      </w:pPr>
      <w:r>
        <w:tab/>
        <w:t>(ii)</w:t>
      </w:r>
      <w:r>
        <w:tab/>
        <w:t xml:space="preserve">after the coming into operation of the </w:t>
      </w:r>
      <w:r>
        <w:rPr>
          <w:i/>
          <w:iCs/>
        </w:rPr>
        <w:t>Strata Titles Amendment Act 2018</w:t>
      </w:r>
      <w:r>
        <w:t xml:space="preserve"> section 7 — a strata scheme as defined in the </w:t>
      </w:r>
      <w:r>
        <w:rPr>
          <w:i/>
          <w:iCs/>
        </w:rPr>
        <w:t>Strata Titles Act 1985</w:t>
      </w:r>
      <w:r>
        <w:t xml:space="preserve"> section 3(1) (other than a single tier strata scheme as defined in the </w:t>
      </w:r>
      <w:r>
        <w:rPr>
          <w:i/>
          <w:iCs/>
        </w:rPr>
        <w:t xml:space="preserve">Strata Titles Act 1985 </w:t>
      </w:r>
      <w:r>
        <w:t>Schedule 2A clause 3);</w:t>
      </w:r>
    </w:p>
    <w:p>
      <w:pPr>
        <w:pStyle w:val="Indenta"/>
      </w:pPr>
      <w:r>
        <w:tab/>
      </w:r>
      <w:r>
        <w:tab/>
        <w:t>or</w:t>
      </w:r>
    </w:p>
    <w:p>
      <w:pPr>
        <w:pStyle w:val="Indenta"/>
        <w:keepNext/>
      </w:pPr>
      <w:r>
        <w:tab/>
        <w:t>(b)</w:t>
      </w:r>
      <w:r>
        <w:tab/>
        <w:t>a subdivision of land in circumstances prescribed by the regulations.</w:t>
      </w:r>
    </w:p>
    <w:p>
      <w:pPr>
        <w:pStyle w:val="Footnotesection"/>
      </w:pPr>
      <w:r>
        <w:tab/>
        <w:t>[Section 120D inserted: No. 12 of 2019 s. 46.]</w:t>
      </w:r>
    </w:p>
    <w:p>
      <w:pPr>
        <w:pStyle w:val="Heading5"/>
      </w:pPr>
      <w:bookmarkStart w:id="669" w:name="_Toc201229060"/>
      <w:bookmarkStart w:id="670" w:name="_Toc182410125"/>
      <w:r>
        <w:rPr>
          <w:rStyle w:val="CharSectno"/>
        </w:rPr>
        <w:t>120E</w:t>
      </w:r>
      <w:r>
        <w:t>.</w:t>
      </w:r>
      <w:r>
        <w:tab/>
        <w:t>References to transfer of land back to person</w:t>
      </w:r>
      <w:bookmarkEnd w:id="669"/>
      <w:bookmarkEnd w:id="670"/>
    </w:p>
    <w:p>
      <w:pPr>
        <w:pStyle w:val="Subsection"/>
        <w:keepNext/>
      </w:pPr>
      <w:r>
        <w:tab/>
      </w:r>
      <w:r>
        <w:tab/>
        <w:t xml:space="preserve">For the purposes of sections 120A and 120B, land that is transferred by a person for the purposes of a subdivision of the land is to be treated as being transferred back to the person after the subdivision — </w:t>
      </w:r>
    </w:p>
    <w:p>
      <w:pPr>
        <w:pStyle w:val="Indenta"/>
      </w:pPr>
      <w:r>
        <w:tab/>
        <w:t>(a)</w:t>
      </w:r>
      <w:r>
        <w:tab/>
        <w:t>even though there will be a change in the legal description of the land between the transfers; and</w:t>
      </w:r>
    </w:p>
    <w:p>
      <w:pPr>
        <w:pStyle w:val="Indenta"/>
        <w:keepNext/>
      </w:pPr>
      <w:r>
        <w:tab/>
        <w:t>(b)</w:t>
      </w:r>
      <w:r>
        <w:tab/>
        <w:t>whether or not, after the transfer back to the person, the land is to be held jointly with 1 or more other persons.</w:t>
      </w:r>
    </w:p>
    <w:p>
      <w:pPr>
        <w:pStyle w:val="Footnotesection"/>
      </w:pPr>
      <w:r>
        <w:tab/>
        <w:t>[Section 120E inserted: No. 12 of 2019 s. 46.]</w:t>
      </w:r>
    </w:p>
    <w:p>
      <w:pPr>
        <w:pStyle w:val="Heading4"/>
        <w:rPr>
          <w:sz w:val="26"/>
        </w:rPr>
      </w:pPr>
      <w:bookmarkStart w:id="671" w:name="_Toc201217990"/>
      <w:bookmarkStart w:id="672" w:name="_Toc201224363"/>
      <w:bookmarkStart w:id="673" w:name="_Toc201229061"/>
      <w:bookmarkStart w:id="674" w:name="_Toc182388666"/>
      <w:bookmarkStart w:id="675" w:name="_Toc182389328"/>
      <w:bookmarkStart w:id="676" w:name="_Toc182410126"/>
      <w:r>
        <w:rPr>
          <w:sz w:val="26"/>
        </w:rPr>
        <w:t>Subdivision 2 — Certain superannuation transactions</w:t>
      </w:r>
      <w:bookmarkEnd w:id="671"/>
      <w:bookmarkEnd w:id="672"/>
      <w:bookmarkEnd w:id="673"/>
      <w:bookmarkEnd w:id="674"/>
      <w:bookmarkEnd w:id="675"/>
      <w:bookmarkEnd w:id="676"/>
    </w:p>
    <w:p>
      <w:pPr>
        <w:pStyle w:val="Heading5"/>
      </w:pPr>
      <w:bookmarkStart w:id="677" w:name="_Toc201229062"/>
      <w:bookmarkStart w:id="678" w:name="_Toc182410127"/>
      <w:r>
        <w:rPr>
          <w:rStyle w:val="CharSectno"/>
        </w:rPr>
        <w:t>121</w:t>
      </w:r>
      <w:r>
        <w:t>.</w:t>
      </w:r>
      <w:r>
        <w:tab/>
        <w:t>Terms used</w:t>
      </w:r>
      <w:bookmarkEnd w:id="677"/>
      <w:bookmarkEnd w:id="678"/>
    </w:p>
    <w:p>
      <w:pPr>
        <w:pStyle w:val="Subsection"/>
        <w:keepNext/>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679" w:name="_Toc201229063"/>
      <w:bookmarkStart w:id="680" w:name="_Toc182410128"/>
      <w:r>
        <w:rPr>
          <w:rStyle w:val="CharSectno"/>
        </w:rPr>
        <w:t>122</w:t>
      </w:r>
      <w:r>
        <w:t>.</w:t>
      </w:r>
      <w:r>
        <w:tab/>
        <w:t>Relevant superannuation transactions for consideration</w:t>
      </w:r>
      <w:bookmarkEnd w:id="679"/>
      <w:bookmarkEnd w:id="680"/>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pPr>
      <w:r>
        <w:tab/>
        <w:t>(b)</w:t>
      </w:r>
      <w:r>
        <w:tab/>
        <w:t>property can only be held in the superannuation fund to be provided to the transferor as a retirement benefit.</w:t>
      </w:r>
    </w:p>
    <w:p>
      <w:pPr>
        <w:pStyle w:val="Subsection"/>
        <w:keepNext/>
        <w:spacing w:before="120"/>
      </w:pPr>
      <w:r>
        <w:tab/>
        <w:t>(3)</w:t>
      </w:r>
      <w:r>
        <w:tab/>
        <w:t xml:space="preserve">In subsection (2)(a)(ii) and (b) — </w:t>
      </w:r>
    </w:p>
    <w:p>
      <w:pPr>
        <w:pStyle w:val="Defstart"/>
        <w:keepNex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tab/>
        <w:t>(4)</w:t>
      </w:r>
      <w:r>
        <w:tab/>
        <w:t>An application for assessment or reassessment under this section must be made in the approved form.</w:t>
      </w:r>
    </w:p>
    <w:p>
      <w:pPr>
        <w:pStyle w:val="Footnotesection"/>
      </w:pPr>
      <w:r>
        <w:tab/>
        <w:t>[Section 122 inserted: No. 15 of 2015 s. 4.]</w:t>
      </w:r>
    </w:p>
    <w:p>
      <w:pPr>
        <w:pStyle w:val="Heading5"/>
        <w:spacing w:before="180"/>
      </w:pPr>
      <w:bookmarkStart w:id="681" w:name="_Toc201229064"/>
      <w:bookmarkStart w:id="682" w:name="_Toc182410129"/>
      <w:r>
        <w:rPr>
          <w:rStyle w:val="CharSectno"/>
        </w:rPr>
        <w:t>123</w:t>
      </w:r>
      <w:r>
        <w:t>.</w:t>
      </w:r>
      <w:r>
        <w:tab/>
        <w:t>Subsequent liability in certain circumstances</w:t>
      </w:r>
      <w:bookmarkEnd w:id="681"/>
      <w:bookmarkEnd w:id="682"/>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keepNext/>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keepNext/>
      </w:pPr>
      <w:r>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No. 15 of 2015 s. 4.]</w:t>
      </w:r>
    </w:p>
    <w:p>
      <w:pPr>
        <w:pStyle w:val="Heading5"/>
      </w:pPr>
      <w:bookmarkStart w:id="683" w:name="_Toc201229065"/>
      <w:bookmarkStart w:id="684" w:name="_Toc182410130"/>
      <w:r>
        <w:rPr>
          <w:rStyle w:val="CharSectno"/>
        </w:rPr>
        <w:t>124</w:t>
      </w:r>
      <w:r>
        <w:t>.</w:t>
      </w:r>
      <w:r>
        <w:tab/>
        <w:t>Some transfers etc. of dutiable property to superannuation fund without consideration</w:t>
      </w:r>
      <w:bookmarkEnd w:id="683"/>
      <w:bookmarkEnd w:id="684"/>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685" w:name="_Toc201229066"/>
      <w:bookmarkStart w:id="686" w:name="_Toc182410131"/>
      <w:r>
        <w:rPr>
          <w:rStyle w:val="CharSectno"/>
        </w:rPr>
        <w:t>125</w:t>
      </w:r>
      <w:r>
        <w:t>.</w:t>
      </w:r>
      <w:r>
        <w:tab/>
        <w:t>Transfer from one superannuation fund to another</w:t>
      </w:r>
      <w:bookmarkEnd w:id="685"/>
      <w:bookmarkEnd w:id="686"/>
    </w:p>
    <w:p>
      <w:pPr>
        <w:pStyle w:val="Subsection"/>
        <w:keepNext/>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687" w:name="_Toc201229067"/>
      <w:bookmarkStart w:id="688" w:name="_Toc182410132"/>
      <w:r>
        <w:rPr>
          <w:rStyle w:val="CharSectno"/>
        </w:rPr>
        <w:t>126</w:t>
      </w:r>
      <w:r>
        <w:t>.</w:t>
      </w:r>
      <w:r>
        <w:tab/>
        <w:t>Some transfers etc. of dutiable property between trustees and custodians of superannuation funds</w:t>
      </w:r>
      <w:bookmarkEnd w:id="687"/>
      <w:bookmarkEnd w:id="688"/>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No. 15 of 2015 s. 5.]</w:t>
      </w:r>
    </w:p>
    <w:p>
      <w:pPr>
        <w:pStyle w:val="Heading5"/>
        <w:spacing w:before="180"/>
      </w:pPr>
      <w:bookmarkStart w:id="689" w:name="_Toc201229068"/>
      <w:bookmarkStart w:id="690" w:name="_Toc182410133"/>
      <w:r>
        <w:rPr>
          <w:rStyle w:val="CharSectno"/>
        </w:rPr>
        <w:t>127</w:t>
      </w:r>
      <w:r>
        <w:t>.</w:t>
      </w:r>
      <w:r>
        <w:tab/>
        <w:t>Some transfers etc. of dutiable property from superannuation fund to member, dependant or representative</w:t>
      </w:r>
      <w:bookmarkEnd w:id="689"/>
      <w:bookmarkEnd w:id="690"/>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No. 32 of 2012 s. 8.]</w:t>
      </w:r>
    </w:p>
    <w:p>
      <w:pPr>
        <w:pStyle w:val="Heading4"/>
        <w:rPr>
          <w:sz w:val="26"/>
        </w:rPr>
      </w:pPr>
      <w:bookmarkStart w:id="691" w:name="_Toc201217998"/>
      <w:bookmarkStart w:id="692" w:name="_Toc201224371"/>
      <w:bookmarkStart w:id="693" w:name="_Toc201229069"/>
      <w:bookmarkStart w:id="694" w:name="_Toc182388674"/>
      <w:bookmarkStart w:id="695" w:name="_Toc182389336"/>
      <w:bookmarkStart w:id="696" w:name="_Toc182410134"/>
      <w:r>
        <w:rPr>
          <w:sz w:val="26"/>
        </w:rPr>
        <w:t>Subdivision 3 — Transactions related to the break</w:t>
      </w:r>
      <w:r>
        <w:rPr>
          <w:sz w:val="26"/>
        </w:rPr>
        <w:noBreakHyphen/>
        <w:t>up of a marriage or de facto relationship</w:t>
      </w:r>
      <w:bookmarkEnd w:id="691"/>
      <w:bookmarkEnd w:id="692"/>
      <w:bookmarkEnd w:id="693"/>
      <w:bookmarkEnd w:id="694"/>
      <w:bookmarkEnd w:id="695"/>
      <w:bookmarkEnd w:id="696"/>
    </w:p>
    <w:p>
      <w:pPr>
        <w:pStyle w:val="PermNoteHeading"/>
      </w:pPr>
      <w:r>
        <w:tab/>
        <w:t>Note for this Subdivision:</w:t>
      </w:r>
    </w:p>
    <w:p>
      <w:pPr>
        <w:pStyle w:val="PermNoteText"/>
        <w:keepNext/>
      </w:pPr>
      <w:r>
        <w:tab/>
      </w:r>
      <w:r>
        <w:tab/>
        <w:t>Section 113 provides for an exemption from duty to the extent that a dutiable transaction is effected by a matrimonial instrument or a de facto relationship instrument.</w:t>
      </w:r>
    </w:p>
    <w:p>
      <w:pPr>
        <w:pStyle w:val="Heading5"/>
      </w:pPr>
      <w:bookmarkStart w:id="697" w:name="_Toc201229070"/>
      <w:bookmarkStart w:id="698" w:name="_Toc182410135"/>
      <w:r>
        <w:rPr>
          <w:rStyle w:val="CharSectno"/>
        </w:rPr>
        <w:t>128</w:t>
      </w:r>
      <w:r>
        <w:t>.</w:t>
      </w:r>
      <w:r>
        <w:tab/>
        <w:t>Terms used</w:t>
      </w:r>
      <w:bookmarkEnd w:id="697"/>
      <w:bookmarkEnd w:id="698"/>
    </w:p>
    <w:p>
      <w:pPr>
        <w:pStyle w:val="Subsection"/>
        <w:keepNext/>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tab/>
      </w:r>
      <w:r>
        <w:rPr>
          <w:rStyle w:val="CharDefText"/>
        </w:rPr>
        <w:t>de facto flag lifting agreement</w:t>
      </w:r>
      <w:r>
        <w:t xml:space="preserve"> means a flag lifting agreement as defined in the Family Law Act section 90YS;</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 and includes a superannuation interest as defined in the Family Law Act section 90YD;</w:t>
      </w:r>
    </w:p>
    <w:p>
      <w:pPr>
        <w:pStyle w:val="Defstart"/>
      </w:pPr>
      <w:r>
        <w:tab/>
      </w:r>
      <w:r>
        <w:rPr>
          <w:rStyle w:val="CharDefText"/>
        </w:rPr>
        <w:t>de facto splitting agreement</w:t>
      </w:r>
      <w:r>
        <w:t xml:space="preserve"> means —</w:t>
      </w:r>
      <w:r>
        <w:rPr>
          <w:highlight w:val="red"/>
        </w:rPr>
        <w:t xml:space="preserve"> </w:t>
      </w:r>
    </w:p>
    <w:p>
      <w:pPr>
        <w:pStyle w:val="Defpara"/>
      </w:pPr>
      <w:r>
        <w:tab/>
        <w:t>(a)</w:t>
      </w:r>
      <w:r>
        <w:tab/>
        <w:t>a de facto superannuation agreement that has effect under the Family Law Act Part VIIIC; or</w:t>
      </w:r>
    </w:p>
    <w:p>
      <w:pPr>
        <w:pStyle w:val="Defpara"/>
      </w:pPr>
      <w:r>
        <w:tab/>
        <w:t>(b)</w:t>
      </w:r>
      <w:r>
        <w:tab/>
        <w:t>a de facto flag lifting agreement that has effect under the Family Law Act Part VIIIC;</w:t>
      </w:r>
    </w:p>
    <w:p>
      <w:pPr>
        <w:pStyle w:val="Defstart"/>
      </w:pPr>
      <w:r>
        <w:tab/>
      </w:r>
      <w:r>
        <w:rPr>
          <w:rStyle w:val="CharDefText"/>
        </w:rPr>
        <w:t>de facto superannuation agreement</w:t>
      </w:r>
      <w:r>
        <w:t xml:space="preserve"> means a superannuation agreement as defined in the Family Law Act section 90YK;</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90XN;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 as defined in the Family Law Act section 90XD;</w:t>
      </w:r>
    </w:p>
    <w:p>
      <w:pPr>
        <w:pStyle w:val="Defstart"/>
        <w:keepNex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90XH;</w:t>
      </w:r>
    </w:p>
    <w:p>
      <w:pPr>
        <w:pStyle w:val="Defstart"/>
      </w:pPr>
      <w:r>
        <w:rPr>
          <w:b/>
        </w:rPr>
        <w:tab/>
      </w:r>
      <w:r>
        <w:rPr>
          <w:rStyle w:val="CharDefText"/>
        </w:rPr>
        <w:t>superannuation fund</w:t>
      </w:r>
      <w:r>
        <w:t xml:space="preserve"> has the meaning given in section 121.</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128 amended: No. 28 of 2022 s. 36; No. 28 of 2022 s. 37]</w:t>
      </w:r>
    </w:p>
    <w:p>
      <w:pPr>
        <w:pStyle w:val="Heading5"/>
        <w:keepNext w:val="0"/>
        <w:keepLines w:val="0"/>
        <w:spacing w:before="180"/>
      </w:pPr>
      <w:bookmarkStart w:id="699" w:name="_Toc201229071"/>
      <w:bookmarkStart w:id="700" w:name="_Toc182410136"/>
      <w:r>
        <w:rPr>
          <w:rStyle w:val="CharSectno"/>
        </w:rPr>
        <w:t>129</w:t>
      </w:r>
      <w:r>
        <w:t>.</w:t>
      </w:r>
      <w:r>
        <w:tab/>
        <w:t>References to matrimonial instrument</w:t>
      </w:r>
      <w:bookmarkEnd w:id="699"/>
      <w:bookmarkEnd w:id="700"/>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701" w:name="_Toc201229072"/>
      <w:bookmarkStart w:id="702" w:name="_Toc182410137"/>
      <w:r>
        <w:rPr>
          <w:rStyle w:val="CharSectno"/>
        </w:rPr>
        <w:t>130</w:t>
      </w:r>
      <w:r>
        <w:t>.</w:t>
      </w:r>
      <w:r>
        <w:tab/>
        <w:t>References to de facto relationship instrument</w:t>
      </w:r>
      <w:bookmarkEnd w:id="701"/>
      <w:bookmarkEnd w:id="702"/>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 xml:space="preserve">a financial agreement or a former financial agreement, within the meaning of those terms in the Family Court Act section 205T, or a de facto splitting agreement; </w:t>
      </w:r>
    </w:p>
    <w:p>
      <w:pPr>
        <w:pStyle w:val="Indenta"/>
      </w:pPr>
      <w:r>
        <w:tab/>
        <w:t>(b)</w:t>
      </w:r>
      <w:r>
        <w:tab/>
        <w:t xml:space="preserve">an order of a court under — </w:t>
      </w:r>
    </w:p>
    <w:p>
      <w:pPr>
        <w:pStyle w:val="Indenti"/>
      </w:pPr>
      <w:r>
        <w:tab/>
        <w:t>(i)</w:t>
      </w:r>
      <w:r>
        <w:tab/>
        <w:t>the Family Court Act Part 5A; or</w:t>
      </w:r>
    </w:p>
    <w:p>
      <w:pPr>
        <w:pStyle w:val="Indenti"/>
      </w:pPr>
      <w:r>
        <w:tab/>
        <w:t>(ia)</w:t>
      </w:r>
      <w:r>
        <w:tab/>
        <w:t>the Family Law Act Part VIIIC; or</w:t>
      </w:r>
    </w:p>
    <w:p>
      <w:pPr>
        <w:pStyle w:val="Indenti"/>
      </w:pPr>
      <w:r>
        <w:tab/>
        <w:t>(ii)</w:t>
      </w:r>
      <w:r>
        <w:tab/>
        <w:t>a law of the Commonwealth or another State or Territory that substantially corresponds to a provision referred to in subparagraph (i) or (ia).</w:t>
      </w:r>
    </w:p>
    <w:p>
      <w:pPr>
        <w:pStyle w:val="Footnotesection"/>
      </w:pPr>
      <w:r>
        <w:tab/>
        <w:t>[Section 130 amended: No. 28 of 2022 s. 38.]</w:t>
      </w:r>
    </w:p>
    <w:p>
      <w:pPr>
        <w:pStyle w:val="Heading5"/>
        <w:keepLines w:val="0"/>
      </w:pPr>
      <w:bookmarkStart w:id="703" w:name="_Toc201229073"/>
      <w:bookmarkStart w:id="704" w:name="_Toc182410138"/>
      <w:r>
        <w:rPr>
          <w:rStyle w:val="CharSectno"/>
        </w:rPr>
        <w:t>131</w:t>
      </w:r>
      <w:r>
        <w:t>.</w:t>
      </w:r>
      <w:r>
        <w:tab/>
        <w:t>Transactions in accordance with matrimonial instrument or de facto relationship instrument</w:t>
      </w:r>
      <w:bookmarkEnd w:id="703"/>
      <w:bookmarkEnd w:id="704"/>
    </w:p>
    <w:p>
      <w:pPr>
        <w:pStyle w:val="Subsection"/>
        <w:keepNext/>
      </w:pPr>
      <w:r>
        <w:tab/>
        <w:t>(1)</w:t>
      </w:r>
      <w:r>
        <w:tab/>
        <w:t xml:space="preserve">Nominal duty is chargeable on a dutiable transaction to the extent that it is in accordance with a matrimonial instrument if — </w:t>
      </w:r>
    </w:p>
    <w:p>
      <w:pPr>
        <w:pStyle w:val="Indenta"/>
      </w:pPr>
      <w:r>
        <w:tab/>
        <w:t>(c)</w:t>
      </w:r>
      <w:r>
        <w:tab/>
        <w:t>the parties to the marriage are separated or divorced from each other or the marriage has irretrievably broken down; and</w:t>
      </w:r>
    </w:p>
    <w:p>
      <w:pPr>
        <w:pStyle w:val="Indenta"/>
        <w:keepNext/>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keepNext/>
      </w:pPr>
      <w:r>
        <w:tab/>
        <w:t>(2)</w:t>
      </w:r>
      <w:r>
        <w:tab/>
        <w:t xml:space="preserve">Nominal duty is chargeable on a dutiable transaction to the extent that it is in accordance with a de facto relationship instrument 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 or</w:t>
      </w:r>
    </w:p>
    <w:p>
      <w:pPr>
        <w:pStyle w:val="Indenti"/>
        <w:keepNext/>
      </w:pPr>
      <w:r>
        <w:tab/>
        <w:t>(iii)</w:t>
      </w:r>
      <w:r>
        <w:tab/>
        <w:t>a trustee of a superannuation fund.</w:t>
      </w:r>
    </w:p>
    <w:p>
      <w:pPr>
        <w:pStyle w:val="Footnotesection"/>
      </w:pPr>
      <w:r>
        <w:tab/>
        <w:t>[Section 131 amended: No. 16 of 2022 s. 5; No. 28 of 2022 s. 39.]</w:t>
      </w:r>
    </w:p>
    <w:p>
      <w:pPr>
        <w:pStyle w:val="Heading5"/>
      </w:pPr>
      <w:bookmarkStart w:id="705" w:name="_Toc201229074"/>
      <w:bookmarkStart w:id="706" w:name="_Toc182410139"/>
      <w:r>
        <w:rPr>
          <w:rStyle w:val="CharSectno"/>
        </w:rPr>
        <w:t>132</w:t>
      </w:r>
      <w:r>
        <w:t>.</w:t>
      </w:r>
      <w:r>
        <w:tab/>
        <w:t>Reassessment of transaction if s. 131 becomes applicable</w:t>
      </w:r>
      <w:bookmarkEnd w:id="705"/>
      <w:bookmarkEnd w:id="706"/>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keepNext/>
      </w:pPr>
      <w:r>
        <w:tab/>
        <w:t>(b)</w:t>
      </w:r>
      <w:r>
        <w:tab/>
        <w:t xml:space="preserve">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keepNext/>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keepNext/>
      </w:pPr>
      <w:r>
        <w:tab/>
        <w:t>(2)</w:t>
      </w:r>
      <w:r>
        <w:tab/>
        <w:t>For the purposes of this section, the Taxation Administration Act section 17 applies as if the original assessment had been made when the instrument became a matrimonial instrument or a de facto relationship instrument.</w:t>
      </w:r>
    </w:p>
    <w:p>
      <w:pPr>
        <w:pStyle w:val="Footnotesection"/>
      </w:pPr>
      <w:r>
        <w:tab/>
        <w:t>[Section 132 amended: No. 16 of 2022 s. 6.]</w:t>
      </w:r>
    </w:p>
    <w:p>
      <w:pPr>
        <w:pStyle w:val="Heading5"/>
      </w:pPr>
      <w:bookmarkStart w:id="707" w:name="_Toc201229075"/>
      <w:bookmarkStart w:id="708" w:name="_Toc182410140"/>
      <w:r>
        <w:rPr>
          <w:rStyle w:val="CharSectno"/>
        </w:rPr>
        <w:t>133</w:t>
      </w:r>
      <w:r>
        <w:t>.</w:t>
      </w:r>
      <w:r>
        <w:tab/>
        <w:t>Evidence as to marriage or de facto relationship</w:t>
      </w:r>
      <w:bookmarkEnd w:id="707"/>
      <w:bookmarkEnd w:id="708"/>
    </w:p>
    <w:p>
      <w:pPr>
        <w:pStyle w:val="Subsection"/>
        <w:keepNext/>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Lines/>
      </w:pPr>
      <w:r>
        <w:tab/>
        <w:t>(2)</w:t>
      </w:r>
      <w:r>
        <w:tab/>
        <w:t>For the purposes of this Subdivision, the Commissioner is to have regard to any statutory declaration made by a de facto partner to the de facto relationship to the effect that the relationship has ended.</w:t>
      </w:r>
    </w:p>
    <w:p>
      <w:pPr>
        <w:pStyle w:val="Heading4"/>
        <w:rPr>
          <w:sz w:val="26"/>
        </w:rPr>
      </w:pPr>
      <w:bookmarkStart w:id="709" w:name="_Toc201218005"/>
      <w:bookmarkStart w:id="710" w:name="_Toc201224378"/>
      <w:bookmarkStart w:id="711" w:name="_Toc201229076"/>
      <w:bookmarkStart w:id="712" w:name="_Toc182388681"/>
      <w:bookmarkStart w:id="713" w:name="_Toc182389343"/>
      <w:bookmarkStart w:id="714" w:name="_Toc182410141"/>
      <w:r>
        <w:rPr>
          <w:sz w:val="26"/>
        </w:rPr>
        <w:t>Subdivision 4 — Other transactions</w:t>
      </w:r>
      <w:bookmarkEnd w:id="709"/>
      <w:bookmarkEnd w:id="710"/>
      <w:bookmarkEnd w:id="711"/>
      <w:bookmarkEnd w:id="712"/>
      <w:bookmarkEnd w:id="713"/>
      <w:bookmarkEnd w:id="714"/>
    </w:p>
    <w:p>
      <w:pPr>
        <w:pStyle w:val="Heading5"/>
      </w:pPr>
      <w:bookmarkStart w:id="715" w:name="_Toc201229077"/>
      <w:bookmarkStart w:id="716" w:name="_Toc182410142"/>
      <w:r>
        <w:rPr>
          <w:rStyle w:val="CharSectno"/>
        </w:rPr>
        <w:t>134</w:t>
      </w:r>
      <w:r>
        <w:t>.</w:t>
      </w:r>
      <w:r>
        <w:tab/>
        <w:t>Some transfers etc. of certain lots under planning scheme</w:t>
      </w:r>
      <w:bookmarkEnd w:id="715"/>
      <w:bookmarkEnd w:id="716"/>
    </w:p>
    <w:p>
      <w:pPr>
        <w:pStyle w:val="Subsection"/>
        <w:keepNext/>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keepNext/>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Ednotesection"/>
      </w:pPr>
      <w:r>
        <w:t>[</w:t>
      </w:r>
      <w:r>
        <w:rPr>
          <w:b/>
        </w:rPr>
        <w:t>135.</w:t>
      </w:r>
      <w:r>
        <w:tab/>
        <w:t>Deleted: No. 37 of 2022 s. 10.]</w:t>
      </w:r>
    </w:p>
    <w:p>
      <w:pPr>
        <w:pStyle w:val="Heading5"/>
        <w:rPr>
          <w:i/>
          <w:iCs/>
        </w:rPr>
      </w:pPr>
      <w:bookmarkStart w:id="717" w:name="_Toc201229078"/>
      <w:bookmarkStart w:id="718" w:name="_Toc182410143"/>
      <w:r>
        <w:rPr>
          <w:rStyle w:val="CharSectno"/>
        </w:rPr>
        <w:t>136</w:t>
      </w:r>
      <w:r>
        <w:t>.</w:t>
      </w:r>
      <w:r>
        <w:tab/>
        <w:t xml:space="preserve">Business licences held under </w:t>
      </w:r>
      <w:r>
        <w:rPr>
          <w:i/>
          <w:iCs/>
        </w:rPr>
        <w:t>Fish Resources Management Act 1994</w:t>
      </w:r>
      <w:bookmarkEnd w:id="717"/>
      <w:bookmarkEnd w:id="718"/>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719" w:name="_Toc201229079"/>
      <w:bookmarkStart w:id="720" w:name="_Toc182410144"/>
      <w:r>
        <w:rPr>
          <w:rStyle w:val="CharSectno"/>
        </w:rPr>
        <w:t>137</w:t>
      </w:r>
      <w:r>
        <w:t>.</w:t>
      </w:r>
      <w:r>
        <w:tab/>
        <w:t>Transfers etc. to change joint tenancy to tenancy in common etc.</w:t>
      </w:r>
      <w:bookmarkEnd w:id="719"/>
      <w:bookmarkEnd w:id="720"/>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721" w:name="_Toc201229080"/>
      <w:bookmarkStart w:id="722" w:name="_Toc182410145"/>
      <w:r>
        <w:rPr>
          <w:rStyle w:val="CharSectno"/>
        </w:rPr>
        <w:t>138</w:t>
      </w:r>
      <w:r>
        <w:t>.</w:t>
      </w:r>
      <w:r>
        <w:tab/>
        <w:t>Transactions to correct clerical errors in previous dutiable transactions</w:t>
      </w:r>
      <w:bookmarkEnd w:id="721"/>
      <w:bookmarkEnd w:id="722"/>
    </w:p>
    <w:p>
      <w:pPr>
        <w:pStyle w:val="Subsection"/>
        <w:keepNext/>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keepNext/>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No. 32 of 2012 s. 9.]</w:t>
      </w:r>
    </w:p>
    <w:p>
      <w:pPr>
        <w:pStyle w:val="Heading5"/>
        <w:spacing w:before="240"/>
      </w:pPr>
      <w:bookmarkStart w:id="723" w:name="_Toc201229081"/>
      <w:bookmarkStart w:id="724" w:name="_Toc182410146"/>
      <w:r>
        <w:rPr>
          <w:rStyle w:val="CharSectno"/>
        </w:rPr>
        <w:t>139</w:t>
      </w:r>
      <w:r>
        <w:t>.</w:t>
      </w:r>
      <w:r>
        <w:tab/>
        <w:t>Some transactions involving deceased estates</w:t>
      </w:r>
      <w:bookmarkEnd w:id="723"/>
      <w:bookmarkEnd w:id="724"/>
    </w:p>
    <w:p>
      <w:pPr>
        <w:pStyle w:val="Subsection"/>
        <w:keepNext/>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keepNext/>
      </w:pPr>
      <w:r>
        <w:tab/>
        <w:t>(2)</w:t>
      </w:r>
      <w:r>
        <w:tab/>
        <w:t xml:space="preserve">Nominal duty is chargeable on the following dutiable transactions — </w:t>
      </w:r>
    </w:p>
    <w:p>
      <w:pPr>
        <w:pStyle w:val="Indenta"/>
        <w:keepNext/>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keepNext/>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Indenta"/>
        <w:keepNext/>
      </w:pPr>
      <w:r>
        <w:tab/>
        <w:t>(d)</w:t>
      </w:r>
      <w:r>
        <w:tab/>
        <w:t xml:space="preserve">a partnership acquisition, to the extent that — </w:t>
      </w:r>
    </w:p>
    <w:p>
      <w:pPr>
        <w:pStyle w:val="Indenti"/>
      </w:pPr>
      <w:r>
        <w:tab/>
        <w:t>(i)</w:t>
      </w:r>
      <w:r>
        <w:tab/>
        <w:t>the partnership acquisition gives effect to a distribution in the estate of a deceased person; and</w:t>
      </w:r>
    </w:p>
    <w:p>
      <w:pPr>
        <w:pStyle w:val="Indenti"/>
        <w:keepNext/>
      </w:pPr>
      <w:r>
        <w:tab/>
        <w:t>(ii)</w:t>
      </w:r>
      <w:r>
        <w:tab/>
        <w:t>there is no consideration for the partnership acquisition.</w:t>
      </w:r>
    </w:p>
    <w:p>
      <w:pPr>
        <w:pStyle w:val="Footnotesection"/>
      </w:pPr>
      <w:r>
        <w:tab/>
        <w:t>[Section 139 amended: No. 48 of 2011 s. 15; No. 12 of 2019 s. 47.]</w:t>
      </w:r>
    </w:p>
    <w:p>
      <w:pPr>
        <w:pStyle w:val="Heading5"/>
      </w:pPr>
      <w:bookmarkStart w:id="725" w:name="_Toc201229082"/>
      <w:bookmarkStart w:id="726" w:name="_Toc182410147"/>
      <w:r>
        <w:rPr>
          <w:rStyle w:val="CharSectno"/>
        </w:rPr>
        <w:t>139A</w:t>
      </w:r>
      <w:r>
        <w:t>.</w:t>
      </w:r>
      <w:r>
        <w:tab/>
        <w:t xml:space="preserve">Some transfers and vestings under orders made under </w:t>
      </w:r>
      <w:r>
        <w:rPr>
          <w:i/>
        </w:rPr>
        <w:t>Guardianship and Administration Act 1990</w:t>
      </w:r>
      <w:bookmarkEnd w:id="725"/>
      <w:bookmarkEnd w:id="726"/>
    </w:p>
    <w:p>
      <w:pPr>
        <w:pStyle w:val="Subsection"/>
        <w:keepNext/>
      </w:pPr>
      <w:r>
        <w:tab/>
        <w:t>(1)</w:t>
      </w:r>
      <w:r>
        <w:tab/>
        <w:t xml:space="preserve">In this section — </w:t>
      </w:r>
    </w:p>
    <w:p>
      <w:pPr>
        <w:pStyle w:val="Defstart"/>
        <w:keepNext/>
      </w:pPr>
      <w:r>
        <w:tab/>
      </w:r>
      <w:r>
        <w:rPr>
          <w:rStyle w:val="CharDefText"/>
        </w:rPr>
        <w:t>administration order</w:t>
      </w:r>
      <w:r>
        <w:t xml:space="preserve"> means — </w:t>
      </w:r>
    </w:p>
    <w:p>
      <w:pPr>
        <w:pStyle w:val="Defpara"/>
      </w:pPr>
      <w:r>
        <w:tab/>
        <w:t>(a)</w:t>
      </w:r>
      <w:r>
        <w:tab/>
        <w:t xml:space="preserve">an administration order (as defined in the </w:t>
      </w:r>
      <w:r>
        <w:rPr>
          <w:i/>
        </w:rPr>
        <w:t>Guardianship and Administration Act 1990</w:t>
      </w:r>
      <w:r>
        <w:t xml:space="preserve"> section 3(1)); or</w:t>
      </w:r>
    </w:p>
    <w:p>
      <w:pPr>
        <w:pStyle w:val="Defpara"/>
      </w:pPr>
      <w:r>
        <w:tab/>
        <w:t>(b)</w:t>
      </w:r>
      <w:r>
        <w:tab/>
        <w:t xml:space="preserve">an order or instrument referred to in paragraph (b) or (c) of the definition of </w:t>
      </w:r>
      <w:r>
        <w:rPr>
          <w:b/>
          <w:i/>
        </w:rPr>
        <w:t>administrator</w:t>
      </w:r>
      <w:r>
        <w:t xml:space="preserve"> in this subsection;</w:t>
      </w:r>
    </w:p>
    <w:p>
      <w:pPr>
        <w:pStyle w:val="Defstart"/>
        <w:keepNext/>
      </w:pPr>
      <w:r>
        <w:tab/>
      </w:r>
      <w:r>
        <w:rPr>
          <w:rStyle w:val="CharDefText"/>
        </w:rPr>
        <w:t>administrator</w:t>
      </w:r>
      <w:r>
        <w:t xml:space="preserve"> means — </w:t>
      </w:r>
    </w:p>
    <w:p>
      <w:pPr>
        <w:pStyle w:val="Defpara"/>
      </w:pPr>
      <w:r>
        <w:tab/>
        <w:t>(a)</w:t>
      </w:r>
      <w:r>
        <w:tab/>
        <w:t xml:space="preserve">an administrator (as defined in the </w:t>
      </w:r>
      <w:r>
        <w:rPr>
          <w:i/>
        </w:rPr>
        <w:t>Guardianship and Administration Act 1990</w:t>
      </w:r>
      <w:r>
        <w:t xml:space="preserve"> section 3(1)); or</w:t>
      </w:r>
    </w:p>
    <w:p>
      <w:pPr>
        <w:pStyle w:val="Defpara"/>
      </w:pPr>
      <w:r>
        <w:tab/>
        <w:t>(b)</w:t>
      </w:r>
      <w:r>
        <w:tab/>
        <w:t xml:space="preserve">a person acting under the authority of an order made under the </w:t>
      </w:r>
      <w:r>
        <w:rPr>
          <w:i/>
        </w:rPr>
        <w:t>Guardianship and Administration Act 1990</w:t>
      </w:r>
      <w:r>
        <w:t xml:space="preserve"> section 66; or</w:t>
      </w:r>
    </w:p>
    <w:p>
      <w:pPr>
        <w:pStyle w:val="Defpara"/>
      </w:pPr>
      <w:r>
        <w:tab/>
        <w:t>(c)</w:t>
      </w:r>
      <w:r>
        <w:tab/>
        <w:t xml:space="preserve">the Public Trustee acting under the authority of an instrument referred to in the </w:t>
      </w:r>
      <w:r>
        <w:rPr>
          <w:i/>
        </w:rPr>
        <w:t>Guardianship and Administration Act 1990</w:t>
      </w:r>
      <w:r>
        <w:t xml:space="preserve"> section 83B.</w:t>
      </w:r>
    </w:p>
    <w:p>
      <w:pPr>
        <w:pStyle w:val="Subsection"/>
        <w:keepNext/>
      </w:pPr>
      <w:r>
        <w:tab/>
        <w:t>(2)</w:t>
      </w:r>
      <w:r>
        <w:tab/>
        <w:t xml:space="preserve">Nominal duty applies to a dutiable transaction that is — </w:t>
      </w:r>
    </w:p>
    <w:p>
      <w:pPr>
        <w:pStyle w:val="Indenta"/>
      </w:pPr>
      <w:r>
        <w:tab/>
        <w:t>(a)</w:t>
      </w:r>
      <w:r>
        <w:tab/>
        <w:t xml:space="preserve">a transfer to an administrator of dutiable property of the person to whom the administration order relates (the </w:t>
      </w:r>
      <w:r>
        <w:rPr>
          <w:rStyle w:val="CharDefText"/>
        </w:rPr>
        <w:t>represented person</w:t>
      </w:r>
      <w:r>
        <w:t>) made under the authority of the administration order; or</w:t>
      </w:r>
    </w:p>
    <w:p>
      <w:pPr>
        <w:pStyle w:val="Indenta"/>
      </w:pPr>
      <w:r>
        <w:tab/>
        <w:t>(b)</w:t>
      </w:r>
      <w:r>
        <w:tab/>
        <w:t xml:space="preserve">a vesting in an administrator of dutiable property of a person to whom the administration order relates (the </w:t>
      </w:r>
      <w:r>
        <w:rPr>
          <w:rStyle w:val="CharDefText"/>
        </w:rPr>
        <w:t>represented person</w:t>
      </w:r>
      <w:r>
        <w:t xml:space="preserve">) by, or as a consequence of, an order of the State Administrative Tribunal under the </w:t>
      </w:r>
      <w:r>
        <w:rPr>
          <w:i/>
        </w:rPr>
        <w:t>Guardianship and Administration Act 1990</w:t>
      </w:r>
      <w:r>
        <w:t>.</w:t>
      </w:r>
    </w:p>
    <w:p>
      <w:pPr>
        <w:pStyle w:val="Subsection"/>
        <w:keepNext/>
      </w:pPr>
      <w:r>
        <w:tab/>
        <w:t>(3)</w:t>
      </w:r>
      <w:r>
        <w:tab/>
        <w:t xml:space="preserve">If nominal duty is chargeable on a transfer or vesting of dutiable property under subsection (2), nominal duty is also chargeable on — </w:t>
      </w:r>
    </w:p>
    <w:p>
      <w:pPr>
        <w:pStyle w:val="Indenta"/>
      </w:pPr>
      <w:r>
        <w:tab/>
        <w:t>(a)</w:t>
      </w:r>
      <w:r>
        <w:tab/>
        <w:t>any transfer of the dutiable property back from an administrator to the represented person; or</w:t>
      </w:r>
    </w:p>
    <w:p>
      <w:pPr>
        <w:pStyle w:val="Indenta"/>
        <w:keepNext/>
      </w:pPr>
      <w:r>
        <w:tab/>
        <w:t>(b)</w:t>
      </w:r>
      <w:r>
        <w:tab/>
        <w:t xml:space="preserve">any subsequent vesting in the represented person of the dutiable property by, or as a consequence of, an order of the State Administrative Tribunal under the </w:t>
      </w:r>
      <w:r>
        <w:rPr>
          <w:i/>
        </w:rPr>
        <w:t>Guardianship and Administration Act 1990</w:t>
      </w:r>
      <w:r>
        <w:t>.</w:t>
      </w:r>
    </w:p>
    <w:p>
      <w:pPr>
        <w:pStyle w:val="Footnotesection"/>
      </w:pPr>
      <w:r>
        <w:tab/>
        <w:t>[Section 139A inserted: No. 12 of 2019 s. 48.]</w:t>
      </w:r>
    </w:p>
    <w:p>
      <w:pPr>
        <w:pStyle w:val="Heading5"/>
        <w:spacing w:before="240"/>
      </w:pPr>
      <w:bookmarkStart w:id="727" w:name="_Toc201229083"/>
      <w:bookmarkStart w:id="728" w:name="_Toc182410148"/>
      <w:r>
        <w:rPr>
          <w:rStyle w:val="CharSectno"/>
        </w:rPr>
        <w:t>140</w:t>
      </w:r>
      <w:r>
        <w:t>.</w:t>
      </w:r>
      <w:r>
        <w:tab/>
        <w:t>Prescribed dutiable transactions</w:t>
      </w:r>
      <w:bookmarkEnd w:id="727"/>
      <w:bookmarkEnd w:id="728"/>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729" w:name="_Toc201218013"/>
      <w:bookmarkStart w:id="730" w:name="_Toc201224386"/>
      <w:bookmarkStart w:id="731" w:name="_Toc201229084"/>
      <w:bookmarkStart w:id="732" w:name="_Toc182388689"/>
      <w:bookmarkStart w:id="733" w:name="_Toc182389351"/>
      <w:bookmarkStart w:id="734" w:name="_Toc182410149"/>
      <w:r>
        <w:rPr>
          <w:sz w:val="26"/>
        </w:rPr>
        <w:t>Division 3 — First home owner concessions</w:t>
      </w:r>
      <w:bookmarkEnd w:id="729"/>
      <w:bookmarkEnd w:id="730"/>
      <w:bookmarkEnd w:id="731"/>
      <w:bookmarkEnd w:id="732"/>
      <w:bookmarkEnd w:id="733"/>
      <w:bookmarkEnd w:id="734"/>
    </w:p>
    <w:p>
      <w:pPr>
        <w:pStyle w:val="Heading5"/>
      </w:pPr>
      <w:bookmarkStart w:id="735" w:name="_Toc201229085"/>
      <w:bookmarkStart w:id="736" w:name="_Toc182410150"/>
      <w:r>
        <w:rPr>
          <w:rStyle w:val="CharSectno"/>
        </w:rPr>
        <w:t>141</w:t>
      </w:r>
      <w:r>
        <w:t>.</w:t>
      </w:r>
      <w:r>
        <w:tab/>
        <w:t>Terms used</w:t>
      </w:r>
      <w:bookmarkEnd w:id="735"/>
      <w:bookmarkEnd w:id="736"/>
    </w:p>
    <w:p>
      <w:pPr>
        <w:pStyle w:val="Subsection"/>
        <w:keepNext/>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rPr>
          <w:del w:id="737" w:author="Master Repository Process" w:date="2025-06-19T17:03:00Z"/>
        </w:rPr>
      </w:pPr>
      <w:del w:id="738" w:author="Master Repository Process" w:date="2025-06-19T17:03:00Z">
        <w:r>
          <w:tab/>
        </w:r>
        <w:r>
          <w:rPr>
            <w:rStyle w:val="CharDefText"/>
          </w:rPr>
          <w:delText>first concessional transaction</w:delText>
        </w:r>
        <w:r>
          <w:delText xml:space="preserve"> has the meaning given in section 142(2);</w:delText>
        </w:r>
      </w:del>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tab/>
      </w:r>
      <w:del w:id="739" w:author="Master Repository Process" w:date="2025-06-19T17:03:00Z">
        <w:r>
          <w:rPr>
            <w:rStyle w:val="CharDefText"/>
          </w:rPr>
          <w:delText>further concessional transaction</w:delText>
        </w:r>
      </w:del>
      <w:ins w:id="740" w:author="Master Repository Process" w:date="2025-06-19T17:03:00Z">
        <w:r>
          <w:rPr>
            <w:rStyle w:val="CharDefText"/>
          </w:rPr>
          <w:t>metropolitan region</w:t>
        </w:r>
      </w:ins>
      <w:r>
        <w:t xml:space="preserve"> has the meaning given in </w:t>
      </w:r>
      <w:ins w:id="741" w:author="Master Repository Process" w:date="2025-06-19T17:03:00Z">
        <w:r>
          <w:t xml:space="preserve">the </w:t>
        </w:r>
        <w:r>
          <w:rPr>
            <w:i/>
            <w:iCs/>
          </w:rPr>
          <w:t>Planning and Development Act 2005</w:t>
        </w:r>
        <w:r>
          <w:t xml:space="preserve"> </w:t>
        </w:r>
      </w:ins>
      <w:r>
        <w:t>section </w:t>
      </w:r>
      <w:del w:id="742" w:author="Master Repository Process" w:date="2025-06-19T17:03:00Z">
        <w:r>
          <w:delText>142(2</w:delText>
        </w:r>
      </w:del>
      <w:ins w:id="743" w:author="Master Repository Process" w:date="2025-06-19T17:03:00Z">
        <w:r>
          <w:t>4(1</w:t>
        </w:r>
      </w:ins>
      <w:r>
        <w:t>);</w:t>
      </w:r>
    </w:p>
    <w:p>
      <w:pPr>
        <w:pStyle w:val="Defstart"/>
        <w:rPr>
          <w:ins w:id="744" w:author="Master Repository Process" w:date="2025-06-19T17:03:00Z"/>
        </w:rPr>
      </w:pPr>
      <w:ins w:id="745" w:author="Master Repository Process" w:date="2025-06-19T17:03:00Z">
        <w:r>
          <w:tab/>
        </w:r>
        <w:r>
          <w:rPr>
            <w:rStyle w:val="CharDefText"/>
          </w:rPr>
          <w:t>Peel region</w:t>
        </w:r>
        <w:r>
          <w:t xml:space="preserve"> means the Peel Region described in the </w:t>
        </w:r>
        <w:r>
          <w:rPr>
            <w:i/>
          </w:rPr>
          <w:t>Planning and Development Act 2005</w:t>
        </w:r>
        <w:r>
          <w:t xml:space="preserve"> Schedule 4 item 6;</w:t>
        </w:r>
      </w:ins>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keepNext/>
      </w:pPr>
      <w:r>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keepNext/>
      </w:pPr>
      <w:r>
        <w:tab/>
        <w:t>(b)</w:t>
      </w:r>
      <w:r>
        <w:tab/>
        <w:t>is agreed to be transferred,</w:t>
      </w:r>
    </w:p>
    <w:p>
      <w:pPr>
        <w:pStyle w:val="Defstart"/>
        <w:keepNex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Subsection"/>
        <w:keepNext/>
      </w:pPr>
      <w:r>
        <w:tab/>
        <w:t>(3)</w:t>
      </w:r>
      <w:r>
        <w:tab/>
        <w:t xml:space="preserve">For the purposes of this Division, a person is a </w:t>
      </w:r>
      <w:r>
        <w:rPr>
          <w:rStyle w:val="CharDefText"/>
        </w:rPr>
        <w:t>substituted transferee</w:t>
      </w:r>
      <w:r>
        <w:t xml:space="preserve"> in relation to a dutiable transaction if — </w:t>
      </w:r>
    </w:p>
    <w:p>
      <w:pPr>
        <w:pStyle w:val="Indenta"/>
      </w:pPr>
      <w:r>
        <w:tab/>
        <w:t>(a)</w:t>
      </w:r>
      <w:r>
        <w:tab/>
        <w:t>the dutiable transaction is an agreement for the transfer of dutiable property referred to in section 11(1)(b); and</w:t>
      </w:r>
    </w:p>
    <w:p>
      <w:pPr>
        <w:pStyle w:val="Indenta"/>
        <w:keepNext/>
      </w:pPr>
      <w:r>
        <w:tab/>
        <w:t>(b)</w:t>
      </w:r>
      <w:r>
        <w:tab/>
        <w:t>due to the operation of section 42(2) or (4), duty is not chargeable on the transfer to the person of the dutiable property under the agreement.</w:t>
      </w:r>
    </w:p>
    <w:p>
      <w:pPr>
        <w:pStyle w:val="Footnotesection"/>
      </w:pPr>
      <w:r>
        <w:tab/>
        <w:t>[Section 141 amended: No. 27 of 2015 s. 9; No. 12 of 2019 s. </w:t>
      </w:r>
      <w:del w:id="746" w:author="Master Repository Process" w:date="2025-06-19T17:03:00Z">
        <w:r>
          <w:delText>49</w:delText>
        </w:r>
      </w:del>
      <w:ins w:id="747" w:author="Master Repository Process" w:date="2025-06-19T17:03:00Z">
        <w:r>
          <w:t>49; No. 5 of 2025 s. 5</w:t>
        </w:r>
      </w:ins>
      <w:r>
        <w:t>.]</w:t>
      </w:r>
    </w:p>
    <w:p>
      <w:pPr>
        <w:pStyle w:val="Heading5"/>
        <w:spacing w:before="240"/>
        <w:rPr>
          <w:b w:val="0"/>
        </w:rPr>
      </w:pPr>
      <w:bookmarkStart w:id="748" w:name="_Toc201229086"/>
      <w:bookmarkStart w:id="749" w:name="_Toc182410151"/>
      <w:r>
        <w:rPr>
          <w:rStyle w:val="CharSectno"/>
        </w:rPr>
        <w:t>142A</w:t>
      </w:r>
      <w:r>
        <w:t>.</w:t>
      </w:r>
      <w:r>
        <w:tab/>
        <w:t>Concessional first home owners</w:t>
      </w:r>
      <w:bookmarkEnd w:id="748"/>
      <w:bookmarkEnd w:id="749"/>
    </w:p>
    <w:p>
      <w:pPr>
        <w:pStyle w:val="Subsection"/>
        <w:keepNext/>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keepNext/>
      </w:pPr>
      <w:r>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keepNext/>
      </w:pPr>
      <w:r>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keepNext/>
      </w:pPr>
      <w:r>
        <w:tab/>
        <w:t>(b)</w:t>
      </w:r>
      <w:r>
        <w:tab/>
        <w:t>the transaction is to be taken to be completed for the purposes of the FHOG Act, despite section 14AA(2)(a) of that Act, when the purchaser becomes entitled to possession of the home under the contract.</w:t>
      </w:r>
    </w:p>
    <w:p>
      <w:pPr>
        <w:pStyle w:val="Footnotesection"/>
      </w:pPr>
      <w:r>
        <w:tab/>
        <w:t>[Section 142A inserted: No. 27 of 2015 s. 10; amended: No. 12 of 2019 s. 50.]</w:t>
      </w:r>
    </w:p>
    <w:p>
      <w:pPr>
        <w:pStyle w:val="Heading5"/>
        <w:spacing w:before="240"/>
      </w:pPr>
      <w:bookmarkStart w:id="750" w:name="_Toc201229087"/>
      <w:bookmarkStart w:id="751" w:name="_Toc182410152"/>
      <w:r>
        <w:rPr>
          <w:rStyle w:val="CharSectno"/>
        </w:rPr>
        <w:t>142</w:t>
      </w:r>
      <w:r>
        <w:t>.</w:t>
      </w:r>
      <w:r>
        <w:tab/>
        <w:t>First home owner concessional transactions</w:t>
      </w:r>
      <w:bookmarkEnd w:id="750"/>
      <w:bookmarkEnd w:id="751"/>
    </w:p>
    <w:p>
      <w:pPr>
        <w:pStyle w:val="Subsection"/>
        <w:keepNext/>
      </w:pPr>
      <w:r>
        <w:tab/>
        <w:t>(1)</w:t>
      </w:r>
      <w:r>
        <w:tab/>
        <w:t xml:space="preserve">A reference in this Division to a first home owner concessional transaction is to a transfer of, or an agreement for the transfer of, dutiable property where — </w:t>
      </w:r>
    </w:p>
    <w:p>
      <w:pPr>
        <w:pStyle w:val="Indenta"/>
        <w:keepNext/>
      </w:pPr>
      <w:r>
        <w:tab/>
        <w:t>(a)</w:t>
      </w:r>
      <w:r>
        <w:tab/>
        <w:t xml:space="preserve">either — </w:t>
      </w:r>
    </w:p>
    <w:p>
      <w:pPr>
        <w:pStyle w:val="Indenti"/>
      </w:pPr>
      <w:r>
        <w:tab/>
        <w:t>(i)</w:t>
      </w:r>
      <w:r>
        <w:tab/>
        <w:t>each transferee is a concessional first home owner; or</w:t>
      </w:r>
    </w:p>
    <w:p>
      <w:pPr>
        <w:pStyle w:val="Indenti"/>
        <w:keepNext/>
      </w:pPr>
      <w:r>
        <w:tab/>
        <w:t>(ii)</w:t>
      </w:r>
      <w:r>
        <w:tab/>
        <w:t>if the transaction is an agreement for transfer in relation to which there are 1 or more substituted transferees — each substituted transferee is a concessional first home owner;</w:t>
      </w:r>
    </w:p>
    <w:p>
      <w:pPr>
        <w:pStyle w:val="Indenta"/>
      </w:pPr>
      <w:r>
        <w:tab/>
      </w:r>
      <w:r>
        <w:tab/>
        <w:t>and</w:t>
      </w:r>
    </w:p>
    <w:p>
      <w:pPr>
        <w:pStyle w:val="Indenta"/>
      </w:pPr>
      <w:r>
        <w:tab/>
        <w:t>(b)</w:t>
      </w:r>
      <w:r>
        <w:tab/>
        <w:t xml:space="preserve">the unencumbered value of the </w:t>
      </w:r>
      <w:del w:id="752" w:author="Master Repository Process" w:date="2025-06-19T17:03:00Z">
        <w:r>
          <w:delText>land, or the land and home,</w:delText>
        </w:r>
      </w:del>
      <w:ins w:id="753" w:author="Master Repository Process" w:date="2025-06-19T17:03:00Z">
        <w:r>
          <w:t>dutiable property</w:t>
        </w:r>
      </w:ins>
      <w:r>
        <w:t xml:space="preserve"> the subject of the transaction does not exceed</w:t>
      </w:r>
      <w:del w:id="754" w:author="Master Repository Process" w:date="2025-06-19T17:03:00Z">
        <w:r>
          <w:delText xml:space="preserve"> </w:delText>
        </w:r>
      </w:del>
      <w:ins w:id="755" w:author="Master Repository Process" w:date="2025-06-19T17:03:00Z">
        <w:r>
          <w:t> </w:t>
        </w:r>
      </w:ins>
      <w:r>
        <w:t xml:space="preserve">— </w:t>
      </w:r>
    </w:p>
    <w:p>
      <w:pPr>
        <w:pStyle w:val="Indenti"/>
      </w:pPr>
      <w:r>
        <w:tab/>
        <w:t>(i)</w:t>
      </w:r>
      <w:r>
        <w:tab/>
        <w:t xml:space="preserve">if </w:t>
      </w:r>
      <w:del w:id="756" w:author="Master Repository Process" w:date="2025-06-19T17:03:00Z">
        <w:r>
          <w:delText>there</w:delText>
        </w:r>
      </w:del>
      <w:ins w:id="757" w:author="Master Repository Process" w:date="2025-06-19T17:03:00Z">
        <w:r>
          <w:t>the property</w:t>
        </w:r>
      </w:ins>
      <w:r>
        <w:t xml:space="preserve"> is </w:t>
      </w:r>
      <w:del w:id="758" w:author="Master Repository Process" w:date="2025-06-19T17:03:00Z">
        <w:r>
          <w:delText>no</w:delText>
        </w:r>
      </w:del>
      <w:ins w:id="759" w:author="Master Repository Process" w:date="2025-06-19T17:03:00Z">
        <w:r>
          <w:t>land that does not include a</w:t>
        </w:r>
      </w:ins>
      <w:r>
        <w:t xml:space="preserve"> home</w:t>
      </w:r>
      <w:del w:id="760" w:author="Master Repository Process" w:date="2025-06-19T17:03:00Z">
        <w:r>
          <w:delText xml:space="preserve"> on the land — $400</w:delText>
        </w:r>
      </w:del>
      <w:ins w:id="761" w:author="Master Repository Process" w:date="2025-06-19T17:03:00Z">
        <w:r>
          <w:t> — $450</w:t>
        </w:r>
      </w:ins>
      <w:r>
        <w:t> 000; or</w:t>
      </w:r>
    </w:p>
    <w:p>
      <w:pPr>
        <w:pStyle w:val="Indenti"/>
        <w:rPr>
          <w:del w:id="762" w:author="Master Repository Process" w:date="2025-06-19T17:03:00Z"/>
        </w:rPr>
      </w:pPr>
      <w:del w:id="763" w:author="Master Repository Process" w:date="2025-06-19T17:03:00Z">
        <w:r>
          <w:tab/>
          <w:delText>(ii)</w:delText>
        </w:r>
        <w:r>
          <w:tab/>
          <w:delText>otherwise — $600 000.</w:delText>
        </w:r>
      </w:del>
    </w:p>
    <w:p>
      <w:pPr>
        <w:pStyle w:val="Indenti"/>
        <w:rPr>
          <w:ins w:id="764" w:author="Master Repository Process" w:date="2025-06-19T17:03:00Z"/>
        </w:rPr>
      </w:pPr>
      <w:ins w:id="765" w:author="Master Repository Process" w:date="2025-06-19T17:03:00Z">
        <w:r>
          <w:tab/>
          <w:t>(ii)</w:t>
        </w:r>
        <w:r>
          <w:tab/>
          <w:t>if the property is land in the metropolitan region or the Peel region that includes a home — $700 000; or</w:t>
        </w:r>
      </w:ins>
    </w:p>
    <w:p>
      <w:pPr>
        <w:pStyle w:val="Indenti"/>
        <w:rPr>
          <w:ins w:id="766" w:author="Master Repository Process" w:date="2025-06-19T17:03:00Z"/>
        </w:rPr>
      </w:pPr>
      <w:ins w:id="767" w:author="Master Repository Process" w:date="2025-06-19T17:03:00Z">
        <w:r>
          <w:tab/>
          <w:t>(iii)</w:t>
        </w:r>
        <w:r>
          <w:tab/>
          <w:t>if the property is land outside the metropolitan region and the Peel region that includes a home — $750 000.</w:t>
        </w:r>
      </w:ins>
    </w:p>
    <w:p>
      <w:pPr>
        <w:pStyle w:val="Subsection"/>
        <w:keepNext/>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keepNext/>
      </w:pPr>
      <w:r>
        <w:tab/>
        <w:t>(c)</w:t>
      </w:r>
      <w:r>
        <w:tab/>
        <w:t>where each transferee in respect of the further concessional transaction is a transferee in relation to the first concessional transaction.</w:t>
      </w:r>
    </w:p>
    <w:p>
      <w:pPr>
        <w:pStyle w:val="Footnotesection"/>
      </w:pPr>
      <w:r>
        <w:tab/>
        <w:t>[Section 142 amended: No. 29 of 2012 s. 7; No. 15 of 2014 s. 4; No. 27 of 2015 s. 11; No. 12 of 2019 s. 51; No. 27 of 2024 s. </w:t>
      </w:r>
      <w:del w:id="768" w:author="Master Repository Process" w:date="2025-06-19T17:03:00Z">
        <w:r>
          <w:delText>4</w:delText>
        </w:r>
      </w:del>
      <w:ins w:id="769" w:author="Master Repository Process" w:date="2025-06-19T17:03:00Z">
        <w:r>
          <w:t>4; No. 5 of 2025 s. 6</w:t>
        </w:r>
      </w:ins>
      <w:r>
        <w:t>.]</w:t>
      </w:r>
    </w:p>
    <w:p>
      <w:pPr>
        <w:pStyle w:val="Heading5"/>
        <w:spacing w:before="240"/>
        <w:rPr>
          <w:b w:val="0"/>
        </w:rPr>
      </w:pPr>
      <w:bookmarkStart w:id="770" w:name="_Toc201229088"/>
      <w:bookmarkStart w:id="771" w:name="_Toc182410153"/>
      <w:r>
        <w:rPr>
          <w:rStyle w:val="CharSectno"/>
        </w:rPr>
        <w:t>143</w:t>
      </w:r>
      <w:r>
        <w:t>.</w:t>
      </w:r>
      <w:r>
        <w:tab/>
        <w:t>First home owner concessional rate of duty</w:t>
      </w:r>
      <w:bookmarkEnd w:id="770"/>
      <w:bookmarkEnd w:id="771"/>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keepLines/>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keepLines/>
      </w:pPr>
      <w:r>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keepNext/>
      </w:pPr>
      <w:r>
        <w:tab/>
        <w:t>(c)</w:t>
      </w:r>
      <w:r>
        <w:tab/>
        <w:t>there is no liability to pay any remaining portion of the duty that would, but for this paragraph be payable.</w:t>
      </w:r>
    </w:p>
    <w:p>
      <w:pPr>
        <w:pStyle w:val="Footnotesection"/>
      </w:pPr>
      <w:r>
        <w:tab/>
        <w:t>[Section 143 amended: No. 27 of 2015 s. 12.]</w:t>
      </w:r>
    </w:p>
    <w:p>
      <w:pPr>
        <w:pStyle w:val="Heading5"/>
        <w:spacing w:before="240"/>
        <w:rPr>
          <w:b w:val="0"/>
        </w:rPr>
      </w:pPr>
      <w:bookmarkStart w:id="772" w:name="_Toc201229089"/>
      <w:bookmarkStart w:id="773" w:name="_Toc182410154"/>
      <w:r>
        <w:rPr>
          <w:rStyle w:val="CharSectno"/>
        </w:rPr>
        <w:t>144</w:t>
      </w:r>
      <w:r>
        <w:t>.</w:t>
      </w:r>
      <w:r>
        <w:tab/>
        <w:t>Application for first home owner concessional rate of duty</w:t>
      </w:r>
      <w:bookmarkEnd w:id="772"/>
      <w:bookmarkEnd w:id="773"/>
    </w:p>
    <w:p>
      <w:pPr>
        <w:pStyle w:val="Subsection"/>
        <w:keepNext/>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keepNext/>
        <w:keepLines/>
      </w:pPr>
      <w:r>
        <w:tab/>
        <w:t>(2)</w:t>
      </w:r>
      <w:r>
        <w:tab/>
        <w:t xml:space="preserve">For the purposes of this Division, the Taxation Administration Act section 17 applies as if — </w:t>
      </w:r>
    </w:p>
    <w:p>
      <w:pPr>
        <w:pStyle w:val="Indenta"/>
        <w:keepNext/>
      </w:pPr>
      <w:r>
        <w:tab/>
        <w:t>(a)</w:t>
      </w:r>
      <w:r>
        <w:tab/>
        <w:t xml:space="preserve">in respect of a first home owner concessional transaction — </w:t>
      </w:r>
    </w:p>
    <w:p>
      <w:pPr>
        <w:pStyle w:val="Indenti"/>
        <w:keepNext/>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tab/>
        <w:t>(I)</w:t>
      </w:r>
      <w:r>
        <w:tab/>
        <w:t>12 months after the day on which the first home owner concessional transaction was completed; or</w:t>
      </w:r>
    </w:p>
    <w:p>
      <w:pPr>
        <w:pStyle w:val="IndentI0"/>
        <w:keepNext/>
      </w:pPr>
      <w:r>
        <w:tab/>
        <w:t>(II)</w:t>
      </w:r>
      <w:r>
        <w:tab/>
        <w:t>if an application for a first home owner grant has been made, 3 months after the day on which the grant is paid;</w:t>
      </w:r>
    </w:p>
    <w:p>
      <w:pPr>
        <w:pStyle w:val="Indenti"/>
      </w:pPr>
      <w:r>
        <w:tab/>
      </w:r>
      <w:r>
        <w:tab/>
        <w:t>and</w:t>
      </w:r>
    </w:p>
    <w:p>
      <w:pPr>
        <w:pStyle w:val="Indenti"/>
        <w:keepNext/>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keepNext/>
      </w:pPr>
      <w:r>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keepNext/>
      </w:pPr>
      <w:r>
        <w:tab/>
        <w:t>(ii)</w:t>
      </w:r>
      <w:r>
        <w:tab/>
        <w:t>despite subsection (4) of that section, the Commissioner is to make a reassessment on an application in respect of a first home owner concessional transaction made within that time.</w:t>
      </w:r>
    </w:p>
    <w:p>
      <w:pPr>
        <w:pStyle w:val="Footnotesection"/>
      </w:pPr>
      <w:r>
        <w:tab/>
        <w:t>[Section 144 amended: No. 27 of 2015 s. 13.]</w:t>
      </w:r>
    </w:p>
    <w:p>
      <w:pPr>
        <w:pStyle w:val="Heading5"/>
        <w:spacing w:before="240"/>
      </w:pPr>
      <w:bookmarkStart w:id="774" w:name="_Toc201229090"/>
      <w:bookmarkStart w:id="775" w:name="_Toc182410155"/>
      <w:r>
        <w:rPr>
          <w:rStyle w:val="CharSectno"/>
        </w:rPr>
        <w:t>145</w:t>
      </w:r>
      <w:r>
        <w:t>.</w:t>
      </w:r>
      <w:r>
        <w:tab/>
        <w:t>Subsequent liability in certain circumstances</w:t>
      </w:r>
      <w:bookmarkEnd w:id="774"/>
      <w:bookmarkEnd w:id="775"/>
    </w:p>
    <w:p>
      <w:pPr>
        <w:pStyle w:val="Subsection"/>
        <w:keepNext/>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keepNext/>
      </w:pPr>
      <w:r>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keepNext/>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tab/>
        <w:t>(b)</w:t>
      </w:r>
      <w:r>
        <w:tab/>
        <w:t>if the requirement under the FHOG Act section 13(4) had already been complied with by the transferee, with the requirement under section 13(1) of that Act.</w:t>
      </w:r>
    </w:p>
    <w:p>
      <w:pPr>
        <w:pStyle w:val="Subsection"/>
        <w:keepNext/>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keepNext/>
      </w:pPr>
      <w:r>
        <w:tab/>
        <w:t>(2)</w:t>
      </w:r>
      <w:r>
        <w:tab/>
        <w:t>The previous assessment of a transaction referred to in subsection (1) is taken to be incorrect for the purposes of the Taxation Administration Act section 16(2)(a).</w:t>
      </w:r>
    </w:p>
    <w:p>
      <w:pPr>
        <w:pStyle w:val="Footnotesection"/>
      </w:pPr>
      <w:r>
        <w:tab/>
        <w:t>[Section 145 amended: No. 27 of 2015 s. 14.]</w:t>
      </w:r>
    </w:p>
    <w:p>
      <w:pPr>
        <w:pStyle w:val="Heading5"/>
        <w:spacing w:before="240"/>
      </w:pPr>
      <w:bookmarkStart w:id="776" w:name="_Toc201229091"/>
      <w:bookmarkStart w:id="777" w:name="_Toc182410156"/>
      <w:r>
        <w:rPr>
          <w:rStyle w:val="CharSectno"/>
        </w:rPr>
        <w:t>146</w:t>
      </w:r>
      <w:r>
        <w:t>.</w:t>
      </w:r>
      <w:r>
        <w:tab/>
        <w:t>Other provisions about first home owner concessions</w:t>
      </w:r>
      <w:bookmarkEnd w:id="776"/>
      <w:bookmarkEnd w:id="777"/>
    </w:p>
    <w:p>
      <w:pPr>
        <w:pStyle w:val="Subsection"/>
        <w:keepNext/>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keepNext/>
      </w:pPr>
      <w:r>
        <w:tab/>
        <w:t>(b)</w:t>
      </w:r>
      <w:r>
        <w:tab/>
        <w:t xml:space="preserve">the FHOG Act applies to and in relation to an application under this Division, to the extent that it can be applied for those purposes, as if — </w:t>
      </w:r>
    </w:p>
    <w:p>
      <w:pPr>
        <w:pStyle w:val="Indenti"/>
      </w:pPr>
      <w:r>
        <w:tab/>
        <w:t>(i)</w:t>
      </w:r>
      <w:r>
        <w:tab/>
        <w:t>a reference in the FHOG Act to an application or an applicant were a reference to the application or applicant under this Division; and</w:t>
      </w:r>
    </w:p>
    <w:p>
      <w:pPr>
        <w:pStyle w:val="Indenti"/>
        <w:keepNext/>
      </w:pPr>
      <w:r>
        <w:tab/>
        <w:t>(ii)</w:t>
      </w:r>
      <w:r>
        <w:tab/>
        <w:t>the reference in the FHOG Act section 37(1)(a) to functions of the Commissioner were a reference to functions of the Commissioner related to an application under this Division;</w:t>
      </w:r>
    </w:p>
    <w:p>
      <w:pPr>
        <w:pStyle w:val="Indenta"/>
      </w:pPr>
      <w:r>
        <w:tab/>
      </w:r>
      <w:r>
        <w:tab/>
        <w:t>and</w:t>
      </w:r>
    </w:p>
    <w:p>
      <w:pPr>
        <w:pStyle w:val="Indenta"/>
        <w:keepNext/>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Footnotesection"/>
      </w:pPr>
      <w:r>
        <w:tab/>
        <w:t>[Section 146 amended: No. 12 of 2019 s. 52.]</w:t>
      </w:r>
    </w:p>
    <w:p>
      <w:pPr>
        <w:pStyle w:val="Ednotedivision"/>
      </w:pPr>
      <w:r>
        <w:t>[Division 4A (s. 147A-147G) deleted: No. 16 of 2022 s. 21.]</w:t>
      </w:r>
    </w:p>
    <w:p>
      <w:pPr>
        <w:pStyle w:val="Heading4"/>
        <w:rPr>
          <w:sz w:val="26"/>
        </w:rPr>
      </w:pPr>
      <w:bookmarkStart w:id="778" w:name="_Toc201218021"/>
      <w:bookmarkStart w:id="779" w:name="_Toc201224394"/>
      <w:bookmarkStart w:id="780" w:name="_Toc201229092"/>
      <w:bookmarkStart w:id="781" w:name="_Toc182388697"/>
      <w:bookmarkStart w:id="782" w:name="_Toc182389359"/>
      <w:bookmarkStart w:id="783" w:name="_Toc182410157"/>
      <w:r>
        <w:rPr>
          <w:sz w:val="26"/>
        </w:rPr>
        <w:t>Division 4 — Residential or business concessions</w:t>
      </w:r>
      <w:bookmarkEnd w:id="778"/>
      <w:bookmarkEnd w:id="779"/>
      <w:bookmarkEnd w:id="780"/>
      <w:bookmarkEnd w:id="781"/>
      <w:bookmarkEnd w:id="782"/>
      <w:bookmarkEnd w:id="783"/>
    </w:p>
    <w:p>
      <w:pPr>
        <w:pStyle w:val="Heading5"/>
      </w:pPr>
      <w:bookmarkStart w:id="784" w:name="_Toc201229093"/>
      <w:bookmarkStart w:id="785" w:name="_Toc182410158"/>
      <w:r>
        <w:rPr>
          <w:rStyle w:val="CharSectno"/>
        </w:rPr>
        <w:t>147</w:t>
      </w:r>
      <w:r>
        <w:t>.</w:t>
      </w:r>
      <w:r>
        <w:tab/>
        <w:t xml:space="preserve">Concessional rates for transactions referred to in </w:t>
      </w:r>
      <w:r>
        <w:rPr>
          <w:i/>
          <w:iCs/>
        </w:rPr>
        <w:t>Stamp Act 1921</w:t>
      </w:r>
      <w:r>
        <w:t xml:space="preserve"> s. 75AE</w:t>
      </w:r>
      <w:bookmarkEnd w:id="784"/>
      <w:bookmarkEnd w:id="785"/>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keepNext/>
      </w:pPr>
      <w:r>
        <w:tab/>
        <w:t>(2)</w:t>
      </w:r>
      <w:r>
        <w:tab/>
        <w:t>Duty is chargeable on a concessional transaction at the applicable concessional rate of duty.</w:t>
      </w:r>
    </w:p>
    <w:p>
      <w:pPr>
        <w:pStyle w:val="Ednotesubsection"/>
        <w:keepNext/>
      </w:pPr>
      <w:r>
        <w:tab/>
        <w:t>[(3)</w:t>
      </w:r>
      <w:r>
        <w:tab/>
        <w:t>deleted]</w:t>
      </w:r>
    </w:p>
    <w:p>
      <w:pPr>
        <w:pStyle w:val="Footnotesection"/>
      </w:pPr>
      <w:r>
        <w:tab/>
        <w:t>[Section 147 amended: No. 30 of 2008 s. 27; No. 16 of 2022 s. 22.]</w:t>
      </w:r>
    </w:p>
    <w:p>
      <w:pPr>
        <w:pStyle w:val="Heading2"/>
        <w:rPr>
          <w:sz w:val="32"/>
        </w:rPr>
      </w:pPr>
      <w:bookmarkStart w:id="786" w:name="_Toc201218023"/>
      <w:bookmarkStart w:id="787" w:name="_Toc201224396"/>
      <w:bookmarkStart w:id="788" w:name="_Toc201229094"/>
      <w:bookmarkStart w:id="789" w:name="_Toc182388699"/>
      <w:bookmarkStart w:id="790" w:name="_Toc182389361"/>
      <w:bookmarkStart w:id="791" w:name="_Toc182410159"/>
      <w:r>
        <w:rPr>
          <w:rStyle w:val="CharPartNo"/>
          <w:sz w:val="32"/>
        </w:rPr>
        <w:t>Chapter 3</w:t>
      </w:r>
      <w:r>
        <w:rPr>
          <w:sz w:val="32"/>
        </w:rPr>
        <w:t> — </w:t>
      </w:r>
      <w:r>
        <w:rPr>
          <w:rStyle w:val="CharPartText"/>
          <w:sz w:val="32"/>
        </w:rPr>
        <w:t>Landholder duty</w:t>
      </w:r>
      <w:bookmarkEnd w:id="786"/>
      <w:bookmarkEnd w:id="787"/>
      <w:bookmarkEnd w:id="788"/>
      <w:bookmarkEnd w:id="789"/>
      <w:bookmarkEnd w:id="790"/>
      <w:bookmarkEnd w:id="791"/>
    </w:p>
    <w:p>
      <w:pPr>
        <w:pStyle w:val="Heading3"/>
        <w:rPr>
          <w:sz w:val="28"/>
        </w:rPr>
      </w:pPr>
      <w:bookmarkStart w:id="792" w:name="_Toc201218024"/>
      <w:bookmarkStart w:id="793" w:name="_Toc201224397"/>
      <w:bookmarkStart w:id="794" w:name="_Toc201229095"/>
      <w:bookmarkStart w:id="795" w:name="_Toc182388700"/>
      <w:bookmarkStart w:id="796" w:name="_Toc182389362"/>
      <w:bookmarkStart w:id="797" w:name="_Toc182410160"/>
      <w:r>
        <w:rPr>
          <w:rStyle w:val="CharDivNo"/>
          <w:sz w:val="28"/>
        </w:rPr>
        <w:t>Part 1</w:t>
      </w:r>
      <w:r>
        <w:rPr>
          <w:sz w:val="28"/>
        </w:rPr>
        <w:t> — </w:t>
      </w:r>
      <w:r>
        <w:rPr>
          <w:rStyle w:val="CharDivText"/>
          <w:sz w:val="28"/>
        </w:rPr>
        <w:t>Preliminary</w:t>
      </w:r>
      <w:bookmarkEnd w:id="792"/>
      <w:bookmarkEnd w:id="793"/>
      <w:bookmarkEnd w:id="794"/>
      <w:bookmarkEnd w:id="795"/>
      <w:bookmarkEnd w:id="796"/>
      <w:bookmarkEnd w:id="797"/>
    </w:p>
    <w:p>
      <w:pPr>
        <w:pStyle w:val="Heading5"/>
      </w:pPr>
      <w:bookmarkStart w:id="798" w:name="_Toc201229096"/>
      <w:bookmarkStart w:id="799" w:name="_Toc182410161"/>
      <w:r>
        <w:rPr>
          <w:rStyle w:val="CharSectno"/>
        </w:rPr>
        <w:t>148</w:t>
      </w:r>
      <w:r>
        <w:t>.</w:t>
      </w:r>
      <w:r>
        <w:tab/>
        <w:t>Terms used</w:t>
      </w:r>
      <w:bookmarkEnd w:id="798"/>
      <w:bookmarkEnd w:id="799"/>
    </w:p>
    <w:p>
      <w:pPr>
        <w:pStyle w:val="Subsection"/>
      </w:pPr>
      <w:r>
        <w:tab/>
        <w:t>(1)</w:t>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tab/>
      </w:r>
      <w:r>
        <w:rPr>
          <w:rStyle w:val="CharDefText"/>
        </w:rPr>
        <w:t>further interest</w:t>
      </w:r>
      <w:r>
        <w:t xml:space="preserve"> means an interest in a landholder acquired by a relevant acquisition to which section 163(1)(c) or (d) applies;</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tab/>
      </w:r>
      <w:r>
        <w:rPr>
          <w:rStyle w:val="CharDefText"/>
        </w:rPr>
        <w:t>land asset</w:t>
      </w:r>
      <w:r>
        <w:t xml:space="preserve"> means any of the following — </w:t>
      </w:r>
    </w:p>
    <w:p>
      <w:pPr>
        <w:pStyle w:val="Defpara"/>
      </w:pPr>
      <w:r>
        <w:tab/>
        <w:t>(a)</w:t>
      </w:r>
      <w:r>
        <w:tab/>
        <w:t>land;</w:t>
      </w:r>
    </w:p>
    <w:p>
      <w:pPr>
        <w:pStyle w:val="Indenta"/>
      </w:pPr>
      <w:r>
        <w:tab/>
        <w:t>(b)</w:t>
      </w:r>
      <w:r>
        <w:tab/>
        <w:t>a fixed infrastructure control right;</w:t>
      </w:r>
    </w:p>
    <w:p>
      <w:pPr>
        <w:pStyle w:val="Indenta"/>
      </w:pPr>
      <w:r>
        <w:tab/>
        <w:t>(c)</w:t>
      </w:r>
      <w:r>
        <w:tab/>
        <w:t>a derivative mining right;</w:t>
      </w:r>
    </w:p>
    <w:p>
      <w:pPr>
        <w:pStyle w:val="Indenta"/>
      </w:pPr>
      <w:r>
        <w:tab/>
        <w:t>(d)</w:t>
      </w:r>
      <w:r>
        <w:tab/>
        <w:t>subject to section 204A, a fixed infrastructure access right;</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 163(1);</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sections 36 and 36A as applied by sections 150 and 204C.</w:t>
      </w:r>
    </w:p>
    <w:p>
      <w:pPr>
        <w:pStyle w:val="Subsection"/>
      </w:pPr>
      <w:r>
        <w:tab/>
        <w:t>(2)</w:t>
      </w:r>
      <w:r>
        <w:tab/>
        <w:t xml:space="preserve">For the purposes of this Chapter, a land asset referred to in paragraph (b), (c) or (d) of the definition of </w:t>
      </w:r>
      <w:r>
        <w:rPr>
          <w:b/>
          <w:i/>
        </w:rPr>
        <w:t>land asset</w:t>
      </w:r>
      <w:r>
        <w:t xml:space="preserve"> in subsection (1) is taken to be a land asset in Western Australia.</w:t>
      </w:r>
    </w:p>
    <w:p>
      <w:pPr>
        <w:pStyle w:val="Footnotesection"/>
        <w:ind w:left="890" w:hanging="890"/>
      </w:pPr>
      <w:r>
        <w:tab/>
        <w:t>[Section 148 amended: No. 32 of 2012 s. 10; No. 12 of 2019 s. 56.]</w:t>
      </w:r>
    </w:p>
    <w:p>
      <w:pPr>
        <w:pStyle w:val="Heading5"/>
        <w:spacing w:before="240"/>
      </w:pPr>
      <w:bookmarkStart w:id="800" w:name="_Toc201229097"/>
      <w:bookmarkStart w:id="801" w:name="_Toc182410162"/>
      <w:r>
        <w:rPr>
          <w:rStyle w:val="CharSectno"/>
        </w:rPr>
        <w:t>149</w:t>
      </w:r>
      <w:r>
        <w:t>.</w:t>
      </w:r>
      <w:r>
        <w:tab/>
        <w:t>Determining entitlement to land assets and chattels</w:t>
      </w:r>
      <w:bookmarkEnd w:id="800"/>
      <w:bookmarkEnd w:id="801"/>
    </w:p>
    <w:p>
      <w:pPr>
        <w:pStyle w:val="Subsection"/>
        <w:spacing w:before="180"/>
      </w:pPr>
      <w:r>
        <w:tab/>
        <w:t>(1)</w:t>
      </w:r>
      <w:r>
        <w:tab/>
        <w:t xml:space="preserve">In determining the entitlement of a landholder or other entity to land assets, chattels, or land assets and chattels, for the purposes of this Chapter — </w:t>
      </w:r>
    </w:p>
    <w:p>
      <w:pPr>
        <w:pStyle w:val="Indenta"/>
      </w:pPr>
      <w:r>
        <w:tab/>
        <w:t>(a)</w:t>
      </w:r>
      <w:r>
        <w:tab/>
        <w:t>if the landholder or other entity has entered into an agreement to acquire an interest in land assets, chattels, or land assets and chattels the agreement is to be regarded as having been completed even if it has not yet been completed; and</w:t>
      </w:r>
    </w:p>
    <w:p>
      <w:pPr>
        <w:pStyle w:val="Indenta"/>
      </w:pPr>
      <w:r>
        <w:tab/>
        <w:t>(b)</w:t>
      </w:r>
      <w:r>
        <w:tab/>
        <w:t>if the landholder or other entity has entered into an agreement to dispose of an interest in land assets, chattels, or land assets and chattels, but the agreement has not yet been completed, the agreement is to be disregarded.</w:t>
      </w:r>
    </w:p>
    <w:p>
      <w:pPr>
        <w:pStyle w:val="Subsection"/>
      </w:pPr>
      <w:r>
        <w:tab/>
        <w:t>(2)</w:t>
      </w:r>
      <w:r>
        <w:tab/>
        <w:t xml:space="preserve">In determining the entitlement of an entity to land assets, chattels, or land assets and chattels, for the purposes of this Chapter — </w:t>
      </w:r>
    </w:p>
    <w:p>
      <w:pPr>
        <w:pStyle w:val="Indenta"/>
      </w:pPr>
      <w:r>
        <w:tab/>
        <w:t>(a)</w:t>
      </w:r>
      <w:r>
        <w:tab/>
        <w:t>an entity that is a partnership is taken to be entitled to land assets or chattels if the partnership property is or includes those land assets or chattels; and</w:t>
      </w:r>
    </w:p>
    <w:p>
      <w:pPr>
        <w:pStyle w:val="Indenta"/>
      </w:pPr>
      <w:r>
        <w:tab/>
        <w:t>(b)</w:t>
      </w:r>
      <w:r>
        <w:tab/>
        <w:t>an entity that is a unit trust scheme or the trustee of a discretionary trust is taken to be entitled to land assets or chattels if the trust property is or includes those land assets or chattels.</w:t>
      </w:r>
    </w:p>
    <w:p>
      <w:pPr>
        <w:pStyle w:val="Ednotesubsection"/>
      </w:pPr>
      <w:r>
        <w:tab/>
        <w:t>[(2A), (3) and (4) deleted]</w:t>
      </w:r>
    </w:p>
    <w:p>
      <w:pPr>
        <w:pStyle w:val="Footnotesection"/>
      </w:pPr>
      <w:r>
        <w:tab/>
        <w:t>[Section 149 amended: No. 33 of 2011 s. 5; No. 12 of 2019 s. 57.]</w:t>
      </w:r>
    </w:p>
    <w:p>
      <w:pPr>
        <w:pStyle w:val="Heading5"/>
      </w:pPr>
      <w:bookmarkStart w:id="802" w:name="_Toc201229098"/>
      <w:bookmarkStart w:id="803" w:name="_Toc182410163"/>
      <w:r>
        <w:rPr>
          <w:rStyle w:val="CharSectno"/>
        </w:rPr>
        <w:t>149A</w:t>
      </w:r>
      <w:r>
        <w:t>.</w:t>
      </w:r>
      <w:r>
        <w:tab/>
        <w:t>Determining entitlement to land assets: fixtures and mining tenement fixtures</w:t>
      </w:r>
      <w:bookmarkEnd w:id="802"/>
      <w:bookmarkEnd w:id="803"/>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subject land.</w:t>
      </w:r>
    </w:p>
    <w:p>
      <w:pPr>
        <w:pStyle w:val="Subsection"/>
      </w:pPr>
      <w:r>
        <w:tab/>
        <w:t>(2)</w:t>
      </w:r>
      <w:r>
        <w:tab/>
        <w:t>In determining the entitlement of an entity to a land asset that is land, anything that is part of the land as a fixture is to be taken into account even if the fixture is, or purports to be, the subject of an entitlement separate from the ownership of the rest of the land.</w:t>
      </w:r>
    </w:p>
    <w:p>
      <w:pPr>
        <w:pStyle w:val="Subsection"/>
      </w:pPr>
      <w:r>
        <w:tab/>
        <w:t>(3)</w:t>
      </w:r>
      <w:r>
        <w:tab/>
        <w:t xml:space="preserve">In determining the entitlement of an entity to a land asset that is a mining tenement or an estate or interest in a mining tenement (a </w:t>
      </w:r>
      <w:r>
        <w:rPr>
          <w:rStyle w:val="CharDefText"/>
        </w:rPr>
        <w:t>mining tenement land asset</w:t>
      </w:r>
      <w:r>
        <w:t>), anything that is a mining tenement fixture in relation to the mining tenement is to be taken into account even if the mining tenement fixture is, or purports to be, the subject of an entitlement separate from the ownership of the rest of the mining tenement land asset.</w:t>
      </w:r>
    </w:p>
    <w:p>
      <w:pPr>
        <w:pStyle w:val="Subsection"/>
      </w:pPr>
      <w:r>
        <w:tab/>
        <w:t>(4)</w:t>
      </w:r>
      <w:r>
        <w:tab/>
        <w:t>Subsection (2) or (3) (whichever is relevant) does not apply for the purposes of determining the land assets to which an entity is entitled in relation to an acquisition if the fixture or the mining tenement fixture would, apart from that subsection, be taken into account separately in relation to that acquisition in determining the land assets to which that entity or another entity is entitled.</w:t>
      </w:r>
    </w:p>
    <w:p>
      <w:pPr>
        <w:pStyle w:val="Subsection"/>
      </w:pPr>
      <w:r>
        <w:tab/>
        <w:t>(5)</w:t>
      </w:r>
      <w:r>
        <w:tab/>
        <w:t>In this section, a reference to land does not include anything that is land under section 3A(1)(b), (c), (f) or (g).</w:t>
      </w:r>
    </w:p>
    <w:p>
      <w:pPr>
        <w:pStyle w:val="Footnotesection"/>
      </w:pPr>
      <w:r>
        <w:tab/>
        <w:t>[Section 149A inserted: No. 12 of 2019 s. 58.]</w:t>
      </w:r>
    </w:p>
    <w:p>
      <w:pPr>
        <w:pStyle w:val="Heading5"/>
        <w:spacing w:before="180"/>
      </w:pPr>
      <w:bookmarkStart w:id="804" w:name="_Toc201229099"/>
      <w:bookmarkStart w:id="805" w:name="_Toc182410164"/>
      <w:r>
        <w:rPr>
          <w:rStyle w:val="CharSectno"/>
        </w:rPr>
        <w:t>150</w:t>
      </w:r>
      <w:r>
        <w:t>.</w:t>
      </w:r>
      <w:r>
        <w:tab/>
        <w:t>Unencumbered value of land assets or chattels</w:t>
      </w:r>
      <w:bookmarkEnd w:id="804"/>
      <w:bookmarkEnd w:id="805"/>
    </w:p>
    <w:p>
      <w:pPr>
        <w:pStyle w:val="Subsection"/>
      </w:pPr>
      <w:r>
        <w:tab/>
      </w:r>
      <w:r>
        <w:tab/>
        <w:t>Sections 36 and 36A apply, with any appropriate modifications, where it is necessary to determine the unencumbered value of land assets or chattels for the purposes of section 155(5)(a), 157(2) or 186.</w:t>
      </w:r>
    </w:p>
    <w:p>
      <w:pPr>
        <w:pStyle w:val="Footnotesection"/>
      </w:pPr>
      <w:r>
        <w:tab/>
        <w:t>[Section 150 amended: No. 12 of 2019 s. 59.]</w:t>
      </w:r>
    </w:p>
    <w:p>
      <w:pPr>
        <w:pStyle w:val="Heading3"/>
        <w:spacing w:before="200"/>
        <w:rPr>
          <w:sz w:val="28"/>
        </w:rPr>
      </w:pPr>
      <w:bookmarkStart w:id="806" w:name="_Toc201218029"/>
      <w:bookmarkStart w:id="807" w:name="_Toc201224402"/>
      <w:bookmarkStart w:id="808" w:name="_Toc201229100"/>
      <w:bookmarkStart w:id="809" w:name="_Toc182388705"/>
      <w:bookmarkStart w:id="810" w:name="_Toc182389367"/>
      <w:bookmarkStart w:id="811" w:name="_Toc182410165"/>
      <w:r>
        <w:rPr>
          <w:rStyle w:val="CharDivNo"/>
          <w:sz w:val="28"/>
        </w:rPr>
        <w:t>Part 2</w:t>
      </w:r>
      <w:r>
        <w:rPr>
          <w:sz w:val="28"/>
        </w:rPr>
        <w:t> — </w:t>
      </w:r>
      <w:r>
        <w:rPr>
          <w:rStyle w:val="CharDivText"/>
          <w:sz w:val="28"/>
        </w:rPr>
        <w:t>Imposition of landholder duty</w:t>
      </w:r>
      <w:bookmarkEnd w:id="806"/>
      <w:bookmarkEnd w:id="807"/>
      <w:bookmarkEnd w:id="808"/>
      <w:bookmarkEnd w:id="809"/>
      <w:bookmarkEnd w:id="810"/>
      <w:bookmarkEnd w:id="811"/>
    </w:p>
    <w:p>
      <w:pPr>
        <w:pStyle w:val="Heading5"/>
        <w:spacing w:before="240"/>
      </w:pPr>
      <w:bookmarkStart w:id="812" w:name="_Toc201229101"/>
      <w:bookmarkStart w:id="813" w:name="_Toc182410166"/>
      <w:r>
        <w:rPr>
          <w:rStyle w:val="CharSectno"/>
        </w:rPr>
        <w:t>151</w:t>
      </w:r>
      <w:r>
        <w:t>.</w:t>
      </w:r>
      <w:r>
        <w:tab/>
        <w:t>Landholder duty imposed</w:t>
      </w:r>
      <w:bookmarkEnd w:id="812"/>
      <w:bookmarkEnd w:id="813"/>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spacing w:before="180"/>
      </w:pPr>
      <w:bookmarkStart w:id="814" w:name="_Toc201218031"/>
      <w:bookmarkStart w:id="815" w:name="_Toc201224404"/>
      <w:bookmarkStart w:id="816" w:name="_Toc201229102"/>
      <w:bookmarkStart w:id="817" w:name="_Toc182388707"/>
      <w:bookmarkStart w:id="818" w:name="_Toc182389369"/>
      <w:bookmarkStart w:id="819" w:name="_Toc182410167"/>
      <w:r>
        <w:rPr>
          <w:rStyle w:val="CharDivNo"/>
          <w:sz w:val="28"/>
        </w:rPr>
        <w:t>Part 3</w:t>
      </w:r>
      <w:r>
        <w:rPr>
          <w:sz w:val="28"/>
        </w:rPr>
        <w:t> — </w:t>
      </w:r>
      <w:r>
        <w:rPr>
          <w:rStyle w:val="CharDivText"/>
          <w:sz w:val="28"/>
        </w:rPr>
        <w:t>Certain key concepts defined and related provisions</w:t>
      </w:r>
      <w:bookmarkEnd w:id="814"/>
      <w:bookmarkEnd w:id="815"/>
      <w:bookmarkEnd w:id="816"/>
      <w:bookmarkEnd w:id="817"/>
      <w:bookmarkEnd w:id="818"/>
      <w:bookmarkEnd w:id="819"/>
    </w:p>
    <w:p>
      <w:pPr>
        <w:pStyle w:val="Heading5"/>
      </w:pPr>
      <w:bookmarkStart w:id="820" w:name="_Toc201229103"/>
      <w:bookmarkStart w:id="821" w:name="_Toc182410168"/>
      <w:r>
        <w:rPr>
          <w:rStyle w:val="CharSectno"/>
        </w:rPr>
        <w:t>152</w:t>
      </w:r>
      <w:r>
        <w:t>.</w:t>
      </w:r>
      <w:r>
        <w:tab/>
        <w:t>References to entity</w:t>
      </w:r>
      <w:bookmarkEnd w:id="820"/>
      <w:bookmarkEnd w:id="821"/>
    </w:p>
    <w:p>
      <w:pPr>
        <w:pStyle w:val="Subsection"/>
        <w:keepNext/>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the extent set out in subsection (3), but not otherwise.</w:t>
      </w:r>
    </w:p>
    <w:p>
      <w:pPr>
        <w:pStyle w:val="Subsection"/>
      </w:pPr>
      <w:r>
        <w:tab/>
        <w:t>(3)</w:t>
      </w:r>
      <w:r>
        <w:tab/>
        <w:t xml:space="preserve">The trustee of a discretionary trust or a partnership may be — </w:t>
      </w:r>
    </w:p>
    <w:p>
      <w:pPr>
        <w:pStyle w:val="Indenta"/>
      </w:pPr>
      <w:r>
        <w:tab/>
        <w:t>(a)</w:t>
      </w:r>
      <w:r>
        <w:tab/>
        <w:t>an entity in an ownership chain referred to in section 154A (other than the main entity referred to in that section); or</w:t>
      </w:r>
    </w:p>
    <w:p>
      <w:pPr>
        <w:pStyle w:val="Indenta"/>
      </w:pPr>
      <w:r>
        <w:tab/>
        <w:t>(b)</w:t>
      </w:r>
      <w:r>
        <w:tab/>
        <w:t>an entity referred to in section 154B; or</w:t>
      </w:r>
    </w:p>
    <w:p>
      <w:pPr>
        <w:pStyle w:val="Indenta"/>
      </w:pPr>
      <w:r>
        <w:tab/>
        <w:t>(c)</w:t>
      </w:r>
      <w:r>
        <w:tab/>
        <w:t>a linked entity under section 156; or</w:t>
      </w:r>
    </w:p>
    <w:p>
      <w:pPr>
        <w:pStyle w:val="Indenta"/>
      </w:pPr>
      <w:r>
        <w:tab/>
        <w:t>(d)</w:t>
      </w:r>
      <w:r>
        <w:tab/>
        <w:t>a relevant entity referred to in section 156A(1)(b)(i).</w:t>
      </w:r>
    </w:p>
    <w:p>
      <w:pPr>
        <w:pStyle w:val="Footnotesection"/>
      </w:pPr>
      <w:r>
        <w:tab/>
        <w:t>[Section 152 amended: No. 12 of 2019 s. 60.]</w:t>
      </w:r>
    </w:p>
    <w:p>
      <w:pPr>
        <w:pStyle w:val="Heading5"/>
        <w:spacing w:before="180"/>
      </w:pPr>
      <w:bookmarkStart w:id="822" w:name="_Toc201229104"/>
      <w:bookmarkStart w:id="823" w:name="_Toc182410169"/>
      <w:r>
        <w:rPr>
          <w:rStyle w:val="CharSectno"/>
        </w:rPr>
        <w:t>153</w:t>
      </w:r>
      <w:r>
        <w:t>.</w:t>
      </w:r>
      <w:r>
        <w:tab/>
        <w:t>References to interest in landholder or other entity</w:t>
      </w:r>
      <w:bookmarkEnd w:id="822"/>
      <w:bookmarkEnd w:id="823"/>
    </w:p>
    <w:p>
      <w:pPr>
        <w:pStyle w:val="Subsection"/>
        <w:spacing w:before="150"/>
      </w:pPr>
      <w:r>
        <w:tab/>
        <w:t>(1)</w:t>
      </w:r>
      <w:r>
        <w:tab/>
        <w:t>A reference in this Chapter to an interest (other than a reference to an indirect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keepNext/>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sections 153A and 153B.</w:t>
      </w:r>
    </w:p>
    <w:p>
      <w:pPr>
        <w:pStyle w:val="Footnotesection"/>
      </w:pPr>
      <w:r>
        <w:tab/>
        <w:t>[Section 153 amended: No. 12 of 2019 s. 61.]</w:t>
      </w:r>
    </w:p>
    <w:p>
      <w:pPr>
        <w:pStyle w:val="Heading5"/>
      </w:pPr>
      <w:bookmarkStart w:id="824" w:name="_Toc201229105"/>
      <w:bookmarkStart w:id="825" w:name="_Toc182410170"/>
      <w:r>
        <w:rPr>
          <w:rStyle w:val="CharSectno"/>
        </w:rPr>
        <w:t>153A</w:t>
      </w:r>
      <w:r>
        <w:t>.</w:t>
      </w:r>
      <w:r>
        <w:tab/>
        <w:t>References to interest in, or held by, trustee of discretionary trust</w:t>
      </w:r>
      <w:bookmarkEnd w:id="824"/>
      <w:bookmarkEnd w:id="825"/>
    </w:p>
    <w:p>
      <w:pPr>
        <w:pStyle w:val="Subsection"/>
      </w:pPr>
      <w:r>
        <w:tab/>
      </w:r>
      <w:r>
        <w:tab/>
        <w:t xml:space="preserve">For the purposes of section 154A, if a trustee of a discretionary trust is an entity in an ownership chain referred to in that section — </w:t>
      </w:r>
    </w:p>
    <w:p>
      <w:pPr>
        <w:pStyle w:val="Indenta"/>
      </w:pPr>
      <w:r>
        <w:tab/>
        <w:t>(a)</w:t>
      </w:r>
      <w:r>
        <w:tab/>
        <w:t>an entity has an interest in the trustee of the discretionary trust if the entity is a potential beneficiary under the trust; and</w:t>
      </w:r>
    </w:p>
    <w:p>
      <w:pPr>
        <w:pStyle w:val="Indenta"/>
      </w:pPr>
      <w:r>
        <w:tab/>
        <w:t>(b)</w:t>
      </w:r>
      <w:r>
        <w:tab/>
        <w:t>the trustee of the discretionary trust has an interest in an entity if the trust property is or includes the interest; and</w:t>
      </w:r>
    </w:p>
    <w:p>
      <w:pPr>
        <w:pStyle w:val="Indenta"/>
      </w:pPr>
      <w:r>
        <w:tab/>
        <w:t>(c)</w:t>
      </w:r>
      <w:r>
        <w:tab/>
        <w:t xml:space="preserve">the percentage of the interest that the entity immediately above the trustee of the discretionary trust in the ownership chain has in the trustee of the discretionary trust is taken to be — </w:t>
      </w:r>
    </w:p>
    <w:p>
      <w:pPr>
        <w:pStyle w:val="Indenti"/>
      </w:pPr>
      <w:r>
        <w:tab/>
        <w:t>(i)</w:t>
      </w:r>
      <w:r>
        <w:tab/>
        <w:t>a 100% interest; or</w:t>
      </w:r>
    </w:p>
    <w:p>
      <w:pPr>
        <w:pStyle w:val="Indenti"/>
      </w:pPr>
      <w:r>
        <w:tab/>
        <w:t>(ii)</w:t>
      </w:r>
      <w:r>
        <w:tab/>
        <w:t>if the Commissioner decides in a particular case that the operation of subparagraph (i) would be inequitable — an interest of some other percentage, or no interest, as determined by the Commissioner.</w:t>
      </w:r>
    </w:p>
    <w:p>
      <w:pPr>
        <w:pStyle w:val="Footnotesection"/>
      </w:pPr>
      <w:r>
        <w:tab/>
        <w:t>[Section 153A inserted: No. 12 of 2019 s. 62.]</w:t>
      </w:r>
    </w:p>
    <w:p>
      <w:pPr>
        <w:pStyle w:val="Heading5"/>
      </w:pPr>
      <w:bookmarkStart w:id="826" w:name="_Toc201229106"/>
      <w:bookmarkStart w:id="827" w:name="_Toc182410171"/>
      <w:r>
        <w:rPr>
          <w:rStyle w:val="CharSectno"/>
        </w:rPr>
        <w:t>153B</w:t>
      </w:r>
      <w:r>
        <w:t>.</w:t>
      </w:r>
      <w:r>
        <w:tab/>
        <w:t>References to interest in, or held by, partnership</w:t>
      </w:r>
      <w:bookmarkEnd w:id="826"/>
      <w:bookmarkEnd w:id="827"/>
    </w:p>
    <w:p>
      <w:pPr>
        <w:pStyle w:val="Subsection"/>
      </w:pPr>
      <w:r>
        <w:tab/>
      </w:r>
      <w:r>
        <w:tab/>
        <w:t xml:space="preserve">For the purposes of section 154A, if a partnership is an entity in an ownership chain referred to in that section — </w:t>
      </w:r>
    </w:p>
    <w:p>
      <w:pPr>
        <w:pStyle w:val="Indenta"/>
      </w:pPr>
      <w:r>
        <w:tab/>
        <w:t>(a)</w:t>
      </w:r>
      <w:r>
        <w:tab/>
        <w:t>an entity has an interest in the partnership if the entity is a partner in the partnership or, in the case of a unit trust scheme, the trustee, as trustee of the scheme, is a partner in the partnership; and</w:t>
      </w:r>
    </w:p>
    <w:p>
      <w:pPr>
        <w:pStyle w:val="Indenta"/>
      </w:pPr>
      <w:r>
        <w:tab/>
        <w:t>(b)</w:t>
      </w:r>
      <w:r>
        <w:tab/>
        <w:t>the partnership has an interest in an entity if the partnership property is or includes the interest; and</w:t>
      </w:r>
    </w:p>
    <w:p>
      <w:pPr>
        <w:pStyle w:val="Indenta"/>
      </w:pPr>
      <w:r>
        <w:tab/>
        <w:t>(c)</w:t>
      </w:r>
      <w:r>
        <w:tab/>
        <w:t xml:space="preserve">the percentage of the interest that the entity immediately above the partnership in the ownership chain has in the partnership is taken to be the greater of the following — </w:t>
      </w:r>
    </w:p>
    <w:p>
      <w:pPr>
        <w:pStyle w:val="Indenti"/>
      </w:pPr>
      <w:r>
        <w:tab/>
        <w:t>(i)</w:t>
      </w:r>
      <w:r>
        <w:tab/>
        <w:t>the percentage of the capital of the partnership that the entity has contributed or is required to contribute;</w:t>
      </w:r>
    </w:p>
    <w:p>
      <w:pPr>
        <w:pStyle w:val="Indenti"/>
      </w:pPr>
      <w:r>
        <w:tab/>
        <w:t>(ii)</w:t>
      </w:r>
      <w:r>
        <w:tab/>
        <w:t>the percentage of the losses of the partnership that the entity is required to bear.</w:t>
      </w:r>
    </w:p>
    <w:p>
      <w:pPr>
        <w:pStyle w:val="Footnotesection"/>
      </w:pPr>
      <w:r>
        <w:tab/>
        <w:t>[Section 153B inserted: No. 12 of 2019 s. 62.]</w:t>
      </w:r>
    </w:p>
    <w:p>
      <w:pPr>
        <w:pStyle w:val="Heading5"/>
        <w:spacing w:before="180"/>
      </w:pPr>
      <w:bookmarkStart w:id="828" w:name="_Toc201229107"/>
      <w:bookmarkStart w:id="829" w:name="_Toc182410172"/>
      <w:r>
        <w:rPr>
          <w:rStyle w:val="CharSectno"/>
        </w:rPr>
        <w:t>154</w:t>
      </w:r>
      <w:r>
        <w:t>.</w:t>
      </w:r>
      <w:r>
        <w:tab/>
        <w:t>Calculating interest in entity</w:t>
      </w:r>
      <w:bookmarkEnd w:id="828"/>
      <w:bookmarkEnd w:id="829"/>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153A(c) or 153B(c)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keepNext/>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Footnotesection"/>
      </w:pPr>
      <w:r>
        <w:tab/>
        <w:t>[Section 154 amended: No. 12 of 2019 s. 63.]</w:t>
      </w:r>
    </w:p>
    <w:p>
      <w:pPr>
        <w:pStyle w:val="Heading5"/>
      </w:pPr>
      <w:bookmarkStart w:id="830" w:name="_Toc201229108"/>
      <w:bookmarkStart w:id="831" w:name="_Toc182410173"/>
      <w:r>
        <w:rPr>
          <w:rStyle w:val="CharSectno"/>
        </w:rPr>
        <w:t>154A</w:t>
      </w:r>
      <w:r>
        <w:t>.</w:t>
      </w:r>
      <w:r>
        <w:tab/>
        <w:t>Calculating total direct or indirect interest in entity</w:t>
      </w:r>
      <w:bookmarkEnd w:id="830"/>
      <w:bookmarkEnd w:id="831"/>
    </w:p>
    <w:p>
      <w:pPr>
        <w:pStyle w:val="Subsection"/>
      </w:pPr>
      <w:r>
        <w:tab/>
        <w:t>(1)</w:t>
      </w:r>
      <w:r>
        <w:tab/>
        <w:t xml:space="preserve">This section applies where it is necessary in relation to an acquisition of an interest in an entity (the </w:t>
      </w:r>
      <w:r>
        <w:rPr>
          <w:rStyle w:val="CharDefText"/>
        </w:rPr>
        <w:t>main entity</w:t>
      </w:r>
      <w:r>
        <w:t xml:space="preserve">) to calculate the total direct or indirect interest that one entity (a </w:t>
      </w:r>
      <w:r>
        <w:rPr>
          <w:rStyle w:val="CharDefText"/>
        </w:rPr>
        <w:t>higher entity</w:t>
      </w:r>
      <w:r>
        <w:t xml:space="preserve">) has in another entity (a </w:t>
      </w:r>
      <w:r>
        <w:rPr>
          <w:rStyle w:val="CharDefText"/>
        </w:rPr>
        <w:t>lower entity</w:t>
      </w:r>
      <w:r>
        <w:t>).</w:t>
      </w:r>
    </w:p>
    <w:p>
      <w:pPr>
        <w:pStyle w:val="Subsection"/>
      </w:pPr>
      <w:r>
        <w:tab/>
        <w:t>(2)</w:t>
      </w:r>
      <w:r>
        <w:tab/>
        <w:t>A higher entity has a direct or indirect interest in a lower entity if there are 1 or more ownership chains between the higher entity and the lower entity.</w:t>
      </w:r>
    </w:p>
    <w:p>
      <w:pPr>
        <w:pStyle w:val="Subsection"/>
      </w:pPr>
      <w:r>
        <w:tab/>
        <w:t>(3)</w:t>
      </w:r>
      <w:r>
        <w:tab/>
        <w:t xml:space="preserve">An ownership chain exists if — </w:t>
      </w:r>
    </w:p>
    <w:p>
      <w:pPr>
        <w:pStyle w:val="Indenta"/>
      </w:pPr>
      <w:r>
        <w:tab/>
        <w:t>(a)</w:t>
      </w:r>
      <w:r>
        <w:tab/>
        <w:t xml:space="preserve">the higher entity has an interest as defined in whichever of section 153, 153A or 153B is applicable (a </w:t>
      </w:r>
      <w:r>
        <w:rPr>
          <w:rStyle w:val="CharDefText"/>
        </w:rPr>
        <w:t>direct interest</w:t>
      </w:r>
      <w:r>
        <w:t>) in the lower entity; or</w:t>
      </w:r>
    </w:p>
    <w:p>
      <w:pPr>
        <w:pStyle w:val="Indenta"/>
      </w:pPr>
      <w:r>
        <w:tab/>
        <w:t>(b)</w:t>
      </w:r>
      <w:r>
        <w:tab/>
        <w:t>there is a series of at least 3 entities, starting with the higher entity and ending with the lower entity, each of which successively has a direct interest in the next.</w:t>
      </w:r>
    </w:p>
    <w:p>
      <w:pPr>
        <w:pStyle w:val="Subsection"/>
      </w:pPr>
      <w:r>
        <w:tab/>
        <w:t>(4)</w:t>
      </w:r>
      <w:r>
        <w:tab/>
        <w:t xml:space="preserve">The percentage of the interest that a higher entity has in a lower entity through a particular ownership chain is — </w:t>
      </w:r>
    </w:p>
    <w:p>
      <w:pPr>
        <w:pStyle w:val="Indenta"/>
      </w:pPr>
      <w:r>
        <w:tab/>
        <w:t>(a)</w:t>
      </w:r>
      <w:r>
        <w:tab/>
        <w:t>for an ownership chain referred to in subsection (3)(a) — the percentage of the higher entity’s direct interest in the lower entity calculated under whichever of section 153A(c), 153B(c) or 154 is applicable; or</w:t>
      </w:r>
    </w:p>
    <w:p>
      <w:pPr>
        <w:pStyle w:val="Indenta"/>
      </w:pPr>
      <w:r>
        <w:tab/>
        <w:t>(b)</w:t>
      </w:r>
      <w:r>
        <w:tab/>
        <w:t>for an ownership chain referred to in subsection (3)(b) — the percentage calculated by multiplying the percentage of the higher entity’s direct interest in the entity immediately below it in the ownership chain by the percentage of the direct interest that each entity in the ownership chain between the higher entity and the lower entity has in the entity immediately below it in the ownership chain.</w:t>
      </w:r>
    </w:p>
    <w:p>
      <w:pPr>
        <w:pStyle w:val="Subsection"/>
      </w:pPr>
      <w:r>
        <w:tab/>
        <w:t>(5)</w:t>
      </w:r>
      <w:r>
        <w:tab/>
        <w:t>The percentage of the total direct or indirect interest that a higher entity has in a lower entity is the aggregate of the percentage interests calculated under subsection (4) for each ownership chain between the higher entity and the lower entity.</w:t>
      </w:r>
    </w:p>
    <w:p>
      <w:pPr>
        <w:pStyle w:val="Footnotesection"/>
      </w:pPr>
      <w:r>
        <w:tab/>
        <w:t>[Section 154A inserted: No. 12 of 2019 s. 64.]</w:t>
      </w:r>
    </w:p>
    <w:p>
      <w:pPr>
        <w:pStyle w:val="Heading5"/>
      </w:pPr>
      <w:bookmarkStart w:id="832" w:name="_Toc201229109"/>
      <w:bookmarkStart w:id="833" w:name="_Toc182410174"/>
      <w:r>
        <w:rPr>
          <w:rStyle w:val="CharSectno"/>
        </w:rPr>
        <w:t>154B</w:t>
      </w:r>
      <w:r>
        <w:t>.</w:t>
      </w:r>
      <w:r>
        <w:tab/>
        <w:t>Determining interest in entity: uncompleted agreements</w:t>
      </w:r>
      <w:bookmarkEnd w:id="832"/>
      <w:bookmarkEnd w:id="833"/>
    </w:p>
    <w:p>
      <w:pPr>
        <w:pStyle w:val="Subsection"/>
      </w:pPr>
      <w:r>
        <w:tab/>
      </w:r>
      <w:r>
        <w:tab/>
        <w:t xml:space="preserve">In determining the interest that an entity has in another entity for the purposes of section 154A, 156, or 156A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154B inserted: No. 12 of 2019 s. 64.]</w:t>
      </w:r>
    </w:p>
    <w:p>
      <w:pPr>
        <w:pStyle w:val="Heading3"/>
        <w:keepNext w:val="0"/>
        <w:rPr>
          <w:sz w:val="28"/>
        </w:rPr>
      </w:pPr>
      <w:bookmarkStart w:id="834" w:name="_Toc201218039"/>
      <w:bookmarkStart w:id="835" w:name="_Toc201224412"/>
      <w:bookmarkStart w:id="836" w:name="_Toc201229110"/>
      <w:bookmarkStart w:id="837" w:name="_Toc182388715"/>
      <w:bookmarkStart w:id="838" w:name="_Toc182389377"/>
      <w:bookmarkStart w:id="839" w:name="_Toc182410175"/>
      <w:r>
        <w:rPr>
          <w:rStyle w:val="CharDivNo"/>
          <w:sz w:val="28"/>
        </w:rPr>
        <w:t>Part 4</w:t>
      </w:r>
      <w:r>
        <w:rPr>
          <w:sz w:val="28"/>
        </w:rPr>
        <w:t> — </w:t>
      </w:r>
      <w:r>
        <w:rPr>
          <w:rStyle w:val="CharDivText"/>
          <w:sz w:val="28"/>
        </w:rPr>
        <w:t>Landholders to which this Chapter applies</w:t>
      </w:r>
      <w:bookmarkEnd w:id="834"/>
      <w:bookmarkEnd w:id="835"/>
      <w:bookmarkEnd w:id="836"/>
      <w:bookmarkEnd w:id="837"/>
      <w:bookmarkEnd w:id="838"/>
      <w:bookmarkEnd w:id="839"/>
    </w:p>
    <w:p>
      <w:pPr>
        <w:pStyle w:val="Heading5"/>
        <w:keepNext w:val="0"/>
        <w:keepLines w:val="0"/>
        <w:spacing w:before="180"/>
      </w:pPr>
      <w:bookmarkStart w:id="840" w:name="_Toc201229111"/>
      <w:bookmarkStart w:id="841" w:name="_Toc182410176"/>
      <w:r>
        <w:rPr>
          <w:rStyle w:val="CharSectno"/>
        </w:rPr>
        <w:t>155</w:t>
      </w:r>
      <w:r>
        <w:t>.</w:t>
      </w:r>
      <w:r>
        <w:tab/>
        <w:t>Which entities are landholders</w:t>
      </w:r>
      <w:bookmarkEnd w:id="840"/>
      <w:bookmarkEnd w:id="841"/>
    </w:p>
    <w:p>
      <w:pPr>
        <w:pStyle w:val="Subsection"/>
      </w:pPr>
      <w:r>
        <w:tab/>
        <w:t>(1)</w:t>
      </w:r>
      <w:r>
        <w:tab/>
        <w:t>This section applies where it is necessary to determine in relation to an acquisition of an interest in an entity whether the entity is a landholder for the purposes of section 163.</w:t>
      </w:r>
    </w:p>
    <w:p>
      <w:pPr>
        <w:pStyle w:val="Subsection"/>
      </w:pPr>
      <w:r>
        <w:tab/>
        <w:t>(2)</w:t>
      </w:r>
      <w:r>
        <w:tab/>
        <w:t xml:space="preserve">An entity is a landholder if immediately before the acquisition — </w:t>
      </w:r>
    </w:p>
    <w:p>
      <w:pPr>
        <w:pStyle w:val="Indenta"/>
      </w:pPr>
      <w:r>
        <w:tab/>
        <w:t>(a)</w:t>
      </w:r>
      <w:r>
        <w:tab/>
        <w:t xml:space="preserve">it is entitled to land assets in Western Australia or an entity linked to the entity is so entitled; and </w:t>
      </w:r>
    </w:p>
    <w:p>
      <w:pPr>
        <w:pStyle w:val="Indenta"/>
      </w:pPr>
      <w:r>
        <w:tab/>
        <w:t>(b)</w:t>
      </w:r>
      <w:r>
        <w:tab/>
        <w:t>the total value of all such entitlements is $2 000 000 or more.</w:t>
      </w:r>
    </w:p>
    <w:p>
      <w:pPr>
        <w:pStyle w:val="Subsection"/>
      </w:pPr>
      <w:r>
        <w:tab/>
        <w:t>(3)</w:t>
      </w:r>
      <w:r>
        <w:tab/>
        <w:t xml:space="preserve">An entity to which subsection (2) does not apply is a landholder if — </w:t>
      </w:r>
    </w:p>
    <w:p>
      <w:pPr>
        <w:pStyle w:val="Indenta"/>
      </w:pPr>
      <w:r>
        <w:tab/>
        <w:t>(a)</w:t>
      </w:r>
      <w:r>
        <w:tab/>
        <w:t>immediately before the acquisition, it is entitled to land assets, chattels, or land assets and chattels, in Western Australia or an entity linked to the entity is so entitled; and</w:t>
      </w:r>
    </w:p>
    <w:p>
      <w:pPr>
        <w:pStyle w:val="Indenta"/>
      </w:pPr>
      <w:r>
        <w:tab/>
        <w:t>(b)</w:t>
      </w:r>
      <w:r>
        <w:tab/>
        <w:t>the acquisition is part of a relevant arrangement under subsection (4).</w:t>
      </w:r>
    </w:p>
    <w:p>
      <w:pPr>
        <w:pStyle w:val="Subsection"/>
      </w:pPr>
      <w:r>
        <w:tab/>
        <w:t>(4)</w:t>
      </w:r>
      <w:r>
        <w:tab/>
        <w:t xml:space="preserve">An acquisition of an interest in an entity (the </w:t>
      </w:r>
      <w:r>
        <w:rPr>
          <w:rStyle w:val="CharDefText"/>
        </w:rPr>
        <w:t>relevant entity</w:t>
      </w:r>
      <w:r>
        <w:t xml:space="preserve">) is part of a relevant arrangement for the purposes of subsection (3)(b) if — </w:t>
      </w:r>
    </w:p>
    <w:p>
      <w:pPr>
        <w:pStyle w:val="Indenta"/>
      </w:pPr>
      <w:r>
        <w:tab/>
        <w:t>(a)</w:t>
      </w:r>
      <w:r>
        <w:tab/>
        <w:t xml:space="preserve">there are 1 or more acquisitions of interests in 1 or more other entities (the </w:t>
      </w:r>
      <w:r>
        <w:rPr>
          <w:rStyle w:val="CharDefText"/>
        </w:rPr>
        <w:t>other entities</w:t>
      </w:r>
      <w:r>
        <w:t>), which may occur before or after the acquisition of the interest in the relevant entity; and</w:t>
      </w:r>
    </w:p>
    <w:p>
      <w:pPr>
        <w:pStyle w:val="Indenta"/>
      </w:pPr>
      <w:r>
        <w:tab/>
        <w:t>(b)</w:t>
      </w:r>
      <w:r>
        <w:tab/>
        <w:t>the acquisition of the interest in the relevant entity and the acquisitions of the interests in the other entities together form, evidence, give effect to or arise from what is, substantially one arrangement; and</w:t>
      </w:r>
    </w:p>
    <w:p>
      <w:pPr>
        <w:pStyle w:val="Indenta"/>
      </w:pPr>
      <w:r>
        <w:tab/>
        <w:t>(c)</w:t>
      </w:r>
      <w:r>
        <w:tab/>
        <w:t xml:space="preserve">either or both of the following applies — </w:t>
      </w:r>
    </w:p>
    <w:p>
      <w:pPr>
        <w:pStyle w:val="Indenti"/>
      </w:pPr>
      <w:r>
        <w:tab/>
        <w:t>(i)</w:t>
      </w:r>
      <w:r>
        <w:tab/>
        <w:t>at least 1 of the other entities is, at the time the acquisition of the interest in that entity occurs, a landholder to which subsection (2) applies;</w:t>
      </w:r>
    </w:p>
    <w:p>
      <w:pPr>
        <w:pStyle w:val="Indenti"/>
      </w:pPr>
      <w:r>
        <w:tab/>
        <w:t>(ii)</w:t>
      </w:r>
      <w:r>
        <w:tab/>
        <w:t>the total value of all of the entitlements to land assets in Western Australia referred to in subsection (4A) is $2 000 000 or more.</w:t>
      </w:r>
    </w:p>
    <w:p>
      <w:pPr>
        <w:pStyle w:val="Subsection"/>
      </w:pPr>
      <w:r>
        <w:tab/>
        <w:t>(4A)</w:t>
      </w:r>
      <w:r>
        <w:tab/>
        <w:t xml:space="preserve">For the purposes of subsection (4)(c)(ii), the total value of the following entitlements is to be determined — </w:t>
      </w:r>
    </w:p>
    <w:p>
      <w:pPr>
        <w:pStyle w:val="Indenta"/>
      </w:pPr>
      <w:r>
        <w:tab/>
        <w:t>(a)</w:t>
      </w:r>
      <w:r>
        <w:tab/>
        <w:t>the entitlements to land assets in Western Australia, immediately before the acquisition of the interest in the relevant entity, of the relevant entity and each entity linked to the relevant entity;</w:t>
      </w:r>
    </w:p>
    <w:p>
      <w:pPr>
        <w:pStyle w:val="Indenta"/>
      </w:pPr>
      <w:r>
        <w:tab/>
        <w:t>(b)</w:t>
      </w:r>
      <w:r>
        <w:tab/>
        <w:t>for each of the other entities — the entitlements to land assets in Western Australia, immediately before the acquisition of the interest in that other entity, of that other entity and each entity linked to that other entity.</w:t>
      </w:r>
    </w:p>
    <w:p>
      <w:pPr>
        <w:pStyle w:val="Subsection"/>
        <w:keepNext/>
      </w:pPr>
      <w:r>
        <w:tab/>
        <w:t>(5)</w:t>
      </w:r>
      <w:r>
        <w:tab/>
        <w:t xml:space="preserve">For the purposes of this section — </w:t>
      </w:r>
    </w:p>
    <w:p>
      <w:pPr>
        <w:pStyle w:val="Indenta"/>
      </w:pPr>
      <w:r>
        <w:tab/>
        <w:t>(a)</w:t>
      </w:r>
      <w:r>
        <w:tab/>
        <w:t xml:space="preserve">land assets to which an entity is entitled are to be valued at their unencumbered value; and </w:t>
      </w:r>
    </w:p>
    <w:p>
      <w:pPr>
        <w:pStyle w:val="Indenta"/>
      </w:pPr>
      <w:r>
        <w:tab/>
        <w:t>(b)</w:t>
      </w:r>
      <w:r>
        <w:tab/>
        <w:t>the value of a linked entity’s entitlement to land assets is to be determined under section 157.</w:t>
      </w:r>
    </w:p>
    <w:p>
      <w:pPr>
        <w:pStyle w:val="Subsection"/>
      </w:pPr>
      <w:r>
        <w:tab/>
        <w:t>(6)</w:t>
      </w:r>
      <w:r>
        <w:tab/>
        <w:t>An entity that, under subsection (3), is a landholder in relation to an acquisition is taken to be a landholder in relation to that acquisition even if the acquisition does not become part of a relevant arrangement referred to in subsection (4) until after the acquisition occurs.</w:t>
      </w:r>
    </w:p>
    <w:p>
      <w:pPr>
        <w:pStyle w:val="Footnotesection"/>
      </w:pPr>
      <w:r>
        <w:tab/>
        <w:t>[Section 155 amended: No. 12 of 2019 s. 65.]</w:t>
      </w:r>
    </w:p>
    <w:p>
      <w:pPr>
        <w:pStyle w:val="Heading5"/>
        <w:spacing w:before="240"/>
      </w:pPr>
      <w:bookmarkStart w:id="842" w:name="_Toc201229112"/>
      <w:bookmarkStart w:id="843" w:name="_Toc182410177"/>
      <w:r>
        <w:rPr>
          <w:rStyle w:val="CharSectno"/>
        </w:rPr>
        <w:t>156</w:t>
      </w:r>
      <w:r>
        <w:t>.</w:t>
      </w:r>
      <w:r>
        <w:tab/>
        <w:t>Which entities are linked to an entity</w:t>
      </w:r>
      <w:bookmarkEnd w:id="842"/>
      <w:bookmarkEnd w:id="843"/>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w:t>
      </w:r>
    </w:p>
    <w:p>
      <w:pPr>
        <w:pStyle w:val="Subsection"/>
      </w:pPr>
      <w:r>
        <w:tab/>
        <w:t>(2)</w:t>
      </w:r>
      <w:r>
        <w:tab/>
        <w:t>Each entity (a</w:t>
      </w:r>
      <w:r>
        <w:rPr>
          <w:b/>
          <w:bCs/>
        </w:rPr>
        <w:t xml:space="preserve"> </w:t>
      </w:r>
      <w:r>
        <w:rPr>
          <w:rStyle w:val="CharDefText"/>
        </w:rPr>
        <w:t>linked entity</w:t>
      </w:r>
      <w:r>
        <w:t>) below the main entity in a linkage chain that exists immediately before the acquisition is linked to the main entity.</w:t>
      </w:r>
    </w:p>
    <w:p>
      <w:pPr>
        <w:pStyle w:val="Subsection"/>
      </w:pPr>
      <w:r>
        <w:tab/>
        <w:t>(3)</w:t>
      </w:r>
      <w:r>
        <w:tab/>
        <w:t>A linkage chain exists if a series of entities starting with the main entity are successively linked to one another.</w:t>
      </w:r>
    </w:p>
    <w:p>
      <w:pPr>
        <w:pStyle w:val="Subsection"/>
      </w:pPr>
      <w:r>
        <w:tab/>
        <w:t>(4)</w:t>
      </w:r>
      <w:r>
        <w:tab/>
        <w:t xml:space="preserve">An entity is linked to another entity if — </w:t>
      </w:r>
    </w:p>
    <w:p>
      <w:pPr>
        <w:pStyle w:val="Indenta"/>
      </w:pPr>
      <w:r>
        <w:tab/>
        <w:t>(a)</w:t>
      </w:r>
      <w:r>
        <w:tab/>
        <w:t>where the other entity is a listed corporation or a listed unit trust scheme — it has an interest in the other entity of at least 90%; or</w:t>
      </w:r>
    </w:p>
    <w:p>
      <w:pPr>
        <w:pStyle w:val="Indenta"/>
      </w:pPr>
      <w:r>
        <w:tab/>
        <w:t>(b)</w:t>
      </w:r>
      <w:r>
        <w:tab/>
        <w:t>in any other case — it has a total direct or indirect interest in the other entity, calculated under section 154A, of at least 50%.</w:t>
      </w:r>
    </w:p>
    <w:p>
      <w:pPr>
        <w:pStyle w:val="Ednotesubsection"/>
      </w:pPr>
      <w:r>
        <w:tab/>
        <w:t>[(5), (6)</w:t>
      </w:r>
      <w:r>
        <w:tab/>
        <w:t>deleted]</w:t>
      </w:r>
    </w:p>
    <w:p>
      <w:pPr>
        <w:pStyle w:val="Subsection"/>
      </w:pPr>
      <w:r>
        <w:tab/>
        <w:t>(7)</w:t>
      </w:r>
      <w:r>
        <w:tab/>
        <w:t>A series of entities under subsection (3) may consist of the main entity and one other entity to which it is linked as mentioned in subsection (4).</w:t>
      </w:r>
    </w:p>
    <w:p>
      <w:pPr>
        <w:pStyle w:val="Ednotesubsection"/>
      </w:pPr>
      <w:r>
        <w:tab/>
        <w:t>[(8)</w:t>
      </w:r>
      <w:r>
        <w:tab/>
        <w:t>deleted]</w:t>
      </w:r>
    </w:p>
    <w:p>
      <w:pPr>
        <w:pStyle w:val="Footnotesection"/>
      </w:pPr>
      <w:r>
        <w:tab/>
        <w:t>[Section 156 amended: No. 1 of 2015 s. 25; No. 12 of 2019 s. 66.]</w:t>
      </w:r>
    </w:p>
    <w:p>
      <w:pPr>
        <w:pStyle w:val="Heading5"/>
      </w:pPr>
      <w:bookmarkStart w:id="844" w:name="_Toc201229113"/>
      <w:bookmarkStart w:id="845" w:name="_Toc182410178"/>
      <w:r>
        <w:rPr>
          <w:rStyle w:val="CharSectno"/>
        </w:rPr>
        <w:t>156A</w:t>
      </w:r>
      <w:r>
        <w:t>.</w:t>
      </w:r>
      <w:r>
        <w:tab/>
        <w:t>Linked entities: acquisitions forming one arrangement</w:t>
      </w:r>
      <w:bookmarkEnd w:id="844"/>
      <w:bookmarkEnd w:id="845"/>
    </w:p>
    <w:p>
      <w:pPr>
        <w:pStyle w:val="Subsection"/>
      </w:pPr>
      <w:r>
        <w:tab/>
        <w:t>(1)</w:t>
      </w:r>
      <w:r>
        <w:tab/>
        <w:t xml:space="preserve">Subsection (3) applies if — </w:t>
      </w:r>
    </w:p>
    <w:p>
      <w:pPr>
        <w:pStyle w:val="Indenta"/>
      </w:pPr>
      <w:r>
        <w:tab/>
        <w:t>(a)</w:t>
      </w:r>
      <w:r>
        <w:tab/>
        <w:t xml:space="preserve">there are acquisitions (the </w:t>
      </w:r>
      <w:r>
        <w:rPr>
          <w:rStyle w:val="CharDefText"/>
        </w:rPr>
        <w:t>related acquisitions</w:t>
      </w:r>
      <w:r>
        <w:t xml:space="preserve">) of interests in 2 or more entities (the </w:t>
      </w:r>
      <w:r>
        <w:rPr>
          <w:rStyle w:val="CharDefText"/>
        </w:rPr>
        <w:t>main entities</w:t>
      </w:r>
      <w:r>
        <w:t>) that together form, evidence, give effect to or arise from what is, substantially one arrangement; and</w:t>
      </w:r>
    </w:p>
    <w:p>
      <w:pPr>
        <w:pStyle w:val="Indenta"/>
      </w:pPr>
      <w:r>
        <w:tab/>
        <w:t>(b)</w:t>
      </w:r>
      <w:r>
        <w:tab/>
        <w:t xml:space="preserve">either — </w:t>
      </w:r>
    </w:p>
    <w:p>
      <w:pPr>
        <w:pStyle w:val="Indenti"/>
      </w:pPr>
      <w:r>
        <w:tab/>
        <w:t>(i)</w:t>
      </w:r>
      <w:r>
        <w:tab/>
        <w:t xml:space="preserve">each of the main entities has a direct or indirect interest (as referred to in section 154A(2)) in an entity (the </w:t>
      </w:r>
      <w:r>
        <w:rPr>
          <w:rStyle w:val="CharDefText"/>
        </w:rPr>
        <w:t>relevant entity</w:t>
      </w:r>
      <w:r>
        <w:t>) that is not a listed corporation or listed unit trust scheme; or</w:t>
      </w:r>
    </w:p>
    <w:p>
      <w:pPr>
        <w:pStyle w:val="Indenti"/>
      </w:pPr>
      <w:r>
        <w:tab/>
        <w:t>(ii)</w:t>
      </w:r>
      <w:r>
        <w:tab/>
        <w:t xml:space="preserve">one of the main entities (the </w:t>
      </w:r>
      <w:r>
        <w:rPr>
          <w:rStyle w:val="CharDefText"/>
        </w:rPr>
        <w:t>relevant entity</w:t>
      </w:r>
      <w:r>
        <w:t>) is an entity that is not a listed corporation or listed unit trust scheme and each of the other main entities has a direct or indirect interest (as referred to in section 154A(2)) in the relevant entity;</w:t>
      </w:r>
    </w:p>
    <w:p>
      <w:pPr>
        <w:pStyle w:val="Indenta"/>
      </w:pPr>
      <w:r>
        <w:tab/>
      </w:r>
      <w:r>
        <w:tab/>
        <w:t>and</w:t>
      </w:r>
    </w:p>
    <w:p>
      <w:pPr>
        <w:pStyle w:val="Indenta"/>
      </w:pPr>
      <w:r>
        <w:tab/>
        <w:t>(c)</w:t>
      </w:r>
      <w:r>
        <w:tab/>
        <w:t>there is at least 1 main entity that has a total direct or indirect interest in the relevant entity, calculated under section 154A, that is less than 50%; and</w:t>
      </w:r>
    </w:p>
    <w:p>
      <w:pPr>
        <w:pStyle w:val="Indenta"/>
      </w:pPr>
      <w:r>
        <w:tab/>
        <w:t>(d)</w:t>
      </w:r>
      <w:r>
        <w:tab/>
        <w:t>the aggregated direct or indirect interest in the relevant entity determined under subsection (2) is at least 50%.</w:t>
      </w:r>
    </w:p>
    <w:p>
      <w:pPr>
        <w:pStyle w:val="Subsection"/>
        <w:keepNext/>
      </w:pPr>
      <w:r>
        <w:tab/>
        <w:t>(2)</w:t>
      </w:r>
      <w:r>
        <w:tab/>
        <w:t xml:space="preserve">The aggregated direct or indirect interest for the purposes of subsection (1)(d) is — </w:t>
      </w:r>
    </w:p>
    <w:p>
      <w:pPr>
        <w:pStyle w:val="Indenta"/>
      </w:pPr>
      <w:r>
        <w:tab/>
        <w:t>(a)</w:t>
      </w:r>
      <w:r>
        <w:tab/>
        <w:t>if subsection (1)(b)(i) applies, the aggregate of the total direct or indirect interests, calculated under section 154A, that each of the main entities has in the relevant entity; or</w:t>
      </w:r>
    </w:p>
    <w:p>
      <w:pPr>
        <w:pStyle w:val="Indenta"/>
      </w:pPr>
      <w:r>
        <w:tab/>
        <w:t>(b)</w:t>
      </w:r>
      <w:r>
        <w:tab/>
        <w:t xml:space="preserve">if subsection (1)(b)(ii) applies, the aggregate of — </w:t>
      </w:r>
    </w:p>
    <w:p>
      <w:pPr>
        <w:pStyle w:val="Indenti"/>
      </w:pPr>
      <w:r>
        <w:tab/>
        <w:t>(i)</w:t>
      </w:r>
      <w:r>
        <w:tab/>
        <w:t>the interests in the relevant entity acquired by each related acquisition that is an acquisition of an interest in the relevant entity; and</w:t>
      </w:r>
    </w:p>
    <w:p>
      <w:pPr>
        <w:pStyle w:val="Indenti"/>
      </w:pPr>
      <w:r>
        <w:tab/>
        <w:t>(ii)</w:t>
      </w:r>
      <w:r>
        <w:tab/>
        <w:t>the total direct or indirect interests, calculated under section 154A, that each of the main entities (other than the relevant entity) has in the relevant entity.</w:t>
      </w:r>
    </w:p>
    <w:p>
      <w:pPr>
        <w:pStyle w:val="Subsection"/>
      </w:pPr>
      <w:r>
        <w:tab/>
        <w:t>(3)</w:t>
      </w:r>
      <w:r>
        <w:tab/>
        <w:t>The relevant entity is taken, in relation to a related acquisition of an interest in a main entity to which subsection (1)(c) applies, to be linked to that main entity under section 156(2).</w:t>
      </w:r>
    </w:p>
    <w:p>
      <w:pPr>
        <w:pStyle w:val="Subsection"/>
      </w:pPr>
      <w:r>
        <w:tab/>
        <w:t>(4)</w:t>
      </w:r>
      <w:r>
        <w:tab/>
        <w:t>A relevant entity that is linked to a main entity for the purposes of an acquisition because of subsection (3) is taken to be linked in relation to that acquisition even if that subsection does not become applicable in relation to the acquisition until after the acquisition occurs.</w:t>
      </w:r>
    </w:p>
    <w:p>
      <w:pPr>
        <w:pStyle w:val="Subsection"/>
      </w:pPr>
      <w:r>
        <w:tab/>
        <w:t>(5)</w:t>
      </w:r>
      <w:r>
        <w:tab/>
        <w:t>For the purposes of this section, the direct or indirect interest, or total direct or indirect interest, that a main entity has in the relevant entity is to be determined immediately after the related acquisition of an interest in that main entity.</w:t>
      </w:r>
    </w:p>
    <w:p>
      <w:pPr>
        <w:pStyle w:val="Footnotesection"/>
      </w:pPr>
      <w:r>
        <w:tab/>
        <w:t>[Section 156A inserted: No. 12 of 2019 s. 67.]</w:t>
      </w:r>
    </w:p>
    <w:p>
      <w:pPr>
        <w:pStyle w:val="Heading5"/>
        <w:spacing w:before="240"/>
      </w:pPr>
      <w:bookmarkStart w:id="846" w:name="_Toc201229114"/>
      <w:bookmarkStart w:id="847" w:name="_Toc182410179"/>
      <w:r>
        <w:rPr>
          <w:rStyle w:val="CharSectno"/>
        </w:rPr>
        <w:t>157</w:t>
      </w:r>
      <w:r>
        <w:t>.</w:t>
      </w:r>
      <w:r>
        <w:tab/>
        <w:t>Value of land assets of linked entity for s. 155</w:t>
      </w:r>
      <w:bookmarkEnd w:id="846"/>
      <w:bookmarkEnd w:id="847"/>
    </w:p>
    <w:p>
      <w:pPr>
        <w:pStyle w:val="Subsection"/>
      </w:pPr>
      <w:r>
        <w:tab/>
        <w:t>(1)</w:t>
      </w:r>
      <w:r>
        <w:tab/>
        <w:t>This section applies where a linked entity is entitled to land assets in Western Australia and it is necessary to determine the value of that entitlement for the purposes of section 155.</w:t>
      </w:r>
    </w:p>
    <w:p>
      <w:pPr>
        <w:pStyle w:val="Subsection"/>
      </w:pPr>
      <w:r>
        <w:tab/>
        <w:t>(2)</w:t>
      </w:r>
      <w:r>
        <w:tab/>
        <w:t>The value of the entitlement is an amount equal to the same percentage of the unencumbered value of the land assets as the percentage of the main entity’s total direct or indirect interest in the linked entity calculated under section 154A.</w:t>
      </w:r>
    </w:p>
    <w:p>
      <w:pPr>
        <w:pStyle w:val="Ednotesubsection"/>
      </w:pPr>
      <w:r>
        <w:tab/>
        <w:t>[(3), (4)</w:t>
      </w:r>
      <w:r>
        <w:tab/>
        <w:t>deleted]</w:t>
      </w:r>
    </w:p>
    <w:p>
      <w:pPr>
        <w:pStyle w:val="Footnotesection"/>
      </w:pPr>
      <w:r>
        <w:tab/>
        <w:t>[Section 157 amended: No. 12 of 2019 s. 68.]</w:t>
      </w:r>
    </w:p>
    <w:p>
      <w:pPr>
        <w:pStyle w:val="Ednotesection"/>
      </w:pPr>
      <w:r>
        <w:t>[</w:t>
      </w:r>
      <w:r>
        <w:rPr>
          <w:b/>
        </w:rPr>
        <w:t>158, 159.</w:t>
      </w:r>
      <w:r>
        <w:rPr>
          <w:b/>
        </w:rPr>
        <w:tab/>
      </w:r>
      <w:r>
        <w:t>Deleted: No. 12 of 2019 s. 69.]</w:t>
      </w:r>
    </w:p>
    <w:p>
      <w:pPr>
        <w:pStyle w:val="Heading3"/>
        <w:spacing w:before="180"/>
        <w:rPr>
          <w:sz w:val="28"/>
        </w:rPr>
      </w:pPr>
      <w:bookmarkStart w:id="848" w:name="_Toc201218044"/>
      <w:bookmarkStart w:id="849" w:name="_Toc201224417"/>
      <w:bookmarkStart w:id="850" w:name="_Toc201229115"/>
      <w:bookmarkStart w:id="851" w:name="_Toc182388720"/>
      <w:bookmarkStart w:id="852" w:name="_Toc182389382"/>
      <w:bookmarkStart w:id="853" w:name="_Toc182410180"/>
      <w:r>
        <w:rPr>
          <w:rStyle w:val="CharDivNo"/>
          <w:sz w:val="28"/>
        </w:rPr>
        <w:t>Part 5</w:t>
      </w:r>
      <w:r>
        <w:rPr>
          <w:sz w:val="28"/>
        </w:rPr>
        <w:t> — </w:t>
      </w:r>
      <w:r>
        <w:rPr>
          <w:rStyle w:val="CharDivText"/>
          <w:sz w:val="28"/>
        </w:rPr>
        <w:t>Acquisitions to which this Chapter applies</w:t>
      </w:r>
      <w:bookmarkEnd w:id="848"/>
      <w:bookmarkEnd w:id="849"/>
      <w:bookmarkEnd w:id="850"/>
      <w:bookmarkEnd w:id="851"/>
      <w:bookmarkEnd w:id="852"/>
      <w:bookmarkEnd w:id="853"/>
    </w:p>
    <w:p>
      <w:pPr>
        <w:pStyle w:val="Heading4"/>
        <w:rPr>
          <w:sz w:val="26"/>
        </w:rPr>
      </w:pPr>
      <w:bookmarkStart w:id="854" w:name="_Toc201218045"/>
      <w:bookmarkStart w:id="855" w:name="_Toc201224418"/>
      <w:bookmarkStart w:id="856" w:name="_Toc201229116"/>
      <w:bookmarkStart w:id="857" w:name="_Toc182388721"/>
      <w:bookmarkStart w:id="858" w:name="_Toc182389383"/>
      <w:bookmarkStart w:id="859" w:name="_Toc182410181"/>
      <w:r>
        <w:rPr>
          <w:sz w:val="26"/>
        </w:rPr>
        <w:t>Division 1 — Means by which interest acquired</w:t>
      </w:r>
      <w:bookmarkEnd w:id="854"/>
      <w:bookmarkEnd w:id="855"/>
      <w:bookmarkEnd w:id="856"/>
      <w:bookmarkEnd w:id="857"/>
      <w:bookmarkEnd w:id="858"/>
      <w:bookmarkEnd w:id="859"/>
    </w:p>
    <w:p>
      <w:pPr>
        <w:pStyle w:val="Heading5"/>
      </w:pPr>
      <w:bookmarkStart w:id="860" w:name="_Toc201229117"/>
      <w:bookmarkStart w:id="861" w:name="_Toc182410182"/>
      <w:r>
        <w:rPr>
          <w:rStyle w:val="CharSectno"/>
        </w:rPr>
        <w:t>160</w:t>
      </w:r>
      <w:r>
        <w:t>.</w:t>
      </w:r>
      <w:r>
        <w:tab/>
        <w:t>How person acquires interest in entity</w:t>
      </w:r>
      <w:bookmarkEnd w:id="860"/>
      <w:bookmarkEnd w:id="861"/>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Subsection"/>
        <w:keepNext/>
      </w:pPr>
      <w:r>
        <w:tab/>
        <w:t>(4)</w:t>
      </w:r>
      <w:r>
        <w:tab/>
        <w:t>This section is subject to section 160A.</w:t>
      </w:r>
    </w:p>
    <w:p>
      <w:pPr>
        <w:pStyle w:val="Footnotesection"/>
      </w:pPr>
      <w:r>
        <w:tab/>
        <w:t>[Section 160 amended: No. 12 of 2019 s. 70.]</w:t>
      </w:r>
    </w:p>
    <w:p>
      <w:pPr>
        <w:pStyle w:val="Heading5"/>
      </w:pPr>
      <w:bookmarkStart w:id="862" w:name="_Toc201229118"/>
      <w:bookmarkStart w:id="863" w:name="_Toc182410183"/>
      <w:r>
        <w:rPr>
          <w:rStyle w:val="CharSectno"/>
        </w:rPr>
        <w:t>160A</w:t>
      </w:r>
      <w:r>
        <w:t>.</w:t>
      </w:r>
      <w:r>
        <w:tab/>
        <w:t>Acquisition of interest by merger of corporations</w:t>
      </w:r>
      <w:bookmarkEnd w:id="862"/>
      <w:bookmarkEnd w:id="863"/>
    </w:p>
    <w:p>
      <w:pPr>
        <w:pStyle w:val="Subsection"/>
      </w:pPr>
      <w:r>
        <w:tab/>
        <w:t>(1)</w:t>
      </w:r>
      <w:r>
        <w:tab/>
        <w:t>If a corporation (</w:t>
      </w:r>
      <w:r>
        <w:rPr>
          <w:rStyle w:val="CharDefText"/>
        </w:rPr>
        <w:t>company A</w:t>
      </w:r>
      <w:r>
        <w:t>) has an interest in an entity and there is a merger of company A with and into another corporation (</w:t>
      </w:r>
      <w:r>
        <w:rPr>
          <w:rStyle w:val="CharDefText"/>
        </w:rPr>
        <w:t>company B</w:t>
      </w:r>
      <w:r>
        <w:t>) in circumstances where neither subsection (2) nor subsection (3) applies, company B is taken to acquire that interest.</w:t>
      </w:r>
    </w:p>
    <w:p>
      <w:pPr>
        <w:pStyle w:val="Subsection"/>
      </w:pPr>
      <w:r>
        <w:tab/>
        <w:t>(2)</w:t>
      </w:r>
      <w:r>
        <w:tab/>
        <w:t xml:space="preserve">If 2 or more corporations (the </w:t>
      </w:r>
      <w:r>
        <w:rPr>
          <w:rStyle w:val="CharDefText"/>
        </w:rPr>
        <w:t>merging corporations</w:t>
      </w:r>
      <w:r>
        <w:t>) merge in circumstances where another corporation (</w:t>
      </w:r>
      <w:r>
        <w:rPr>
          <w:rStyle w:val="CharDefText"/>
        </w:rPr>
        <w:t>company C</w:t>
      </w:r>
      <w:r>
        <w:t>) results as a consequence of the merger, and any of the merging corporations has an interest in an entity, company C is taken to acquire that interest.</w:t>
      </w:r>
    </w:p>
    <w:p>
      <w:pPr>
        <w:pStyle w:val="Subsection"/>
      </w:pPr>
      <w:r>
        <w:tab/>
        <w:t>(3)</w:t>
      </w:r>
      <w:r>
        <w:tab/>
        <w:t xml:space="preserve">If 2 or more corporations (the </w:t>
      </w:r>
      <w:r>
        <w:rPr>
          <w:rStyle w:val="CharDefText"/>
        </w:rPr>
        <w:t>merging corporations</w:t>
      </w:r>
      <w:r>
        <w:t>) merge with and into each other in circumstances where each of the merging corporations continues in existence, and any of the merging corporations has an interest in an entity, the merging corporations are taken to acquire, jointly, 50% of that interest.</w:t>
      </w:r>
    </w:p>
    <w:p>
      <w:pPr>
        <w:pStyle w:val="Footnotesection"/>
      </w:pPr>
      <w:r>
        <w:tab/>
        <w:t>[Section 160A inserted: No. 12 of 2019 s. 71.]</w:t>
      </w:r>
    </w:p>
    <w:p>
      <w:pPr>
        <w:pStyle w:val="Heading4"/>
        <w:rPr>
          <w:sz w:val="26"/>
        </w:rPr>
      </w:pPr>
      <w:bookmarkStart w:id="864" w:name="_Toc201218048"/>
      <w:bookmarkStart w:id="865" w:name="_Toc201224421"/>
      <w:bookmarkStart w:id="866" w:name="_Toc201229119"/>
      <w:bookmarkStart w:id="867" w:name="_Toc182388724"/>
      <w:bookmarkStart w:id="868" w:name="_Toc182389386"/>
      <w:bookmarkStart w:id="869" w:name="_Toc182410184"/>
      <w:r>
        <w:rPr>
          <w:sz w:val="26"/>
        </w:rPr>
        <w:t>Division 2 — Relevant acquisitions of interests in landholders</w:t>
      </w:r>
      <w:bookmarkEnd w:id="864"/>
      <w:bookmarkEnd w:id="865"/>
      <w:bookmarkEnd w:id="866"/>
      <w:bookmarkEnd w:id="867"/>
      <w:bookmarkEnd w:id="868"/>
      <w:bookmarkEnd w:id="869"/>
    </w:p>
    <w:p>
      <w:pPr>
        <w:pStyle w:val="Heading4"/>
        <w:rPr>
          <w:sz w:val="26"/>
        </w:rPr>
      </w:pPr>
      <w:bookmarkStart w:id="870" w:name="_Toc201218049"/>
      <w:bookmarkStart w:id="871" w:name="_Toc201224422"/>
      <w:bookmarkStart w:id="872" w:name="_Toc201229120"/>
      <w:bookmarkStart w:id="873" w:name="_Toc182388725"/>
      <w:bookmarkStart w:id="874" w:name="_Toc182389387"/>
      <w:bookmarkStart w:id="875" w:name="_Toc182410185"/>
      <w:r>
        <w:rPr>
          <w:sz w:val="26"/>
        </w:rPr>
        <w:t>Subdivision 1 — Definitions</w:t>
      </w:r>
      <w:bookmarkEnd w:id="870"/>
      <w:bookmarkEnd w:id="871"/>
      <w:bookmarkEnd w:id="872"/>
      <w:bookmarkEnd w:id="873"/>
      <w:bookmarkEnd w:id="874"/>
      <w:bookmarkEnd w:id="875"/>
      <w:r>
        <w:rPr>
          <w:sz w:val="26"/>
        </w:rPr>
        <w:t xml:space="preserve"> </w:t>
      </w:r>
    </w:p>
    <w:p>
      <w:pPr>
        <w:pStyle w:val="Heading5"/>
        <w:spacing w:before="240"/>
      </w:pPr>
      <w:bookmarkStart w:id="876" w:name="_Toc201229121"/>
      <w:bookmarkStart w:id="877" w:name="_Toc182410186"/>
      <w:r>
        <w:rPr>
          <w:rStyle w:val="CharSectno"/>
        </w:rPr>
        <w:t>161</w:t>
      </w:r>
      <w:r>
        <w:t>.</w:t>
      </w:r>
      <w:r>
        <w:tab/>
        <w:t>Term used: significant interest</w:t>
      </w:r>
      <w:bookmarkEnd w:id="876"/>
      <w:bookmarkEnd w:id="877"/>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in a landholder, means — </w:t>
      </w:r>
    </w:p>
    <w:p>
      <w:pPr>
        <w:pStyle w:val="Defpara"/>
      </w:pPr>
      <w:r>
        <w:tab/>
        <w:t>(a)</w:t>
      </w:r>
      <w:r>
        <w:tab/>
        <w:t>if the landholder is a listed landholder — an interest of at least 90%; or</w:t>
      </w:r>
    </w:p>
    <w:p>
      <w:pPr>
        <w:pStyle w:val="Defpara"/>
        <w:keepNext/>
      </w:pPr>
      <w:r>
        <w:tab/>
        <w:t>(b)</w:t>
      </w:r>
      <w:r>
        <w:tab/>
        <w:t>otherwise — an interest of at least 50%.</w:t>
      </w:r>
    </w:p>
    <w:p>
      <w:pPr>
        <w:pStyle w:val="Footnotesection"/>
        <w:keepLines w:val="0"/>
        <w:ind w:left="890" w:hanging="890"/>
      </w:pPr>
      <w:r>
        <w:tab/>
        <w:t>[Section 161 amended: No. 32 of 2012 s. 11; No. 12 of 2019 s. 72.]</w:t>
      </w:r>
    </w:p>
    <w:p>
      <w:pPr>
        <w:pStyle w:val="Heading5"/>
        <w:spacing w:before="240"/>
      </w:pPr>
      <w:bookmarkStart w:id="878" w:name="_Toc201229122"/>
      <w:bookmarkStart w:id="879" w:name="_Toc182410187"/>
      <w:r>
        <w:rPr>
          <w:rStyle w:val="CharSectno"/>
        </w:rPr>
        <w:t>162</w:t>
      </w:r>
      <w:r>
        <w:t>.</w:t>
      </w:r>
      <w:r>
        <w:tab/>
        <w:t>Related persons for s. 163</w:t>
      </w:r>
      <w:bookmarkEnd w:id="878"/>
      <w:bookmarkEnd w:id="879"/>
    </w:p>
    <w:p>
      <w:pPr>
        <w:pStyle w:val="Subsection"/>
        <w:keepNext/>
        <w:keepLines/>
        <w:spacing w:before="180"/>
        <w:rPr>
          <w:snapToGrid w:val="0"/>
        </w:rPr>
      </w:pPr>
      <w:r>
        <w:tab/>
        <w:t>(1)</w:t>
      </w:r>
      <w:r>
        <w:tab/>
      </w:r>
      <w:r>
        <w:rPr>
          <w:snapToGrid w:val="0"/>
        </w:rPr>
        <w:t xml:space="preserve">For the purposes of </w:t>
      </w:r>
      <w:r>
        <w:t xml:space="preserve">section 163 </w:t>
      </w:r>
      <w:r>
        <w:rPr>
          <w:snapToGrid w:val="0"/>
        </w:rPr>
        <w:t xml:space="preserve">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keepNext/>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 xml:space="preserve">persons or entities that acquire interests in a landholder by virtue of acquisitions that together </w:t>
      </w:r>
      <w:r>
        <w:t>form, evidence, give effect to or arise from what is, substantially one arrangement;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(1A)</w:t>
      </w:r>
      <w:r>
        <w:tab/>
        <w:t xml:space="preserve">Subsection (1)(h) and (i) do not apply — </w:t>
      </w:r>
    </w:p>
    <w:p>
      <w:pPr>
        <w:pStyle w:val="Indenta"/>
      </w:pPr>
      <w:r>
        <w:tab/>
        <w:t>(a)</w:t>
      </w:r>
      <w:r>
        <w:tab/>
        <w:t>in circumstances where the acquisitions result from a public float; or</w:t>
      </w:r>
    </w:p>
    <w:p>
      <w:pPr>
        <w:pStyle w:val="Indenta"/>
      </w:pPr>
      <w:r>
        <w:tab/>
        <w:t>(b)</w:t>
      </w:r>
      <w:r>
        <w:tab/>
        <w:t>in prescribed circumstances.</w:t>
      </w:r>
    </w:p>
    <w:p>
      <w:pPr>
        <w:pStyle w:val="Subsection"/>
        <w:spacing w:before="180"/>
      </w:pPr>
      <w:r>
        <w:tab/>
        <w:t>(2)</w:t>
      </w:r>
      <w:r>
        <w:tab/>
        <w:t>If the Commissioner is satisfied, in the case of a particular acquisition of an interest in an entity, that subsection (3) applies to persons that would otherwise be related persons under subsection (1), the Commissioner may determine that, despite that subsection, the persons are not related persons for the purposes of section 163.</w:t>
      </w:r>
    </w:p>
    <w:p>
      <w:pPr>
        <w:pStyle w:val="Subsection"/>
      </w:pPr>
      <w:r>
        <w:tab/>
        <w:t>(2A)</w:t>
      </w:r>
      <w:r>
        <w:tab/>
        <w:t>The Commissioner cannot make a determination under subsection (2) in relation to persons or entities that are related persons under subsection (1)(c), (h) or (i).</w:t>
      </w:r>
    </w:p>
    <w:p>
      <w:pPr>
        <w:pStyle w:val="Subsection"/>
      </w:pPr>
      <w:r>
        <w:tab/>
        <w:t>(3)</w:t>
      </w:r>
      <w:r>
        <w:tab/>
        <w:t xml:space="preserve">This subsection applies to persons if their interests in the entity — </w:t>
      </w:r>
    </w:p>
    <w:p>
      <w:pPr>
        <w:pStyle w:val="Indenta"/>
      </w:pPr>
      <w:r>
        <w:tab/>
        <w:t>(a)</w:t>
      </w:r>
      <w:r>
        <w:tab/>
        <w:t>were acquired independently and are, and will be, employed independently; and</w:t>
      </w:r>
    </w:p>
    <w:p>
      <w:pPr>
        <w:pStyle w:val="Indenta"/>
        <w:keepNext/>
      </w:pPr>
      <w:r>
        <w:tab/>
        <w:t>(b)</w:t>
      </w:r>
      <w:r>
        <w:tab/>
        <w:t>were not acquired for a common purpose and are not, and will not be, employed for a common purpose.</w:t>
      </w:r>
    </w:p>
    <w:p>
      <w:pPr>
        <w:pStyle w:val="Footnotesection"/>
      </w:pPr>
      <w:r>
        <w:tab/>
        <w:t>[Section 162 amended: No. 12 of 2019 s. 73.]</w:t>
      </w:r>
    </w:p>
    <w:p>
      <w:pPr>
        <w:pStyle w:val="Heading4"/>
        <w:rPr>
          <w:sz w:val="26"/>
        </w:rPr>
      </w:pPr>
      <w:bookmarkStart w:id="880" w:name="_Toc201218052"/>
      <w:bookmarkStart w:id="881" w:name="_Toc201224425"/>
      <w:bookmarkStart w:id="882" w:name="_Toc201229123"/>
      <w:bookmarkStart w:id="883" w:name="_Toc182388728"/>
      <w:bookmarkStart w:id="884" w:name="_Toc182389390"/>
      <w:bookmarkStart w:id="885" w:name="_Toc182410188"/>
      <w:r>
        <w:rPr>
          <w:sz w:val="26"/>
        </w:rPr>
        <w:t>Subdivision 2 — Relevant acquisitions</w:t>
      </w:r>
      <w:bookmarkEnd w:id="880"/>
      <w:bookmarkEnd w:id="881"/>
      <w:bookmarkEnd w:id="882"/>
      <w:bookmarkEnd w:id="883"/>
      <w:bookmarkEnd w:id="884"/>
      <w:bookmarkEnd w:id="885"/>
    </w:p>
    <w:p>
      <w:pPr>
        <w:pStyle w:val="Heading5"/>
      </w:pPr>
      <w:bookmarkStart w:id="886" w:name="_Toc201229124"/>
      <w:bookmarkStart w:id="887" w:name="_Toc182410189"/>
      <w:r>
        <w:rPr>
          <w:rStyle w:val="CharSectno"/>
        </w:rPr>
        <w:t>163</w:t>
      </w:r>
      <w:r>
        <w:t>.</w:t>
      </w:r>
      <w:r>
        <w:tab/>
        <w:t>Relevant acquisitions</w:t>
      </w:r>
      <w:bookmarkEnd w:id="886"/>
      <w:bookmarkEnd w:id="887"/>
    </w:p>
    <w:p>
      <w:pPr>
        <w:pStyle w:val="Subsection"/>
      </w:pPr>
      <w:r>
        <w:tab/>
        <w:t>(1)</w:t>
      </w:r>
      <w:r>
        <w:tab/>
        <w:t xml:space="preserve">An acquisition by a person (the </w:t>
      </w:r>
      <w:r>
        <w:rPr>
          <w:rStyle w:val="CharDefText"/>
        </w:rPr>
        <w:t>acquirer</w:t>
      </w:r>
      <w:r>
        <w:t xml:space="preserve">) of an interest in an entity that is a landholder in relation to the acquisition is a </w:t>
      </w:r>
      <w:r>
        <w:rPr>
          <w:rStyle w:val="CharDefText"/>
        </w:rPr>
        <w:t>relevant acquisition</w:t>
      </w:r>
      <w:r>
        <w:t xml:space="preserve">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landholder; and</w:t>
      </w:r>
    </w:p>
    <w:p>
      <w:pPr>
        <w:pStyle w:val="Indenti"/>
      </w:pPr>
      <w:r>
        <w:tab/>
        <w:t>(ii)</w:t>
      </w:r>
      <w:r>
        <w:tab/>
        <w:t>immediately after the acquisition, the acquirer has a significant interest in the landholder;</w:t>
      </w:r>
    </w:p>
    <w:p>
      <w:pPr>
        <w:pStyle w:val="Indenta"/>
        <w:keepNext/>
      </w:pPr>
      <w:r>
        <w:tab/>
        <w:t>(b)</w:t>
      </w:r>
      <w:r>
        <w:tab/>
        <w:t xml:space="preserve">if — </w:t>
      </w:r>
    </w:p>
    <w:p>
      <w:pPr>
        <w:pStyle w:val="Indenti"/>
      </w:pPr>
      <w:r>
        <w:tab/>
        <w:t>(i)</w:t>
      </w:r>
      <w:r>
        <w:tab/>
        <w:t>immediately before the acquisition, the aggregated group interest in the landholder does not amount to a significant interest; and</w:t>
      </w:r>
    </w:p>
    <w:p>
      <w:pPr>
        <w:pStyle w:val="Indenti"/>
      </w:pPr>
      <w:r>
        <w:tab/>
        <w:t>(ii)</w:t>
      </w:r>
      <w:r>
        <w:tab/>
        <w:t>immediately after the acquisition, the aggregated group interest in the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landholder; and</w:t>
      </w:r>
    </w:p>
    <w:p>
      <w:pPr>
        <w:pStyle w:val="Indenti"/>
      </w:pPr>
      <w:r>
        <w:tab/>
        <w:t>(ii)</w:t>
      </w:r>
      <w:r>
        <w:tab/>
        <w:t>as a result of the acquisition, the acquirer’s interest in the landholder increases;</w:t>
      </w:r>
    </w:p>
    <w:p>
      <w:pPr>
        <w:pStyle w:val="Indenta"/>
      </w:pPr>
      <w:r>
        <w:tab/>
        <w:t>(d)</w:t>
      </w:r>
      <w:r>
        <w:tab/>
        <w:t xml:space="preserve">if — </w:t>
      </w:r>
    </w:p>
    <w:p>
      <w:pPr>
        <w:pStyle w:val="Indenti"/>
      </w:pPr>
      <w:r>
        <w:tab/>
        <w:t>(i)</w:t>
      </w:r>
      <w:r>
        <w:tab/>
        <w:t>immediately before the acquisition, the aggregated group interest in the landholder amounts to a significant interest; and</w:t>
      </w:r>
    </w:p>
    <w:p>
      <w:pPr>
        <w:pStyle w:val="Indenti"/>
      </w:pPr>
      <w:r>
        <w:tab/>
        <w:t>(ii)</w:t>
      </w:r>
      <w:r>
        <w:tab/>
        <w:t>as a result of the acquisition, the aggregated group interest in the landholder increases.</w:t>
      </w:r>
    </w:p>
    <w:p>
      <w:pPr>
        <w:pStyle w:val="Subsection"/>
        <w:keepNext/>
      </w:pPr>
      <w:r>
        <w:tab/>
        <w:t>(2)</w:t>
      </w:r>
      <w:r>
        <w:tab/>
        <w:t xml:space="preserve">In subsection (1) — </w:t>
      </w:r>
    </w:p>
    <w:p>
      <w:pPr>
        <w:pStyle w:val="Defstart"/>
        <w:keepNext/>
      </w:pPr>
      <w:r>
        <w:tab/>
      </w:r>
      <w:r>
        <w:rPr>
          <w:rStyle w:val="CharDefText"/>
        </w:rPr>
        <w:t>aggregated group interest</w:t>
      </w:r>
      <w:r>
        <w:t xml:space="preserve"> means the aggregate of — </w:t>
      </w:r>
    </w:p>
    <w:p>
      <w:pPr>
        <w:pStyle w:val="Defpara"/>
      </w:pPr>
      <w:r>
        <w:tab/>
        <w:t>(a)</w:t>
      </w:r>
      <w:r>
        <w:tab/>
        <w:t>the interest (if any) that the acquirer has in the landholder; and</w:t>
      </w:r>
    </w:p>
    <w:p>
      <w:pPr>
        <w:pStyle w:val="Defpara"/>
      </w:pPr>
      <w:r>
        <w:tab/>
        <w:t>(b)</w:t>
      </w:r>
      <w:r>
        <w:tab/>
        <w:t>if 1 or more related persons have an interest in the landholder — all of those interests.</w:t>
      </w:r>
    </w:p>
    <w:p>
      <w:pPr>
        <w:pStyle w:val="Footnotesection"/>
      </w:pPr>
      <w:r>
        <w:tab/>
        <w:t>[Section 163 inserted: No. 12 of 2019 s. 74.]</w:t>
      </w:r>
    </w:p>
    <w:p>
      <w:pPr>
        <w:pStyle w:val="Ednotesection"/>
      </w:pPr>
      <w:r>
        <w:t>[</w:t>
      </w:r>
      <w:r>
        <w:rPr>
          <w:b/>
        </w:rPr>
        <w:t>164.</w:t>
      </w:r>
      <w:r>
        <w:tab/>
        <w:t>Deleted: No. 12 of 2019 s. 74.]</w:t>
      </w:r>
    </w:p>
    <w:p>
      <w:pPr>
        <w:pStyle w:val="Heading4"/>
        <w:rPr>
          <w:sz w:val="26"/>
        </w:rPr>
      </w:pPr>
      <w:bookmarkStart w:id="888" w:name="_Toc201218054"/>
      <w:bookmarkStart w:id="889" w:name="_Toc201224427"/>
      <w:bookmarkStart w:id="890" w:name="_Toc201229125"/>
      <w:bookmarkStart w:id="891" w:name="_Toc182388730"/>
      <w:bookmarkStart w:id="892" w:name="_Toc182389392"/>
      <w:bookmarkStart w:id="893" w:name="_Toc182410190"/>
      <w:r>
        <w:rPr>
          <w:sz w:val="26"/>
        </w:rPr>
        <w:t>Subdivision 3 — Exempt acquisitions</w:t>
      </w:r>
      <w:bookmarkEnd w:id="888"/>
      <w:bookmarkEnd w:id="889"/>
      <w:bookmarkEnd w:id="890"/>
      <w:bookmarkEnd w:id="891"/>
      <w:bookmarkEnd w:id="892"/>
      <w:bookmarkEnd w:id="893"/>
    </w:p>
    <w:p>
      <w:pPr>
        <w:pStyle w:val="Heading5"/>
      </w:pPr>
      <w:bookmarkStart w:id="894" w:name="_Toc201229126"/>
      <w:bookmarkStart w:id="895" w:name="_Toc182410191"/>
      <w:r>
        <w:rPr>
          <w:rStyle w:val="CharSectno"/>
        </w:rPr>
        <w:t>165</w:t>
      </w:r>
      <w:r>
        <w:t>.</w:t>
      </w:r>
      <w:r>
        <w:tab/>
        <w:t>Term used: acquisition</w:t>
      </w:r>
      <w:bookmarkEnd w:id="894"/>
      <w:bookmarkEnd w:id="895"/>
    </w:p>
    <w:p>
      <w:pPr>
        <w:pStyle w:val="Subsection"/>
        <w:keepNext/>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896" w:name="_Toc201229127"/>
      <w:bookmarkStart w:id="897" w:name="_Toc182410192"/>
      <w:r>
        <w:rPr>
          <w:rStyle w:val="CharSectno"/>
        </w:rPr>
        <w:t>166</w:t>
      </w:r>
      <w:r>
        <w:t>.</w:t>
      </w:r>
      <w:r>
        <w:tab/>
        <w:t>Effect of acquisition being exempt</w:t>
      </w:r>
      <w:bookmarkEnd w:id="896"/>
      <w:bookmarkEnd w:id="897"/>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No. 32 of 2012 s. 13.]</w:t>
      </w:r>
    </w:p>
    <w:p>
      <w:pPr>
        <w:pStyle w:val="Heading5"/>
      </w:pPr>
      <w:bookmarkStart w:id="898" w:name="_Toc201229128"/>
      <w:bookmarkStart w:id="899" w:name="_Toc182410193"/>
      <w:r>
        <w:rPr>
          <w:rStyle w:val="CharSectno"/>
        </w:rPr>
        <w:t>167</w:t>
      </w:r>
      <w:r>
        <w:t>.</w:t>
      </w:r>
      <w:r>
        <w:tab/>
        <w:t>Exemption or reduction of duty if nominal duty would be chargeable on transfer</w:t>
      </w:r>
      <w:bookmarkEnd w:id="898"/>
      <w:bookmarkEnd w:id="899"/>
    </w:p>
    <w:p>
      <w:pPr>
        <w:pStyle w:val="Subsection"/>
        <w:keepNext/>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nominal duty would be chargeable, to any extent, on the notional transfer in relation to the acquisition.</w:t>
      </w:r>
    </w:p>
    <w:p>
      <w:pPr>
        <w:pStyle w:val="Subsection"/>
      </w:pPr>
      <w:r>
        <w:tab/>
        <w:t>(3)</w:t>
      </w:r>
      <w:r>
        <w:tab/>
        <w:t>If only nominal duty would be chargeable on the notional transfer, the acquisition is exempt.</w:t>
      </w:r>
    </w:p>
    <w:p>
      <w:pPr>
        <w:pStyle w:val="Subsection"/>
      </w:pPr>
      <w:r>
        <w:tab/>
        <w:t>(4)</w:t>
      </w:r>
      <w:r>
        <w:tab/>
        <w:t>If nominal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nominal duty would be chargeable.</w:t>
      </w:r>
    </w:p>
    <w:p>
      <w:pPr>
        <w:pStyle w:val="Subsection"/>
        <w:keepNext/>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Footnotesection"/>
      </w:pPr>
      <w:r>
        <w:tab/>
        <w:t>[Section 167 inserted: No. 12 of 2019 s. 75.]</w:t>
      </w:r>
    </w:p>
    <w:p>
      <w:pPr>
        <w:pStyle w:val="Heading5"/>
      </w:pPr>
      <w:bookmarkStart w:id="900" w:name="_Toc201229129"/>
      <w:bookmarkStart w:id="901" w:name="_Toc182410194"/>
      <w:r>
        <w:rPr>
          <w:rStyle w:val="CharSectno"/>
        </w:rPr>
        <w:t>168</w:t>
      </w:r>
      <w:r>
        <w:t>.</w:t>
      </w:r>
      <w:r>
        <w:tab/>
        <w:t>Exemption or reduction of duty if transfer duty would not be chargeable</w:t>
      </w:r>
      <w:bookmarkEnd w:id="900"/>
      <w:bookmarkEnd w:id="901"/>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 transfer duty would be chargeable, or transfer duty would be chargeable only to a particular extent, on the notional transfer in relation to the acquisition.</w:t>
      </w:r>
    </w:p>
    <w:p>
      <w:pPr>
        <w:pStyle w:val="Subsection"/>
      </w:pPr>
      <w:r>
        <w:tab/>
        <w:t>(3)</w:t>
      </w:r>
      <w:r>
        <w:tab/>
        <w:t>If no transfer duty would be chargeable on the notional transfer, the acquisition is exempt.</w:t>
      </w:r>
    </w:p>
    <w:p>
      <w:pPr>
        <w:pStyle w:val="Subsection"/>
      </w:pPr>
      <w:r>
        <w:tab/>
        <w:t>(4)</w:t>
      </w:r>
      <w:r>
        <w:tab/>
        <w:t>If transfer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 transfer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(6)</w:t>
      </w:r>
      <w:r>
        <w:tab/>
        <w:t xml:space="preserve">This section does not apply if — </w:t>
      </w:r>
    </w:p>
    <w:p>
      <w:pPr>
        <w:pStyle w:val="Indenta"/>
      </w:pPr>
      <w:r>
        <w:tab/>
        <w:t>(a)</w:t>
      </w:r>
      <w:r>
        <w:tab/>
        <w:t>no transfer duty would be chargeable, or transfer duty would be chargeable only to a particular extent, on the notional transfer because of an exemption or reduction under Chapter 6; or</w:t>
      </w:r>
    </w:p>
    <w:p>
      <w:pPr>
        <w:pStyle w:val="Indenta"/>
      </w:pPr>
      <w:r>
        <w:tab/>
        <w:t>(b)</w:t>
      </w:r>
      <w:r>
        <w:tab/>
        <w:t>section 171 or 194 applies to the acquisition.</w:t>
      </w:r>
    </w:p>
    <w:p>
      <w:pPr>
        <w:pStyle w:val="Footnotesection"/>
      </w:pPr>
      <w:r>
        <w:tab/>
        <w:t>[Section 168 inserted: No. 12 of 2019 s. 75.]</w:t>
      </w:r>
    </w:p>
    <w:p>
      <w:pPr>
        <w:pStyle w:val="Heading5"/>
        <w:keepNext w:val="0"/>
        <w:keepLines w:val="0"/>
        <w:spacing w:before="180"/>
      </w:pPr>
      <w:bookmarkStart w:id="902" w:name="_Toc201229130"/>
      <w:bookmarkStart w:id="903" w:name="_Toc182410195"/>
      <w:r>
        <w:rPr>
          <w:rStyle w:val="CharSectno"/>
        </w:rPr>
        <w:t>169</w:t>
      </w:r>
      <w:r>
        <w:t>.</w:t>
      </w:r>
      <w:r>
        <w:tab/>
        <w:t>Exemption if acquisition is dutiable under s. 67</w:t>
      </w:r>
      <w:bookmarkEnd w:id="902"/>
      <w:bookmarkEnd w:id="903"/>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904" w:name="_Toc201229131"/>
      <w:bookmarkStart w:id="905" w:name="_Toc182410196"/>
      <w:r>
        <w:rPr>
          <w:rStyle w:val="CharSectno"/>
        </w:rPr>
        <w:t>170</w:t>
      </w:r>
      <w:r>
        <w:t>.</w:t>
      </w:r>
      <w:r>
        <w:tab/>
        <w:t xml:space="preserve">Exemption relating to approved arrangements with creditors under </w:t>
      </w:r>
      <w:r>
        <w:rPr>
          <w:iCs/>
          <w:spacing w:val="-4"/>
          <w:kern w:val="2"/>
        </w:rPr>
        <w:t>Corporations Act</w:t>
      </w:r>
      <w:bookmarkEnd w:id="904"/>
      <w:bookmarkEnd w:id="905"/>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906" w:name="_Toc201229132"/>
      <w:bookmarkStart w:id="907" w:name="_Toc182410197"/>
      <w:r>
        <w:rPr>
          <w:rStyle w:val="CharSectno"/>
        </w:rPr>
        <w:t>171</w:t>
      </w:r>
      <w:r>
        <w:t>.</w:t>
      </w:r>
      <w:r>
        <w:tab/>
        <w:t>Exemption of acquisition by family member of interest in landholder engaged in primary production</w:t>
      </w:r>
      <w:bookmarkEnd w:id="906"/>
      <w:bookmarkEnd w:id="907"/>
    </w:p>
    <w:p>
      <w:pPr>
        <w:pStyle w:val="Ednotesubsection"/>
      </w:pPr>
      <w:r>
        <w:tab/>
        <w:t>[(1)</w:t>
      </w:r>
      <w:r>
        <w:tab/>
        <w:t>deleted]</w:t>
      </w:r>
    </w:p>
    <w:p>
      <w:pPr>
        <w:pStyle w:val="Subsection"/>
        <w:spacing w:before="120"/>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landholder which, or a linked entity in respect of which, uses land assets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assets to which the landholder or a linked entity in respect of the landholder is entitled; and</w:t>
      </w:r>
    </w:p>
    <w:p>
      <w:pPr>
        <w:pStyle w:val="Indenti"/>
      </w:pPr>
      <w:r>
        <w:tab/>
        <w:t>(ii)</w:t>
      </w:r>
      <w:r>
        <w:tab/>
        <w:t>section 102(2) had not been enacted;</w:t>
      </w:r>
    </w:p>
    <w:p>
      <w:pPr>
        <w:pStyle w:val="Indenta"/>
      </w:pPr>
      <w:r>
        <w:tab/>
      </w:r>
      <w:r>
        <w:tab/>
        <w:t>and</w:t>
      </w:r>
    </w:p>
    <w:p>
      <w:pPr>
        <w:pStyle w:val="Indenta"/>
      </w:pPr>
      <w:r>
        <w:tab/>
        <w:t>(b)</w:t>
      </w:r>
      <w:r>
        <w:tab/>
        <w:t>immediately after the acquisition the landholder, or a linked entity in respect of the landholder, intends to continue to use the land assets solely or dominantly in the business of primary production.</w:t>
      </w:r>
    </w:p>
    <w:p>
      <w:pPr>
        <w:pStyle w:val="Subsection"/>
        <w:keepNext/>
      </w:pPr>
      <w:r>
        <w:tab/>
        <w:t>(2A)</w:t>
      </w:r>
      <w:r>
        <w:tab/>
        <w:t xml:space="preserve">If the acquirer did not acquire the interest in the landholder from another person, the reference in subsection (2)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acquirer may acquire an interest in a company by the company issuing shares to the person, or buying back shares of another person.</w:t>
      </w:r>
    </w:p>
    <w:p>
      <w:pPr>
        <w:pStyle w:val="Subsection"/>
      </w:pPr>
      <w:r>
        <w:tab/>
        <w:t>(3)</w:t>
      </w:r>
      <w:r>
        <w:tab/>
        <w:t xml:space="preserve">For the purposes of subsection (2), a land asset that is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Footnotesection"/>
      </w:pPr>
      <w:r>
        <w:tab/>
        <w:t>[Section 171 amended: No. 12 of 2019 s. 76.]</w:t>
      </w:r>
    </w:p>
    <w:p>
      <w:pPr>
        <w:pStyle w:val="Heading4"/>
        <w:rPr>
          <w:sz w:val="26"/>
        </w:rPr>
      </w:pPr>
      <w:bookmarkStart w:id="908" w:name="_Toc201218062"/>
      <w:bookmarkStart w:id="909" w:name="_Toc201224435"/>
      <w:bookmarkStart w:id="910" w:name="_Toc201229133"/>
      <w:bookmarkStart w:id="911" w:name="_Toc182388738"/>
      <w:bookmarkStart w:id="912" w:name="_Toc182389400"/>
      <w:bookmarkStart w:id="913" w:name="_Toc182410198"/>
      <w:r>
        <w:rPr>
          <w:sz w:val="26"/>
        </w:rPr>
        <w:t>Subdivision 4 — Further provisions in respect of exemptions under section 171</w:t>
      </w:r>
      <w:bookmarkEnd w:id="908"/>
      <w:bookmarkEnd w:id="909"/>
      <w:bookmarkEnd w:id="910"/>
      <w:bookmarkEnd w:id="911"/>
      <w:bookmarkEnd w:id="912"/>
      <w:bookmarkEnd w:id="913"/>
    </w:p>
    <w:p>
      <w:pPr>
        <w:pStyle w:val="Heading5"/>
      </w:pPr>
      <w:bookmarkStart w:id="914" w:name="_Toc201229134"/>
      <w:bookmarkStart w:id="915" w:name="_Toc182410199"/>
      <w:r>
        <w:rPr>
          <w:rStyle w:val="CharSectno"/>
        </w:rPr>
        <w:t>172</w:t>
      </w:r>
      <w:r>
        <w:t>.</w:t>
      </w:r>
      <w:r>
        <w:tab/>
        <w:t>Calculation of duty where some land assets of landholder not used for primary production</w:t>
      </w:r>
      <w:bookmarkEnd w:id="914"/>
      <w:bookmarkEnd w:id="915"/>
    </w:p>
    <w:p>
      <w:pPr>
        <w:pStyle w:val="Subsection"/>
      </w:pPr>
      <w:r>
        <w:tab/>
        <w:t>(1)</w:t>
      </w:r>
      <w:r>
        <w:tab/>
        <w:t>This section applies to an acquisition</w:t>
      </w:r>
      <w:r>
        <w:rPr>
          <w:bCs/>
        </w:rPr>
        <w:t xml:space="preserve"> </w:t>
      </w:r>
      <w:r>
        <w:t xml:space="preserve">referred to in section 171 if immediately before the acquisition the landholder concerned, or a linked entity in respect of the landholder, is entitled to — </w:t>
      </w:r>
    </w:p>
    <w:p>
      <w:pPr>
        <w:pStyle w:val="Indenta"/>
      </w:pPr>
      <w:r>
        <w:tab/>
        <w:t>(a)</w:t>
      </w:r>
      <w:r>
        <w:tab/>
        <w:t>land assets in Western Australia that are used solely or dominantly in the business of primary production; and</w:t>
      </w:r>
    </w:p>
    <w:p>
      <w:pPr>
        <w:pStyle w:val="Indenta"/>
      </w:pPr>
      <w:r>
        <w:tab/>
        <w:t>(b)</w:t>
      </w:r>
      <w:r>
        <w:tab/>
        <w:t>land assets in Western Australia that are not so used.</w:t>
      </w:r>
    </w:p>
    <w:p>
      <w:pPr>
        <w:pStyle w:val="Subsection"/>
        <w:keepNext/>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assets referred to in subsection (1)(b) bears to the value of the landholder concerned, as determined under section 186.</w:t>
      </w:r>
    </w:p>
    <w:p>
      <w:pPr>
        <w:pStyle w:val="Footnotesection"/>
      </w:pPr>
      <w:r>
        <w:tab/>
        <w:t>[Section 172 amended: No. 12 of 2019 s. 77.]</w:t>
      </w:r>
    </w:p>
    <w:p>
      <w:pPr>
        <w:pStyle w:val="Heading5"/>
      </w:pPr>
      <w:bookmarkStart w:id="916" w:name="_Toc201229135"/>
      <w:bookmarkStart w:id="917" w:name="_Toc182410200"/>
      <w:r>
        <w:rPr>
          <w:rStyle w:val="CharSectno"/>
        </w:rPr>
        <w:t>173</w:t>
      </w:r>
      <w:r>
        <w:t>.</w:t>
      </w:r>
      <w:r>
        <w:tab/>
        <w:t>Reversal of exemption where certain changes made to discretionary trust</w:t>
      </w:r>
      <w:bookmarkEnd w:id="916"/>
      <w:bookmarkEnd w:id="917"/>
    </w:p>
    <w:p>
      <w:pPr>
        <w:pStyle w:val="Subsection"/>
        <w:keepNext/>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w:t>
      </w:r>
      <w:r>
        <w:t xml:space="preserve">an entity that is a landholder </w:t>
      </w:r>
      <w:r>
        <w:rPr>
          <w:bCs/>
        </w:rPr>
        <w:t xml:space="preserve">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entity is a landholder; and</w:t>
      </w:r>
    </w:p>
    <w:p>
      <w:pPr>
        <w:pStyle w:val="Indenti"/>
      </w:pPr>
      <w:r>
        <w:tab/>
        <w:t>(ii)</w:t>
      </w:r>
      <w:r>
        <w:tab/>
        <w:t>the entity, or a linked entity in respect of the entity, is using solely or dominantly in the business of primary production any of the land assets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2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entity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Footnotesection"/>
      </w:pPr>
      <w:r>
        <w:tab/>
        <w:t>[Section 173 amended: No. 12 of 2019 s. 78.]</w:t>
      </w:r>
    </w:p>
    <w:p>
      <w:pPr>
        <w:pStyle w:val="Heading5"/>
        <w:spacing w:before="180"/>
      </w:pPr>
      <w:bookmarkStart w:id="918" w:name="_Toc201229136"/>
      <w:bookmarkStart w:id="919" w:name="_Toc182410201"/>
      <w:r>
        <w:rPr>
          <w:rStyle w:val="CharSectno"/>
        </w:rPr>
        <w:t>174</w:t>
      </w:r>
      <w:r>
        <w:t>.</w:t>
      </w:r>
      <w:r>
        <w:tab/>
        <w:t>No exemption where interest transferred within 5 years</w:t>
      </w:r>
      <w:bookmarkEnd w:id="918"/>
      <w:bookmarkEnd w:id="919"/>
    </w:p>
    <w:p>
      <w:pPr>
        <w:pStyle w:val="Subsection"/>
        <w:spacing w:before="120"/>
      </w:pPr>
      <w:r>
        <w:tab/>
        <w:t>(1)</w:t>
      </w:r>
      <w:r>
        <w:tab/>
        <w:t xml:space="preserve">This section applies if — </w:t>
      </w:r>
    </w:p>
    <w:p>
      <w:pPr>
        <w:pStyle w:val="Indenta"/>
      </w:pPr>
      <w:r>
        <w:tab/>
        <w:t>(a)</w:t>
      </w:r>
      <w:r>
        <w:tab/>
        <w:t xml:space="preserve">an acquisition of an interest in a landholder (the </w:t>
      </w:r>
      <w:r>
        <w:rPr>
          <w:rStyle w:val="CharDefText"/>
        </w:rPr>
        <w:t>first acquisition</w:t>
      </w:r>
      <w:r>
        <w:rPr>
          <w:bCs/>
        </w:rPr>
        <w:t xml:space="preserve">) </w:t>
      </w:r>
      <w:r>
        <w:t>was exempt under section 171; and</w:t>
      </w:r>
    </w:p>
    <w:p>
      <w:pPr>
        <w:pStyle w:val="Indenta"/>
      </w:pPr>
      <w:r>
        <w:tab/>
        <w:t>(b)</w:t>
      </w:r>
      <w:r>
        <w:tab/>
        <w:t>a further acquisition of an interest in the landholder occurs within 5 years after the day on which the first acquisition occurred; and</w:t>
      </w:r>
    </w:p>
    <w:p>
      <w:pPr>
        <w:pStyle w:val="Indenta"/>
      </w:pPr>
      <w:r>
        <w:tab/>
        <w:t>(c)</w:t>
      </w:r>
      <w:r>
        <w:tab/>
        <w:t xml:space="preserve">at the time when the further acquisition occurs the landholder, or a linked entity in respect of the landholder, is using solely or dominantly in the business of primary production any of the land assets to which it was entitled when the first acquisition occurred; and </w:t>
      </w:r>
    </w:p>
    <w:p>
      <w:pPr>
        <w:pStyle w:val="Indenta"/>
      </w:pPr>
      <w:r>
        <w:tab/>
        <w:t>(d)</w:t>
      </w:r>
      <w:r>
        <w:tab/>
        <w:t>in the opinion of the Commissioner the further acquisition is by way of a transfer of an interest, or part of an interest, in the landholder that was acquired under the first acquisition.</w:t>
      </w:r>
    </w:p>
    <w:p>
      <w:pPr>
        <w:pStyle w:val="Subsection"/>
      </w:pPr>
      <w:r>
        <w:tab/>
        <w:t>(2)</w:t>
      </w:r>
      <w:r>
        <w:tab/>
        <w:t>The further acquisition is not exempt under section 171 even if it comes within the provisions of that section.</w:t>
      </w:r>
    </w:p>
    <w:p>
      <w:pPr>
        <w:pStyle w:val="Footnotesection"/>
      </w:pPr>
      <w:r>
        <w:tab/>
        <w:t>[Section 174 amended: No. 12 of 2019 s. 79.]</w:t>
      </w:r>
    </w:p>
    <w:p>
      <w:pPr>
        <w:pStyle w:val="Heading3"/>
        <w:keepLines/>
        <w:rPr>
          <w:sz w:val="28"/>
        </w:rPr>
      </w:pPr>
      <w:bookmarkStart w:id="920" w:name="_Toc201218066"/>
      <w:bookmarkStart w:id="921" w:name="_Toc201224439"/>
      <w:bookmarkStart w:id="922" w:name="_Toc201229137"/>
      <w:bookmarkStart w:id="923" w:name="_Toc182388742"/>
      <w:bookmarkStart w:id="924" w:name="_Toc182389404"/>
      <w:bookmarkStart w:id="925" w:name="_Toc182410202"/>
      <w:r>
        <w:rPr>
          <w:rStyle w:val="CharDivNo"/>
          <w:sz w:val="28"/>
        </w:rPr>
        <w:t>Part 6</w:t>
      </w:r>
      <w:r>
        <w:rPr>
          <w:sz w:val="28"/>
        </w:rPr>
        <w:t> — </w:t>
      </w:r>
      <w:r>
        <w:rPr>
          <w:rStyle w:val="CharDivText"/>
          <w:sz w:val="28"/>
        </w:rPr>
        <w:t>Collection of landholder duty</w:t>
      </w:r>
      <w:bookmarkEnd w:id="920"/>
      <w:bookmarkEnd w:id="921"/>
      <w:bookmarkEnd w:id="922"/>
      <w:bookmarkEnd w:id="923"/>
      <w:bookmarkEnd w:id="924"/>
      <w:bookmarkEnd w:id="925"/>
    </w:p>
    <w:p>
      <w:pPr>
        <w:pStyle w:val="Heading4"/>
        <w:keepLines/>
        <w:rPr>
          <w:sz w:val="26"/>
        </w:rPr>
      </w:pPr>
      <w:bookmarkStart w:id="926" w:name="_Toc201218067"/>
      <w:bookmarkStart w:id="927" w:name="_Toc201224440"/>
      <w:bookmarkStart w:id="928" w:name="_Toc201229138"/>
      <w:bookmarkStart w:id="929" w:name="_Toc182388743"/>
      <w:bookmarkStart w:id="930" w:name="_Toc182389405"/>
      <w:bookmarkStart w:id="931" w:name="_Toc182410203"/>
      <w:r>
        <w:rPr>
          <w:sz w:val="26"/>
        </w:rPr>
        <w:t>Division 1 — Preliminary</w:t>
      </w:r>
      <w:bookmarkEnd w:id="926"/>
      <w:bookmarkEnd w:id="927"/>
      <w:bookmarkEnd w:id="928"/>
      <w:bookmarkEnd w:id="929"/>
      <w:bookmarkEnd w:id="930"/>
      <w:bookmarkEnd w:id="931"/>
    </w:p>
    <w:p>
      <w:pPr>
        <w:pStyle w:val="Heading5"/>
        <w:spacing w:before="240"/>
      </w:pPr>
      <w:bookmarkStart w:id="932" w:name="_Toc201229139"/>
      <w:bookmarkStart w:id="933" w:name="_Toc182410204"/>
      <w:r>
        <w:rPr>
          <w:rStyle w:val="CharSectno"/>
        </w:rPr>
        <w:t>175</w:t>
      </w:r>
      <w:r>
        <w:t>.</w:t>
      </w:r>
      <w:r>
        <w:tab/>
        <w:t>Term used: acquirer</w:t>
      </w:r>
      <w:bookmarkEnd w:id="932"/>
      <w:bookmarkEnd w:id="933"/>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934" w:name="_Toc201229140"/>
      <w:bookmarkStart w:id="935" w:name="_Toc182410205"/>
      <w:r>
        <w:rPr>
          <w:rStyle w:val="CharSectno"/>
        </w:rPr>
        <w:t>176</w:t>
      </w:r>
      <w:r>
        <w:t>.</w:t>
      </w:r>
      <w:r>
        <w:tab/>
        <w:t>When acquisition occurs</w:t>
      </w:r>
      <w:bookmarkEnd w:id="934"/>
      <w:bookmarkEnd w:id="935"/>
    </w:p>
    <w:p>
      <w:pPr>
        <w:pStyle w:val="Subsection"/>
      </w:pPr>
      <w:r>
        <w:tab/>
        <w:t>(1)</w:t>
      </w:r>
      <w:r>
        <w:tab/>
        <w:t>In making an assessment of duty in relation to an acquisition of an interest in an entity, the time when that acquisition occurs is, for the purposes of this Chapter but subject to section 173(4)(c) and 204G, to be determined under this section.</w:t>
      </w:r>
    </w:p>
    <w:p>
      <w:pPr>
        <w:pStyle w:val="Subsection"/>
      </w:pPr>
      <w:r>
        <w:tab/>
        <w:t>(2)</w:t>
      </w:r>
      <w:r>
        <w:tab/>
        <w:t xml:space="preserve">If an agreement is made for the making of the acquisition, whether conditional or not, and subsection (3) does not apply to the agreement — </w:t>
      </w:r>
    </w:p>
    <w:p>
      <w:pPr>
        <w:pStyle w:val="Indenta"/>
      </w:pPr>
      <w:r>
        <w:tab/>
        <w:t>(a)</w:t>
      </w:r>
      <w:r>
        <w:tab/>
        <w:t>the acquisition is taken to occur when the agreement is made; and</w:t>
      </w:r>
    </w:p>
    <w:p>
      <w:pPr>
        <w:pStyle w:val="Indenta"/>
      </w:pPr>
      <w:r>
        <w:tab/>
        <w:t>(b)</w:t>
      </w:r>
      <w:r>
        <w:tab/>
        <w:t>until the agreement is completed, the interests of persons in the entity are to be determined for the purposes of this Chapter as if the agreement had been completed.</w:t>
      </w:r>
    </w:p>
    <w:p>
      <w:pPr>
        <w:pStyle w:val="PermNoteHeading"/>
      </w:pPr>
      <w:r>
        <w:tab/>
        <w:t>Notes for this subsection:</w:t>
      </w:r>
    </w:p>
    <w:p>
      <w:pPr>
        <w:pStyle w:val="PermNoteText"/>
      </w:pPr>
      <w:r>
        <w:tab/>
        <w:t>1.</w:t>
      </w:r>
      <w:r>
        <w:tab/>
        <w:t>Section 195C provides for the assessment of duty if an agreement referred to in this subsection is terminated before the assessment is made.</w:t>
      </w:r>
    </w:p>
    <w:p>
      <w:pPr>
        <w:pStyle w:val="PermNoteText"/>
      </w:pPr>
      <w:r>
        <w:tab/>
        <w:t>2.</w:t>
      </w:r>
      <w:r>
        <w:tab/>
        <w:t>Section 196 provides for the reassessment of duty if an agreement referred to in this subsection is terminated after an assessment of duty is made.</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(3A)</w:t>
      </w:r>
      <w:r>
        <w:tab/>
        <w:t>If the acquisition results from a merger of corporations in accordance with section 160A, the acquisition occurs when the merger is completed.</w:t>
      </w:r>
    </w:p>
    <w:p>
      <w:pPr>
        <w:pStyle w:val="Subsection"/>
        <w:spacing w:before="120"/>
      </w:pPr>
      <w:r>
        <w:tab/>
        <w:t>(4)</w:t>
      </w:r>
      <w:r>
        <w:tab/>
        <w:t>If subsections (2), (3) and (3A) do not apply, the acquisition occurs when the interest to which it relates is acquired.</w:t>
      </w:r>
    </w:p>
    <w:p>
      <w:pPr>
        <w:pStyle w:val="Footnotesection"/>
      </w:pPr>
      <w:r>
        <w:tab/>
        <w:t>[Section 176 amended: No. 32 of 2012 s. 15; No. 1 of 2015 s. 26; No. 12 of 2019 s. 80.]</w:t>
      </w:r>
    </w:p>
    <w:p>
      <w:pPr>
        <w:pStyle w:val="Heading5"/>
        <w:keepNext w:val="0"/>
        <w:keepLines w:val="0"/>
        <w:spacing w:before="180"/>
      </w:pPr>
      <w:bookmarkStart w:id="936" w:name="_Toc201229141"/>
      <w:bookmarkStart w:id="937" w:name="_Toc182410206"/>
      <w:r>
        <w:rPr>
          <w:rStyle w:val="CharSectno"/>
        </w:rPr>
        <w:t>177</w:t>
      </w:r>
      <w:r>
        <w:t>.</w:t>
      </w:r>
      <w:r>
        <w:tab/>
        <w:t>Certain transactions to be treated as agreements</w:t>
      </w:r>
      <w:bookmarkEnd w:id="936"/>
      <w:bookmarkEnd w:id="937"/>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sections 154B and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keepNext/>
        <w:keepLines/>
      </w:pPr>
      <w:r>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pPr>
      <w:r>
        <w:tab/>
        <w:t>1.</w:t>
      </w:r>
      <w:r>
        <w:tab/>
        <w:t>Sections 195B and 195C provide for the assessment of duty if a deemed agreement is not completed.</w:t>
      </w:r>
    </w:p>
    <w:p>
      <w:pPr>
        <w:pStyle w:val="PermNoteText"/>
      </w:pPr>
      <w:r>
        <w:tab/>
        <w:t>2.</w:t>
      </w:r>
      <w:r>
        <w:tab/>
        <w:t>Sections 195 and 196 provide for the reassessment of duty if a deemed agreement is not completed.</w:t>
      </w:r>
    </w:p>
    <w:p>
      <w:pPr>
        <w:pStyle w:val="Footnotesection"/>
      </w:pPr>
      <w:r>
        <w:tab/>
        <w:t>[Section 177 amended: No. 12 of 2019 s. 81.]</w:t>
      </w:r>
    </w:p>
    <w:p>
      <w:pPr>
        <w:pStyle w:val="Heading5"/>
        <w:spacing w:before="240"/>
      </w:pPr>
      <w:bookmarkStart w:id="938" w:name="_Toc201229142"/>
      <w:bookmarkStart w:id="939" w:name="_Toc182410207"/>
      <w:r>
        <w:rPr>
          <w:rStyle w:val="CharSectno"/>
        </w:rPr>
        <w:t>178</w:t>
      </w:r>
      <w:r>
        <w:t>.</w:t>
      </w:r>
      <w:r>
        <w:tab/>
        <w:t>Exceptions to s. 177</w:t>
      </w:r>
      <w:bookmarkEnd w:id="938"/>
      <w:bookmarkEnd w:id="939"/>
    </w:p>
    <w:p>
      <w:pPr>
        <w:pStyle w:val="Subsection"/>
        <w:keepNext/>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rPr>
          <w:sz w:val="26"/>
        </w:rPr>
      </w:pPr>
      <w:bookmarkStart w:id="940" w:name="_Toc201218072"/>
      <w:bookmarkStart w:id="941" w:name="_Toc201224445"/>
      <w:bookmarkStart w:id="942" w:name="_Toc201229143"/>
      <w:bookmarkStart w:id="943" w:name="_Toc182388748"/>
      <w:bookmarkStart w:id="944" w:name="_Toc182389410"/>
      <w:bookmarkStart w:id="945" w:name="_Toc182410208"/>
      <w:r>
        <w:rPr>
          <w:sz w:val="26"/>
        </w:rPr>
        <w:t>Division 2 — Liability</w:t>
      </w:r>
      <w:bookmarkEnd w:id="940"/>
      <w:bookmarkEnd w:id="941"/>
      <w:bookmarkEnd w:id="942"/>
      <w:bookmarkEnd w:id="943"/>
      <w:bookmarkEnd w:id="944"/>
      <w:bookmarkEnd w:id="945"/>
    </w:p>
    <w:p>
      <w:pPr>
        <w:pStyle w:val="Heading5"/>
        <w:keepLines w:val="0"/>
      </w:pPr>
      <w:bookmarkStart w:id="946" w:name="_Toc201229144"/>
      <w:bookmarkStart w:id="947" w:name="_Toc182410209"/>
      <w:r>
        <w:rPr>
          <w:rStyle w:val="CharSectno"/>
        </w:rPr>
        <w:t>179</w:t>
      </w:r>
      <w:r>
        <w:t>.</w:t>
      </w:r>
      <w:r>
        <w:tab/>
        <w:t>Who is liable to pay duty</w:t>
      </w:r>
      <w:bookmarkEnd w:id="946"/>
      <w:bookmarkEnd w:id="947"/>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that is a related person in respect of the acquirer and has an interest in the landholder immediately after the relevant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No. 32 of 2012 s. 16; No. 12 of 2019 s. 82.]</w:t>
      </w:r>
    </w:p>
    <w:p>
      <w:pPr>
        <w:pStyle w:val="Heading5"/>
      </w:pPr>
      <w:bookmarkStart w:id="948" w:name="_Toc201229145"/>
      <w:bookmarkStart w:id="949" w:name="_Toc182410210"/>
      <w:r>
        <w:rPr>
          <w:rStyle w:val="CharSectno"/>
        </w:rPr>
        <w:t>180</w:t>
      </w:r>
      <w:r>
        <w:t>.</w:t>
      </w:r>
      <w:r>
        <w:tab/>
        <w:t>Application to Commissioner for determination of liability</w:t>
      </w:r>
      <w:bookmarkEnd w:id="948"/>
      <w:bookmarkEnd w:id="949"/>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is a related person in respect of a person referred to in paragraph (a) and has an interest in the entity immediately after the acquisition;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keepNext/>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Footnotesection"/>
      </w:pPr>
      <w:r>
        <w:tab/>
        <w:t>[Section 180 amended: No. 12 of 2019 s. 83.]</w:t>
      </w:r>
    </w:p>
    <w:p>
      <w:pPr>
        <w:pStyle w:val="Heading5"/>
        <w:spacing w:before="180"/>
      </w:pPr>
      <w:bookmarkStart w:id="950" w:name="_Toc201229146"/>
      <w:bookmarkStart w:id="951" w:name="_Toc182410211"/>
      <w:r>
        <w:rPr>
          <w:rStyle w:val="CharSectno"/>
        </w:rPr>
        <w:t>181</w:t>
      </w:r>
      <w:r>
        <w:t>.</w:t>
      </w:r>
      <w:r>
        <w:tab/>
        <w:t>Determination of s. 180 application</w:t>
      </w:r>
      <w:bookmarkEnd w:id="950"/>
      <w:bookmarkEnd w:id="951"/>
    </w:p>
    <w:p>
      <w:pPr>
        <w:pStyle w:val="Subsection"/>
        <w:keepNext/>
        <w:keepLines/>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952" w:name="_Toc201229147"/>
      <w:bookmarkStart w:id="953" w:name="_Toc182410212"/>
      <w:r>
        <w:rPr>
          <w:rStyle w:val="CharSectno"/>
        </w:rPr>
        <w:t>182</w:t>
      </w:r>
      <w:r>
        <w:t>.</w:t>
      </w:r>
      <w:r>
        <w:tab/>
        <w:t>Powers of Commissioner where further information required for determination of s. 180 application</w:t>
      </w:r>
      <w:bookmarkEnd w:id="952"/>
      <w:bookmarkEnd w:id="953"/>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954" w:name="_Toc201218077"/>
      <w:bookmarkStart w:id="955" w:name="_Toc201224450"/>
      <w:bookmarkStart w:id="956" w:name="_Toc201229148"/>
      <w:bookmarkStart w:id="957" w:name="_Toc182388753"/>
      <w:bookmarkStart w:id="958" w:name="_Toc182389415"/>
      <w:bookmarkStart w:id="959" w:name="_Toc182410213"/>
      <w:r>
        <w:rPr>
          <w:sz w:val="26"/>
        </w:rPr>
        <w:t>Division 3 — Payment of landholder duty</w:t>
      </w:r>
      <w:bookmarkEnd w:id="954"/>
      <w:bookmarkEnd w:id="955"/>
      <w:bookmarkEnd w:id="956"/>
      <w:bookmarkEnd w:id="957"/>
      <w:bookmarkEnd w:id="958"/>
      <w:bookmarkEnd w:id="959"/>
    </w:p>
    <w:p>
      <w:pPr>
        <w:pStyle w:val="Heading5"/>
      </w:pPr>
      <w:bookmarkStart w:id="960" w:name="_Toc201229149"/>
      <w:bookmarkStart w:id="961" w:name="_Toc182410214"/>
      <w:r>
        <w:rPr>
          <w:rStyle w:val="CharSectno"/>
        </w:rPr>
        <w:t>183</w:t>
      </w:r>
      <w:r>
        <w:t>.</w:t>
      </w:r>
      <w:r>
        <w:tab/>
        <w:t>When landholder duty must be paid</w:t>
      </w:r>
      <w:bookmarkEnd w:id="960"/>
      <w:bookmarkEnd w:id="961"/>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962" w:name="_Toc201218079"/>
      <w:bookmarkStart w:id="963" w:name="_Toc201224452"/>
      <w:bookmarkStart w:id="964" w:name="_Toc201229150"/>
      <w:bookmarkStart w:id="965" w:name="_Toc182388755"/>
      <w:bookmarkStart w:id="966" w:name="_Toc182389417"/>
      <w:bookmarkStart w:id="967" w:name="_Toc182410215"/>
      <w:r>
        <w:rPr>
          <w:sz w:val="26"/>
        </w:rPr>
        <w:t>Division 4 — Rates of landholder duty</w:t>
      </w:r>
      <w:bookmarkEnd w:id="962"/>
      <w:bookmarkEnd w:id="963"/>
      <w:bookmarkEnd w:id="964"/>
      <w:bookmarkEnd w:id="965"/>
      <w:bookmarkEnd w:id="966"/>
      <w:bookmarkEnd w:id="967"/>
    </w:p>
    <w:p>
      <w:pPr>
        <w:pStyle w:val="Heading5"/>
      </w:pPr>
      <w:bookmarkStart w:id="968" w:name="_Toc201229151"/>
      <w:bookmarkStart w:id="969" w:name="_Toc182410216"/>
      <w:r>
        <w:rPr>
          <w:rStyle w:val="CharSectno"/>
        </w:rPr>
        <w:t>184</w:t>
      </w:r>
      <w:r>
        <w:t>.</w:t>
      </w:r>
      <w:r>
        <w:tab/>
        <w:t>Rates of landholder duty</w:t>
      </w:r>
      <w:bookmarkEnd w:id="968"/>
      <w:bookmarkEnd w:id="969"/>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No. 32 of 2012 s. 17.]</w:t>
      </w:r>
    </w:p>
    <w:p>
      <w:pPr>
        <w:pStyle w:val="Heading4"/>
        <w:rPr>
          <w:sz w:val="26"/>
        </w:rPr>
      </w:pPr>
      <w:bookmarkStart w:id="970" w:name="_Toc201218081"/>
      <w:bookmarkStart w:id="971" w:name="_Toc201224454"/>
      <w:bookmarkStart w:id="972" w:name="_Toc201229152"/>
      <w:bookmarkStart w:id="973" w:name="_Toc182388757"/>
      <w:bookmarkStart w:id="974" w:name="_Toc182389419"/>
      <w:bookmarkStart w:id="975" w:name="_Toc182410217"/>
      <w:r>
        <w:rPr>
          <w:sz w:val="26"/>
        </w:rPr>
        <w:t>Division 5 — Calculation of landholder duty</w:t>
      </w:r>
      <w:bookmarkEnd w:id="970"/>
      <w:bookmarkEnd w:id="971"/>
      <w:bookmarkEnd w:id="972"/>
      <w:bookmarkEnd w:id="973"/>
      <w:bookmarkEnd w:id="974"/>
      <w:bookmarkEnd w:id="975"/>
    </w:p>
    <w:p>
      <w:pPr>
        <w:pStyle w:val="Heading5"/>
      </w:pPr>
      <w:bookmarkStart w:id="976" w:name="_Toc201229153"/>
      <w:bookmarkStart w:id="977" w:name="_Toc182410218"/>
      <w:r>
        <w:rPr>
          <w:rStyle w:val="CharSectno"/>
        </w:rPr>
        <w:t>185</w:t>
      </w:r>
      <w:r>
        <w:t>.</w:t>
      </w:r>
      <w:r>
        <w:tab/>
        <w:t>References to interest of acquirer in landholder</w:t>
      </w:r>
      <w:bookmarkEnd w:id="976"/>
      <w:bookmarkEnd w:id="977"/>
    </w:p>
    <w:p>
      <w:pPr>
        <w:pStyle w:val="Subsection"/>
      </w:pPr>
      <w:r>
        <w:tab/>
      </w:r>
      <w:r>
        <w:tab/>
        <w:t xml:space="preserve">A reference in this Division to the interest of the acquirer in a landholder after a relevant acquisition is to the aggregated interests, immediately after the relevant acquisition, of — </w:t>
      </w:r>
    </w:p>
    <w:p>
      <w:pPr>
        <w:pStyle w:val="Indenta"/>
      </w:pPr>
      <w:r>
        <w:tab/>
        <w:t>(a)</w:t>
      </w:r>
      <w:r>
        <w:tab/>
        <w:t xml:space="preserve">the acquirer; and </w:t>
      </w:r>
    </w:p>
    <w:p>
      <w:pPr>
        <w:pStyle w:val="Indenta"/>
      </w:pPr>
      <w:r>
        <w:tab/>
        <w:t>(b)</w:t>
      </w:r>
      <w:r>
        <w:tab/>
        <w:t>each person that is a related person in respect of the acquirer and has an interest in the landholder.</w:t>
      </w:r>
    </w:p>
    <w:p>
      <w:pPr>
        <w:pStyle w:val="Footnotesection"/>
      </w:pPr>
      <w:r>
        <w:tab/>
        <w:t>[Section 185 amended: No. 12 of 2019 s. 84.]</w:t>
      </w:r>
    </w:p>
    <w:p>
      <w:pPr>
        <w:pStyle w:val="Heading5"/>
      </w:pPr>
      <w:bookmarkStart w:id="978" w:name="_Toc201229154"/>
      <w:bookmarkStart w:id="979" w:name="_Toc182410219"/>
      <w:r>
        <w:rPr>
          <w:rStyle w:val="CharSectno"/>
        </w:rPr>
        <w:t>186</w:t>
      </w:r>
      <w:r>
        <w:t>.</w:t>
      </w:r>
      <w:r>
        <w:tab/>
        <w:t>Value of landholder</w:t>
      </w:r>
      <w:bookmarkEnd w:id="978"/>
      <w:bookmarkEnd w:id="979"/>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the unencumbered value of the land assets, chattels, or land assets and chattels, in Western Australia (whichever is relevant) to which the landholder is entitled; and</w:t>
      </w:r>
    </w:p>
    <w:p>
      <w:pPr>
        <w:pStyle w:val="Indenta"/>
      </w:pPr>
      <w:r>
        <w:tab/>
        <w:t>(b)</w:t>
      </w:r>
      <w:r>
        <w:tab/>
        <w:t>the same percentage of the unencumbered value of the land assets, chattels, or land assets and chattels, in Western Australia (whichever is relevant) to which any linked entity in respect of the landholder is entitled as the percentage of the landholder’s total direct or indirect interest in the linked entity calculated under section 154A.</w:t>
      </w:r>
    </w:p>
    <w:p>
      <w:pPr>
        <w:pStyle w:val="Ednotesubsection"/>
      </w:pPr>
      <w:r>
        <w:tab/>
        <w:t>[(2A)</w:t>
      </w:r>
      <w:r>
        <w:tab/>
        <w:t>deleted]</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No. 32 of 2012 s. 18; No. 12 of 2019 s. 85.]</w:t>
      </w:r>
    </w:p>
    <w:p>
      <w:pPr>
        <w:pStyle w:val="Heading5"/>
        <w:keepLines w:val="0"/>
      </w:pPr>
      <w:bookmarkStart w:id="980" w:name="_Toc201229155"/>
      <w:bookmarkStart w:id="981" w:name="_Toc182410220"/>
      <w:r>
        <w:rPr>
          <w:rStyle w:val="CharSectno"/>
        </w:rPr>
        <w:t>187</w:t>
      </w:r>
      <w:r>
        <w:t>.</w:t>
      </w:r>
      <w:r>
        <w:tab/>
        <w:t>Determining value of further interest for duty calculation</w:t>
      </w:r>
      <w:bookmarkEnd w:id="980"/>
      <w:bookmarkEnd w:id="981"/>
    </w:p>
    <w:p>
      <w:pPr>
        <w:pStyle w:val="Subsection"/>
        <w:keepNext/>
      </w:pPr>
      <w:r>
        <w:tab/>
        <w:t>(1)</w:t>
      </w:r>
      <w:r>
        <w:tab/>
        <w:t>This section applies where —</w:t>
      </w:r>
    </w:p>
    <w:p>
      <w:pPr>
        <w:pStyle w:val="Indenta"/>
      </w:pPr>
      <w:r>
        <w:tab/>
        <w:t>(a)</w:t>
      </w:r>
      <w:r>
        <w:tab/>
        <w:t>it is necessary to determine the value of an interest of an acquirer in a landholder after a relevant acquisition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No. 32 of 2012 s. 19; No. 12 of 2019 s. 86.]</w:t>
      </w:r>
    </w:p>
    <w:p>
      <w:pPr>
        <w:pStyle w:val="Heading5"/>
        <w:spacing w:before="180"/>
      </w:pPr>
      <w:bookmarkStart w:id="982" w:name="_Toc201229156"/>
      <w:bookmarkStart w:id="983" w:name="_Toc182410221"/>
      <w:r>
        <w:rPr>
          <w:rStyle w:val="CharSectno"/>
        </w:rPr>
        <w:t>188</w:t>
      </w:r>
      <w:r>
        <w:t>.</w:t>
      </w:r>
      <w:r>
        <w:tab/>
        <w:t>Calculating duty payable</w:t>
      </w:r>
      <w:bookmarkEnd w:id="982"/>
      <w:bookmarkEnd w:id="983"/>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No. 32 of 2012 s. 20.]</w:t>
      </w:r>
    </w:p>
    <w:p>
      <w:pPr>
        <w:pStyle w:val="Heading5"/>
      </w:pPr>
      <w:bookmarkStart w:id="984" w:name="_Toc201229157"/>
      <w:bookmarkStart w:id="985" w:name="_Toc182410222"/>
      <w:r>
        <w:rPr>
          <w:rStyle w:val="CharSectno"/>
        </w:rPr>
        <w:t>189</w:t>
      </w:r>
      <w:r>
        <w:t>.</w:t>
      </w:r>
      <w:r>
        <w:tab/>
        <w:t>Reduction for s. 188</w:t>
      </w:r>
      <w:bookmarkEnd w:id="984"/>
      <w:bookmarkEnd w:id="985"/>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after the relevant acquisition referred to in section 188, other than the interest acquired by that relevant acquisition,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or</w:t>
      </w:r>
    </w:p>
    <w:p>
      <w:pPr>
        <w:pStyle w:val="Indenta"/>
      </w:pPr>
      <w:r>
        <w:tab/>
        <w:t>(c)</w:t>
      </w:r>
      <w:r>
        <w:tab/>
        <w:t>an interest in the landholder concerned acquired by an acquisition if immediately before the acquisition neither the landholder nor a linked entity in respect of the landholder was entitled to land assets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163(1)(a) or (b);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No. 32 of 2012 s. 21; amended: No. 32 of 2012 s. 22; No. 12 of 2019 s. 87.]</w:t>
      </w:r>
    </w:p>
    <w:p>
      <w:pPr>
        <w:pStyle w:val="Ednotesection"/>
        <w:spacing w:before="160"/>
        <w:ind w:left="890" w:hanging="890"/>
      </w:pPr>
      <w:r>
        <w:t>[</w:t>
      </w:r>
      <w:r>
        <w:rPr>
          <w:b/>
        </w:rPr>
        <w:t>190</w:t>
      </w:r>
      <w:r>
        <w:rPr>
          <w:b/>
        </w:rPr>
        <w:noBreakHyphen/>
        <w:t>192.</w:t>
      </w:r>
      <w:r>
        <w:tab/>
        <w:t>Deleted: No. 32 of 2012 s. 21.]</w:t>
      </w:r>
    </w:p>
    <w:p>
      <w:pPr>
        <w:pStyle w:val="Heading5"/>
      </w:pPr>
      <w:bookmarkStart w:id="986" w:name="_Toc201229158"/>
      <w:bookmarkStart w:id="987" w:name="_Toc182410223"/>
      <w:r>
        <w:rPr>
          <w:rStyle w:val="CharSectno"/>
        </w:rPr>
        <w:t>193</w:t>
      </w:r>
      <w:r>
        <w:t>.</w:t>
      </w:r>
      <w:r>
        <w:tab/>
        <w:t>Calculation of duty where statement lodged under s. 201</w:t>
      </w:r>
      <w:bookmarkEnd w:id="986"/>
      <w:bookmarkEnd w:id="987"/>
    </w:p>
    <w:p>
      <w:pPr>
        <w:pStyle w:val="Subsection"/>
        <w:rPr>
          <w:bCs/>
        </w:rPr>
      </w:pPr>
      <w:r>
        <w:tab/>
        <w:t>(1)</w:t>
      </w:r>
      <w:r>
        <w:tab/>
        <w:t xml:space="preserve">This section applies to the calculation of duty if a statement is lodged under section 201(6) in respect of a relevant acquisition referred to in section 163(1)(c) or (d) that occurred during a period (a </w:t>
      </w:r>
      <w:r>
        <w:rPr>
          <w:rStyle w:val="CharDefText"/>
        </w:rPr>
        <w:t>relevant period</w:t>
      </w:r>
      <w:r>
        <w:rPr>
          <w:bCs/>
        </w:rPr>
        <w:t>) provided for by an approval under section 201(2).</w:t>
      </w:r>
    </w:p>
    <w:p>
      <w:pPr>
        <w:pStyle w:val="Subsection"/>
      </w:pPr>
      <w:r>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Footnotesection"/>
        <w:ind w:left="890" w:hanging="890"/>
      </w:pPr>
      <w:r>
        <w:tab/>
        <w:t>[Section 193 amended: No. 12 of 2019 s. 88.]</w:t>
      </w:r>
    </w:p>
    <w:p>
      <w:pPr>
        <w:pStyle w:val="Heading5"/>
        <w:spacing w:before="240"/>
      </w:pPr>
      <w:bookmarkStart w:id="988" w:name="_Toc201229159"/>
      <w:bookmarkStart w:id="989" w:name="_Toc182410224"/>
      <w:r>
        <w:rPr>
          <w:rStyle w:val="CharSectno"/>
        </w:rPr>
        <w:t>194</w:t>
      </w:r>
      <w:r>
        <w:t>.</w:t>
      </w:r>
      <w:r>
        <w:tab/>
        <w:t>Calculation of duty on certain acquisitions on winding up of corporation or unit trust scheme</w:t>
      </w:r>
      <w:bookmarkEnd w:id="988"/>
      <w:bookmarkEnd w:id="989"/>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Next/>
        <w:keepLines/>
        <w:spacing w:before="180"/>
      </w:pPr>
      <w:r>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keepNext/>
      </w:pPr>
      <w:r>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2</w:t>
      </w:r>
      <w:r>
        <w:t xml:space="preserve"> amended: No. 29 of 2012 s. 5.]</w:t>
      </w:r>
    </w:p>
    <w:p>
      <w:pPr>
        <w:pStyle w:val="Heading4"/>
        <w:rPr>
          <w:sz w:val="26"/>
          <w:szCs w:val="26"/>
        </w:rPr>
      </w:pPr>
      <w:bookmarkStart w:id="990" w:name="_Toc201218089"/>
      <w:bookmarkStart w:id="991" w:name="_Toc201224462"/>
      <w:bookmarkStart w:id="992" w:name="_Toc201229160"/>
      <w:bookmarkStart w:id="993" w:name="_Toc182388765"/>
      <w:bookmarkStart w:id="994" w:name="_Toc182389427"/>
      <w:bookmarkStart w:id="995" w:name="_Toc182410225"/>
      <w:r>
        <w:rPr>
          <w:sz w:val="26"/>
          <w:szCs w:val="26"/>
        </w:rPr>
        <w:t>Division 6A — Interim assessment of landholder duty</w:t>
      </w:r>
      <w:bookmarkEnd w:id="990"/>
      <w:bookmarkEnd w:id="991"/>
      <w:bookmarkEnd w:id="992"/>
      <w:bookmarkEnd w:id="993"/>
      <w:bookmarkEnd w:id="994"/>
      <w:bookmarkEnd w:id="995"/>
    </w:p>
    <w:p>
      <w:pPr>
        <w:pStyle w:val="Footnoteheading"/>
        <w:keepNext/>
      </w:pPr>
      <w:r>
        <w:tab/>
        <w:t>[Heading inserted: No. 10 of 2013 s. 6.]</w:t>
      </w:r>
    </w:p>
    <w:p>
      <w:pPr>
        <w:pStyle w:val="Heading5"/>
        <w:spacing w:before="240"/>
      </w:pPr>
      <w:bookmarkStart w:id="996" w:name="_Toc201229161"/>
      <w:bookmarkStart w:id="997" w:name="_Toc182410226"/>
      <w:r>
        <w:rPr>
          <w:rStyle w:val="CharSectno"/>
        </w:rPr>
        <w:t>195A</w:t>
      </w:r>
      <w:r>
        <w:t>.</w:t>
      </w:r>
      <w:r>
        <w:tab/>
        <w:t>Interim assessment of landholder duty</w:t>
      </w:r>
      <w:bookmarkEnd w:id="996"/>
      <w:bookmarkEnd w:id="997"/>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or agreement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or agreement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or agreement ought to have been lodged is the last day of the period within which the statement or agreement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assets or chattels to which section 186(1) applies; or</w:t>
      </w:r>
    </w:p>
    <w:p>
      <w:pPr>
        <w:pStyle w:val="Indenta"/>
        <w:keepNext/>
      </w:pPr>
      <w:r>
        <w:tab/>
        <w:t>(b)</w:t>
      </w:r>
      <w:r>
        <w:tab/>
        <w:t>only a portion of the value of particular land assets or chattels to which section 186(1) applies.</w:t>
      </w:r>
    </w:p>
    <w:p>
      <w:pPr>
        <w:pStyle w:val="Footnotesection"/>
        <w:ind w:left="890" w:hanging="890"/>
      </w:pPr>
      <w:r>
        <w:tab/>
        <w:t>[Section 195A inserted: No. 10 of 2013 s. 6; amended: No. 12 of 2019 s. 89.]</w:t>
      </w:r>
    </w:p>
    <w:p>
      <w:pPr>
        <w:pStyle w:val="Heading4"/>
      </w:pPr>
      <w:bookmarkStart w:id="998" w:name="_Toc201218091"/>
      <w:bookmarkStart w:id="999" w:name="_Toc201224464"/>
      <w:bookmarkStart w:id="1000" w:name="_Toc201229162"/>
      <w:bookmarkStart w:id="1001" w:name="_Toc182388767"/>
      <w:bookmarkStart w:id="1002" w:name="_Toc182389429"/>
      <w:bookmarkStart w:id="1003" w:name="_Toc182410227"/>
      <w:r>
        <w:rPr>
          <w:sz w:val="26"/>
        </w:rPr>
        <w:t>Division 6 — Assessment or reassessment of liability for landholder duty if uncompleted agreements terminated or completed</w:t>
      </w:r>
      <w:bookmarkEnd w:id="998"/>
      <w:bookmarkEnd w:id="999"/>
      <w:bookmarkEnd w:id="1000"/>
      <w:bookmarkEnd w:id="1001"/>
      <w:bookmarkEnd w:id="1002"/>
      <w:bookmarkEnd w:id="1003"/>
    </w:p>
    <w:p>
      <w:pPr>
        <w:pStyle w:val="Footnoteheading"/>
      </w:pPr>
      <w:r>
        <w:tab/>
        <w:t>[Heading inserted: No. 12 of 2019 s. 90.]</w:t>
      </w:r>
    </w:p>
    <w:p>
      <w:pPr>
        <w:pStyle w:val="Heading5"/>
      </w:pPr>
      <w:bookmarkStart w:id="1004" w:name="_Toc201229163"/>
      <w:bookmarkStart w:id="1005" w:name="_Toc182410228"/>
      <w:r>
        <w:rPr>
          <w:rStyle w:val="CharSectno"/>
        </w:rPr>
        <w:t>195B</w:t>
      </w:r>
      <w:r>
        <w:t>.</w:t>
      </w:r>
      <w:r>
        <w:tab/>
        <w:t>Assessment of duty where s. 149(1) or 154B applied at acquisition time</w:t>
      </w:r>
      <w:bookmarkEnd w:id="1004"/>
      <w:bookmarkEnd w:id="1005"/>
    </w:p>
    <w:p>
      <w:pPr>
        <w:pStyle w:val="Subsection"/>
      </w:pPr>
      <w:r>
        <w:tab/>
        <w:t>(1)</w:t>
      </w:r>
      <w:r>
        <w:tab/>
        <w:t xml:space="preserve">Subsection (2)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149(1)(a) applies in determining the entitlement to land assets, chattels, or land assets and chattels, of the main entity or a linked entity in respect of the main entity; or</w:t>
      </w:r>
    </w:p>
    <w:p>
      <w:pPr>
        <w:pStyle w:val="Indenti"/>
      </w:pPr>
      <w:r>
        <w:tab/>
        <w:t>(ii)</w:t>
      </w:r>
      <w:r>
        <w:tab/>
        <w:t>there is an agreement to which section 154B(a)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has been rescinded, annulled or otherwise terminated without being completed.</w:t>
      </w:r>
    </w:p>
    <w:p>
      <w:pPr>
        <w:pStyle w:val="Subsection"/>
      </w:pPr>
      <w:r>
        <w:tab/>
        <w:t>(2)</w:t>
      </w:r>
      <w:r>
        <w:tab/>
        <w:t>Section 149(1)(a) or 154B(a) (whichever is relevant) applies to the agreement for the purposes of making an assessment in relation to the main acquisition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keepNext/>
      </w:pPr>
      <w:r>
        <w:tab/>
        <w:t>(3)</w:t>
      </w:r>
      <w:r>
        <w:tab/>
        <w:t xml:space="preserve">Subsection (4)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149(1)(b) applies in determining the entitlement to land assets, chattels, or land assets and chattels, of the main entity or a linked entity in respect of the main entity; or</w:t>
      </w:r>
    </w:p>
    <w:p>
      <w:pPr>
        <w:pStyle w:val="Indenti"/>
      </w:pPr>
      <w:r>
        <w:tab/>
        <w:t>(ii)</w:t>
      </w:r>
      <w:r>
        <w:tab/>
        <w:t>there is an agreement to which section 154B(b)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is completed.</w:t>
      </w:r>
    </w:p>
    <w:p>
      <w:pPr>
        <w:pStyle w:val="Subsection"/>
      </w:pPr>
      <w:r>
        <w:tab/>
        <w:t>(4)</w:t>
      </w:r>
      <w:r>
        <w:tab/>
        <w:t>Despite section 149(1)(b) or 154B(b) (whichever is relevant), the agreement is not to be disregarded for the purposes of making an assessment in relation to the main acquisition.</w:t>
      </w:r>
    </w:p>
    <w:p>
      <w:pPr>
        <w:pStyle w:val="Footnotesection"/>
        <w:ind w:left="890" w:hanging="890"/>
      </w:pPr>
      <w:r>
        <w:tab/>
        <w:t>[Section 195B inserted: No. 12 of 2019 s. 91.]</w:t>
      </w:r>
    </w:p>
    <w:p>
      <w:pPr>
        <w:pStyle w:val="Heading5"/>
      </w:pPr>
      <w:bookmarkStart w:id="1006" w:name="_Toc201229164"/>
      <w:bookmarkStart w:id="1007" w:name="_Toc182410229"/>
      <w:r>
        <w:rPr>
          <w:rStyle w:val="CharSectno"/>
        </w:rPr>
        <w:t>195C</w:t>
      </w:r>
      <w:r>
        <w:t>.</w:t>
      </w:r>
      <w:r>
        <w:tab/>
        <w:t>Assessment of duty where s. 176(2) applied at acquisition time</w:t>
      </w:r>
      <w:bookmarkEnd w:id="1006"/>
      <w:bookmarkEnd w:id="1007"/>
    </w:p>
    <w:p>
      <w:pPr>
        <w:pStyle w:val="Subsection"/>
      </w:pPr>
      <w:r>
        <w:tab/>
        <w:t>(1)</w:t>
      </w:r>
      <w:r>
        <w:tab/>
        <w:t xml:space="preserve">This section applies if — </w:t>
      </w:r>
    </w:p>
    <w:p>
      <w:pPr>
        <w:pStyle w:val="Indenta"/>
      </w:pPr>
      <w:r>
        <w:tab/>
        <w:t>(a)</w:t>
      </w:r>
      <w:r>
        <w:tab/>
        <w:t>under section 176(2), an acquisition is taken to occur when the agreement for the acquisition is made; and</w:t>
      </w:r>
    </w:p>
    <w:p>
      <w:pPr>
        <w:pStyle w:val="Indenta"/>
      </w:pPr>
      <w:r>
        <w:tab/>
        <w:t>(b)</w:t>
      </w:r>
      <w:r>
        <w:tab/>
        <w:t>after the agreement is made but before an assessment is made in relation to the acquisition, the agreement has been rescinded, annulled or otherwise terminated without being completed.</w:t>
      </w:r>
    </w:p>
    <w:p>
      <w:pPr>
        <w:pStyle w:val="Subsection"/>
      </w:pPr>
      <w:r>
        <w:tab/>
        <w:t>(2)</w:t>
      </w:r>
      <w:r>
        <w:tab/>
        <w:t>Section 176(2) applies to the terminated agreement,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If the Commissioner is satisfied as described in subsection (2), section 176(2) ceases to apply to the terminated agreement.</w:t>
      </w:r>
    </w:p>
    <w:p>
      <w:pPr>
        <w:pStyle w:val="Footnotesection"/>
        <w:ind w:left="890" w:hanging="890"/>
      </w:pPr>
      <w:r>
        <w:tab/>
        <w:t>[Section 195C inserted: No. 12 of 2019 s. 91.]</w:t>
      </w:r>
    </w:p>
    <w:p>
      <w:pPr>
        <w:pStyle w:val="Heading5"/>
        <w:spacing w:before="240"/>
      </w:pPr>
      <w:bookmarkStart w:id="1008" w:name="_Toc201229165"/>
      <w:bookmarkStart w:id="1009" w:name="_Toc182410230"/>
      <w:r>
        <w:rPr>
          <w:rStyle w:val="CharSectno"/>
        </w:rPr>
        <w:t>195</w:t>
      </w:r>
      <w:r>
        <w:t>.</w:t>
      </w:r>
      <w:r>
        <w:tab/>
        <w:t>Reassessment of duty where s. 149(1) or 154B applied</w:t>
      </w:r>
      <w:bookmarkEnd w:id="1008"/>
      <w:bookmarkEnd w:id="1009"/>
    </w:p>
    <w:p>
      <w:pPr>
        <w:pStyle w:val="Subsection"/>
        <w:keepNext/>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assets, chattels, or land assets and chattels has, under section 149(1)(a), been regarded as having been completed; or</w:t>
      </w:r>
    </w:p>
    <w:p>
      <w:pPr>
        <w:pStyle w:val="Indenti"/>
      </w:pPr>
      <w:r>
        <w:tab/>
        <w:t>(ii)</w:t>
      </w:r>
      <w:r>
        <w:tab/>
        <w:t>an agreement to acquire an interest in an entity has, under section 154B(a),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spacing w:before="180"/>
      </w:pPr>
      <w:r>
        <w:tab/>
        <w:t>(2)</w:t>
      </w:r>
      <w:r>
        <w:tab/>
        <w:t xml:space="preserve">A reassessment of duty in respect of a relevant acquisition is also required if — </w:t>
      </w:r>
    </w:p>
    <w:p>
      <w:pPr>
        <w:pStyle w:val="Indenta"/>
        <w:keepNext/>
      </w:pPr>
      <w:r>
        <w:tab/>
        <w:t>(a)</w:t>
      </w:r>
      <w:r>
        <w:tab/>
        <w:t xml:space="preserve">for the purposes of an assessment — </w:t>
      </w:r>
    </w:p>
    <w:p>
      <w:pPr>
        <w:pStyle w:val="Indenti"/>
      </w:pPr>
      <w:r>
        <w:tab/>
        <w:t>(i)</w:t>
      </w:r>
      <w:r>
        <w:tab/>
        <w:t>an agreement to dispose of an interest in land assets, chattels, or land assets and chattels has, under section 149(1)(b), been disregarded; or</w:t>
      </w:r>
    </w:p>
    <w:p>
      <w:pPr>
        <w:pStyle w:val="Indenti"/>
      </w:pPr>
      <w:r>
        <w:tab/>
        <w:t>(ii)</w:t>
      </w:r>
      <w:r>
        <w:tab/>
        <w:t>an agreement to dispose of an interest in an entity has, under section 154B(b),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No. 1 of 2015 s. 27; No. 12 of 2019 s. 92.]</w:t>
      </w:r>
    </w:p>
    <w:p>
      <w:pPr>
        <w:pStyle w:val="Heading5"/>
      </w:pPr>
      <w:bookmarkStart w:id="1010" w:name="_Toc201229166"/>
      <w:bookmarkStart w:id="1011" w:name="_Toc182410231"/>
      <w:r>
        <w:rPr>
          <w:rStyle w:val="CharSectno"/>
        </w:rPr>
        <w:t>196</w:t>
      </w:r>
      <w:r>
        <w:t>.</w:t>
      </w:r>
      <w:r>
        <w:tab/>
        <w:t>Reassessment of duty where s. 176(2) applied</w:t>
      </w:r>
      <w:bookmarkEnd w:id="1010"/>
      <w:bookmarkEnd w:id="1011"/>
    </w:p>
    <w:p>
      <w:pPr>
        <w:pStyle w:val="Subsection"/>
        <w:keepNext/>
      </w:pPr>
      <w:r>
        <w:tab/>
        <w:t>(1)</w:t>
      </w:r>
      <w:r>
        <w:tab/>
        <w:t xml:space="preserve">A reassessment of duty in respect of a relevant acquisition is required if — </w:t>
      </w:r>
    </w:p>
    <w:p>
      <w:pPr>
        <w:pStyle w:val="Indenta"/>
      </w:pPr>
      <w:r>
        <w:tab/>
        <w:t>(a)</w:t>
      </w:r>
      <w:r>
        <w:tab/>
        <w:t>an assessment of duty is made on an acquisition that, under section 176(2), is taken to have occurred when the agreement for the acquisition was made; and</w:t>
      </w:r>
    </w:p>
    <w:p>
      <w:pPr>
        <w:pStyle w:val="Indenta"/>
      </w:pPr>
      <w:r>
        <w:tab/>
        <w:t>(b)</w:t>
      </w:r>
      <w:r>
        <w:tab/>
        <w:t>since that assessment, the agreement has been rescinded, annulled or otherwise terminated without being completed; and</w:t>
      </w:r>
    </w:p>
    <w:p>
      <w:pPr>
        <w:pStyle w:val="Indenta"/>
      </w:pPr>
      <w:r>
        <w:tab/>
        <w:t>(c)</w:t>
      </w:r>
      <w:r>
        <w:tab/>
        <w:t>had the acquisition not been taken to have occurred when the agreement for the acquisition was made as mentioned in paragraph (a), the liability for duty in respect of the relevant acquisition would not have arisen.</w:t>
      </w:r>
    </w:p>
    <w:p>
      <w:pPr>
        <w:pStyle w:val="Subsection"/>
      </w:pPr>
      <w:r>
        <w:tab/>
        <w:t>(2)</w:t>
      </w:r>
      <w:r>
        <w:tab/>
        <w:t>On application made by a person that has paid or is liable to pay the duty, if subsection (1) applies, the Commissioner is to make a reassessment of the duty disregarding that terminated agreement.</w:t>
      </w:r>
    </w:p>
    <w:p>
      <w:pPr>
        <w:pStyle w:val="Subsection"/>
      </w:pPr>
      <w:r>
        <w:tab/>
        <w:t>(3)</w:t>
      </w:r>
      <w:r>
        <w:tab/>
        <w:t>Section 176(2) does not apply to a terminated agreement for the purposes of a reassessment required under subsection (1).</w:t>
      </w:r>
    </w:p>
    <w:p>
      <w:pPr>
        <w:pStyle w:val="Footnotesection"/>
      </w:pPr>
      <w:r>
        <w:tab/>
        <w:t>[Section 196 inserted: No. 12 of 2019 s. 93.]</w:t>
      </w:r>
    </w:p>
    <w:p>
      <w:pPr>
        <w:pStyle w:val="Heading5"/>
        <w:spacing w:before="240"/>
      </w:pPr>
      <w:bookmarkStart w:id="1012" w:name="_Toc201229167"/>
      <w:bookmarkStart w:id="1013" w:name="_Toc182410232"/>
      <w:r>
        <w:rPr>
          <w:rStyle w:val="CharSectno"/>
        </w:rPr>
        <w:t>197</w:t>
      </w:r>
      <w:r>
        <w:t>.</w:t>
      </w:r>
      <w:r>
        <w:tab/>
        <w:t>Condition precedent to reassessment under s. 195 or 196</w:t>
      </w:r>
      <w:bookmarkEnd w:id="1012"/>
      <w:bookmarkEnd w:id="1013"/>
    </w:p>
    <w:p>
      <w:pPr>
        <w:pStyle w:val="Subsection"/>
      </w:pPr>
      <w:r>
        <w:tab/>
      </w:r>
      <w:r>
        <w:tab/>
        <w:t>Despite section 195(3)(a) or 196(2),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Footnotesection"/>
      </w:pPr>
      <w:r>
        <w:tab/>
        <w:t>[Section 197 amended: No. 12 of 2019 s. 94.]</w:t>
      </w:r>
    </w:p>
    <w:p>
      <w:pPr>
        <w:pStyle w:val="Heading5"/>
      </w:pPr>
      <w:bookmarkStart w:id="1014" w:name="_Toc201229168"/>
      <w:bookmarkStart w:id="1015" w:name="_Toc182410233"/>
      <w:r>
        <w:rPr>
          <w:rStyle w:val="CharSectno"/>
        </w:rPr>
        <w:t>197A</w:t>
      </w:r>
      <w:r>
        <w:t>.</w:t>
      </w:r>
      <w:r>
        <w:tab/>
        <w:t>Expired put and call options taken to be terminated</w:t>
      </w:r>
      <w:bookmarkEnd w:id="1014"/>
      <w:bookmarkEnd w:id="1015"/>
    </w:p>
    <w:p>
      <w:pPr>
        <w:pStyle w:val="Subsection"/>
      </w:pPr>
      <w:r>
        <w:tab/>
        <w:t>(1)</w:t>
      </w:r>
      <w:r>
        <w:tab/>
        <w:t xml:space="preserve">In this section — </w:t>
      </w:r>
    </w:p>
    <w:p>
      <w:pPr>
        <w:pStyle w:val="Defstart"/>
      </w:pPr>
      <w:r>
        <w:tab/>
      </w:r>
      <w:r>
        <w:rPr>
          <w:rStyle w:val="CharDefText"/>
        </w:rPr>
        <w:t>call option</w:t>
      </w:r>
      <w:r>
        <w:t xml:space="preserve"> means the call option of a simultaneous put and call option referred to in section 177(2) or (3);</w:t>
      </w:r>
    </w:p>
    <w:p>
      <w:pPr>
        <w:pStyle w:val="Defstart"/>
      </w:pPr>
      <w:r>
        <w:tab/>
      </w:r>
      <w:r>
        <w:rPr>
          <w:rStyle w:val="CharDefText"/>
        </w:rPr>
        <w:t>put option</w:t>
      </w:r>
      <w:r>
        <w:t xml:space="preserve"> means the put option of a simultaneous put and call option referred to in section 177(2) or (3).</w:t>
      </w:r>
    </w:p>
    <w:p>
      <w:pPr>
        <w:pStyle w:val="Subsection"/>
      </w:pPr>
      <w:r>
        <w:tab/>
        <w:t>(2)</w:t>
      </w:r>
      <w:r>
        <w:tab/>
        <w:t xml:space="preserve">For the purposes of this Division and section 200, an agreement that is taken to exist under section 177(2) or (3) is taken to be terminated without being completed if — </w:t>
      </w:r>
    </w:p>
    <w:p>
      <w:pPr>
        <w:pStyle w:val="Indenta"/>
      </w:pPr>
      <w:r>
        <w:tab/>
        <w:t>(a)</w:t>
      </w:r>
      <w:r>
        <w:tab/>
        <w:t>the call option and the put option both expire without being exercised; or</w:t>
      </w:r>
    </w:p>
    <w:p>
      <w:pPr>
        <w:pStyle w:val="Indenta"/>
      </w:pPr>
      <w:r>
        <w:tab/>
        <w:t>(b)</w:t>
      </w:r>
      <w:r>
        <w:tab/>
        <w:t>the call option and the put option are both rescinded or cancelled by agreement; or</w:t>
      </w:r>
    </w:p>
    <w:p>
      <w:pPr>
        <w:pStyle w:val="Indenta"/>
      </w:pPr>
      <w:r>
        <w:tab/>
        <w:t>(c)</w:t>
      </w:r>
      <w:r>
        <w:tab/>
        <w:t>either the call option or the put option is rescinded or cancelled by agreement and the other expires without being exercised.</w:t>
      </w:r>
    </w:p>
    <w:p>
      <w:pPr>
        <w:pStyle w:val="Subsection"/>
      </w:pPr>
      <w:r>
        <w:tab/>
        <w:t>(3)</w:t>
      </w:r>
      <w:r>
        <w:tab/>
        <w:t>Subsection (2) does not apply if the call option has been assigned or further assigned as referred to in section 177(3).</w:t>
      </w:r>
    </w:p>
    <w:p>
      <w:pPr>
        <w:pStyle w:val="Subsection"/>
      </w:pPr>
      <w:r>
        <w:tab/>
        <w:t>(4)</w:t>
      </w:r>
      <w:r>
        <w:tab/>
        <w:t>If a reassessment is required under section 195 or 196 as a result of an agreement that was taken to exist under section 177(2) or (3) being taken to be terminated under subsection (2) of this section, the Taxation Administration Act section 17 applies as if the original assessment had been made as soon as subsection (2) of this section became applicable.</w:t>
      </w:r>
    </w:p>
    <w:p>
      <w:pPr>
        <w:pStyle w:val="Footnotesection"/>
      </w:pPr>
      <w:r>
        <w:tab/>
        <w:t>[Section 197A inserted: No. 12 of 2019 s. 95.]</w:t>
      </w:r>
    </w:p>
    <w:p>
      <w:pPr>
        <w:pStyle w:val="Heading5"/>
        <w:spacing w:before="180"/>
      </w:pPr>
      <w:bookmarkStart w:id="1016" w:name="_Toc201229169"/>
      <w:bookmarkStart w:id="1017" w:name="_Toc182410234"/>
      <w:r>
        <w:rPr>
          <w:rStyle w:val="CharSectno"/>
        </w:rPr>
        <w:t>198</w:t>
      </w:r>
      <w:r>
        <w:t>.</w:t>
      </w:r>
      <w:r>
        <w:tab/>
      </w:r>
      <w:r>
        <w:rPr>
          <w:iCs/>
        </w:rPr>
        <w:t>Taxation Administration Act</w:t>
      </w:r>
      <w:r>
        <w:t xml:space="preserve"> not affected</w:t>
      </w:r>
      <w:bookmarkEnd w:id="1016"/>
      <w:bookmarkEnd w:id="1017"/>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1018" w:name="_Toc201218099"/>
      <w:bookmarkStart w:id="1019" w:name="_Toc201224472"/>
      <w:bookmarkStart w:id="1020" w:name="_Toc201229170"/>
      <w:bookmarkStart w:id="1021" w:name="_Toc182388775"/>
      <w:bookmarkStart w:id="1022" w:name="_Toc182389437"/>
      <w:bookmarkStart w:id="1023" w:name="_Toc182410235"/>
      <w:r>
        <w:rPr>
          <w:sz w:val="26"/>
        </w:rPr>
        <w:t>Division 7 — Lodgment of statements</w:t>
      </w:r>
      <w:bookmarkEnd w:id="1018"/>
      <w:bookmarkEnd w:id="1019"/>
      <w:bookmarkEnd w:id="1020"/>
      <w:bookmarkEnd w:id="1021"/>
      <w:bookmarkEnd w:id="1022"/>
      <w:bookmarkEnd w:id="1023"/>
    </w:p>
    <w:p>
      <w:pPr>
        <w:pStyle w:val="Heading5"/>
        <w:spacing w:before="180"/>
      </w:pPr>
      <w:bookmarkStart w:id="1024" w:name="_Toc201229171"/>
      <w:bookmarkStart w:id="1025" w:name="_Toc182410236"/>
      <w:r>
        <w:rPr>
          <w:rStyle w:val="CharSectno"/>
        </w:rPr>
        <w:t>199</w:t>
      </w:r>
      <w:r>
        <w:t>.</w:t>
      </w:r>
      <w:r>
        <w:tab/>
        <w:t>Term used: acquisition statement</w:t>
      </w:r>
      <w:bookmarkEnd w:id="1024"/>
      <w:bookmarkEnd w:id="1025"/>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spacing w:before="180"/>
      </w:pPr>
      <w:bookmarkStart w:id="1026" w:name="_Toc201229172"/>
      <w:bookmarkStart w:id="1027" w:name="_Toc182410237"/>
      <w:r>
        <w:rPr>
          <w:rStyle w:val="CharSectno"/>
        </w:rPr>
        <w:t>200</w:t>
      </w:r>
      <w:r>
        <w:t>.</w:t>
      </w:r>
      <w:r>
        <w:tab/>
        <w:t>Acquisition statement or agreement to be lodged</w:t>
      </w:r>
      <w:bookmarkEnd w:id="1026"/>
      <w:bookmarkEnd w:id="1027"/>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 or</w:t>
      </w:r>
    </w:p>
    <w:p>
      <w:pPr>
        <w:pStyle w:val="Indenta"/>
      </w:pPr>
      <w:r>
        <w:tab/>
        <w:t>(c)</w:t>
      </w:r>
      <w:r>
        <w:tab/>
        <w:t>the agreement for the making of the acquisition has been lodged in accordance with subsection (2A).</w:t>
      </w:r>
    </w:p>
    <w:p>
      <w:pPr>
        <w:pStyle w:val="Subsection"/>
      </w:pPr>
      <w:r>
        <w:tab/>
        <w:t>(2A)</w:t>
      </w:r>
      <w:r>
        <w:tab/>
        <w:t>If there is an agreement for the making of the acquisition, the agreement may be lodged instead of an acquisition statement.</w:t>
      </w:r>
    </w:p>
    <w:p>
      <w:pPr>
        <w:pStyle w:val="Subsection"/>
      </w:pPr>
      <w:r>
        <w:tab/>
        <w:t>(3)</w:t>
      </w:r>
      <w:r>
        <w:tab/>
        <w:t>An acquisition statement under subsection (2) or agreement under subsection (2A)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or agreement under this section, and may do so on such conditions as the Commissioner thinks fit.</w:t>
      </w:r>
    </w:p>
    <w:p>
      <w:pPr>
        <w:pStyle w:val="Subsection"/>
      </w:pPr>
      <w:r>
        <w:tab/>
        <w:t>(5)</w:t>
      </w:r>
      <w:r>
        <w:tab/>
        <w:t xml:space="preserve">An application under subsection (4) in respect of an acquisition statement or agreement must be made — </w:t>
      </w:r>
    </w:p>
    <w:p>
      <w:pPr>
        <w:pStyle w:val="Indenta"/>
      </w:pPr>
      <w:r>
        <w:tab/>
        <w:t>(a)</w:t>
      </w:r>
      <w:r>
        <w:tab/>
        <w:t>before the expiry of the allowed time applicable to the statement or agreement; and</w:t>
      </w:r>
    </w:p>
    <w:p>
      <w:pPr>
        <w:pStyle w:val="Indenta"/>
      </w:pPr>
      <w:r>
        <w:tab/>
        <w:t>(b)</w:t>
      </w:r>
      <w:r>
        <w:tab/>
        <w:t>in the approved form.</w:t>
      </w:r>
    </w:p>
    <w:p>
      <w:pPr>
        <w:pStyle w:val="Subsection"/>
        <w:keepNext/>
        <w:keepLines/>
      </w:pPr>
      <w:r>
        <w:tab/>
        <w:t>(6)</w:t>
      </w:r>
      <w:r>
        <w:tab/>
        <w:t>The obligation to lodge an acquisition statement under subsection (2) or agreement under subsection (2A) applies in relation to an acquisition even if the agreement for the making of the acquisition has been rescinded, annulled or otherwise terminated without being completed, whether that rescission, annulment or termination occurs before or after the expiry of the allowed time applicable to the statement or agreement.</w:t>
      </w:r>
    </w:p>
    <w:p>
      <w:pPr>
        <w:pStyle w:val="Footnotesection"/>
      </w:pPr>
      <w:r>
        <w:tab/>
        <w:t>[Section 200 amended: No. 12 of 2019 s. 96.]</w:t>
      </w:r>
    </w:p>
    <w:p>
      <w:pPr>
        <w:pStyle w:val="Heading5"/>
      </w:pPr>
      <w:bookmarkStart w:id="1028" w:name="_Toc201229173"/>
      <w:bookmarkStart w:id="1029" w:name="_Toc182410238"/>
      <w:r>
        <w:rPr>
          <w:rStyle w:val="CharSectno"/>
        </w:rPr>
        <w:t>201</w:t>
      </w:r>
      <w:r>
        <w:t>.</w:t>
      </w:r>
      <w:r>
        <w:tab/>
        <w:t>Acquisition of further interests, lodgment of periodical statements may be approved</w:t>
      </w:r>
      <w:bookmarkEnd w:id="1028"/>
      <w:bookmarkEnd w:id="1029"/>
    </w:p>
    <w:p>
      <w:pPr>
        <w:pStyle w:val="Subsection"/>
        <w:keepNext/>
      </w:pPr>
      <w:r>
        <w:tab/>
        <w:t>(1)</w:t>
      </w:r>
      <w:r>
        <w:tab/>
        <w:t xml:space="preserve">This section applies where — </w:t>
      </w:r>
    </w:p>
    <w:p>
      <w:pPr>
        <w:pStyle w:val="Indenta"/>
      </w:pPr>
      <w:r>
        <w:tab/>
        <w:t>(a)</w:t>
      </w:r>
      <w:r>
        <w:tab/>
        <w:t>by a relevant acquisition referred to in section 163(1)(c) or (d)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Footnotesection"/>
      </w:pPr>
      <w:r>
        <w:tab/>
        <w:t>[Section 201 amended: No. 12 of 2019 s. 97.]</w:t>
      </w:r>
    </w:p>
    <w:p>
      <w:pPr>
        <w:pStyle w:val="Heading5"/>
        <w:spacing w:before="180"/>
      </w:pPr>
      <w:bookmarkStart w:id="1030" w:name="_Toc201229174"/>
      <w:bookmarkStart w:id="1031" w:name="_Toc182410239"/>
      <w:r>
        <w:rPr>
          <w:rStyle w:val="CharSectno"/>
        </w:rPr>
        <w:t>202</w:t>
      </w:r>
      <w:r>
        <w:t>.</w:t>
      </w:r>
      <w:r>
        <w:tab/>
        <w:t>Lodgment obligations if s. 201 application refused</w:t>
      </w:r>
      <w:bookmarkEnd w:id="1030"/>
      <w:bookmarkEnd w:id="1031"/>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keepNext/>
        <w:keepLines/>
        <w:spacing w:before="12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1032" w:name="_Toc201229175"/>
      <w:bookmarkStart w:id="1033" w:name="_Toc182410240"/>
      <w:r>
        <w:rPr>
          <w:rStyle w:val="CharSectno"/>
        </w:rPr>
        <w:t>203</w:t>
      </w:r>
      <w:r>
        <w:t>.</w:t>
      </w:r>
      <w:r>
        <w:tab/>
        <w:t>Form of acquisition statements</w:t>
      </w:r>
      <w:bookmarkEnd w:id="1032"/>
      <w:bookmarkEnd w:id="1033"/>
    </w:p>
    <w:p>
      <w:pPr>
        <w:pStyle w:val="Subsection"/>
      </w:pPr>
      <w:r>
        <w:tab/>
        <w:t>(1)</w:t>
      </w:r>
      <w:r>
        <w:tab/>
        <w:t>An acquisition statement must be in the approved form.</w:t>
      </w:r>
    </w:p>
    <w:p>
      <w:pPr>
        <w:pStyle w:val="Subsection"/>
      </w:pPr>
      <w:r>
        <w:tab/>
        <w:t>(2)</w:t>
      </w:r>
      <w:r>
        <w:tab/>
        <w:t>The Commissioner may approve different forms of acquisition statements for different circumstances or for different provisions of this Chapter.</w:t>
      </w:r>
    </w:p>
    <w:p>
      <w:pPr>
        <w:pStyle w:val="Footnotesection"/>
      </w:pPr>
      <w:r>
        <w:tab/>
        <w:t>[Section 203 amended: No. 12 of 2019 s. 98.]</w:t>
      </w:r>
    </w:p>
    <w:p>
      <w:pPr>
        <w:pStyle w:val="Heading5"/>
      </w:pPr>
      <w:bookmarkStart w:id="1034" w:name="_Toc201229176"/>
      <w:bookmarkStart w:id="1035" w:name="_Toc182410241"/>
      <w:r>
        <w:rPr>
          <w:rStyle w:val="CharSectno"/>
        </w:rPr>
        <w:t>204</w:t>
      </w:r>
      <w:r>
        <w:t>.</w:t>
      </w:r>
      <w:r>
        <w:tab/>
        <w:t>Failure to lodge acquisition statement</w:t>
      </w:r>
      <w:bookmarkEnd w:id="1034"/>
      <w:bookmarkEnd w:id="1035"/>
    </w:p>
    <w:p>
      <w:pPr>
        <w:pStyle w:val="Subsection"/>
      </w:pPr>
      <w:r>
        <w:tab/>
      </w:r>
      <w:r>
        <w:tab/>
        <w:t>The following persons commit an offence if there is a contravention of section 200(2), 201(6) or 202(2) in relation to an acquisition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keepNext/>
      </w:pPr>
      <w:r>
        <w:tab/>
        <w:t>(d)</w:t>
      </w:r>
      <w:r>
        <w:tab/>
        <w:t>any person that is a related person in respect of the acquirer and has an interest in the landholder concerned immediately after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No. 32 of 2012 s. 23; No. 12 of 2019 s. 99.]</w:t>
      </w:r>
    </w:p>
    <w:p>
      <w:pPr>
        <w:pStyle w:val="Ednotedivision"/>
      </w:pPr>
      <w:r>
        <w:t>[Division 8 (s. 205) omitted under the Reprints Act 1984 s. 7(4)(e).]</w:t>
      </w:r>
    </w:p>
    <w:p>
      <w:pPr>
        <w:pStyle w:val="Heading3"/>
        <w:keepLines/>
      </w:pPr>
      <w:bookmarkStart w:id="1036" w:name="_Toc201218106"/>
      <w:bookmarkStart w:id="1037" w:name="_Toc201224479"/>
      <w:bookmarkStart w:id="1038" w:name="_Toc201229177"/>
      <w:bookmarkStart w:id="1039" w:name="_Toc182388782"/>
      <w:bookmarkStart w:id="1040" w:name="_Toc182389444"/>
      <w:bookmarkStart w:id="1041" w:name="_Toc182410242"/>
      <w:r>
        <w:rPr>
          <w:rStyle w:val="CharDivNo"/>
        </w:rPr>
        <w:t>Part 7</w:t>
      </w:r>
      <w:r>
        <w:rPr>
          <w:sz w:val="28"/>
          <w:szCs w:val="28"/>
        </w:rPr>
        <w:t> — </w:t>
      </w:r>
      <w:r>
        <w:rPr>
          <w:rStyle w:val="CharDivText"/>
        </w:rPr>
        <w:t>Application of this Chapter to certain acquisition</w:t>
      </w:r>
      <w:r>
        <w:rPr>
          <w:rStyle w:val="CharDivText"/>
          <w:sz w:val="28"/>
        </w:rPr>
        <w:t>s</w:t>
      </w:r>
      <w:bookmarkEnd w:id="1036"/>
      <w:bookmarkEnd w:id="1037"/>
      <w:bookmarkEnd w:id="1038"/>
      <w:bookmarkEnd w:id="1039"/>
      <w:bookmarkEnd w:id="1040"/>
      <w:bookmarkEnd w:id="1041"/>
    </w:p>
    <w:p>
      <w:pPr>
        <w:pStyle w:val="Footnoteheading"/>
      </w:pPr>
      <w:r>
        <w:tab/>
        <w:t>[Heading inserted: No. 12 of 2019 s. 100.]</w:t>
      </w:r>
    </w:p>
    <w:p>
      <w:pPr>
        <w:pStyle w:val="Heading4"/>
        <w:rPr>
          <w:sz w:val="26"/>
          <w:szCs w:val="26"/>
        </w:rPr>
      </w:pPr>
      <w:bookmarkStart w:id="1042" w:name="_Toc201218107"/>
      <w:bookmarkStart w:id="1043" w:name="_Toc201224480"/>
      <w:bookmarkStart w:id="1044" w:name="_Toc201229178"/>
      <w:bookmarkStart w:id="1045" w:name="_Toc182388783"/>
      <w:bookmarkStart w:id="1046" w:name="_Toc182389445"/>
      <w:bookmarkStart w:id="1047" w:name="_Toc182410243"/>
      <w:r>
        <w:rPr>
          <w:sz w:val="26"/>
          <w:szCs w:val="26"/>
        </w:rPr>
        <w:t>Division 1 — Rights relating to fixed infrastructure</w:t>
      </w:r>
      <w:bookmarkEnd w:id="1042"/>
      <w:bookmarkEnd w:id="1043"/>
      <w:bookmarkEnd w:id="1044"/>
      <w:bookmarkEnd w:id="1045"/>
      <w:bookmarkEnd w:id="1046"/>
      <w:bookmarkEnd w:id="1047"/>
    </w:p>
    <w:p>
      <w:pPr>
        <w:pStyle w:val="Footnoteheading"/>
      </w:pPr>
      <w:r>
        <w:tab/>
        <w:t>[Heading inserted: No. 12 of 2019 s. 100.]</w:t>
      </w:r>
    </w:p>
    <w:p>
      <w:pPr>
        <w:pStyle w:val="Heading5"/>
      </w:pPr>
      <w:bookmarkStart w:id="1048" w:name="_Toc201229179"/>
      <w:bookmarkStart w:id="1049" w:name="_Toc182410244"/>
      <w:r>
        <w:rPr>
          <w:rStyle w:val="CharSectno"/>
        </w:rPr>
        <w:t>204A</w:t>
      </w:r>
      <w:r>
        <w:t>.</w:t>
      </w:r>
      <w:r>
        <w:tab/>
        <w:t>When fixed infrastructure access rights are taken into account in determining entitlement to land assets</w:t>
      </w:r>
      <w:bookmarkEnd w:id="1048"/>
      <w:bookmarkEnd w:id="1049"/>
    </w:p>
    <w:p>
      <w:pPr>
        <w:pStyle w:val="Subsection"/>
      </w:pPr>
      <w:r>
        <w:tab/>
        <w:t>(1)</w:t>
      </w:r>
      <w:r>
        <w:tab/>
        <w:t xml:space="preserve">In determining, in relation to an acquisition of an interest in an entity (the </w:t>
      </w:r>
      <w:r>
        <w:rPr>
          <w:rStyle w:val="CharDefText"/>
        </w:rPr>
        <w:t>main entity</w:t>
      </w:r>
      <w:r>
        <w:t>), the entitlement to land assets of the main entity, or a linked entity in respect of the main entity, the value of any fixed infrastructure access right to which the main entity or linked entity is entitled is not to be taken into account unless subsection (2) applies to the fixed infrastructure access right.</w:t>
      </w:r>
    </w:p>
    <w:p>
      <w:pPr>
        <w:pStyle w:val="Subsection"/>
      </w:pPr>
      <w:r>
        <w:tab/>
        <w:t>(2)</w:t>
      </w:r>
      <w:r>
        <w:tab/>
        <w:t xml:space="preserve">This subsection applies to the fixed infrastructure access right if the main entity, or an entity that is associated with the main entity under section 204D, is entitled to any of the following — </w:t>
      </w:r>
    </w:p>
    <w:p>
      <w:pPr>
        <w:pStyle w:val="Indenta"/>
      </w:pPr>
      <w:r>
        <w:tab/>
        <w:t>(a)</w:t>
      </w:r>
      <w:r>
        <w:tab/>
        <w:t>fixed infrastructure (</w:t>
      </w:r>
      <w:r>
        <w:rPr>
          <w:rStyle w:val="CharDefText"/>
        </w:rPr>
        <w:t>relevant fixed infrastructure</w:t>
      </w:r>
      <w:r>
        <w:t>) to which the fixed infrastructure access right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pPr>
      <w:r>
        <w:tab/>
        <w:t>(3)</w:t>
      </w:r>
      <w:r>
        <w:tab/>
        <w:t xml:space="preserve">The entitlement referred to in subsection (2) is to be determined — </w:t>
      </w:r>
    </w:p>
    <w:p>
      <w:pPr>
        <w:pStyle w:val="Indenta"/>
      </w:pPr>
      <w:r>
        <w:tab/>
        <w:t>(a)</w:t>
      </w:r>
      <w:r>
        <w:tab/>
        <w:t>for the main entity or an associated entity referred to in section 204D(2)(a), (b) or (c) — when the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The value of a fixed infrastructure access right that is to be taken into account for the purposes of an acquisition because subsection (2) applies is to be taken into account in relation to that acquisition even if that subsection does not become applicable until after the acquisition occurs.</w:t>
      </w:r>
    </w:p>
    <w:p>
      <w:pPr>
        <w:pStyle w:val="Footnotesection"/>
      </w:pPr>
      <w:r>
        <w:tab/>
        <w:t>[Section 204A inserted: No. 12 of 2019 s. 100.]</w:t>
      </w:r>
    </w:p>
    <w:p>
      <w:pPr>
        <w:pStyle w:val="Heading5"/>
      </w:pPr>
      <w:bookmarkStart w:id="1050" w:name="_Toc201229180"/>
      <w:bookmarkStart w:id="1051" w:name="_Toc182410245"/>
      <w:r>
        <w:rPr>
          <w:rStyle w:val="CharSectno"/>
        </w:rPr>
        <w:t>204B</w:t>
      </w:r>
      <w:r>
        <w:t>.</w:t>
      </w:r>
      <w:r>
        <w:tab/>
        <w:t>When fixed infrastructure statutory licences are treated as land assets in calculating duty</w:t>
      </w:r>
      <w:bookmarkEnd w:id="1050"/>
      <w:bookmarkEnd w:id="1051"/>
    </w:p>
    <w:p>
      <w:pPr>
        <w:pStyle w:val="Subsection"/>
      </w:pPr>
      <w:r>
        <w:tab/>
        <w:t>(1)</w:t>
      </w:r>
      <w:r>
        <w:tab/>
        <w:t xml:space="preserve">A fixed infrastructure statutory licence is to be treated as if it were a land asset for the purposes of calculating duty in respect of a relevant acquisition under section 186 if — </w:t>
      </w:r>
    </w:p>
    <w:p>
      <w:pPr>
        <w:pStyle w:val="Indenta"/>
      </w:pPr>
      <w:r>
        <w:tab/>
        <w:t>(a)</w:t>
      </w:r>
      <w:r>
        <w:tab/>
        <w:t>the landholder, or a linked entity in respect of the landholder, is entitled to the fixed infrastructure statutory licence; and</w:t>
      </w:r>
    </w:p>
    <w:p>
      <w:pPr>
        <w:pStyle w:val="Indenta"/>
      </w:pPr>
      <w:r>
        <w:tab/>
        <w:t>(b)</w:t>
      </w:r>
      <w:r>
        <w:tab/>
        <w:t xml:space="preserve">the landholder, or an entity that is associated with the landholder under section 204D, is entitled to any of the following — </w:t>
      </w:r>
    </w:p>
    <w:p>
      <w:pPr>
        <w:pStyle w:val="Indenti"/>
      </w:pPr>
      <w:r>
        <w:tab/>
        <w:t>(i)</w:t>
      </w:r>
      <w:r>
        <w:tab/>
        <w:t>fixed infrastructure (</w:t>
      </w:r>
      <w:r>
        <w:rPr>
          <w:rStyle w:val="CharDefText"/>
        </w:rPr>
        <w:t>relevant fixed infrastructure</w:t>
      </w:r>
      <w:r>
        <w:t>) to which the fixed infrastructure statutory licence relates;</w:t>
      </w:r>
    </w:p>
    <w:p>
      <w:pPr>
        <w:pStyle w:val="Indenti"/>
      </w:pPr>
      <w:r>
        <w:tab/>
        <w:t>(ii)</w:t>
      </w:r>
      <w:r>
        <w:tab/>
        <w:t>an estate or interest in relevant fixed infrastructure;</w:t>
      </w:r>
    </w:p>
    <w:p>
      <w:pPr>
        <w:pStyle w:val="Indenti"/>
      </w:pPr>
      <w:r>
        <w:tab/>
        <w:t>(iii)</w:t>
      </w:r>
      <w:r>
        <w:tab/>
        <w:t>a fixed infrastructure control right that relates to relevant fixed infrastructure.</w:t>
      </w:r>
    </w:p>
    <w:p>
      <w:pPr>
        <w:pStyle w:val="Subsection"/>
      </w:pPr>
      <w:r>
        <w:tab/>
        <w:t>(2)</w:t>
      </w:r>
      <w:r>
        <w:tab/>
        <w:t xml:space="preserve">For the purposes of subsection (1)(a), a landholder or linked entity is taken to be entitled to the fixed infrastructure statutory licence if — </w:t>
      </w:r>
    </w:p>
    <w:p>
      <w:pPr>
        <w:pStyle w:val="Indenta"/>
      </w:pPr>
      <w:r>
        <w:tab/>
        <w:t>(a)</w:t>
      </w:r>
      <w:r>
        <w:tab/>
        <w:t>the landholder or linked entity held the fixed infrastructure statutory licence immediately before the relevant acquisition; and</w:t>
      </w:r>
    </w:p>
    <w:p>
      <w:pPr>
        <w:pStyle w:val="Indenta"/>
      </w:pPr>
      <w:r>
        <w:tab/>
        <w:t>(b)</w:t>
      </w:r>
      <w:r>
        <w:tab/>
        <w:t>as a result of the relevant acquisition, the fixed infrastructure statutory licence is cancelled or surrendered by operation of law; and</w:t>
      </w:r>
    </w:p>
    <w:p>
      <w:pPr>
        <w:pStyle w:val="Indenta"/>
      </w:pPr>
      <w:r>
        <w:tab/>
        <w:t>(c)</w:t>
      </w:r>
      <w:r>
        <w:tab/>
        <w:t>there is an agreement, arrangement or understanding relating to the acquisition under which, after the acquisition, the fixed infrastructure statutory licence, or another fixed infrastructure statutory licence of that kind, will be issued, granted or given to the landholder or an entity that is associated with the landholder under section 204D.</w:t>
      </w:r>
    </w:p>
    <w:p>
      <w:pPr>
        <w:pStyle w:val="Subsection"/>
      </w:pPr>
      <w:r>
        <w:tab/>
        <w:t>(3)</w:t>
      </w:r>
      <w:r>
        <w:tab/>
        <w:t xml:space="preserve">The entitlement referred to in subsection (1)(b) is to be determined — </w:t>
      </w:r>
    </w:p>
    <w:p>
      <w:pPr>
        <w:pStyle w:val="Indenta"/>
      </w:pPr>
      <w:r>
        <w:tab/>
        <w:t>(a)</w:t>
      </w:r>
      <w:r>
        <w:tab/>
        <w:t>for the landholder or an associated entity referred to in section 204D(2)(a), (b) or (c) — when the relevant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A fixed infrastructure statutory licence that under subsection (1) is to be treated as a land asset for the purposes of section 186 in relation to an acquisition is to be so treated even if subsection (1) does not become applicable until after the acquisition occurs.</w:t>
      </w:r>
    </w:p>
    <w:p>
      <w:pPr>
        <w:pStyle w:val="Subsection"/>
      </w:pPr>
      <w:r>
        <w:tab/>
        <w:t>(5)</w:t>
      </w:r>
      <w:r>
        <w:tab/>
        <w:t>A fixed infrastructure statutory licence to which subsection (1) applies is also to be treated as a land asset in relation to the relevant acquisition referred to in that subsection for the purposes of sections 167, 168, 195A(5), 266B and 266C.</w:t>
      </w:r>
    </w:p>
    <w:p>
      <w:pPr>
        <w:pStyle w:val="Footnotesection"/>
      </w:pPr>
      <w:r>
        <w:tab/>
        <w:t>[Section 204B inserted: No. 12 of 2019 s. 100.]</w:t>
      </w:r>
    </w:p>
    <w:p>
      <w:pPr>
        <w:pStyle w:val="Heading5"/>
      </w:pPr>
      <w:bookmarkStart w:id="1052" w:name="_Toc201229181"/>
      <w:bookmarkStart w:id="1053" w:name="_Toc182410246"/>
      <w:r>
        <w:rPr>
          <w:rStyle w:val="CharSectno"/>
        </w:rPr>
        <w:t>204C</w:t>
      </w:r>
      <w:r>
        <w:t>.</w:t>
      </w:r>
      <w:r>
        <w:tab/>
        <w:t>Unencumbered value of fixed infrastructure statutory licences treated as land assets</w:t>
      </w:r>
      <w:bookmarkEnd w:id="1052"/>
      <w:bookmarkEnd w:id="1053"/>
    </w:p>
    <w:p>
      <w:pPr>
        <w:pStyle w:val="Subsection"/>
      </w:pPr>
      <w:r>
        <w:tab/>
        <w:t>(1)</w:t>
      </w:r>
      <w:r>
        <w:tab/>
        <w:t>Section 36 applies, with any appropriate modifications, where it is necessary to determine the unencumbered value of a fixed infrastructure statutory licence that under section 204B(1) is to be treated as if it were a land asset for the purposes of calculating duty in respect of a relevant acquisition under section 186.</w:t>
      </w:r>
    </w:p>
    <w:p>
      <w:pPr>
        <w:pStyle w:val="Subsection"/>
      </w:pPr>
      <w:r>
        <w:tab/>
        <w:t>(2)</w:t>
      </w:r>
      <w:r>
        <w:tab/>
        <w:t>The unencumbered value to be determined under section 36 (as applied by subsection (1)) for a fixed infrastructure statutory licence issued, granted or given under a law of the Commonwealth is the unencumbered value of that licence so far as it authorises the ownership, control, operation or use of fixed infrastructure.</w:t>
      </w:r>
    </w:p>
    <w:p>
      <w:pPr>
        <w:pStyle w:val="Footnotesection"/>
      </w:pPr>
      <w:r>
        <w:tab/>
        <w:t>[Section 204C inserted: No. 12 of 2019 s. 100.]</w:t>
      </w:r>
    </w:p>
    <w:p>
      <w:pPr>
        <w:pStyle w:val="Heading5"/>
      </w:pPr>
      <w:bookmarkStart w:id="1054" w:name="_Toc201229182"/>
      <w:bookmarkStart w:id="1055" w:name="_Toc182410247"/>
      <w:r>
        <w:rPr>
          <w:rStyle w:val="CharSectno"/>
        </w:rPr>
        <w:t>204D</w:t>
      </w:r>
      <w:r>
        <w:t>.</w:t>
      </w:r>
      <w:r>
        <w:tab/>
        <w:t>Associated entities for s. 204A and 204B</w:t>
      </w:r>
      <w:bookmarkEnd w:id="1054"/>
      <w:bookmarkEnd w:id="1055"/>
    </w:p>
    <w:p>
      <w:pPr>
        <w:pStyle w:val="Subsection"/>
      </w:pPr>
      <w:r>
        <w:tab/>
        <w:t>(1)</w:t>
      </w:r>
      <w:r>
        <w:tab/>
        <w:t>This section applies where it is necessary to determine for the purposes of section 204A(2) or 204B(1) or (2), in relation to an acquisition, which entities are associated with the main entity referred to in section 204A(2), or the landholder referred to in section 204B(1) or (2), as the case requires.</w:t>
      </w:r>
    </w:p>
    <w:p>
      <w:pPr>
        <w:pStyle w:val="Subsection"/>
      </w:pPr>
      <w:r>
        <w:tab/>
        <w:t>(2)</w:t>
      </w:r>
      <w:r>
        <w:tab/>
        <w:t xml:space="preserve">The associated entities are as follows — </w:t>
      </w:r>
    </w:p>
    <w:p>
      <w:pPr>
        <w:pStyle w:val="Indenta"/>
      </w:pPr>
      <w:r>
        <w:tab/>
        <w:t>(a)</w:t>
      </w:r>
      <w:r>
        <w:tab/>
        <w:t>a linked entity in respect of the main entity or landholder;</w:t>
      </w:r>
    </w:p>
    <w:p>
      <w:pPr>
        <w:pStyle w:val="Indenta"/>
      </w:pPr>
      <w:r>
        <w:tab/>
        <w:t>(b)</w:t>
      </w:r>
      <w:r>
        <w:tab/>
        <w:t xml:space="preserve">an entity (a </w:t>
      </w:r>
      <w:r>
        <w:rPr>
          <w:rStyle w:val="CharDefText"/>
        </w:rPr>
        <w:t>higher entity</w:t>
      </w:r>
      <w:r>
        <w:t>) in respect of which the main entity or landholder is a linked entity;</w:t>
      </w:r>
    </w:p>
    <w:p>
      <w:pPr>
        <w:pStyle w:val="Indenta"/>
      </w:pPr>
      <w:r>
        <w:tab/>
        <w:t>(c)</w:t>
      </w:r>
      <w:r>
        <w:tab/>
        <w:t>another linked entity in respect of a higher entity to which paragraph (b) applies;</w:t>
      </w:r>
    </w:p>
    <w:p>
      <w:pPr>
        <w:pStyle w:val="Indenta"/>
      </w:pPr>
      <w:r>
        <w:tab/>
        <w:t>(d)</w:t>
      </w:r>
      <w:r>
        <w:tab/>
        <w:t xml:space="preserve">another entity if — </w:t>
      </w:r>
    </w:p>
    <w:p>
      <w:pPr>
        <w:pStyle w:val="Indenti"/>
      </w:pPr>
      <w:r>
        <w:tab/>
        <w:t>(i)</w:t>
      </w:r>
      <w:r>
        <w:tab/>
        <w:t>there is an acquisition of an interest in the entity, which may occur before or after the acquisition referred to in subsection (1); and</w:t>
      </w:r>
    </w:p>
    <w:p>
      <w:pPr>
        <w:pStyle w:val="Indenti"/>
      </w:pPr>
      <w:r>
        <w:tab/>
        <w:t>(ii)</w:t>
      </w:r>
      <w:r>
        <w:tab/>
        <w:t>the acquisition referred to in subsection (1) and the acquisition referred to in subparagraph (i) together form, evidence, give effect to, or arise from what is, substantially one arrangement;</w:t>
      </w:r>
    </w:p>
    <w:p>
      <w:pPr>
        <w:pStyle w:val="Indenta"/>
      </w:pPr>
      <w:r>
        <w:tab/>
        <w:t>(e)</w:t>
      </w:r>
      <w:r>
        <w:tab/>
        <w:t>an entity that is a linked entity in respect of an entity to which paragraph (d) applies in relation to the acquisition referred to in paragraph (d)(i).</w:t>
      </w:r>
    </w:p>
    <w:p>
      <w:pPr>
        <w:pStyle w:val="Subsection"/>
      </w:pPr>
      <w:r>
        <w:tab/>
        <w:t>(3)</w:t>
      </w:r>
      <w:r>
        <w:tab/>
        <w:t>A reference in subsection (2)(b) or (c) to a linked entity is a reference to an entity that would be a linked entity if, at the time of the acquisition referred to in subsection (1), the higher entity referred to in subsection (2)(b) or (c) were a main entity referred to in section 156(1).</w:t>
      </w:r>
    </w:p>
    <w:p>
      <w:pPr>
        <w:pStyle w:val="Footnotesection"/>
      </w:pPr>
      <w:r>
        <w:tab/>
        <w:t>[Section 204D inserted: No. 12 of 2019 s. 100.]</w:t>
      </w:r>
    </w:p>
    <w:p>
      <w:pPr>
        <w:pStyle w:val="Heading4"/>
        <w:rPr>
          <w:sz w:val="26"/>
          <w:szCs w:val="26"/>
        </w:rPr>
      </w:pPr>
      <w:bookmarkStart w:id="1056" w:name="_Toc201218112"/>
      <w:bookmarkStart w:id="1057" w:name="_Toc201224485"/>
      <w:bookmarkStart w:id="1058" w:name="_Toc201229183"/>
      <w:bookmarkStart w:id="1059" w:name="_Toc182388788"/>
      <w:bookmarkStart w:id="1060" w:name="_Toc182389450"/>
      <w:bookmarkStart w:id="1061" w:name="_Toc182410248"/>
      <w:r>
        <w:rPr>
          <w:sz w:val="26"/>
          <w:szCs w:val="26"/>
        </w:rPr>
        <w:t>Division 2 — Derivative mining rights</w:t>
      </w:r>
      <w:bookmarkEnd w:id="1056"/>
      <w:bookmarkEnd w:id="1057"/>
      <w:bookmarkEnd w:id="1058"/>
      <w:bookmarkEnd w:id="1059"/>
      <w:bookmarkEnd w:id="1060"/>
      <w:bookmarkEnd w:id="1061"/>
    </w:p>
    <w:p>
      <w:pPr>
        <w:pStyle w:val="Footnoteheading"/>
      </w:pPr>
      <w:r>
        <w:tab/>
        <w:t>[Heading inserted: No. 12 of 2019 s. 100.]</w:t>
      </w:r>
    </w:p>
    <w:p>
      <w:pPr>
        <w:pStyle w:val="Heading5"/>
      </w:pPr>
      <w:bookmarkStart w:id="1062" w:name="_Toc201229184"/>
      <w:bookmarkStart w:id="1063" w:name="_Toc182410249"/>
      <w:r>
        <w:rPr>
          <w:rStyle w:val="CharSectno"/>
        </w:rPr>
        <w:t>204E</w:t>
      </w:r>
      <w:r>
        <w:t>.</w:t>
      </w:r>
      <w:r>
        <w:tab/>
        <w:t>Unencumbered value of mining tenement subject to derivative mining right</w:t>
      </w:r>
      <w:bookmarkEnd w:id="1062"/>
      <w:bookmarkEnd w:id="1063"/>
    </w:p>
    <w:p>
      <w:pPr>
        <w:pStyle w:val="Subsection"/>
      </w:pPr>
      <w:r>
        <w:tab/>
        <w:t>(1)</w:t>
      </w:r>
      <w:r>
        <w:tab/>
        <w:t>This section applies where it is necessary to determine, in relation to an acquisition of an interest in an entity, the unencumbered value of a land asset that is a mining tenement in relation to which a derivative mining right is in force.</w:t>
      </w:r>
    </w:p>
    <w:p>
      <w:pPr>
        <w:pStyle w:val="Subsection"/>
      </w:pPr>
      <w:r>
        <w:tab/>
        <w:t>(2)</w:t>
      </w:r>
      <w:r>
        <w:tab/>
        <w:t>If the acquisition of the derivative mining right, on its grant, is duty endorsed or is not a dutiable transaction, the unencumbered value of the mining tenement is to be determined, despite section 36(1) as applied by section 150, having regard to the effect of the derivative mining right on the value of the mining tenement.</w:t>
      </w:r>
    </w:p>
    <w:p>
      <w:pPr>
        <w:pStyle w:val="Subsection"/>
      </w:pPr>
      <w:r>
        <w:tab/>
        <w:t>(3)</w:t>
      </w:r>
      <w:r>
        <w:tab/>
        <w:t>Subsection (2) ceases to apply in relation to an acquisition of an interest in an entity if, within 12 months after the acquisition, the derivative mining right is surrendered for no consideration.</w:t>
      </w:r>
    </w:p>
    <w:p>
      <w:pPr>
        <w:pStyle w:val="Subsection"/>
      </w:pPr>
      <w:r>
        <w:tab/>
        <w:t>(4)</w:t>
      </w:r>
      <w:r>
        <w:tab/>
        <w:t xml:space="preserve">If a surrender referred to in subsection (3) occurs, each of the following persons must lodge a notice of the surrender in the approved form within 2 months after the day on which the surrender occurs — </w:t>
      </w:r>
    </w:p>
    <w:p>
      <w:pPr>
        <w:pStyle w:val="Indenta"/>
      </w:pPr>
      <w:r>
        <w:tab/>
        <w:t>(a)</w:t>
      </w:r>
      <w:r>
        <w:tab/>
        <w:t>the entity referred to in subsection (1);</w:t>
      </w:r>
    </w:p>
    <w:p>
      <w:pPr>
        <w:pStyle w:val="Indenta"/>
      </w:pPr>
      <w:r>
        <w:tab/>
        <w:t>(b)</w:t>
      </w:r>
      <w:r>
        <w:tab/>
        <w:t>the person that acquired the interest referred to in subsection (1).</w:t>
      </w:r>
    </w:p>
    <w:p>
      <w:pPr>
        <w:pStyle w:val="Penstart"/>
      </w:pPr>
      <w:r>
        <w:tab/>
        <w:t>Penalty for this subsection: a fine of $20 000.</w:t>
      </w:r>
    </w:p>
    <w:p>
      <w:pPr>
        <w:pStyle w:val="Subsection"/>
      </w:pPr>
      <w:r>
        <w:tab/>
        <w:t>(5)</w:t>
      </w:r>
      <w:r>
        <w:tab/>
        <w:t>Subject to the Taxation Administration Act section 17, the Commissioner must make any reassessment necessary as a result of the operation of subsection (3).</w:t>
      </w:r>
    </w:p>
    <w:p>
      <w:pPr>
        <w:pStyle w:val="Footnotesection"/>
      </w:pPr>
      <w:r>
        <w:tab/>
        <w:t>[Section 204E inserted: No. 12 of 2019 s. 100; amended: No. 16 of 2022 s. 23.]</w:t>
      </w:r>
    </w:p>
    <w:p>
      <w:pPr>
        <w:pStyle w:val="Heading4"/>
        <w:rPr>
          <w:sz w:val="26"/>
          <w:szCs w:val="26"/>
        </w:rPr>
      </w:pPr>
      <w:bookmarkStart w:id="1064" w:name="_Toc201218114"/>
      <w:bookmarkStart w:id="1065" w:name="_Toc201224487"/>
      <w:bookmarkStart w:id="1066" w:name="_Toc201229185"/>
      <w:bookmarkStart w:id="1067" w:name="_Toc182388790"/>
      <w:bookmarkStart w:id="1068" w:name="_Toc182389452"/>
      <w:bookmarkStart w:id="1069" w:name="_Toc182410250"/>
      <w:r>
        <w:rPr>
          <w:sz w:val="26"/>
          <w:szCs w:val="26"/>
        </w:rPr>
        <w:t>Division 3 — Acquisitions forming one arrangement</w:t>
      </w:r>
      <w:bookmarkEnd w:id="1064"/>
      <w:bookmarkEnd w:id="1065"/>
      <w:bookmarkEnd w:id="1066"/>
      <w:bookmarkEnd w:id="1067"/>
      <w:bookmarkEnd w:id="1068"/>
      <w:bookmarkEnd w:id="1069"/>
    </w:p>
    <w:p>
      <w:pPr>
        <w:pStyle w:val="Footnoteheading"/>
      </w:pPr>
      <w:r>
        <w:tab/>
        <w:t>[Heading inserted: No. 12 of 2019 s. 100.]</w:t>
      </w:r>
    </w:p>
    <w:p>
      <w:pPr>
        <w:pStyle w:val="Heading5"/>
      </w:pPr>
      <w:bookmarkStart w:id="1070" w:name="_Toc201229186"/>
      <w:bookmarkStart w:id="1071" w:name="_Toc182410251"/>
      <w:r>
        <w:rPr>
          <w:rStyle w:val="CharSectno"/>
        </w:rPr>
        <w:t>204F</w:t>
      </w:r>
      <w:r>
        <w:t>.</w:t>
      </w:r>
      <w:r>
        <w:tab/>
        <w:t>Acquisitions in 2 or more entities forming one arrangement</w:t>
      </w:r>
      <w:bookmarkEnd w:id="1070"/>
      <w:bookmarkEnd w:id="1071"/>
    </w:p>
    <w:p>
      <w:pPr>
        <w:pStyle w:val="Subsection"/>
      </w:pPr>
      <w:r>
        <w:tab/>
        <w:t>(1)</w:t>
      </w:r>
      <w:r>
        <w:tab/>
        <w:t xml:space="preserve">For the purposes of sections 155(4)(b), 156A(1)(a) and 204D(2)(d), unless the Commissioner is satisfied to the contrary, acquisitions of interests in 2 or more entities together form, evidence, give effect to or arise from what is, substantially one arrangement if — </w:t>
      </w:r>
    </w:p>
    <w:p>
      <w:pPr>
        <w:pStyle w:val="Indenta"/>
      </w:pPr>
      <w:r>
        <w:tab/>
        <w:t>(a)</w:t>
      </w:r>
      <w:r>
        <w:tab/>
        <w:t>the acquisitions have occurred within 12 months; and</w:t>
      </w:r>
    </w:p>
    <w:p>
      <w:pPr>
        <w:pStyle w:val="Indenta"/>
      </w:pPr>
      <w:r>
        <w:tab/>
        <w:t>(b)</w:t>
      </w:r>
      <w:r>
        <w:tab/>
        <w:t>in respect of each of the acquisitions, the person that acquires the interest is the same person (whether the person is the only person that acquires the interest or acquires the interest with the same or different persons).</w:t>
      </w:r>
    </w:p>
    <w:p>
      <w:pPr>
        <w:pStyle w:val="Subsection"/>
      </w:pPr>
      <w:r>
        <w:tab/>
        <w:t>(2)</w:t>
      </w:r>
      <w:r>
        <w:tab/>
        <w:t>Subsection (1) does not limit section 155(4)(b), 156A(1)(a) or 204D(2)(d).</w:t>
      </w:r>
    </w:p>
    <w:p>
      <w:pPr>
        <w:pStyle w:val="Footnotesection"/>
      </w:pPr>
      <w:r>
        <w:tab/>
        <w:t>[Section 204F inserted: No. 12 of 2019 s. 100.]</w:t>
      </w:r>
    </w:p>
    <w:p>
      <w:pPr>
        <w:pStyle w:val="Heading5"/>
      </w:pPr>
      <w:bookmarkStart w:id="1072" w:name="_Toc201229187"/>
      <w:bookmarkStart w:id="1073" w:name="_Toc182410252"/>
      <w:r>
        <w:rPr>
          <w:rStyle w:val="CharSectno"/>
        </w:rPr>
        <w:t>204G</w:t>
      </w:r>
      <w:r>
        <w:t>.</w:t>
      </w:r>
      <w:r>
        <w:tab/>
        <w:t>Modified application of s. 176 if entity becomes landholder because of acquisitions forming one arrangement</w:t>
      </w:r>
      <w:bookmarkEnd w:id="1072"/>
      <w:bookmarkEnd w:id="1073"/>
    </w:p>
    <w:p>
      <w:pPr>
        <w:pStyle w:val="Subsection"/>
        <w:keepNext/>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the main entity becomes a landholder in relation to the main acquisition because any of the following occurs — </w:t>
      </w:r>
    </w:p>
    <w:p>
      <w:pPr>
        <w:pStyle w:val="Indenti"/>
      </w:pPr>
      <w:r>
        <w:tab/>
        <w:t>(i)</w:t>
      </w:r>
      <w:r>
        <w:tab/>
        <w:t>section 155(3) becomes applicable to the main entity in relation to the main acquisition;</w:t>
      </w:r>
    </w:p>
    <w:p>
      <w:pPr>
        <w:pStyle w:val="Indenti"/>
      </w:pPr>
      <w:r>
        <w:tab/>
        <w:t>(ii)</w:t>
      </w:r>
      <w:r>
        <w:tab/>
        <w:t>an entity becomes a linked entity in respect of the main entity in relation to the main acquisition under section 156A(3);</w:t>
      </w:r>
    </w:p>
    <w:p>
      <w:pPr>
        <w:pStyle w:val="Indenti"/>
      </w:pPr>
      <w:r>
        <w:tab/>
        <w:t>(iii)</w:t>
      </w:r>
      <w:r>
        <w:tab/>
        <w:t>section 204A(2) becomes applicable, in relation to the main acquisition, to a fixed infrastructure access right to which the main entity or a linked entity in respect of the main entity is entitled.</w:t>
      </w:r>
    </w:p>
    <w:p>
      <w:pPr>
        <w:pStyle w:val="Subsection"/>
        <w:keepNext/>
      </w:pPr>
      <w:r>
        <w:tab/>
        <w:t>(2)</w:t>
      </w:r>
      <w:r>
        <w:tab/>
        <w:t xml:space="preserve">From the time at which section 155(3), 156A(3) or 204A(2) (whichever is relevant) becomes applicable, the application of section 176 in relation to the main acquisition is modified as follows — </w:t>
      </w:r>
    </w:p>
    <w:p>
      <w:pPr>
        <w:pStyle w:val="Indenta"/>
      </w:pPr>
      <w:r>
        <w:tab/>
        <w:t>(a)</w:t>
      </w:r>
      <w:r>
        <w:tab/>
        <w:t>section 176(2) applies in relation to the acquisition subject to subsection (3) of this section;</w:t>
      </w:r>
    </w:p>
    <w:p>
      <w:pPr>
        <w:pStyle w:val="Indenta"/>
      </w:pPr>
      <w:r>
        <w:tab/>
        <w:t>(b)</w:t>
      </w:r>
      <w:r>
        <w:tab/>
        <w:t>section 176(3) does not apply in relation to the acquisition.</w:t>
      </w:r>
    </w:p>
    <w:p>
      <w:pPr>
        <w:pStyle w:val="Subsection"/>
      </w:pPr>
      <w:r>
        <w:tab/>
        <w:t>(3)</w:t>
      </w:r>
      <w:r>
        <w:tab/>
        <w:t xml:space="preserve">For the purposes of the following provisions, the main acquisition is taken to occur at the time at which section 155(3), 156A(3) or 204A(2) (whichever is relevant) becomes applicable — </w:t>
      </w:r>
    </w:p>
    <w:p>
      <w:pPr>
        <w:pStyle w:val="Indenta"/>
      </w:pPr>
      <w:r>
        <w:tab/>
        <w:t>(a)</w:t>
      </w:r>
      <w:r>
        <w:tab/>
        <w:t>section 180(1);</w:t>
      </w:r>
    </w:p>
    <w:p>
      <w:pPr>
        <w:pStyle w:val="Indenta"/>
      </w:pPr>
      <w:r>
        <w:tab/>
        <w:t>(b)</w:t>
      </w:r>
      <w:r>
        <w:tab/>
        <w:t>section 183;</w:t>
      </w:r>
    </w:p>
    <w:p>
      <w:pPr>
        <w:pStyle w:val="Indenta"/>
      </w:pPr>
      <w:r>
        <w:tab/>
        <w:t>(c)</w:t>
      </w:r>
      <w:r>
        <w:tab/>
        <w:t>section 200(3);</w:t>
      </w:r>
    </w:p>
    <w:p>
      <w:pPr>
        <w:pStyle w:val="Indenta"/>
      </w:pPr>
      <w:r>
        <w:tab/>
        <w:t>(d)</w:t>
      </w:r>
      <w:r>
        <w:tab/>
        <w:t>section 201(5).</w:t>
      </w:r>
    </w:p>
    <w:p>
      <w:pPr>
        <w:pStyle w:val="Footnotesection"/>
      </w:pPr>
      <w:r>
        <w:tab/>
        <w:t>[Section 204G inserted: No. 12 of 2019 s. 100.]</w:t>
      </w:r>
    </w:p>
    <w:p>
      <w:pPr>
        <w:pStyle w:val="Heading5"/>
      </w:pPr>
      <w:bookmarkStart w:id="1074" w:name="_Toc201229188"/>
      <w:bookmarkStart w:id="1075" w:name="_Toc182410253"/>
      <w:r>
        <w:rPr>
          <w:rStyle w:val="CharSectno"/>
        </w:rPr>
        <w:t>204H</w:t>
      </w:r>
      <w:r>
        <w:t>.</w:t>
      </w:r>
      <w:r>
        <w:tab/>
        <w:t>Reassessment of landholder duty if amount of duty chargeable changes because of acquisitions forming one arrangement</w:t>
      </w:r>
      <w:bookmarkEnd w:id="1074"/>
      <w:bookmarkEnd w:id="1075"/>
    </w:p>
    <w:p>
      <w:pPr>
        <w:pStyle w:val="Subsection"/>
      </w:pPr>
      <w:r>
        <w:tab/>
        <w:t>(1)</w:t>
      </w:r>
      <w:r>
        <w:tab/>
        <w:t xml:space="preserve">This section applies if — </w:t>
      </w:r>
    </w:p>
    <w:p>
      <w:pPr>
        <w:pStyle w:val="Indenta"/>
      </w:pPr>
      <w:r>
        <w:tab/>
        <w:t>(a)</w:t>
      </w:r>
      <w:r>
        <w:tab/>
        <w:t xml:space="preserve">an assessment of duty is made in relation to a relevant acquisition (the </w:t>
      </w:r>
      <w:r>
        <w:rPr>
          <w:rStyle w:val="CharDefText"/>
        </w:rPr>
        <w:t>main acquisition</w:t>
      </w:r>
      <w:r>
        <w:t>) of an interest in a landholder; and</w:t>
      </w:r>
    </w:p>
    <w:p>
      <w:pPr>
        <w:pStyle w:val="Indenta"/>
      </w:pPr>
      <w:r>
        <w:tab/>
        <w:t>(b)</w:t>
      </w:r>
      <w:r>
        <w:tab/>
        <w:t>after the assessment is made, 1 or more other acquisitions of interests in entities occur; and</w:t>
      </w:r>
    </w:p>
    <w:p>
      <w:pPr>
        <w:pStyle w:val="Indenta"/>
        <w:keepNext/>
      </w:pPr>
      <w:r>
        <w:tab/>
        <w:t>(c)</w:t>
      </w:r>
      <w:r>
        <w:tab/>
        <w:t xml:space="preserve">as a result of the occurrence of the acquisition or acquisitions referred to in paragraph (b), there is a change in the amount of duty chargeable in relation to the main acquisition because any of the following occurs — </w:t>
      </w:r>
    </w:p>
    <w:p>
      <w:pPr>
        <w:pStyle w:val="Indenti"/>
      </w:pPr>
      <w:r>
        <w:tab/>
        <w:t>(i)</w:t>
      </w:r>
      <w:r>
        <w:tab/>
        <w:t xml:space="preserve">an entity becomes a linked entity in respect of the landholder in relation to the main acquisition under section 156A(3); </w:t>
      </w:r>
    </w:p>
    <w:p>
      <w:pPr>
        <w:pStyle w:val="Indenti"/>
      </w:pPr>
      <w:r>
        <w:tab/>
        <w:t>(ii)</w:t>
      </w:r>
      <w:r>
        <w:tab/>
        <w:t>section 204A(2) becomes applicable, in relation to the main acquisition, to a fixed infrastructure access right to which the landholder or a linked entity in respect of the landholder is entitled;</w:t>
      </w:r>
    </w:p>
    <w:p>
      <w:pPr>
        <w:pStyle w:val="Indenti"/>
      </w:pPr>
      <w:r>
        <w:tab/>
        <w:t>(iii)</w:t>
      </w:r>
      <w:r>
        <w:tab/>
        <w:t>section 204B(1) becomes applicable, in relation to the main acquisition, to a fixed infrastructure statutory licence to which the landholder or a linked entity in respect of the landholder is entitled.</w:t>
      </w:r>
    </w:p>
    <w:p>
      <w:pPr>
        <w:pStyle w:val="Subsection"/>
        <w:keepNext/>
      </w:pPr>
      <w:r>
        <w:tab/>
        <w:t>(2)</w:t>
      </w:r>
      <w:r>
        <w:tab/>
        <w:t>Subject to the Taxation Administration Act section 17, the Commissioner must make any reassessment necessary as a result of the change in amount of duty chargeable referred to in subsection (1)(c).</w:t>
      </w:r>
    </w:p>
    <w:p>
      <w:pPr>
        <w:pStyle w:val="Footnotesection"/>
      </w:pPr>
      <w:r>
        <w:tab/>
        <w:t>[Section 204H inserted: No. 12 of 2019 s. 100.]</w:t>
      </w:r>
    </w:p>
    <w:p>
      <w:pPr>
        <w:pStyle w:val="Heading2"/>
        <w:rPr>
          <w:sz w:val="32"/>
          <w:szCs w:val="32"/>
        </w:rPr>
      </w:pPr>
      <w:bookmarkStart w:id="1076" w:name="_Toc201218118"/>
      <w:bookmarkStart w:id="1077" w:name="_Toc201224491"/>
      <w:bookmarkStart w:id="1078" w:name="_Toc201229189"/>
      <w:bookmarkStart w:id="1079" w:name="_Toc182388794"/>
      <w:bookmarkStart w:id="1080" w:name="_Toc182389456"/>
      <w:bookmarkStart w:id="1081" w:name="_Toc182410254"/>
      <w:r>
        <w:rPr>
          <w:rStyle w:val="CharPartNo"/>
          <w:sz w:val="32"/>
          <w:szCs w:val="32"/>
        </w:rPr>
        <w:t>Chapter 3A</w:t>
      </w:r>
      <w:r>
        <w:rPr>
          <w:sz w:val="32"/>
          <w:szCs w:val="32"/>
        </w:rPr>
        <w:t xml:space="preserve"> — </w:t>
      </w:r>
      <w:r>
        <w:rPr>
          <w:rStyle w:val="CharPartText"/>
          <w:sz w:val="32"/>
          <w:szCs w:val="32"/>
        </w:rPr>
        <w:t>Additional duty for foreign persons</w:t>
      </w:r>
      <w:bookmarkEnd w:id="1076"/>
      <w:bookmarkEnd w:id="1077"/>
      <w:bookmarkEnd w:id="1078"/>
      <w:bookmarkEnd w:id="1079"/>
      <w:bookmarkEnd w:id="1080"/>
      <w:bookmarkEnd w:id="1081"/>
    </w:p>
    <w:p>
      <w:pPr>
        <w:pStyle w:val="Footnoteheading"/>
      </w:pPr>
      <w:r>
        <w:tab/>
        <w:t>[Heading inserted: No. 24 of 2018 s. 8.]</w:t>
      </w:r>
    </w:p>
    <w:p>
      <w:pPr>
        <w:pStyle w:val="Heading3"/>
        <w:rPr>
          <w:sz w:val="28"/>
          <w:szCs w:val="28"/>
        </w:rPr>
      </w:pPr>
      <w:bookmarkStart w:id="1082" w:name="_Toc201218119"/>
      <w:bookmarkStart w:id="1083" w:name="_Toc201224492"/>
      <w:bookmarkStart w:id="1084" w:name="_Toc201229190"/>
      <w:bookmarkStart w:id="1085" w:name="_Toc182388795"/>
      <w:bookmarkStart w:id="1086" w:name="_Toc182389457"/>
      <w:bookmarkStart w:id="1087" w:name="_Toc182410255"/>
      <w:r>
        <w:rPr>
          <w:rStyle w:val="CharDivNo"/>
          <w:sz w:val="28"/>
          <w:szCs w:val="28"/>
        </w:rPr>
        <w:t>Part 1</w:t>
      </w:r>
      <w:r>
        <w:rPr>
          <w:sz w:val="28"/>
          <w:szCs w:val="28"/>
        </w:rPr>
        <w:t> — </w:t>
      </w:r>
      <w:r>
        <w:rPr>
          <w:rStyle w:val="CharDivText"/>
          <w:sz w:val="28"/>
          <w:szCs w:val="28"/>
        </w:rPr>
        <w:t>Preliminary</w:t>
      </w:r>
      <w:bookmarkEnd w:id="1082"/>
      <w:bookmarkEnd w:id="1083"/>
      <w:bookmarkEnd w:id="1084"/>
      <w:bookmarkEnd w:id="1085"/>
      <w:bookmarkEnd w:id="1086"/>
      <w:bookmarkEnd w:id="1087"/>
    </w:p>
    <w:p>
      <w:pPr>
        <w:pStyle w:val="Footnoteheading"/>
      </w:pPr>
      <w:r>
        <w:tab/>
        <w:t xml:space="preserve">[Heading inserted: No. 24 of 2018 s. 8.] </w:t>
      </w:r>
    </w:p>
    <w:p>
      <w:pPr>
        <w:pStyle w:val="Heading5"/>
      </w:pPr>
      <w:bookmarkStart w:id="1088" w:name="_Toc201229191"/>
      <w:bookmarkStart w:id="1089" w:name="_Toc182410256"/>
      <w:r>
        <w:rPr>
          <w:rStyle w:val="CharSectno"/>
        </w:rPr>
        <w:t>205A</w:t>
      </w:r>
      <w:r>
        <w:t>.</w:t>
      </w:r>
      <w:r>
        <w:tab/>
        <w:t>Terms used</w:t>
      </w:r>
      <w:bookmarkEnd w:id="1088"/>
      <w:bookmarkEnd w:id="1089"/>
    </w:p>
    <w:p>
      <w:pPr>
        <w:pStyle w:val="Subsection"/>
      </w:pPr>
      <w:r>
        <w:tab/>
        <w:t>(1)</w:t>
      </w:r>
      <w:r>
        <w:tab/>
        <w:t>In this Chapter, unless the contrary intention appears —</w:t>
      </w:r>
    </w:p>
    <w:p>
      <w:pPr>
        <w:pStyle w:val="Defstart"/>
      </w:pPr>
      <w:r>
        <w:tab/>
      </w:r>
      <w:r>
        <w:rPr>
          <w:rStyle w:val="CharDefText"/>
        </w:rPr>
        <w:t>associate</w:t>
      </w:r>
      <w:r>
        <w:t xml:space="preserve"> has the meaning given in section 205B;</w:t>
      </w:r>
    </w:p>
    <w:p>
      <w:pPr>
        <w:pStyle w:val="Defstart"/>
      </w:pPr>
      <w:r>
        <w:tab/>
      </w:r>
      <w:r>
        <w:rPr>
          <w:rStyle w:val="CharDefText"/>
        </w:rPr>
        <w:t>dwelling</w:t>
      </w:r>
      <w:r>
        <w:t xml:space="preserve"> means a building, or part of a building, that is or is intended to be used solely or dominantly as a place of residence;</w:t>
      </w:r>
    </w:p>
    <w:p>
      <w:pPr>
        <w:pStyle w:val="Defstart"/>
      </w:pPr>
      <w:r>
        <w:tab/>
      </w:r>
      <w:r>
        <w:rPr>
          <w:rStyle w:val="CharDefText"/>
        </w:rPr>
        <w:t>foreign corporation</w:t>
      </w:r>
      <w:r>
        <w:t xml:space="preserve"> has the meaning given in section 205C;</w:t>
      </w:r>
    </w:p>
    <w:p>
      <w:pPr>
        <w:pStyle w:val="Defstart"/>
      </w:pPr>
      <w:r>
        <w:tab/>
      </w:r>
      <w:r>
        <w:rPr>
          <w:rStyle w:val="CharDefText"/>
        </w:rPr>
        <w:t>foreign individual</w:t>
      </w:r>
      <w:r>
        <w:t xml:space="preserve"> means an individual who is not — </w:t>
      </w:r>
    </w:p>
    <w:p>
      <w:pPr>
        <w:pStyle w:val="Defpara"/>
      </w:pPr>
      <w:r>
        <w:tab/>
        <w:t>(a)</w:t>
      </w:r>
      <w:r>
        <w:tab/>
        <w:t xml:space="preserve">an Australian citizen as defined in the </w:t>
      </w:r>
      <w:r>
        <w:rPr>
          <w:i/>
        </w:rPr>
        <w:t>Australian Citizenship Act 2007</w:t>
      </w:r>
      <w:r>
        <w:t xml:space="preserve"> (Commonwealth) section 3; or</w:t>
      </w:r>
    </w:p>
    <w:p>
      <w:pPr>
        <w:pStyle w:val="Defpara"/>
      </w:pPr>
      <w:r>
        <w:tab/>
        <w:t>(b)</w:t>
      </w:r>
      <w:r>
        <w:tab/>
        <w:t xml:space="preserve">the holder of a permanent visa as defined in the </w:t>
      </w:r>
      <w:r>
        <w:rPr>
          <w:i/>
        </w:rPr>
        <w:t>Migration Act 1958</w:t>
      </w:r>
      <w:r>
        <w:t xml:space="preserve"> (Commonwealth) section 5(1); or</w:t>
      </w:r>
    </w:p>
    <w:p>
      <w:pPr>
        <w:pStyle w:val="Defpara"/>
      </w:pPr>
      <w:r>
        <w:tab/>
        <w:t>(c)</w:t>
      </w:r>
      <w:r>
        <w:tab/>
        <w:t xml:space="preserve">the holder of a special category visa as defined in the </w:t>
      </w:r>
      <w:r>
        <w:rPr>
          <w:i/>
        </w:rPr>
        <w:t>Migration Act 1958</w:t>
      </w:r>
      <w:r>
        <w:t xml:space="preserve"> (Commonwealth) section 5(1);</w:t>
      </w:r>
    </w:p>
    <w:p>
      <w:pPr>
        <w:pStyle w:val="Defstart"/>
      </w:pPr>
      <w:r>
        <w:tab/>
      </w:r>
      <w:r>
        <w:rPr>
          <w:rStyle w:val="CharDefText"/>
        </w:rPr>
        <w:t>foreign person</w:t>
      </w:r>
      <w:r>
        <w:t xml:space="preserve"> means — </w:t>
      </w:r>
    </w:p>
    <w:p>
      <w:pPr>
        <w:pStyle w:val="Defpara"/>
      </w:pPr>
      <w:r>
        <w:tab/>
        <w:t>(a)</w:t>
      </w:r>
      <w:r>
        <w:tab/>
        <w:t>a foreign corporation; or</w:t>
      </w:r>
    </w:p>
    <w:p>
      <w:pPr>
        <w:pStyle w:val="Defpara"/>
      </w:pPr>
      <w:r>
        <w:tab/>
        <w:t>(b)</w:t>
      </w:r>
      <w:r>
        <w:tab/>
        <w:t>a foreign individual; or</w:t>
      </w:r>
    </w:p>
    <w:p>
      <w:pPr>
        <w:pStyle w:val="Defpara"/>
      </w:pPr>
      <w:r>
        <w:tab/>
        <w:t>(c)</w:t>
      </w:r>
      <w:r>
        <w:tab/>
        <w:t>a foreign trustee;</w:t>
      </w:r>
    </w:p>
    <w:p>
      <w:pPr>
        <w:pStyle w:val="Defstart"/>
      </w:pPr>
      <w:r>
        <w:tab/>
      </w:r>
      <w:r>
        <w:rPr>
          <w:rStyle w:val="CharDefText"/>
        </w:rPr>
        <w:t>foreign trust</w:t>
      </w:r>
      <w:r>
        <w:t xml:space="preserve"> has the meaning given in section 205D(1);</w:t>
      </w:r>
    </w:p>
    <w:p>
      <w:pPr>
        <w:pStyle w:val="Defstart"/>
      </w:pPr>
      <w:r>
        <w:tab/>
      </w:r>
      <w:r>
        <w:rPr>
          <w:rStyle w:val="CharDefText"/>
        </w:rPr>
        <w:t>foreign trustee</w:t>
      </w:r>
      <w:r>
        <w:t xml:space="preserve"> means a person that is the trustee of a foreign trust;</w:t>
      </w:r>
    </w:p>
    <w:p>
      <w:pPr>
        <w:pStyle w:val="Defstart"/>
      </w:pPr>
      <w:r>
        <w:tab/>
      </w:r>
      <w:r>
        <w:rPr>
          <w:rStyle w:val="CharDefText"/>
        </w:rPr>
        <w:t>parcel of land</w:t>
      </w:r>
      <w:r>
        <w:t xml:space="preserve"> means — </w:t>
      </w:r>
    </w:p>
    <w:p>
      <w:pPr>
        <w:pStyle w:val="Defpara"/>
      </w:pPr>
      <w:r>
        <w:tab/>
        <w:t>(a)</w:t>
      </w:r>
      <w:r>
        <w:tab/>
        <w:t xml:space="preserve">a lot as defined in the </w:t>
      </w:r>
      <w:r>
        <w:rPr>
          <w:i/>
        </w:rPr>
        <w:t>Land Tax Assessment Act 2002</w:t>
      </w:r>
      <w:r>
        <w:t xml:space="preserve"> Glossary clause 2; or</w:t>
      </w:r>
    </w:p>
    <w:p>
      <w:pPr>
        <w:pStyle w:val="Defpara"/>
      </w:pPr>
      <w:r>
        <w:tab/>
        <w:t>(b)</w:t>
      </w:r>
      <w:r>
        <w:tab/>
        <w:t>2 or more such lots which have common boundaries and which in the opinion of the Commissioner should be treated as a single lot for the purpose of this Chapter.</w:t>
      </w:r>
    </w:p>
    <w:p>
      <w:pPr>
        <w:pStyle w:val="Subsection"/>
      </w:pPr>
      <w:r>
        <w:tab/>
        <w:t>(2)</w:t>
      </w:r>
      <w:r>
        <w:tab/>
        <w:t>If a term is given a meaning in section 9 it has the same meaning in this Chapter unless the contrary intention appears in this Chapter.</w:t>
      </w:r>
    </w:p>
    <w:p>
      <w:pPr>
        <w:pStyle w:val="Subsection"/>
      </w:pPr>
      <w:r>
        <w:tab/>
        <w:t>(3)</w:t>
      </w:r>
      <w:r>
        <w:tab/>
        <w:t>If a term is given a meaning in section 148(1) or 161 (as applied by section 205ZE(1)) it has the same meaning in this Chapter unless the contrary intention appears in this Chapter.</w:t>
      </w:r>
    </w:p>
    <w:p>
      <w:pPr>
        <w:pStyle w:val="Footnotesection"/>
      </w:pPr>
      <w:r>
        <w:tab/>
        <w:t>[Section 205A inserted: No. 24 of 2018 s. 8; amended: No. 12 of 2019 s. 101.]</w:t>
      </w:r>
    </w:p>
    <w:p>
      <w:pPr>
        <w:pStyle w:val="Heading5"/>
      </w:pPr>
      <w:bookmarkStart w:id="1090" w:name="_Toc201229192"/>
      <w:bookmarkStart w:id="1091" w:name="_Toc182410257"/>
      <w:r>
        <w:rPr>
          <w:rStyle w:val="CharSectno"/>
        </w:rPr>
        <w:t>205B</w:t>
      </w:r>
      <w:r>
        <w:t>.</w:t>
      </w:r>
      <w:r>
        <w:tab/>
        <w:t>Associate</w:t>
      </w:r>
      <w:bookmarkEnd w:id="1090"/>
      <w:bookmarkEnd w:id="1091"/>
    </w:p>
    <w:p>
      <w:pPr>
        <w:pStyle w:val="Subsection"/>
      </w:pPr>
      <w:r>
        <w:tab/>
        <w:t>(1)</w:t>
      </w:r>
      <w:r>
        <w:tab/>
        <w:t xml:space="preserve">A person is an </w:t>
      </w:r>
      <w:r>
        <w:rPr>
          <w:rStyle w:val="CharDefText"/>
        </w:rPr>
        <w:t>associate</w:t>
      </w:r>
      <w:r>
        <w:t xml:space="preserve"> of another person if — </w:t>
      </w:r>
    </w:p>
    <w:p>
      <w:pPr>
        <w:pStyle w:val="Indenta"/>
      </w:pPr>
      <w:r>
        <w:tab/>
        <w:t>(a)</w:t>
      </w:r>
      <w:r>
        <w:tab/>
        <w:t>the person is a family member (within the meaning given in section 100) of the other person; or</w:t>
      </w:r>
    </w:p>
    <w:p>
      <w:pPr>
        <w:pStyle w:val="Indenta"/>
      </w:pPr>
      <w:r>
        <w:tab/>
        <w:t>(b)</w:t>
      </w:r>
      <w:r>
        <w:tab/>
        <w:t>the person and the other person are related persons under section 162(1)(c) to (g); or</w:t>
      </w:r>
    </w:p>
    <w:p>
      <w:pPr>
        <w:pStyle w:val="Indenta"/>
      </w:pPr>
      <w:r>
        <w:tab/>
        <w:t>(c)</w:t>
      </w:r>
      <w:r>
        <w:tab/>
        <w:t>the person and the other person are partners in the same partnership.</w:t>
      </w:r>
    </w:p>
    <w:p>
      <w:pPr>
        <w:pStyle w:val="Subsection"/>
      </w:pPr>
      <w:r>
        <w:tab/>
        <w:t>(2)</w:t>
      </w:r>
      <w:r>
        <w:tab/>
        <w:t xml:space="preserve">If a beneficiary of a trust, other than a unit trust scheme or a discretionary trust, is an associate under subsection (1) of a person, a trustee of the trust is also an </w:t>
      </w:r>
      <w:r>
        <w:rPr>
          <w:rStyle w:val="CharDefText"/>
        </w:rPr>
        <w:t>associate</w:t>
      </w:r>
      <w:r>
        <w:t xml:space="preserve"> of that person.</w:t>
      </w:r>
    </w:p>
    <w:p>
      <w:pPr>
        <w:pStyle w:val="Footnotesection"/>
      </w:pPr>
      <w:r>
        <w:tab/>
        <w:t>[Section 205B inserted: No. 24 of 2018 s. 8.]</w:t>
      </w:r>
    </w:p>
    <w:p>
      <w:pPr>
        <w:pStyle w:val="Heading5"/>
      </w:pPr>
      <w:bookmarkStart w:id="1092" w:name="_Toc201229193"/>
      <w:bookmarkStart w:id="1093" w:name="_Toc182410258"/>
      <w:r>
        <w:rPr>
          <w:rStyle w:val="CharSectno"/>
        </w:rPr>
        <w:t>205C</w:t>
      </w:r>
      <w:r>
        <w:t>.</w:t>
      </w:r>
      <w:r>
        <w:tab/>
        <w:t>Foreign corporation</w:t>
      </w:r>
      <w:bookmarkEnd w:id="1092"/>
      <w:bookmarkEnd w:id="1093"/>
    </w:p>
    <w:p>
      <w:pPr>
        <w:pStyle w:val="Subsection"/>
      </w:pPr>
      <w:r>
        <w:tab/>
        <w:t>(1)</w:t>
      </w:r>
      <w:r>
        <w:tab/>
        <w:t xml:space="preserve">In this section — </w:t>
      </w:r>
    </w:p>
    <w:p>
      <w:pPr>
        <w:pStyle w:val="Defstart"/>
      </w:pPr>
      <w:r>
        <w:tab/>
      </w:r>
      <w:r>
        <w:rPr>
          <w:rStyle w:val="CharDefText"/>
        </w:rPr>
        <w:t>potential voting power</w:t>
      </w:r>
      <w:r>
        <w:t xml:space="preserve"> has the meaning given in the </w:t>
      </w:r>
      <w:r>
        <w:rPr>
          <w:i/>
        </w:rPr>
        <w:t>Foreign Acquisitions and Takeovers Act 1975</w:t>
      </w:r>
      <w:r>
        <w:t xml:space="preserve"> (Commonwealth) section 4;</w:t>
      </w:r>
    </w:p>
    <w:p>
      <w:pPr>
        <w:pStyle w:val="Defstart"/>
      </w:pPr>
      <w:r>
        <w:tab/>
      </w:r>
      <w:r>
        <w:rPr>
          <w:rStyle w:val="CharDefText"/>
        </w:rPr>
        <w:t>voting power</w:t>
      </w:r>
      <w:r>
        <w:t xml:space="preserve"> has the meaning given in the </w:t>
      </w:r>
      <w:r>
        <w:rPr>
          <w:i/>
        </w:rPr>
        <w:t>Foreign Acquisitions and Takeovers Act 1975</w:t>
      </w:r>
      <w:r>
        <w:t xml:space="preserve"> (Commonwealth) section 4.</w:t>
      </w:r>
    </w:p>
    <w:p>
      <w:pPr>
        <w:pStyle w:val="Subsection"/>
        <w:keepNext/>
      </w:pPr>
      <w:r>
        <w:tab/>
        <w:t>(2)</w:t>
      </w:r>
      <w:r>
        <w:tab/>
        <w:t xml:space="preserve">A corporation is a </w:t>
      </w:r>
      <w:r>
        <w:rPr>
          <w:rStyle w:val="CharDefText"/>
        </w:rPr>
        <w:t>foreign corporation</w:t>
      </w:r>
      <w:r>
        <w:t xml:space="preserve"> if — </w:t>
      </w:r>
    </w:p>
    <w:p>
      <w:pPr>
        <w:pStyle w:val="Indenta"/>
      </w:pPr>
      <w:r>
        <w:tab/>
        <w:t>(a)</w:t>
      </w:r>
      <w:r>
        <w:tab/>
        <w:t>the corporation is incorporated outside Australia; or</w:t>
      </w:r>
    </w:p>
    <w:p>
      <w:pPr>
        <w:pStyle w:val="Indenta"/>
      </w:pPr>
      <w:r>
        <w:tab/>
        <w:t>(b)</w:t>
      </w:r>
      <w:r>
        <w:tab/>
        <w:t>the corporation is a corporation in which foreign persons have a controlling interest.</w:t>
      </w:r>
    </w:p>
    <w:p>
      <w:pPr>
        <w:pStyle w:val="Subsection"/>
      </w:pPr>
      <w:r>
        <w:tab/>
        <w:t>(3)</w:t>
      </w:r>
      <w:r>
        <w:tab/>
        <w:t xml:space="preserve">For the purposes of subsection (2)(b), foreign persons have a controlling interest in a corporation if 1 or more foreign persons or their associates — </w:t>
      </w:r>
    </w:p>
    <w:p>
      <w:pPr>
        <w:pStyle w:val="Indenta"/>
      </w:pPr>
      <w:r>
        <w:tab/>
        <w:t>(a)</w:t>
      </w:r>
      <w:r>
        <w:tab/>
        <w:t xml:space="preserve">control at least 50% of the voting power in the corporation; or </w:t>
      </w:r>
    </w:p>
    <w:p>
      <w:pPr>
        <w:pStyle w:val="Indenta"/>
      </w:pPr>
      <w:r>
        <w:tab/>
        <w:t>(b)</w:t>
      </w:r>
      <w:r>
        <w:tab/>
        <w:t>control at least 50% of the potential voting power in the corporation; or</w:t>
      </w:r>
    </w:p>
    <w:p>
      <w:pPr>
        <w:pStyle w:val="Indenta"/>
      </w:pPr>
      <w:r>
        <w:tab/>
        <w:t>(c)</w:t>
      </w:r>
      <w:r>
        <w:tab/>
        <w:t>hold at least 50% of the issued shares in the corporation.</w:t>
      </w:r>
    </w:p>
    <w:p>
      <w:pPr>
        <w:pStyle w:val="Subsection"/>
      </w:pPr>
      <w:r>
        <w:tab/>
        <w:t>(4)</w:t>
      </w:r>
      <w:r>
        <w:tab/>
        <w:t>In subsection (3) references to control are to control that is direct or indirect, including control that is exercisable as a result or by means of arrangements or practices, whether or not having legal or equitable force, and whether or not based on legal or equitable rights.</w:t>
      </w:r>
    </w:p>
    <w:p>
      <w:pPr>
        <w:pStyle w:val="Footnotesection"/>
      </w:pPr>
      <w:r>
        <w:tab/>
        <w:t>[Section 205C inserted: No. 24 of 2018 s. 8.]</w:t>
      </w:r>
    </w:p>
    <w:p>
      <w:pPr>
        <w:pStyle w:val="Heading5"/>
      </w:pPr>
      <w:bookmarkStart w:id="1094" w:name="_Toc201229194"/>
      <w:bookmarkStart w:id="1095" w:name="_Toc182410259"/>
      <w:r>
        <w:rPr>
          <w:rStyle w:val="CharSectno"/>
        </w:rPr>
        <w:t>205D</w:t>
      </w:r>
      <w:r>
        <w:t>.</w:t>
      </w:r>
      <w:r>
        <w:tab/>
        <w:t>Foreign trust</w:t>
      </w:r>
      <w:bookmarkEnd w:id="1094"/>
      <w:bookmarkEnd w:id="1095"/>
    </w:p>
    <w:p>
      <w:pPr>
        <w:pStyle w:val="Subsection"/>
      </w:pPr>
      <w:r>
        <w:tab/>
        <w:t>(1)</w:t>
      </w:r>
      <w:r>
        <w:tab/>
        <w:t xml:space="preserve">A trust is a </w:t>
      </w:r>
      <w:r>
        <w:rPr>
          <w:rStyle w:val="CharDefText"/>
        </w:rPr>
        <w:t>foreign trust</w:t>
      </w:r>
      <w:r>
        <w:t xml:space="preserve"> if it is — </w:t>
      </w:r>
    </w:p>
    <w:p>
      <w:pPr>
        <w:pStyle w:val="Indenta"/>
      </w:pPr>
      <w:r>
        <w:tab/>
        <w:t>(a)</w:t>
      </w:r>
      <w:r>
        <w:tab/>
        <w:t>a discretionary trust controlled by a foreign person; or</w:t>
      </w:r>
    </w:p>
    <w:p>
      <w:pPr>
        <w:pStyle w:val="Indenta"/>
      </w:pPr>
      <w:r>
        <w:tab/>
        <w:t>(b)</w:t>
      </w:r>
      <w:r>
        <w:tab/>
        <w:t>a discretionary trust and 1 or more foreign persons that are takers in default, together with their associates, hold at least a 50% interest in the discretionary trust; or</w:t>
      </w:r>
    </w:p>
    <w:p>
      <w:pPr>
        <w:pStyle w:val="Indenta"/>
      </w:pPr>
      <w:r>
        <w:tab/>
        <w:t>(c)</w:t>
      </w:r>
      <w:r>
        <w:tab/>
        <w:t>a trust other than a discretionary trust and 1 or more foreign persons, together with their associates, hold beneficial interests in at least 50% of the income or property of the trust.</w:t>
      </w:r>
    </w:p>
    <w:p>
      <w:pPr>
        <w:pStyle w:val="Subsection"/>
      </w:pPr>
      <w:r>
        <w:tab/>
        <w:t>(2)</w:t>
      </w:r>
      <w:r>
        <w:tab/>
        <w:t>For the purposes of subsection (1)(a), a discretionary trust is controlled by a foreign person if the person is in a position to influence, either directly or indirectly, the vesting of the whole or any part of the capital of the trust property, or of the whole or any part of the income from the trust property.</w:t>
      </w:r>
    </w:p>
    <w:p>
      <w:pPr>
        <w:pStyle w:val="Footnotesection"/>
      </w:pPr>
      <w:r>
        <w:tab/>
        <w:t>[Section 205D inserted: No. 24 of 2018 s. 8.]</w:t>
      </w:r>
    </w:p>
    <w:p>
      <w:pPr>
        <w:pStyle w:val="Heading5"/>
      </w:pPr>
      <w:bookmarkStart w:id="1096" w:name="_Toc201229195"/>
      <w:bookmarkStart w:id="1097" w:name="_Toc182410260"/>
      <w:r>
        <w:rPr>
          <w:rStyle w:val="CharSectno"/>
        </w:rPr>
        <w:t>205E</w:t>
      </w:r>
      <w:r>
        <w:t>.</w:t>
      </w:r>
      <w:r>
        <w:tab/>
        <w:t>Residential property</w:t>
      </w:r>
      <w:bookmarkEnd w:id="1096"/>
      <w:bookmarkEnd w:id="1097"/>
    </w:p>
    <w:p>
      <w:pPr>
        <w:pStyle w:val="Subsection"/>
      </w:pPr>
      <w:r>
        <w:tab/>
        <w:t>(1)</w:t>
      </w:r>
      <w:r>
        <w:tab/>
        <w:t xml:space="preserve">Subject to subsection (3), any of the following is </w:t>
      </w:r>
      <w:r>
        <w:rPr>
          <w:rStyle w:val="CharDefText"/>
        </w:rPr>
        <w:t>residential property</w:t>
      </w:r>
      <w:r>
        <w:rPr>
          <w:b/>
          <w:i/>
        </w:rPr>
        <w:t> </w:t>
      </w:r>
      <w:r>
        <w:t xml:space="preserve">— </w:t>
      </w:r>
    </w:p>
    <w:p>
      <w:pPr>
        <w:pStyle w:val="Indenta"/>
      </w:pPr>
      <w:r>
        <w:tab/>
        <w:t>(a)</w:t>
      </w:r>
      <w:r>
        <w:tab/>
        <w:t>land in Western Australia that is, is capable of being, or is intended to be, used solely or dominantly for residential purposes;</w:t>
      </w:r>
    </w:p>
    <w:p>
      <w:pPr>
        <w:pStyle w:val="Indenta"/>
      </w:pPr>
      <w:r>
        <w:tab/>
        <w:t>(b)</w:t>
      </w:r>
      <w:r>
        <w:tab/>
        <w:t xml:space="preserve">land in Western Australia that is vacant or substantially vacant and zoned solely for residential purposes under a planning scheme as defined in the </w:t>
      </w:r>
      <w:r>
        <w:rPr>
          <w:i/>
        </w:rPr>
        <w:t>Planning and Development Act 2005</w:t>
      </w:r>
      <w:r>
        <w:t xml:space="preserve"> section 4(1);</w:t>
      </w:r>
    </w:p>
    <w:p>
      <w:pPr>
        <w:pStyle w:val="Indenta"/>
      </w:pPr>
      <w:r>
        <w:tab/>
        <w:t>(c)</w:t>
      </w:r>
      <w:r>
        <w:tab/>
        <w:t xml:space="preserve">in the case of land described in paragraph (a) or (b) — </w:t>
      </w:r>
    </w:p>
    <w:p>
      <w:pPr>
        <w:pStyle w:val="Indenti"/>
      </w:pPr>
      <w:r>
        <w:tab/>
        <w:t>(i)</w:t>
      </w:r>
      <w:r>
        <w:tab/>
        <w:t>any estate or interest in the land;</w:t>
      </w:r>
    </w:p>
    <w:p>
      <w:pPr>
        <w:pStyle w:val="Indenti"/>
      </w:pPr>
      <w:r>
        <w:tab/>
        <w:t>(ii)</w:t>
      </w:r>
      <w:r>
        <w:tab/>
        <w:t>anything to which section 3A(1)(f) applies that is fixed to the land or an estate or interest in such a thing.</w:t>
      </w:r>
    </w:p>
    <w:p>
      <w:pPr>
        <w:pStyle w:val="Subsection"/>
      </w:pPr>
      <w:r>
        <w:tab/>
        <w:t>(2)</w:t>
      </w:r>
      <w:r>
        <w:tab/>
        <w:t xml:space="preserve">For the purposes of Part 2, other than sections 205S(2)(b) and (h) and 205X, </w:t>
      </w:r>
      <w:r>
        <w:rPr>
          <w:rStyle w:val="CharDefText"/>
        </w:rPr>
        <w:t>residential property</w:t>
      </w:r>
      <w:r>
        <w:t xml:space="preserve"> includes a chattel in Western Australia if — </w:t>
      </w:r>
    </w:p>
    <w:p>
      <w:pPr>
        <w:pStyle w:val="Indenta"/>
      </w:pPr>
      <w:r>
        <w:tab/>
        <w:t>(a)</w:t>
      </w:r>
      <w:r>
        <w:tab/>
        <w:t xml:space="preserve">the chattel is the subject of a dutiable transaction; and </w:t>
      </w:r>
    </w:p>
    <w:p>
      <w:pPr>
        <w:pStyle w:val="Indenta"/>
      </w:pPr>
      <w:r>
        <w:tab/>
        <w:t>(b)</w:t>
      </w:r>
      <w:r>
        <w:tab/>
        <w:t xml:space="preserve">under section 37, the dutiable transaction in respect of the chattel is aggregated with a dutiable transaction in respect of residential property as defined in subsections (1) and (3); and </w:t>
      </w:r>
    </w:p>
    <w:p>
      <w:pPr>
        <w:pStyle w:val="Indenta"/>
      </w:pPr>
      <w:r>
        <w:tab/>
        <w:t>(c)</w:t>
      </w:r>
      <w:r>
        <w:tab/>
        <w:t>the use of the chattel is directly linked to, or is incidental to, the use of residential property for residential purposes.</w:t>
      </w:r>
    </w:p>
    <w:p>
      <w:pPr>
        <w:pStyle w:val="Subsection"/>
        <w:keepNext/>
      </w:pPr>
      <w:r>
        <w:tab/>
        <w:t>(3)</w:t>
      </w:r>
      <w:r>
        <w:tab/>
        <w:t xml:space="preserve">The following are not </w:t>
      </w:r>
      <w:r>
        <w:rPr>
          <w:rStyle w:val="CharDefText"/>
        </w:rPr>
        <w:t>residential property</w:t>
      </w:r>
      <w:r>
        <w:t xml:space="preserve"> — </w:t>
      </w:r>
    </w:p>
    <w:p>
      <w:pPr>
        <w:pStyle w:val="Indenta"/>
      </w:pPr>
      <w:r>
        <w:tab/>
        <w:t>(a)</w:t>
      </w:r>
      <w:r>
        <w:tab/>
        <w:t xml:space="preserve">land that is intended to be used solely or dominantly for the purposes of an aged care facility as defined in the </w:t>
      </w:r>
      <w:r>
        <w:rPr>
          <w:i/>
        </w:rPr>
        <w:t xml:space="preserve">Land Tax Assessment Act 2002 </w:t>
      </w:r>
      <w:r>
        <w:t>section 38A(1);</w:t>
      </w:r>
    </w:p>
    <w:p>
      <w:pPr>
        <w:pStyle w:val="Indenta"/>
      </w:pPr>
      <w:r>
        <w:tab/>
        <w:t>(b)</w:t>
      </w:r>
      <w:r>
        <w:tab/>
        <w:t xml:space="preserve">land that is intended to be used solely or dominantly for the purposes of commercial residential premises as defined in the </w:t>
      </w:r>
      <w:r>
        <w:rPr>
          <w:i/>
        </w:rPr>
        <w:t xml:space="preserve">A New Tax System (Goods and Services Tax) Act 1999 </w:t>
      </w:r>
      <w:r>
        <w:t>(Commonwealth) section 195</w:t>
      </w:r>
      <w:r>
        <w:noBreakHyphen/>
        <w:t>1;</w:t>
      </w:r>
    </w:p>
    <w:p>
      <w:pPr>
        <w:pStyle w:val="Indenta"/>
      </w:pPr>
      <w:r>
        <w:tab/>
        <w:t>(c)</w:t>
      </w:r>
      <w:r>
        <w:tab/>
        <w:t xml:space="preserve">land that is intended to be used solely or dominantly for the purposes of a retirement village as defined in the </w:t>
      </w:r>
      <w:r>
        <w:rPr>
          <w:i/>
        </w:rPr>
        <w:t>Retirement Villages Act 1992</w:t>
      </w:r>
      <w:r>
        <w:t xml:space="preserve"> section 3(1);</w:t>
      </w:r>
    </w:p>
    <w:p>
      <w:pPr>
        <w:pStyle w:val="Indenta"/>
      </w:pPr>
      <w:r>
        <w:tab/>
        <w:t>(d)</w:t>
      </w:r>
      <w:r>
        <w:tab/>
        <w:t>an easement;</w:t>
      </w:r>
    </w:p>
    <w:p>
      <w:pPr>
        <w:pStyle w:val="Indenta"/>
      </w:pPr>
      <w:r>
        <w:tab/>
        <w:t>(e)</w:t>
      </w:r>
      <w:r>
        <w:tab/>
        <w:t>a security interest;</w:t>
      </w:r>
    </w:p>
    <w:p>
      <w:pPr>
        <w:pStyle w:val="Indenta"/>
      </w:pPr>
      <w:r>
        <w:tab/>
        <w:t>(f)</w:t>
      </w:r>
      <w:r>
        <w:tab/>
        <w:t xml:space="preserve">a carbon right or a carbon covenant registered under the </w:t>
      </w:r>
      <w:r>
        <w:rPr>
          <w:i/>
        </w:rPr>
        <w:t>Carbon Rights Act 2003</w:t>
      </w:r>
      <w:r>
        <w:t>;</w:t>
      </w:r>
    </w:p>
    <w:p>
      <w:pPr>
        <w:pStyle w:val="Indenta"/>
      </w:pPr>
      <w:r>
        <w:tab/>
        <w:t>(fa)</w:t>
      </w:r>
      <w:r>
        <w:tab/>
        <w:t>anything to which section 18A(1) applies;</w:t>
      </w:r>
    </w:p>
    <w:p>
      <w:pPr>
        <w:pStyle w:val="Indenta"/>
      </w:pPr>
      <w:r>
        <w:tab/>
        <w:t>(fb)</w:t>
      </w:r>
      <w:r>
        <w:tab/>
        <w:t>a mining tenement or an estate or interest in a mining tenement;</w:t>
      </w:r>
    </w:p>
    <w:p>
      <w:pPr>
        <w:pStyle w:val="Indenta"/>
      </w:pPr>
      <w:r>
        <w:tab/>
        <w:t>(fc)</w:t>
      </w:r>
      <w:r>
        <w:tab/>
        <w:t>a pastoral lease or an interest of a pastoral lessee under a pastoral lease;</w:t>
      </w:r>
    </w:p>
    <w:p>
      <w:pPr>
        <w:pStyle w:val="Indenta"/>
      </w:pPr>
      <w:r>
        <w:tab/>
        <w:t>(fd)</w:t>
      </w:r>
      <w:r>
        <w:tab/>
        <w:t>a derivative mining right;</w:t>
      </w:r>
    </w:p>
    <w:p>
      <w:pPr>
        <w:pStyle w:val="Indenta"/>
      </w:pPr>
      <w:r>
        <w:tab/>
        <w:t>(g)</w:t>
      </w:r>
      <w:r>
        <w:tab/>
        <w:t>land prescribed for the purposes of this subsection.</w:t>
      </w:r>
    </w:p>
    <w:p>
      <w:pPr>
        <w:pStyle w:val="Footnotesection"/>
      </w:pPr>
      <w:r>
        <w:tab/>
        <w:t>[Section 205E inserted: No. 24 of 2018 s. 8; amended: No. 12 of 2019 s. 102.]</w:t>
      </w:r>
    </w:p>
    <w:p>
      <w:pPr>
        <w:pStyle w:val="Heading3"/>
        <w:keepLines/>
        <w:rPr>
          <w:sz w:val="28"/>
          <w:szCs w:val="28"/>
        </w:rPr>
      </w:pPr>
      <w:bookmarkStart w:id="1098" w:name="_Toc201218125"/>
      <w:bookmarkStart w:id="1099" w:name="_Toc201224498"/>
      <w:bookmarkStart w:id="1100" w:name="_Toc201229196"/>
      <w:bookmarkStart w:id="1101" w:name="_Toc182388801"/>
      <w:bookmarkStart w:id="1102" w:name="_Toc182389463"/>
      <w:bookmarkStart w:id="1103" w:name="_Toc182410261"/>
      <w:r>
        <w:rPr>
          <w:rStyle w:val="CharDivNo"/>
          <w:sz w:val="28"/>
          <w:szCs w:val="28"/>
        </w:rPr>
        <w:t>Part 2</w:t>
      </w:r>
      <w:r>
        <w:rPr>
          <w:sz w:val="28"/>
          <w:szCs w:val="28"/>
        </w:rPr>
        <w:t> — </w:t>
      </w:r>
      <w:r>
        <w:rPr>
          <w:rStyle w:val="CharDivText"/>
          <w:sz w:val="28"/>
          <w:szCs w:val="28"/>
        </w:rPr>
        <w:t>Foreign transfer duty</w:t>
      </w:r>
      <w:bookmarkEnd w:id="1098"/>
      <w:bookmarkEnd w:id="1099"/>
      <w:bookmarkEnd w:id="1100"/>
      <w:bookmarkEnd w:id="1101"/>
      <w:bookmarkEnd w:id="1102"/>
      <w:bookmarkEnd w:id="1103"/>
    </w:p>
    <w:p>
      <w:pPr>
        <w:pStyle w:val="Footnoteheading"/>
        <w:keepNext/>
        <w:keepLines/>
      </w:pPr>
      <w:r>
        <w:tab/>
        <w:t>[Heading inserted: No. 24 of 2018 s. 8.]</w:t>
      </w:r>
    </w:p>
    <w:p>
      <w:pPr>
        <w:pStyle w:val="Heading4"/>
        <w:keepLines/>
        <w:rPr>
          <w:sz w:val="26"/>
          <w:szCs w:val="26"/>
        </w:rPr>
      </w:pPr>
      <w:bookmarkStart w:id="1104" w:name="_Toc201218126"/>
      <w:bookmarkStart w:id="1105" w:name="_Toc201224499"/>
      <w:bookmarkStart w:id="1106" w:name="_Toc201229197"/>
      <w:bookmarkStart w:id="1107" w:name="_Toc182388802"/>
      <w:bookmarkStart w:id="1108" w:name="_Toc182389464"/>
      <w:bookmarkStart w:id="1109" w:name="_Toc182410262"/>
      <w:r>
        <w:rPr>
          <w:sz w:val="26"/>
          <w:szCs w:val="26"/>
        </w:rPr>
        <w:t>Division 1 — Preliminary</w:t>
      </w:r>
      <w:bookmarkEnd w:id="1104"/>
      <w:bookmarkEnd w:id="1105"/>
      <w:bookmarkEnd w:id="1106"/>
      <w:bookmarkEnd w:id="1107"/>
      <w:bookmarkEnd w:id="1108"/>
      <w:bookmarkEnd w:id="1109"/>
    </w:p>
    <w:p>
      <w:pPr>
        <w:pStyle w:val="Footnoteheading"/>
        <w:keepNext/>
        <w:keepLines/>
      </w:pPr>
      <w:r>
        <w:tab/>
        <w:t>[Heading inserted: No. 24 of 2018 s. 8.]</w:t>
      </w:r>
    </w:p>
    <w:p>
      <w:pPr>
        <w:pStyle w:val="Heading5"/>
      </w:pPr>
      <w:bookmarkStart w:id="1110" w:name="_Toc201229198"/>
      <w:bookmarkStart w:id="1111" w:name="_Toc182410263"/>
      <w:r>
        <w:rPr>
          <w:rStyle w:val="CharSectno"/>
        </w:rPr>
        <w:t>205F</w:t>
      </w:r>
      <w:r>
        <w:t>.</w:t>
      </w:r>
      <w:r>
        <w:tab/>
        <w:t>Terms used</w:t>
      </w:r>
      <w:bookmarkEnd w:id="1110"/>
      <w:bookmarkEnd w:id="1111"/>
    </w:p>
    <w:p>
      <w:pPr>
        <w:pStyle w:val="Subsection"/>
      </w:pPr>
      <w:r>
        <w:tab/>
        <w:t>(1)</w:t>
      </w:r>
      <w:r>
        <w:tab/>
        <w:t xml:space="preserve">In this Part, unless the contrary intention appears — </w:t>
      </w:r>
    </w:p>
    <w:p>
      <w:pPr>
        <w:pStyle w:val="Defstart"/>
      </w:pPr>
      <w:r>
        <w:tab/>
      </w:r>
      <w:r>
        <w:rPr>
          <w:rStyle w:val="CharDefText"/>
        </w:rPr>
        <w:t>dutiable value</w:t>
      </w:r>
      <w:r>
        <w:t xml:space="preserve"> has the meaning given in Chapter 2 Part 4 Division 5 as applied by section 205P(1);</w:t>
      </w:r>
    </w:p>
    <w:p>
      <w:pPr>
        <w:pStyle w:val="Defstart"/>
      </w:pPr>
      <w:r>
        <w:tab/>
      </w:r>
      <w:r>
        <w:rPr>
          <w:rStyle w:val="CharDefText"/>
        </w:rPr>
        <w:t>foreign transfer duty endorsed</w:t>
      </w:r>
      <w:r>
        <w:t xml:space="preserve"> has the meaning given in subsections (2) and (3); </w:t>
      </w:r>
    </w:p>
    <w:p>
      <w:pPr>
        <w:pStyle w:val="Defstart"/>
      </w:pPr>
      <w:r>
        <w:tab/>
      </w:r>
      <w:r>
        <w:rPr>
          <w:rStyle w:val="CharDefText"/>
        </w:rPr>
        <w:t>new residential property</w:t>
      </w:r>
      <w:r>
        <w:t xml:space="preserve"> has the meaning given in section 205I;</w:t>
      </w:r>
    </w:p>
    <w:p>
      <w:pPr>
        <w:pStyle w:val="Defstart"/>
      </w:pPr>
      <w:r>
        <w:tab/>
      </w:r>
      <w:r>
        <w:rPr>
          <w:rStyle w:val="CharDefText"/>
        </w:rPr>
        <w:t>residential partnership acquisition</w:t>
      </w:r>
      <w:r>
        <w:t xml:space="preserve"> has the meaning given in section 205X;</w:t>
      </w:r>
    </w:p>
    <w:p>
      <w:pPr>
        <w:pStyle w:val="Defstart"/>
      </w:pPr>
      <w:r>
        <w:tab/>
      </w:r>
      <w:r>
        <w:rPr>
          <w:rStyle w:val="CharDefText"/>
        </w:rPr>
        <w:t>residential trust acquisition</w:t>
      </w:r>
      <w:r>
        <w:t xml:space="preserve"> has the meaning given in section 205T;</w:t>
      </w:r>
    </w:p>
    <w:p>
      <w:pPr>
        <w:pStyle w:val="Defstart"/>
      </w:pPr>
      <w:r>
        <w:tab/>
      </w:r>
      <w:r>
        <w:rPr>
          <w:rStyle w:val="CharDefText"/>
        </w:rPr>
        <w:t>residential trust surrender</w:t>
      </w:r>
      <w:r>
        <w:t xml:space="preserve"> has the meaning given in section 205U;</w:t>
      </w:r>
    </w:p>
    <w:p>
      <w:pPr>
        <w:pStyle w:val="Defstart"/>
      </w:pPr>
      <w:r>
        <w:tab/>
      </w:r>
      <w:r>
        <w:rPr>
          <w:rStyle w:val="CharDefText"/>
        </w:rPr>
        <w:t>special residential property</w:t>
      </w:r>
      <w:r>
        <w:t xml:space="preserve"> means any of the following —</w:t>
      </w:r>
    </w:p>
    <w:p>
      <w:pPr>
        <w:pStyle w:val="Defpara"/>
      </w:pPr>
      <w:r>
        <w:tab/>
        <w:t>(a)</w:t>
      </w:r>
      <w:r>
        <w:tab/>
        <w:t>a life interest in residential property;</w:t>
      </w:r>
    </w:p>
    <w:p>
      <w:pPr>
        <w:pStyle w:val="Defpara"/>
      </w:pPr>
      <w:r>
        <w:tab/>
        <w:t>(b)</w:t>
      </w:r>
      <w:r>
        <w:tab/>
        <w:t>a remainder interest in residential property;</w:t>
      </w:r>
    </w:p>
    <w:p>
      <w:pPr>
        <w:pStyle w:val="Defpara"/>
      </w:pPr>
      <w:r>
        <w:tab/>
        <w:t>(c)</w:t>
      </w:r>
      <w:r>
        <w:tab/>
        <w:t>a lease of residential property, if consideration is paid, or agreed to be paid, by the lessor for the surrender of the lease.</w:t>
      </w:r>
    </w:p>
    <w:p>
      <w:pPr>
        <w:pStyle w:val="Subsection"/>
      </w:pPr>
      <w:r>
        <w:tab/>
        <w:t>(2)</w:t>
      </w:r>
      <w:r>
        <w:tab/>
        <w:t xml:space="preserve">A foreign dutiable transaction is </w:t>
      </w:r>
      <w:r>
        <w:rPr>
          <w:rStyle w:val="CharDefText"/>
        </w:rPr>
        <w:t>foreign transfer duty endorsed</w:t>
      </w:r>
      <w:r>
        <w:t xml:space="preserve"> if a transaction record for it is foreign transfer duty endorsed.</w:t>
      </w:r>
    </w:p>
    <w:p>
      <w:pPr>
        <w:pStyle w:val="Subsection"/>
        <w:keepNext/>
      </w:pPr>
      <w:r>
        <w:tab/>
        <w:t>(3)</w:t>
      </w:r>
      <w:r>
        <w:tab/>
        <w:t xml:space="preserve">A transaction record, or a duplicate of a transaction record, for a foreign dutiable transaction is </w:t>
      </w:r>
      <w:r>
        <w:rPr>
          <w:rStyle w:val="CharDefText"/>
        </w:rPr>
        <w:t>foreign transfer duty endorsed</w:t>
      </w:r>
      <w:r>
        <w:t xml:space="preserve"> if it is duty endorsed and the duty endorsement indicates — </w:t>
      </w:r>
    </w:p>
    <w:p>
      <w:pPr>
        <w:pStyle w:val="Indenta"/>
      </w:pPr>
      <w:r>
        <w:tab/>
        <w:t>(a)</w:t>
      </w:r>
      <w:r>
        <w:tab/>
        <w:t xml:space="preserve">the amount of foreign transfer duty paid on the transaction; or </w:t>
      </w:r>
    </w:p>
    <w:p>
      <w:pPr>
        <w:pStyle w:val="Indenta"/>
      </w:pPr>
      <w:r>
        <w:tab/>
        <w:t>(b)</w:t>
      </w:r>
      <w:r>
        <w:tab/>
        <w:t>that foreign transfer duty is not chargeable on the transaction.</w:t>
      </w:r>
    </w:p>
    <w:p>
      <w:pPr>
        <w:pStyle w:val="Footnotesection"/>
      </w:pPr>
      <w:r>
        <w:tab/>
        <w:t>[Section 205F inserted: No. 24 of 2018 s. 8.]</w:t>
      </w:r>
    </w:p>
    <w:p>
      <w:pPr>
        <w:pStyle w:val="Heading4"/>
        <w:rPr>
          <w:sz w:val="26"/>
          <w:szCs w:val="26"/>
        </w:rPr>
      </w:pPr>
      <w:bookmarkStart w:id="1112" w:name="_Toc201218128"/>
      <w:bookmarkStart w:id="1113" w:name="_Toc201224501"/>
      <w:bookmarkStart w:id="1114" w:name="_Toc201229199"/>
      <w:bookmarkStart w:id="1115" w:name="_Toc182388804"/>
      <w:bookmarkStart w:id="1116" w:name="_Toc182389466"/>
      <w:bookmarkStart w:id="1117" w:name="_Toc182410264"/>
      <w:r>
        <w:rPr>
          <w:sz w:val="26"/>
          <w:szCs w:val="26"/>
        </w:rPr>
        <w:t>Division 2 — Imposition of foreign transfer duty</w:t>
      </w:r>
      <w:bookmarkEnd w:id="1112"/>
      <w:bookmarkEnd w:id="1113"/>
      <w:bookmarkEnd w:id="1114"/>
      <w:bookmarkEnd w:id="1115"/>
      <w:bookmarkEnd w:id="1116"/>
      <w:bookmarkEnd w:id="1117"/>
    </w:p>
    <w:p>
      <w:pPr>
        <w:pStyle w:val="Footnoteheading"/>
      </w:pPr>
      <w:r>
        <w:tab/>
        <w:t>[Heading inserted: No. 24 of 2018 s. 8.]</w:t>
      </w:r>
    </w:p>
    <w:p>
      <w:pPr>
        <w:pStyle w:val="Heading5"/>
      </w:pPr>
      <w:bookmarkStart w:id="1118" w:name="_Toc201229200"/>
      <w:bookmarkStart w:id="1119" w:name="_Toc182410265"/>
      <w:r>
        <w:rPr>
          <w:rStyle w:val="CharSectno"/>
        </w:rPr>
        <w:t>205G</w:t>
      </w:r>
      <w:r>
        <w:t>.</w:t>
      </w:r>
      <w:r>
        <w:tab/>
        <w:t>Foreign transfer duty imposed</w:t>
      </w:r>
      <w:bookmarkEnd w:id="1118"/>
      <w:bookmarkEnd w:id="1119"/>
    </w:p>
    <w:p>
      <w:pPr>
        <w:pStyle w:val="Subsection"/>
      </w:pPr>
      <w:r>
        <w:tab/>
      </w:r>
      <w:r>
        <w:tab/>
        <w:t>Foreign transfer duty is imposed on foreign dutiable transactions.</w:t>
      </w:r>
    </w:p>
    <w:p>
      <w:pPr>
        <w:pStyle w:val="Footnotesection"/>
      </w:pPr>
      <w:r>
        <w:tab/>
        <w:t>[Section 205G inserted: No. 24 of 2018 s. 8.]</w:t>
      </w:r>
    </w:p>
    <w:p>
      <w:pPr>
        <w:pStyle w:val="Heading4"/>
        <w:rPr>
          <w:sz w:val="26"/>
          <w:szCs w:val="26"/>
        </w:rPr>
      </w:pPr>
      <w:bookmarkStart w:id="1120" w:name="_Toc201218130"/>
      <w:bookmarkStart w:id="1121" w:name="_Toc201224503"/>
      <w:bookmarkStart w:id="1122" w:name="_Toc201229201"/>
      <w:bookmarkStart w:id="1123" w:name="_Toc182388806"/>
      <w:bookmarkStart w:id="1124" w:name="_Toc182389468"/>
      <w:bookmarkStart w:id="1125" w:name="_Toc182410266"/>
      <w:r>
        <w:rPr>
          <w:sz w:val="26"/>
          <w:szCs w:val="26"/>
        </w:rPr>
        <w:t>Division 3 — Foreign dutiable transactions</w:t>
      </w:r>
      <w:bookmarkEnd w:id="1120"/>
      <w:bookmarkEnd w:id="1121"/>
      <w:bookmarkEnd w:id="1122"/>
      <w:bookmarkEnd w:id="1123"/>
      <w:bookmarkEnd w:id="1124"/>
      <w:bookmarkEnd w:id="1125"/>
    </w:p>
    <w:p>
      <w:pPr>
        <w:pStyle w:val="Footnoteheading"/>
        <w:keepNext/>
      </w:pPr>
      <w:r>
        <w:tab/>
        <w:t>[Heading inserted: No. 24 of 2018 s. 8.]</w:t>
      </w:r>
    </w:p>
    <w:p>
      <w:pPr>
        <w:pStyle w:val="Heading5"/>
      </w:pPr>
      <w:bookmarkStart w:id="1126" w:name="_Toc201229202"/>
      <w:bookmarkStart w:id="1127" w:name="_Toc182410267"/>
      <w:r>
        <w:rPr>
          <w:rStyle w:val="CharSectno"/>
        </w:rPr>
        <w:t>205H</w:t>
      </w:r>
      <w:r>
        <w:t>.</w:t>
      </w:r>
      <w:r>
        <w:tab/>
        <w:t>Foreign dutiable transaction</w:t>
      </w:r>
      <w:bookmarkEnd w:id="1126"/>
      <w:bookmarkEnd w:id="1127"/>
    </w:p>
    <w:p>
      <w:pPr>
        <w:pStyle w:val="Subsection"/>
      </w:pPr>
      <w:r>
        <w:tab/>
        <w:t>(1)</w:t>
      </w:r>
      <w:r>
        <w:tab/>
        <w:t xml:space="preserve">Subject to subsection (2), any of the following is a </w:t>
      </w:r>
      <w:r>
        <w:rPr>
          <w:rStyle w:val="CharDefText"/>
        </w:rPr>
        <w:t>foreign dutiable transaction</w:t>
      </w:r>
      <w:r>
        <w:t xml:space="preserve"> — </w:t>
      </w:r>
    </w:p>
    <w:p>
      <w:pPr>
        <w:pStyle w:val="Indenta"/>
      </w:pPr>
      <w:r>
        <w:tab/>
        <w:t>(a)</w:t>
      </w:r>
      <w:r>
        <w:tab/>
        <w:t>a transfer of residential property to a foreign person;</w:t>
      </w:r>
    </w:p>
    <w:p>
      <w:pPr>
        <w:pStyle w:val="Indenta"/>
      </w:pPr>
      <w:r>
        <w:tab/>
        <w:t>(b)</w:t>
      </w:r>
      <w:r>
        <w:tab/>
        <w:t>an agreement, whether conditional or not, for the transfer of residential property to a foreign person;</w:t>
      </w:r>
    </w:p>
    <w:p>
      <w:pPr>
        <w:pStyle w:val="Indenta"/>
      </w:pPr>
      <w:r>
        <w:tab/>
        <w:t>(c)</w:t>
      </w:r>
      <w:r>
        <w:tab/>
        <w:t>a declaration of trust over residential property if the trust is a foreign trust;</w:t>
      </w:r>
    </w:p>
    <w:p>
      <w:pPr>
        <w:pStyle w:val="Indenta"/>
      </w:pPr>
      <w:r>
        <w:tab/>
        <w:t>(d)</w:t>
      </w:r>
      <w:r>
        <w:tab/>
        <w:t xml:space="preserve">a vesting of residential property in a foreign person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residential property by a mortgagee that is a foreign person;</w:t>
      </w:r>
    </w:p>
    <w:p>
      <w:pPr>
        <w:pStyle w:val="Indenta"/>
      </w:pPr>
      <w:r>
        <w:tab/>
        <w:t>(f)</w:t>
      </w:r>
      <w:r>
        <w:tab/>
        <w:t>an acquisition by a foreign person of new residential property, on its creation, grant or issue;</w:t>
      </w:r>
    </w:p>
    <w:p>
      <w:pPr>
        <w:pStyle w:val="Indenta"/>
      </w:pPr>
      <w:r>
        <w:tab/>
        <w:t>(g)</w:t>
      </w:r>
      <w:r>
        <w:tab/>
        <w:t>a surrender of special residential property to a foreign person;</w:t>
      </w:r>
    </w:p>
    <w:p>
      <w:pPr>
        <w:pStyle w:val="Indenta"/>
      </w:pPr>
      <w:r>
        <w:tab/>
        <w:t>(h)</w:t>
      </w:r>
      <w:r>
        <w:tab/>
        <w:t>a residential trust acquisition or residential trust surrender;</w:t>
      </w:r>
    </w:p>
    <w:p>
      <w:pPr>
        <w:pStyle w:val="Indenta"/>
      </w:pPr>
      <w:r>
        <w:tab/>
        <w:t>(i)</w:t>
      </w:r>
      <w:r>
        <w:tab/>
        <w:t>a residential partnership acquisition.</w:t>
      </w:r>
    </w:p>
    <w:p>
      <w:pPr>
        <w:pStyle w:val="Subsection"/>
      </w:pPr>
      <w:r>
        <w:tab/>
        <w:t>(2)</w:t>
      </w:r>
      <w:r>
        <w:tab/>
        <w:t xml:space="preserve">The following transactions are not </w:t>
      </w:r>
      <w:r>
        <w:rPr>
          <w:rStyle w:val="CharDefText"/>
        </w:rPr>
        <w:t>foreign 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transaction prescribed as an excluded transaction for the purposes of this section.</w:t>
      </w:r>
    </w:p>
    <w:p>
      <w:pPr>
        <w:pStyle w:val="Subsection"/>
      </w:pPr>
      <w:r>
        <w:tab/>
        <w:t>(3)</w:t>
      </w:r>
      <w:r>
        <w:tab/>
        <w:t>Without limiting subsection (1)(d)(i), section 12 applies for the purposes of determining when residential property is vested under statute law.</w:t>
      </w:r>
    </w:p>
    <w:p>
      <w:pPr>
        <w:pStyle w:val="Footnotesection"/>
      </w:pPr>
      <w:r>
        <w:tab/>
        <w:t>[Section 205H inserted: No. 24 of 2018 s. 8.]</w:t>
      </w:r>
    </w:p>
    <w:p>
      <w:pPr>
        <w:pStyle w:val="Heading5"/>
      </w:pPr>
      <w:bookmarkStart w:id="1128" w:name="_Toc201229203"/>
      <w:bookmarkStart w:id="1129" w:name="_Toc182410268"/>
      <w:r>
        <w:rPr>
          <w:rStyle w:val="CharSectno"/>
        </w:rPr>
        <w:t>205I</w:t>
      </w:r>
      <w:r>
        <w:t>.</w:t>
      </w:r>
      <w:r>
        <w:tab/>
        <w:t>New residential property</w:t>
      </w:r>
      <w:bookmarkEnd w:id="1128"/>
      <w:bookmarkEnd w:id="1129"/>
    </w:p>
    <w:p>
      <w:pPr>
        <w:pStyle w:val="Subsection"/>
      </w:pPr>
      <w:r>
        <w:tab/>
        <w:t>(1)</w:t>
      </w:r>
      <w:r>
        <w:tab/>
        <w:t xml:space="preserve">Subject to subsection (2), any of the following is </w:t>
      </w:r>
      <w:r>
        <w:rPr>
          <w:rStyle w:val="CharDefText"/>
        </w:rPr>
        <w:t>new residential property</w:t>
      </w:r>
      <w:r>
        <w:t xml:space="preserve"> — </w:t>
      </w:r>
    </w:p>
    <w:p>
      <w:pPr>
        <w:pStyle w:val="Indenta"/>
      </w:pPr>
      <w:r>
        <w:tab/>
        <w:t>(a)</w:t>
      </w:r>
      <w:r>
        <w:tab/>
        <w:t xml:space="preserve">residential property; </w:t>
      </w:r>
    </w:p>
    <w:p>
      <w:pPr>
        <w:pStyle w:val="Indenta"/>
        <w:keepNext/>
      </w:pPr>
      <w:r>
        <w:tab/>
        <w:t>(b)</w:t>
      </w:r>
      <w:r>
        <w:tab/>
        <w:t xml:space="preserve">the following rights — </w:t>
      </w:r>
    </w:p>
    <w:p>
      <w:pPr>
        <w:pStyle w:val="Indenti"/>
      </w:pPr>
      <w:r>
        <w:tab/>
        <w:t>(i)</w:t>
      </w:r>
      <w:r>
        <w:tab/>
        <w:t>an option to acquire residential property, unless the option is part of a simultaneous put and call option over residential property;</w:t>
      </w:r>
    </w:p>
    <w:p>
      <w:pPr>
        <w:pStyle w:val="Indenti"/>
      </w:pPr>
      <w:r>
        <w:tab/>
        <w:t>(ii)</w:t>
      </w:r>
      <w:r>
        <w:tab/>
        <w:t>a right to acquire residential property;</w:t>
      </w:r>
    </w:p>
    <w:p>
      <w:pPr>
        <w:pStyle w:val="Indenti"/>
      </w:pPr>
      <w:r>
        <w:tab/>
        <w:t>(iii)</w:t>
      </w:r>
      <w:r>
        <w:tab/>
        <w:t>any other right prescribed for the purposes of this subsection.</w:t>
      </w:r>
    </w:p>
    <w:p>
      <w:pPr>
        <w:pStyle w:val="Subsection"/>
      </w:pPr>
      <w:r>
        <w:tab/>
        <w:t>(2)</w:t>
      </w:r>
      <w:r>
        <w:tab/>
        <w:t xml:space="preserve">The following are not </w:t>
      </w:r>
      <w:r>
        <w:rPr>
          <w:rStyle w:val="CharDefText"/>
        </w:rPr>
        <w:t>new residential property</w:t>
      </w:r>
      <w:r>
        <w:t xml:space="preserve"> — </w:t>
      </w:r>
    </w:p>
    <w:p>
      <w:pPr>
        <w:pStyle w:val="Indenta"/>
      </w:pPr>
      <w:r>
        <w:tab/>
        <w:t>(a)</w:t>
      </w:r>
      <w:r>
        <w:tab/>
        <w:t>a lease if no consideration is paid, or agreed to be paid, for the grant of the lease;</w:t>
      </w:r>
    </w:p>
    <w:p>
      <w:pPr>
        <w:pStyle w:val="Indenta"/>
      </w:pPr>
      <w:r>
        <w:tab/>
        <w:t>(b)</w:t>
      </w:r>
      <w:r>
        <w:tab/>
        <w:t>any other residential property prescribed as excluded property for the purposes of this section.</w:t>
      </w:r>
    </w:p>
    <w:p>
      <w:pPr>
        <w:pStyle w:val="Footnotesection"/>
      </w:pPr>
      <w:r>
        <w:tab/>
        <w:t>[Section 205I inserted: No. 24 of 2018 s. 8.]</w:t>
      </w:r>
    </w:p>
    <w:p>
      <w:pPr>
        <w:pStyle w:val="Heading4"/>
        <w:rPr>
          <w:sz w:val="26"/>
          <w:szCs w:val="26"/>
        </w:rPr>
      </w:pPr>
      <w:bookmarkStart w:id="1130" w:name="_Toc201218133"/>
      <w:bookmarkStart w:id="1131" w:name="_Toc201224506"/>
      <w:bookmarkStart w:id="1132" w:name="_Toc201229204"/>
      <w:bookmarkStart w:id="1133" w:name="_Toc182388809"/>
      <w:bookmarkStart w:id="1134" w:name="_Toc182389471"/>
      <w:bookmarkStart w:id="1135" w:name="_Toc182410269"/>
      <w:r>
        <w:rPr>
          <w:sz w:val="26"/>
          <w:szCs w:val="26"/>
        </w:rPr>
        <w:t>Division 4 — Collection of foreign transfer duty</w:t>
      </w:r>
      <w:bookmarkEnd w:id="1130"/>
      <w:bookmarkEnd w:id="1131"/>
      <w:bookmarkEnd w:id="1132"/>
      <w:bookmarkEnd w:id="1133"/>
      <w:bookmarkEnd w:id="1134"/>
      <w:bookmarkEnd w:id="1135"/>
    </w:p>
    <w:p>
      <w:pPr>
        <w:pStyle w:val="Footnoteheading"/>
        <w:keepNext/>
      </w:pPr>
      <w:r>
        <w:tab/>
        <w:t>[Heading inserted: No. 24 of 2018 s. 8.]</w:t>
      </w:r>
    </w:p>
    <w:p>
      <w:pPr>
        <w:pStyle w:val="Heading5"/>
      </w:pPr>
      <w:bookmarkStart w:id="1136" w:name="_Toc201229205"/>
      <w:bookmarkStart w:id="1137" w:name="_Toc182410270"/>
      <w:r>
        <w:rPr>
          <w:rStyle w:val="CharSectno"/>
        </w:rPr>
        <w:t>205J</w:t>
      </w:r>
      <w:r>
        <w:t>.</w:t>
      </w:r>
      <w:r>
        <w:tab/>
        <w:t>When liability for duty arises</w:t>
      </w:r>
      <w:bookmarkEnd w:id="1136"/>
      <w:bookmarkEnd w:id="1137"/>
    </w:p>
    <w:p>
      <w:pPr>
        <w:pStyle w:val="Subsection"/>
      </w:pPr>
      <w:r>
        <w:tab/>
      </w:r>
      <w:r>
        <w:tab/>
        <w:t>Liability for foreign transfer duty chargeable on a foreign dutiable transaction arises when the liability for transfer duty chargeable on the transaction arises under section 19.</w:t>
      </w:r>
    </w:p>
    <w:p>
      <w:pPr>
        <w:pStyle w:val="Footnotesection"/>
      </w:pPr>
      <w:r>
        <w:tab/>
        <w:t>[Section 205J inserted: No. 24 of 2018 s. 8.]</w:t>
      </w:r>
    </w:p>
    <w:p>
      <w:pPr>
        <w:pStyle w:val="Heading5"/>
      </w:pPr>
      <w:bookmarkStart w:id="1138" w:name="_Toc201229206"/>
      <w:bookmarkStart w:id="1139" w:name="_Toc182410271"/>
      <w:r>
        <w:rPr>
          <w:rStyle w:val="CharSectno"/>
        </w:rPr>
        <w:t>205K</w:t>
      </w:r>
      <w:r>
        <w:t>.</w:t>
      </w:r>
      <w:r>
        <w:tab/>
        <w:t>Who is liable to pay duty</w:t>
      </w:r>
      <w:bookmarkEnd w:id="1138"/>
      <w:bookmarkEnd w:id="1139"/>
    </w:p>
    <w:p>
      <w:pPr>
        <w:pStyle w:val="Subsection"/>
      </w:pPr>
      <w:r>
        <w:tab/>
        <w:t>(1)</w:t>
      </w:r>
      <w:r>
        <w:tab/>
        <w:t xml:space="preserve">A person is liable to pay foreign transfer duty on a foreign dutiable transaction if the person is — </w:t>
      </w:r>
    </w:p>
    <w:p>
      <w:pPr>
        <w:pStyle w:val="Indenta"/>
      </w:pPr>
      <w:r>
        <w:tab/>
        <w:t>(a)</w:t>
      </w:r>
      <w:r>
        <w:tab/>
        <w:t xml:space="preserve">liable to pay transfer duty on the transaction; and </w:t>
      </w:r>
    </w:p>
    <w:p>
      <w:pPr>
        <w:pStyle w:val="Indenta"/>
      </w:pPr>
      <w:r>
        <w:tab/>
        <w:t>(b)</w:t>
      </w:r>
      <w:r>
        <w:tab/>
        <w:t>a foreign person.</w:t>
      </w:r>
    </w:p>
    <w:p>
      <w:pPr>
        <w:pStyle w:val="Subsection"/>
        <w:keepNext/>
      </w:pPr>
      <w:r>
        <w:tab/>
        <w:t>(2)</w:t>
      </w:r>
      <w:r>
        <w:tab/>
        <w:t xml:space="preserve">A person is liable to pay foreign transfer duty, regardless of whether the person is a foreign person, if — </w:t>
      </w:r>
    </w:p>
    <w:p>
      <w:pPr>
        <w:pStyle w:val="Indenta"/>
      </w:pPr>
      <w:r>
        <w:tab/>
        <w:t>(a)</w:t>
      </w:r>
      <w:r>
        <w:tab/>
        <w:t>the person is liable to pay transfer duty on a foreign dutiable transaction referred to in section 205H(1)(h); or</w:t>
      </w:r>
    </w:p>
    <w:p>
      <w:pPr>
        <w:pStyle w:val="Indenta"/>
      </w:pPr>
      <w:r>
        <w:tab/>
        <w:t>(b)</w:t>
      </w:r>
      <w:r>
        <w:tab/>
        <w:t>the person is, under section 69 as applied by section 205S(1), the person liable to pay foreign transfer duty.</w:t>
      </w:r>
    </w:p>
    <w:p>
      <w:pPr>
        <w:pStyle w:val="Subsection"/>
      </w:pPr>
      <w:r>
        <w:tab/>
        <w:t>(3)</w:t>
      </w:r>
      <w:r>
        <w:tab/>
        <w:t xml:space="preserve">A foreign individual or foreign corporation is not liable to pay foreign transfer duty on a foreign dutiable transaction if — </w:t>
      </w:r>
    </w:p>
    <w:p>
      <w:pPr>
        <w:pStyle w:val="Indenta"/>
      </w:pPr>
      <w:r>
        <w:tab/>
        <w:t>(a)</w:t>
      </w:r>
      <w:r>
        <w:tab/>
        <w:t>the individual or corporation is acting in their capacity as trustee; and</w:t>
      </w:r>
    </w:p>
    <w:p>
      <w:pPr>
        <w:pStyle w:val="Indenta"/>
      </w:pPr>
      <w:r>
        <w:tab/>
        <w:t>(b)</w:t>
      </w:r>
      <w:r>
        <w:tab/>
        <w:t>the individual or corporation is not a foreign trustee.</w:t>
      </w:r>
    </w:p>
    <w:p>
      <w:pPr>
        <w:pStyle w:val="Footnotesection"/>
      </w:pPr>
      <w:r>
        <w:tab/>
        <w:t>[Section 205K inserted: No. 24 of 2018 s. 8.]</w:t>
      </w:r>
    </w:p>
    <w:p>
      <w:pPr>
        <w:pStyle w:val="Heading5"/>
      </w:pPr>
      <w:bookmarkStart w:id="1140" w:name="_Toc201229207"/>
      <w:bookmarkStart w:id="1141" w:name="_Toc182410272"/>
      <w:r>
        <w:rPr>
          <w:rStyle w:val="CharSectno"/>
        </w:rPr>
        <w:t>205L</w:t>
      </w:r>
      <w:r>
        <w:t>.</w:t>
      </w:r>
      <w:r>
        <w:tab/>
        <w:t>Joint tenants to be treated as tenants in common in equal shares</w:t>
      </w:r>
      <w:bookmarkEnd w:id="1140"/>
      <w:bookmarkEnd w:id="1141"/>
    </w:p>
    <w:p>
      <w:pPr>
        <w:pStyle w:val="Subsection"/>
      </w:pPr>
      <w:r>
        <w:tab/>
      </w:r>
      <w:r>
        <w:tab/>
        <w:t>For the purpose of charging foreign transfer duty, joint tenants of residential property are taken to hold the property as tenants in common in equal shares.</w:t>
      </w:r>
    </w:p>
    <w:p>
      <w:pPr>
        <w:pStyle w:val="Footnotesection"/>
      </w:pPr>
      <w:r>
        <w:tab/>
        <w:t>[Section 205L inserted: No. 24 of 2018 s. 8.]</w:t>
      </w:r>
    </w:p>
    <w:p>
      <w:pPr>
        <w:pStyle w:val="Heading5"/>
      </w:pPr>
      <w:bookmarkStart w:id="1142" w:name="_Toc201229208"/>
      <w:bookmarkStart w:id="1143" w:name="_Toc182410273"/>
      <w:r>
        <w:rPr>
          <w:rStyle w:val="CharSectno"/>
        </w:rPr>
        <w:t>205M</w:t>
      </w:r>
      <w:r>
        <w:t>.</w:t>
      </w:r>
      <w:r>
        <w:tab/>
        <w:t>Foreign transfer duty declaration to be lodged</w:t>
      </w:r>
      <w:bookmarkEnd w:id="1142"/>
      <w:bookmarkEnd w:id="1143"/>
    </w:p>
    <w:p>
      <w:pPr>
        <w:pStyle w:val="Subsection"/>
      </w:pPr>
      <w:r>
        <w:tab/>
        <w:t>(1)</w:t>
      </w:r>
      <w:r>
        <w:tab/>
        <w:t>Subject to subsection (2), the person liable to pay foreign transfer duty on a foreign dutiable transaction must lodge a foreign transfer duty declaration in the approved form within 2 months after the day on which liability for foreign transfer duty on the transaction arises.</w:t>
      </w:r>
    </w:p>
    <w:p>
      <w:pPr>
        <w:pStyle w:val="Penstart"/>
      </w:pPr>
      <w:r>
        <w:tab/>
        <w:t>Penalty for this subsection: a fine of $5 000.</w:t>
      </w:r>
    </w:p>
    <w:p>
      <w:pPr>
        <w:pStyle w:val="Subsection"/>
        <w:keepNext/>
      </w:pPr>
      <w:r>
        <w:tab/>
        <w:t>(2)</w:t>
      </w:r>
      <w:r>
        <w:tab/>
        <w:t>A person is not required to lodge a foreign transfer duty declaration in respect of a general conditional agreement in respect of which liability for transfer duty does not arise under section 19(2).</w:t>
      </w:r>
    </w:p>
    <w:p>
      <w:pPr>
        <w:pStyle w:val="Footnotesection"/>
      </w:pPr>
      <w:r>
        <w:tab/>
        <w:t>[Section 205M inserted: No. 24 of 2018 s. 8.]</w:t>
      </w:r>
    </w:p>
    <w:p>
      <w:pPr>
        <w:pStyle w:val="Heading5"/>
      </w:pPr>
      <w:bookmarkStart w:id="1144" w:name="_Toc201229209"/>
      <w:bookmarkStart w:id="1145" w:name="_Toc182410274"/>
      <w:r>
        <w:rPr>
          <w:rStyle w:val="CharSectno"/>
        </w:rPr>
        <w:t>205N</w:t>
      </w:r>
      <w:r>
        <w:t>.</w:t>
      </w:r>
      <w:r>
        <w:tab/>
        <w:t>When duty must be paid</w:t>
      </w:r>
      <w:bookmarkEnd w:id="1144"/>
      <w:bookmarkEnd w:id="1145"/>
    </w:p>
    <w:p>
      <w:pPr>
        <w:pStyle w:val="Subsection"/>
      </w:pPr>
      <w:r>
        <w:tab/>
        <w:t>(1)</w:t>
      </w:r>
      <w:r>
        <w:tab/>
        <w:t>A person liable to pay foreign transfer duty on a foreign dutiable transaction must pay the duty within 1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foreign transfer duty must be paid within 12 months after the day on which liability for foreign transfer duty on the transaction arises if the transaction is — </w:t>
      </w:r>
    </w:p>
    <w:p>
      <w:pPr>
        <w:pStyle w:val="Indenta"/>
      </w:pPr>
      <w:r>
        <w:tab/>
        <w:t>(a)</w:t>
      </w:r>
      <w:r>
        <w:tab/>
        <w:t>a conditional agreement; or</w:t>
      </w:r>
    </w:p>
    <w:p>
      <w:pPr>
        <w:pStyle w:val="Indenta"/>
        <w:keepNext/>
      </w:pPr>
      <w:r>
        <w:tab/>
        <w:t>(b)</w:t>
      </w:r>
      <w:r>
        <w:tab/>
        <w:t xml:space="preserve">a foreign dutiable transaction referred to in section 205H(1)(a), (b), (c) or (d) if a document relating to the transaction must be registered under — </w:t>
      </w:r>
    </w:p>
    <w:p>
      <w:pPr>
        <w:pStyle w:val="Indenti"/>
      </w:pPr>
      <w:r>
        <w:tab/>
        <w:t>(i)</w:t>
      </w:r>
      <w:r>
        <w:tab/>
        <w:t xml:space="preserve">the </w:t>
      </w:r>
      <w:r>
        <w:rPr>
          <w:i/>
        </w:rPr>
        <w:t>Registration of Deeds Act 1856</w:t>
      </w:r>
      <w:r>
        <w:t>; or</w:t>
      </w:r>
    </w:p>
    <w:p>
      <w:pPr>
        <w:pStyle w:val="Indenti"/>
      </w:pPr>
      <w:r>
        <w:tab/>
        <w:t>(ii)</w:t>
      </w:r>
      <w:r>
        <w:tab/>
        <w:t xml:space="preserve">the </w:t>
      </w:r>
      <w:r>
        <w:rPr>
          <w:i/>
        </w:rPr>
        <w:t>Transfer of Land Act 1893</w:t>
      </w:r>
      <w:r>
        <w:t>.</w:t>
      </w:r>
    </w:p>
    <w:p>
      <w:pPr>
        <w:pStyle w:val="Subsection"/>
      </w:pPr>
      <w:r>
        <w:tab/>
        <w:t>(3)</w:t>
      </w:r>
      <w:r>
        <w:tab/>
        <w:t xml:space="preserve">Foreign transfer duty must be paid within 3 years after the day on which liability for foreign transfer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205N inserted: No. 24 of 2018 s. 8.]</w:t>
      </w:r>
    </w:p>
    <w:p>
      <w:pPr>
        <w:pStyle w:val="Heading5"/>
      </w:pPr>
      <w:bookmarkStart w:id="1146" w:name="_Toc201229210"/>
      <w:bookmarkStart w:id="1147" w:name="_Toc182410275"/>
      <w:r>
        <w:rPr>
          <w:rStyle w:val="CharSectno"/>
        </w:rPr>
        <w:t>205O</w:t>
      </w:r>
      <w:r>
        <w:t>.</w:t>
      </w:r>
      <w:r>
        <w:tab/>
        <w:t>Rate of foreign transfer duty</w:t>
      </w:r>
      <w:bookmarkEnd w:id="1146"/>
      <w:bookmarkEnd w:id="1147"/>
    </w:p>
    <w:p>
      <w:pPr>
        <w:pStyle w:val="Subsection"/>
      </w:pPr>
      <w:r>
        <w:tab/>
      </w:r>
      <w:r>
        <w:tab/>
        <w:t>Foreign transfer duty is chargeable at the rate of 7% of the dutiable value of the foreign dutiable transaction.</w:t>
      </w:r>
    </w:p>
    <w:p>
      <w:pPr>
        <w:pStyle w:val="Footnotesection"/>
      </w:pPr>
      <w:r>
        <w:tab/>
        <w:t>[Section 205O inserted: No. 24 of 2018 s. 8.]</w:t>
      </w:r>
    </w:p>
    <w:p>
      <w:pPr>
        <w:pStyle w:val="Heading5"/>
      </w:pPr>
      <w:bookmarkStart w:id="1148" w:name="_Toc201229211"/>
      <w:bookmarkStart w:id="1149" w:name="_Toc182410276"/>
      <w:r>
        <w:rPr>
          <w:rStyle w:val="CharSectno"/>
        </w:rPr>
        <w:t>205P</w:t>
      </w:r>
      <w:r>
        <w:t>.</w:t>
      </w:r>
      <w:r>
        <w:tab/>
        <w:t>Dutiable value</w:t>
      </w:r>
      <w:bookmarkEnd w:id="1148"/>
      <w:bookmarkEnd w:id="1149"/>
    </w:p>
    <w:p>
      <w:pPr>
        <w:pStyle w:val="Subsection"/>
      </w:pPr>
      <w:r>
        <w:tab/>
        <w:t>(1)</w:t>
      </w:r>
      <w:r>
        <w:tab/>
        <w:t>The provisions of Chapter 2 Part 4 Division 5 other than sections 28(4A), 31(5), 36A(1), (4) and (5), 37, 39(3) and 40 apply, with all appropriate modifications, in respect of foreign transfer duty in the same way as they apply in respect of transfer duty.</w:t>
      </w:r>
    </w:p>
    <w:p>
      <w:pPr>
        <w:pStyle w:val="Subsection"/>
        <w:keepNext/>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other than in sections 28(6) and 29(4), 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the reference in section 28(1) to section 11(1)(d)(ii) or (e) were a reference to section 205H(1)(d)(ii) or (e); and</w:t>
      </w:r>
    </w:p>
    <w:p>
      <w:pPr>
        <w:pStyle w:val="Indenta"/>
      </w:pPr>
      <w:r>
        <w:tab/>
        <w:t>(f)</w:t>
      </w:r>
      <w:r>
        <w:tab/>
        <w:t>the reference in section 29(4) to nominal duty were a reference to no foreign transfer duty.</w:t>
      </w:r>
    </w:p>
    <w:p>
      <w:pPr>
        <w:pStyle w:val="Subsection"/>
      </w:pPr>
      <w:r>
        <w:tab/>
        <w:t>(3)</w:t>
      </w:r>
      <w:r>
        <w:tab/>
        <w:t>If a foreign dutiable transaction is aggregated with another dutiable transaction under section 37, then the foreign dutiable transaction is treated as having taken place at the time that the last of the aggregated transactions took place.</w:t>
      </w:r>
    </w:p>
    <w:p>
      <w:pPr>
        <w:pStyle w:val="Subsection"/>
      </w:pPr>
      <w:r>
        <w:tab/>
        <w:t>(4)</w:t>
      </w:r>
      <w:r>
        <w:tab/>
        <w:t>Foreign transfer duty is chargeable on any foreign dutiable transaction effecting an exchange of residential property to a foreign person for dutiable property as if the exchange involved the transfer of the residential property for consideration equal to the unencumbered value of the residential property.</w:t>
      </w:r>
    </w:p>
    <w:p>
      <w:pPr>
        <w:pStyle w:val="Footnotesection"/>
      </w:pPr>
      <w:r>
        <w:tab/>
        <w:t>[Section 205P inserted: No. 24 of 2018 s. 8; amended: No. 12 of 2019 s. 103.]</w:t>
      </w:r>
    </w:p>
    <w:p>
      <w:pPr>
        <w:pStyle w:val="Heading5"/>
      </w:pPr>
      <w:bookmarkStart w:id="1150" w:name="_Toc201229212"/>
      <w:bookmarkStart w:id="1151" w:name="_Toc182410277"/>
      <w:r>
        <w:rPr>
          <w:rStyle w:val="CharSectno"/>
        </w:rPr>
        <w:t>205Q</w:t>
      </w:r>
      <w:r>
        <w:t>.</w:t>
      </w:r>
      <w:r>
        <w:tab/>
        <w:t>No double foreign transfer duty</w:t>
      </w:r>
      <w:bookmarkEnd w:id="1150"/>
      <w:bookmarkEnd w:id="1151"/>
    </w:p>
    <w:p>
      <w:pPr>
        <w:pStyle w:val="Subsection"/>
      </w:pPr>
      <w:r>
        <w:tab/>
        <w:t>(1)</w:t>
      </w:r>
      <w:r>
        <w:tab/>
        <w:t>The provisions of Chapter 2 Part 4 Division 6 apply, with all appropriate modifications, in respect of foreign transfer duty in the same way as they apply in respect of transfer duty.</w:t>
      </w:r>
    </w:p>
    <w:p>
      <w:pPr>
        <w:pStyle w:val="Subsection"/>
        <w:keepNext/>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 xml:space="preserve">a reference to the general or a concessional rate were a reference to the rate of foreign transfer duty; and </w:t>
      </w:r>
    </w:p>
    <w:p>
      <w:pPr>
        <w:pStyle w:val="Indenta"/>
      </w:pPr>
      <w:r>
        <w:tab/>
        <w:t>(f)</w:t>
      </w:r>
      <w:r>
        <w:tab/>
        <w:t>the reference in section 42(12) to section 11(1)(d) were a reference to section 205H(1)(d).</w:t>
      </w:r>
    </w:p>
    <w:p>
      <w:pPr>
        <w:pStyle w:val="Footnotesection"/>
        <w:ind w:left="890" w:hanging="890"/>
      </w:pPr>
      <w:r>
        <w:tab/>
        <w:t>[Section 205Q inserted: No. 24 of 2018 s. 8; amended: No. 37 of 2022 s. 11.]</w:t>
      </w:r>
    </w:p>
    <w:p>
      <w:pPr>
        <w:pStyle w:val="Heading5"/>
      </w:pPr>
      <w:bookmarkStart w:id="1152" w:name="_Toc201229213"/>
      <w:bookmarkStart w:id="1153" w:name="_Toc182410278"/>
      <w:r>
        <w:rPr>
          <w:rStyle w:val="CharSectno"/>
        </w:rPr>
        <w:t>205R</w:t>
      </w:r>
      <w:r>
        <w:t>.</w:t>
      </w:r>
      <w:r>
        <w:tab/>
        <w:t>Interim assessment of foreign transfer duty</w:t>
      </w:r>
      <w:bookmarkEnd w:id="1152"/>
      <w:bookmarkEnd w:id="1153"/>
    </w:p>
    <w:p>
      <w:pPr>
        <w:pStyle w:val="Subsection"/>
      </w:pPr>
      <w:r>
        <w:tab/>
        <w:t>(1)</w:t>
      </w:r>
      <w:r>
        <w:tab/>
        <w:t xml:space="preserve">The Commissioner may make an assessment (an </w:t>
      </w:r>
      <w:r>
        <w:rPr>
          <w:rStyle w:val="CharDefText"/>
        </w:rPr>
        <w:t>interim assessment</w:t>
      </w:r>
      <w:r>
        <w:t>) of a portion of the foreign transfer duty payable on a foreign dutiable transaction if, under section 44A(1), the Commissioner makes an assessment of a portion of the transfer duty payable on the transaction.</w:t>
      </w:r>
    </w:p>
    <w:p>
      <w:pPr>
        <w:pStyle w:val="Subsection"/>
      </w:pPr>
      <w:r>
        <w:tab/>
        <w:t>(2)</w:t>
      </w:r>
      <w:r>
        <w:tab/>
        <w:t>For the purposes of making an interim assessment, the foreign transfer duty payable is to be determined as if the portion of the dutiable value of the foreign dutiable transaction were the full dutiable value of the transaction.</w:t>
      </w:r>
    </w:p>
    <w:p>
      <w:pPr>
        <w:pStyle w:val="Footnotesection"/>
      </w:pPr>
      <w:r>
        <w:tab/>
        <w:t>[Section 205R inserted: No. 24 of 2018 s. 8.]</w:t>
      </w:r>
    </w:p>
    <w:p>
      <w:pPr>
        <w:pStyle w:val="Heading5"/>
      </w:pPr>
      <w:bookmarkStart w:id="1154" w:name="_Toc201229214"/>
      <w:bookmarkStart w:id="1155" w:name="_Toc182410279"/>
      <w:r>
        <w:rPr>
          <w:rStyle w:val="CharSectno"/>
        </w:rPr>
        <w:t>205RA</w:t>
      </w:r>
      <w:r>
        <w:t>.</w:t>
      </w:r>
      <w:r>
        <w:tab/>
        <w:t>Foreign transfer duty on deemed transaction under s. 120B(2)</w:t>
      </w:r>
      <w:bookmarkEnd w:id="1154"/>
      <w:bookmarkEnd w:id="1155"/>
    </w:p>
    <w:p>
      <w:pPr>
        <w:pStyle w:val="Subsection"/>
        <w:keepNext/>
      </w:pPr>
      <w:r>
        <w:tab/>
      </w:r>
      <w:r>
        <w:tab/>
        <w:t>Foreign transfer duty is chargeable on a transaction that is taken to occur under section 120B(2) if the transaction is a foreign dutiable transaction.</w:t>
      </w:r>
    </w:p>
    <w:p>
      <w:pPr>
        <w:pStyle w:val="Footnotesection"/>
      </w:pPr>
      <w:r>
        <w:tab/>
        <w:t>[Section 205RA inserted: No. 12 of 2019 s. 104.]</w:t>
      </w:r>
    </w:p>
    <w:p>
      <w:pPr>
        <w:pStyle w:val="Heading4"/>
        <w:rPr>
          <w:sz w:val="26"/>
          <w:szCs w:val="26"/>
        </w:rPr>
      </w:pPr>
      <w:bookmarkStart w:id="1156" w:name="_Toc201218144"/>
      <w:bookmarkStart w:id="1157" w:name="_Toc201224517"/>
      <w:bookmarkStart w:id="1158" w:name="_Toc201229215"/>
      <w:bookmarkStart w:id="1159" w:name="_Toc182388820"/>
      <w:bookmarkStart w:id="1160" w:name="_Toc182389482"/>
      <w:bookmarkStart w:id="1161" w:name="_Toc182410280"/>
      <w:r>
        <w:rPr>
          <w:sz w:val="26"/>
          <w:szCs w:val="26"/>
        </w:rPr>
        <w:t>Division 5 — Application of Chapter 2 Part 5 to certain transactions</w:t>
      </w:r>
      <w:bookmarkEnd w:id="1156"/>
      <w:bookmarkEnd w:id="1157"/>
      <w:bookmarkEnd w:id="1158"/>
      <w:bookmarkEnd w:id="1159"/>
      <w:bookmarkEnd w:id="1160"/>
      <w:bookmarkEnd w:id="1161"/>
    </w:p>
    <w:p>
      <w:pPr>
        <w:pStyle w:val="Footnoteheading"/>
      </w:pPr>
      <w:r>
        <w:tab/>
        <w:t>[Heading inserted: No. 24 of 2018 s. 8.]</w:t>
      </w:r>
    </w:p>
    <w:p>
      <w:pPr>
        <w:pStyle w:val="Heading5"/>
      </w:pPr>
      <w:bookmarkStart w:id="1162" w:name="_Toc201229216"/>
      <w:bookmarkStart w:id="1163" w:name="_Toc182410281"/>
      <w:r>
        <w:rPr>
          <w:rStyle w:val="CharSectno"/>
        </w:rPr>
        <w:t>205S</w:t>
      </w:r>
      <w:r>
        <w:t>.</w:t>
      </w:r>
      <w:r>
        <w:tab/>
        <w:t>Application of Chapter 2 Part 5 to foreign dutiable transactions</w:t>
      </w:r>
      <w:bookmarkEnd w:id="1162"/>
      <w:bookmarkEnd w:id="1163"/>
    </w:p>
    <w:p>
      <w:pPr>
        <w:pStyle w:val="Subsection"/>
      </w:pPr>
      <w:r>
        <w:tab/>
        <w:t>(1)</w:t>
      </w:r>
      <w:r>
        <w:tab/>
        <w:t>The provisions of Chapter 2 Part 5 other than section 70 and Divisions 5 to 9 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(other than in Chapter 2 Part 5 Division 4) were a reference to residential property; and</w:t>
      </w:r>
    </w:p>
    <w:p>
      <w:pPr>
        <w:pStyle w:val="Indenta"/>
        <w:keepNext/>
      </w:pPr>
      <w:r>
        <w:tab/>
        <w:t>(b)</w:t>
      </w:r>
      <w:r>
        <w:tab/>
        <w:t xml:space="preserve">a reference to dutiable property in Chapter 2 Part 5 Division 4 were a reference to each of the following — </w:t>
      </w:r>
    </w:p>
    <w:p>
      <w:pPr>
        <w:pStyle w:val="Indenti"/>
      </w:pPr>
      <w:r>
        <w:tab/>
        <w:t>(i)</w:t>
      </w:r>
      <w:r>
        <w:tab/>
        <w:t>residential property;</w:t>
      </w:r>
    </w:p>
    <w:p>
      <w:pPr>
        <w:pStyle w:val="Indenti"/>
      </w:pPr>
      <w:r>
        <w:tab/>
        <w:t>(ii)</w:t>
      </w:r>
      <w:r>
        <w:tab/>
        <w:t>a chattel in Western Australia, the use of which is directly linked to, or is incidental to, the use of residential property for residential purposes;</w:t>
      </w:r>
    </w:p>
    <w:p>
      <w:pPr>
        <w:pStyle w:val="Indenta"/>
      </w:pPr>
      <w:r>
        <w:tab/>
      </w:r>
      <w:r>
        <w:tab/>
        <w:t>and</w:t>
      </w:r>
    </w:p>
    <w:p>
      <w:pPr>
        <w:pStyle w:val="Indenta"/>
      </w:pPr>
      <w:r>
        <w:tab/>
        <w:t>(c)</w:t>
      </w:r>
      <w:r>
        <w:tab/>
        <w:t>a reference to a dutiable transaction were a reference to a foreign dutiable transaction; and</w:t>
      </w:r>
    </w:p>
    <w:p>
      <w:pPr>
        <w:pStyle w:val="Indenta"/>
      </w:pPr>
      <w:r>
        <w:tab/>
        <w:t>(d)</w:t>
      </w:r>
      <w:r>
        <w:tab/>
        <w:t>a reference to duty were a reference to foreign transfer duty; and</w:t>
      </w:r>
    </w:p>
    <w:p>
      <w:pPr>
        <w:pStyle w:val="Indenta"/>
      </w:pPr>
      <w:r>
        <w:tab/>
        <w:t>(e)</w:t>
      </w:r>
      <w:r>
        <w:tab/>
        <w:t xml:space="preserve">a reference to duty endorsed were a reference to foreign transfer duty endorsed; and </w:t>
      </w:r>
    </w:p>
    <w:p>
      <w:pPr>
        <w:pStyle w:val="Indenta"/>
      </w:pPr>
      <w:r>
        <w:tab/>
        <w:t>(f)</w:t>
      </w:r>
      <w:r>
        <w:tab/>
        <w:t>a reference to a trust acquisition were a reference to a residential trust acquisition; and</w:t>
      </w:r>
    </w:p>
    <w:p>
      <w:pPr>
        <w:pStyle w:val="Indenta"/>
      </w:pPr>
      <w:r>
        <w:tab/>
        <w:t>(g)</w:t>
      </w:r>
      <w:r>
        <w:tab/>
        <w:t>a reference to a trust surrender were a reference to a residential trust surrender; and</w:t>
      </w:r>
    </w:p>
    <w:p>
      <w:pPr>
        <w:pStyle w:val="Indenta"/>
      </w:pPr>
      <w:r>
        <w:tab/>
        <w:t>(h)</w:t>
      </w:r>
      <w:r>
        <w:tab/>
        <w:t>the reference in section 73 to property of a kind referred to in section 72(a), (b), (c) or (d) were a reference to residential property; and</w:t>
      </w:r>
    </w:p>
    <w:p>
      <w:pPr>
        <w:pStyle w:val="Indenta"/>
      </w:pPr>
      <w:r>
        <w:tab/>
        <w:t>(i)</w:t>
      </w:r>
      <w:r>
        <w:tab/>
        <w:t>a reference in section 76 or 77 to a partnership acquisition were a reference to a residential partnership acquisition; and</w:t>
      </w:r>
    </w:p>
    <w:p>
      <w:pPr>
        <w:pStyle w:val="Indenta"/>
      </w:pPr>
      <w:r>
        <w:tab/>
        <w:t>(ia)</w:t>
      </w:r>
      <w:r>
        <w:tab/>
        <w:t>a reference in section 78(1)(a) or 78A(1)(a) to a person ceasing to be a partner in a partnership were a reference to a foreign person ceasing to be a partner in a partnership; and</w:t>
      </w:r>
    </w:p>
    <w:p>
      <w:pPr>
        <w:pStyle w:val="Indenta"/>
      </w:pPr>
      <w:r>
        <w:tab/>
        <w:t>(j)</w:t>
      </w:r>
      <w:r>
        <w:tab/>
        <w:t>each provision specified in Column 1 of the Table were replaced by the provision specified opposite it in Column 2 of the Table.</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55</w:t>
            </w:r>
          </w:p>
        </w:tc>
        <w:tc>
          <w:tcPr>
            <w:tcW w:w="2835" w:type="dxa"/>
          </w:tcPr>
          <w:p>
            <w:pPr>
              <w:pStyle w:val="TableNAm"/>
            </w:pPr>
            <w:r>
              <w:t>s. 205T</w:t>
            </w:r>
          </w:p>
        </w:tc>
      </w:tr>
      <w:tr>
        <w:tc>
          <w:tcPr>
            <w:tcW w:w="2835" w:type="dxa"/>
          </w:tcPr>
          <w:p>
            <w:pPr>
              <w:pStyle w:val="TableNAm"/>
            </w:pPr>
            <w:r>
              <w:t>s. 56</w:t>
            </w:r>
          </w:p>
        </w:tc>
        <w:tc>
          <w:tcPr>
            <w:tcW w:w="2835" w:type="dxa"/>
          </w:tcPr>
          <w:p>
            <w:pPr>
              <w:pStyle w:val="TableNAm"/>
            </w:pPr>
            <w:r>
              <w:t>s. 205U</w:t>
            </w:r>
          </w:p>
        </w:tc>
      </w:tr>
      <w:tr>
        <w:tc>
          <w:tcPr>
            <w:tcW w:w="2835" w:type="dxa"/>
          </w:tcPr>
          <w:p>
            <w:pPr>
              <w:pStyle w:val="TableNAm"/>
            </w:pPr>
            <w:r>
              <w:t>s. 59</w:t>
            </w:r>
          </w:p>
        </w:tc>
        <w:tc>
          <w:tcPr>
            <w:tcW w:w="2835" w:type="dxa"/>
          </w:tcPr>
          <w:p>
            <w:pPr>
              <w:pStyle w:val="TableNAm"/>
            </w:pPr>
            <w:r>
              <w:t>s. 205V</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keepNext/>
            </w:pPr>
            <w:r>
              <w:t>s. 72</w:t>
            </w:r>
          </w:p>
        </w:tc>
        <w:tc>
          <w:tcPr>
            <w:tcW w:w="2835" w:type="dxa"/>
          </w:tcPr>
          <w:p>
            <w:pPr>
              <w:pStyle w:val="TableNAm"/>
              <w:keepNext/>
            </w:pPr>
            <w:r>
              <w:t>s. 205X</w:t>
            </w:r>
          </w:p>
        </w:tc>
      </w:tr>
    </w:tbl>
    <w:p>
      <w:pPr>
        <w:pStyle w:val="Footnotesection"/>
      </w:pPr>
      <w:r>
        <w:tab/>
        <w:t>[Section 205S inserted: No. 24 of 2018 s. 8; amended: No. 12 of 2019 s. 105; No. 37 of 2022 s. 12.]</w:t>
      </w:r>
    </w:p>
    <w:p>
      <w:pPr>
        <w:pStyle w:val="Heading5"/>
      </w:pPr>
      <w:bookmarkStart w:id="1164" w:name="_Toc201229217"/>
      <w:bookmarkStart w:id="1165" w:name="_Toc182410282"/>
      <w:r>
        <w:rPr>
          <w:rStyle w:val="CharSectno"/>
        </w:rPr>
        <w:t>205T</w:t>
      </w:r>
      <w:r>
        <w:t>.</w:t>
      </w:r>
      <w:r>
        <w:tab/>
        <w:t>References to residential trust acquisition</w:t>
      </w:r>
      <w:bookmarkEnd w:id="1164"/>
      <w:bookmarkEnd w:id="1165"/>
    </w:p>
    <w:p>
      <w:pPr>
        <w:pStyle w:val="Subsection"/>
        <w:keepNext/>
      </w:pPr>
      <w:r>
        <w:tab/>
      </w:r>
      <w:r>
        <w:tab/>
        <w:t xml:space="preserve">A reference to a residential trust acquisition is to the acquisition by a taker in default that is a foreign person of an interest in a discretionary trust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205T inserted: No. 24 of 2018 s. 8.]</w:t>
      </w:r>
    </w:p>
    <w:p>
      <w:pPr>
        <w:pStyle w:val="Heading5"/>
      </w:pPr>
      <w:bookmarkStart w:id="1166" w:name="_Toc201229218"/>
      <w:bookmarkStart w:id="1167" w:name="_Toc182410283"/>
      <w:r>
        <w:rPr>
          <w:rStyle w:val="CharSectno"/>
        </w:rPr>
        <w:t>205U</w:t>
      </w:r>
      <w:r>
        <w:t>.</w:t>
      </w:r>
      <w:r>
        <w:tab/>
        <w:t>References to residential trust surrender</w:t>
      </w:r>
      <w:bookmarkEnd w:id="1166"/>
      <w:bookmarkEnd w:id="1167"/>
    </w:p>
    <w:p>
      <w:pPr>
        <w:pStyle w:val="Subsection"/>
      </w:pPr>
      <w:r>
        <w:tab/>
      </w:r>
      <w:r>
        <w:tab/>
        <w:t>A reference to a residential trust surrender is to the surrender by a taker in default of an interest in a discretionary trust that holds residential property or an indirect interest in residential property, if the surrender results in a foreign person acquiring an interest in the discretionary trust.</w:t>
      </w:r>
    </w:p>
    <w:p>
      <w:pPr>
        <w:pStyle w:val="Footnotesection"/>
      </w:pPr>
      <w:r>
        <w:tab/>
        <w:t>[Section 205U inserted: No. 24 of 2018 s. 8.]</w:t>
      </w:r>
    </w:p>
    <w:p>
      <w:pPr>
        <w:pStyle w:val="Heading5"/>
      </w:pPr>
      <w:bookmarkStart w:id="1168" w:name="_Toc201229219"/>
      <w:bookmarkStart w:id="1169" w:name="_Toc182410284"/>
      <w:r>
        <w:rPr>
          <w:rStyle w:val="CharSectno"/>
        </w:rPr>
        <w:t>205V</w:t>
      </w:r>
      <w:r>
        <w:t>.</w:t>
      </w:r>
      <w:r>
        <w:tab/>
        <w:t>Dutiable value of residential trust acquisition or residential trust surrender</w:t>
      </w:r>
      <w:bookmarkEnd w:id="1168"/>
      <w:bookmarkEnd w:id="1169"/>
    </w:p>
    <w:p>
      <w:pPr>
        <w:pStyle w:val="Subsection"/>
      </w:pPr>
      <w:r>
        <w:tab/>
        <w:t>(1)</w:t>
      </w:r>
      <w:r>
        <w:tab/>
        <w:t xml:space="preserve">The dutiable value of a residential trust acquisition is — </w:t>
      </w:r>
    </w:p>
    <w:p>
      <w:pPr>
        <w:pStyle w:val="Indenta"/>
      </w:pPr>
      <w:r>
        <w:tab/>
        <w:t>(a)</w:t>
      </w:r>
      <w:r>
        <w:tab/>
        <w:t xml:space="preserve">the consideration for the acquisition so far as the consideration relates to residential property — </w:t>
      </w:r>
    </w:p>
    <w:p>
      <w:pPr>
        <w:pStyle w:val="Indenti"/>
      </w:pPr>
      <w:r>
        <w:tab/>
        <w:t>(i)</w:t>
      </w:r>
      <w:r>
        <w:tab/>
        <w:t xml:space="preserve">held by the discretionary trust; or </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foreign transfer duty on the acquisition arises if — </w:t>
      </w:r>
    </w:p>
    <w:p>
      <w:pPr>
        <w:pStyle w:val="Indenti"/>
      </w:pPr>
      <w:r>
        <w:tab/>
        <w:t>(i)</w:t>
      </w:r>
      <w:r>
        <w:tab/>
        <w:t>there is no consideration for the acquisition; or</w:t>
      </w:r>
    </w:p>
    <w:p>
      <w:pPr>
        <w:pStyle w:val="Indenti"/>
      </w:pPr>
      <w:r>
        <w:tab/>
        <w:t>(ii)</w:t>
      </w:r>
      <w:r>
        <w:tab/>
        <w:t>the consideration cannot be ascertained when liability for foreign transfer duty on the acquisition arises; or</w:t>
      </w:r>
    </w:p>
    <w:p>
      <w:pPr>
        <w:pStyle w:val="Indenti"/>
      </w:pPr>
      <w:r>
        <w:tab/>
        <w:t>(iii)</w:t>
      </w:r>
      <w:r>
        <w:tab/>
        <w:t>the value of the taker in default’s interest is greater than the consideration for the acquisition.</w:t>
      </w:r>
    </w:p>
    <w:p>
      <w:pPr>
        <w:pStyle w:val="Subsection"/>
      </w:pPr>
      <w:r>
        <w:tab/>
        <w:t>(2)</w:t>
      </w:r>
      <w:r>
        <w:tab/>
        <w:t xml:space="preserve">The dutiable value of a residential trust surrender is — </w:t>
      </w:r>
    </w:p>
    <w:p>
      <w:pPr>
        <w:pStyle w:val="Indenta"/>
      </w:pPr>
      <w:r>
        <w:tab/>
        <w:t>(a)</w:t>
      </w:r>
      <w:r>
        <w:tab/>
        <w:t xml:space="preserve">the consideration for the surrender so far as the consideration relates to — </w:t>
      </w:r>
    </w:p>
    <w:p>
      <w:pPr>
        <w:pStyle w:val="Indenti"/>
      </w:pPr>
      <w:r>
        <w:tab/>
        <w:t>(i)</w:t>
      </w:r>
      <w:r>
        <w:tab/>
        <w:t>residential property held by the discretionary trust or to which an entity linked to the trustee of the discretionary trust is entitled; and</w:t>
      </w:r>
    </w:p>
    <w:p>
      <w:pPr>
        <w:pStyle w:val="Indenti"/>
      </w:pPr>
      <w:r>
        <w:tab/>
        <w:t>(ii)</w:t>
      </w:r>
      <w:r>
        <w:tab/>
        <w:t>the interests in the discretionary trust acquired by a foreign person as a result of the surrender;</w:t>
      </w:r>
    </w:p>
    <w:p>
      <w:pPr>
        <w:pStyle w:val="Indenta"/>
      </w:pPr>
      <w:r>
        <w:tab/>
      </w:r>
      <w:r>
        <w:tab/>
        <w:t>or</w:t>
      </w:r>
    </w:p>
    <w:p>
      <w:pPr>
        <w:pStyle w:val="Indenta"/>
      </w:pPr>
      <w:r>
        <w:tab/>
        <w:t>(b)</w:t>
      </w:r>
      <w:r>
        <w:tab/>
        <w:t xml:space="preserve">the value of a foreign person’s interest in the discretionary trust at the time immediately after liability for foreign transfer duty on the surrender arises less the value of the foreign person’s interest in the discretionary trust immediately before liability for foreign transfer duty on the surrender arises if — </w:t>
      </w:r>
    </w:p>
    <w:p>
      <w:pPr>
        <w:pStyle w:val="Indenti"/>
      </w:pPr>
      <w:r>
        <w:tab/>
        <w:t>(i)</w:t>
      </w:r>
      <w:r>
        <w:tab/>
        <w:t>there is no consideration for the surrender; or</w:t>
      </w:r>
    </w:p>
    <w:p>
      <w:pPr>
        <w:pStyle w:val="Indenti"/>
      </w:pPr>
      <w:r>
        <w:tab/>
        <w:t>(ii)</w:t>
      </w:r>
      <w:r>
        <w:tab/>
        <w:t>the consideration cannot be ascertained when liability for foreign transfer duty on the surrender arises; or</w:t>
      </w:r>
    </w:p>
    <w:p>
      <w:pPr>
        <w:pStyle w:val="Indenti"/>
      </w:pPr>
      <w:r>
        <w:tab/>
        <w:t>(iii)</w:t>
      </w:r>
      <w:r>
        <w:tab/>
        <w:t>the value of the taker in default’s interest is greater than the consideration for the surrender.</w:t>
      </w:r>
    </w:p>
    <w:p>
      <w:pPr>
        <w:pStyle w:val="Footnotesection"/>
      </w:pPr>
      <w:r>
        <w:tab/>
        <w:t>[Section 205V inserted: No. 24 of 2018 s. 8.]</w:t>
      </w:r>
    </w:p>
    <w:p>
      <w:pPr>
        <w:pStyle w:val="Heading5"/>
      </w:pPr>
      <w:bookmarkStart w:id="1170" w:name="_Toc201229220"/>
      <w:bookmarkStart w:id="1171" w:name="_Toc182410285"/>
      <w:r>
        <w:rPr>
          <w:rStyle w:val="CharSectno"/>
        </w:rPr>
        <w:t>205W</w:t>
      </w:r>
      <w:r>
        <w:t>.</w:t>
      </w:r>
      <w:r>
        <w:tab/>
        <w:t>Share disposition taken to be agreement for transfer of trust property</w:t>
      </w:r>
      <w:bookmarkEnd w:id="1170"/>
      <w:bookmarkEnd w:id="1171"/>
    </w:p>
    <w:p>
      <w:pPr>
        <w:pStyle w:val="Subsection"/>
      </w:pPr>
      <w:r>
        <w:tab/>
        <w:t>(1)</w:t>
      </w:r>
      <w:r>
        <w:tab/>
        <w:t xml:space="preserve">A disposition of a share in a corporate trustee is taken to be an agreement for the transfer of residential property and is liable to foreign transfer duty accordingly if — </w:t>
      </w:r>
    </w:p>
    <w:p>
      <w:pPr>
        <w:pStyle w:val="Indenta"/>
      </w:pPr>
      <w:r>
        <w:tab/>
        <w:t>(a)</w:t>
      </w:r>
      <w:r>
        <w:tab/>
        <w:t>it is a transaction, or part of a transaction, that is a scheme or arrangement, or part of a scheme or arrangement; and</w:t>
      </w:r>
    </w:p>
    <w:p>
      <w:pPr>
        <w:pStyle w:val="Indenta"/>
      </w:pPr>
      <w:r>
        <w:tab/>
        <w:t>(b)</w:t>
      </w:r>
      <w:r>
        <w:tab/>
        <w:t xml:space="preserve">the transaction results, or will or may result, in — </w:t>
      </w:r>
    </w:p>
    <w:p>
      <w:pPr>
        <w:pStyle w:val="Indenti"/>
      </w:pPr>
      <w:r>
        <w:tab/>
        <w:t>(i)</w:t>
      </w:r>
      <w:r>
        <w:tab/>
        <w:t xml:space="preserve">a foreign person increasing its beneficial interest, whether vested or contingent, in residential property held directly or indirectly by the corporate trustee of a discretionary trust; or </w:t>
      </w:r>
    </w:p>
    <w:p>
      <w:pPr>
        <w:pStyle w:val="Indenti"/>
      </w:pPr>
      <w:r>
        <w:tab/>
        <w:t>(ii)</w:t>
      </w:r>
      <w:r>
        <w:tab/>
        <w:t>a foreign person acquiring a beneficial interest, whether vested or contingent, in residential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 person.</w:t>
      </w:r>
    </w:p>
    <w:p>
      <w:pPr>
        <w:pStyle w:val="Footnotesection"/>
      </w:pPr>
      <w:r>
        <w:tab/>
        <w:t>[Section 205W inserted: No. 24 of 2018 s. 8; amended: No. 12 of 2019 s. 106.]</w:t>
      </w:r>
    </w:p>
    <w:p>
      <w:pPr>
        <w:pStyle w:val="Heading5"/>
      </w:pPr>
      <w:bookmarkStart w:id="1172" w:name="_Toc201229221"/>
      <w:bookmarkStart w:id="1173" w:name="_Toc182410286"/>
      <w:r>
        <w:rPr>
          <w:rStyle w:val="CharSectno"/>
        </w:rPr>
        <w:t>205X</w:t>
      </w:r>
      <w:r>
        <w:t>.</w:t>
      </w:r>
      <w:r>
        <w:tab/>
        <w:t>References to residential partnership acquisition</w:t>
      </w:r>
      <w:bookmarkEnd w:id="1172"/>
      <w:bookmarkEnd w:id="1173"/>
    </w:p>
    <w:p>
      <w:pPr>
        <w:pStyle w:val="Subsection"/>
      </w:pPr>
      <w:r>
        <w:tab/>
      </w:r>
      <w:r>
        <w:tab/>
        <w:t xml:space="preserve">A reference to a residential partnership acquisition is to a foreign person acquiring a partnership interest in a partnership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205X inserted: No. 24 of 2018 s. 8.]</w:t>
      </w:r>
    </w:p>
    <w:p>
      <w:pPr>
        <w:pStyle w:val="Heading4"/>
        <w:rPr>
          <w:sz w:val="26"/>
          <w:szCs w:val="26"/>
        </w:rPr>
      </w:pPr>
      <w:bookmarkStart w:id="1174" w:name="_Toc201218151"/>
      <w:bookmarkStart w:id="1175" w:name="_Toc201224524"/>
      <w:bookmarkStart w:id="1176" w:name="_Toc201229222"/>
      <w:bookmarkStart w:id="1177" w:name="_Toc182388827"/>
      <w:bookmarkStart w:id="1178" w:name="_Toc182389489"/>
      <w:bookmarkStart w:id="1179" w:name="_Toc182410287"/>
      <w:r>
        <w:rPr>
          <w:sz w:val="26"/>
          <w:szCs w:val="26"/>
        </w:rPr>
        <w:t>Division 6 — Exemptions and reassessment</w:t>
      </w:r>
      <w:bookmarkEnd w:id="1174"/>
      <w:bookmarkEnd w:id="1175"/>
      <w:bookmarkEnd w:id="1176"/>
      <w:bookmarkEnd w:id="1177"/>
      <w:bookmarkEnd w:id="1178"/>
      <w:bookmarkEnd w:id="1179"/>
    </w:p>
    <w:p>
      <w:pPr>
        <w:pStyle w:val="Footnoteheading"/>
        <w:keepNext/>
      </w:pPr>
      <w:r>
        <w:tab/>
        <w:t>[Heading inserted: No. 24 of 2018 s. 8.]</w:t>
      </w:r>
    </w:p>
    <w:p>
      <w:pPr>
        <w:pStyle w:val="Heading4"/>
        <w:rPr>
          <w:sz w:val="26"/>
          <w:szCs w:val="26"/>
        </w:rPr>
      </w:pPr>
      <w:bookmarkStart w:id="1180" w:name="_Toc201218152"/>
      <w:bookmarkStart w:id="1181" w:name="_Toc201224525"/>
      <w:bookmarkStart w:id="1182" w:name="_Toc201229223"/>
      <w:bookmarkStart w:id="1183" w:name="_Toc182388828"/>
      <w:bookmarkStart w:id="1184" w:name="_Toc182389490"/>
      <w:bookmarkStart w:id="1185" w:name="_Toc182410288"/>
      <w:r>
        <w:rPr>
          <w:sz w:val="26"/>
          <w:szCs w:val="26"/>
        </w:rPr>
        <w:t>Subdivision 1 — Exempt transactions</w:t>
      </w:r>
      <w:bookmarkEnd w:id="1180"/>
      <w:bookmarkEnd w:id="1181"/>
      <w:bookmarkEnd w:id="1182"/>
      <w:bookmarkEnd w:id="1183"/>
      <w:bookmarkEnd w:id="1184"/>
      <w:bookmarkEnd w:id="1185"/>
    </w:p>
    <w:p>
      <w:pPr>
        <w:pStyle w:val="Footnoteheading"/>
        <w:keepNext/>
      </w:pPr>
      <w:r>
        <w:tab/>
        <w:t>[Heading inserted: No. 24 of 2018 s. 8.]</w:t>
      </w:r>
    </w:p>
    <w:p>
      <w:pPr>
        <w:pStyle w:val="Heading5"/>
      </w:pPr>
      <w:bookmarkStart w:id="1186" w:name="_Toc201229224"/>
      <w:bookmarkStart w:id="1187" w:name="_Toc182410289"/>
      <w:r>
        <w:rPr>
          <w:rStyle w:val="CharSectno"/>
        </w:rPr>
        <w:t>205Y</w:t>
      </w:r>
      <w:r>
        <w:t>.</w:t>
      </w:r>
      <w:r>
        <w:tab/>
        <w:t>Transactions on which minimum, nominal or no transfer duty payable</w:t>
      </w:r>
      <w:bookmarkEnd w:id="1186"/>
      <w:bookmarkEnd w:id="1187"/>
    </w:p>
    <w:p>
      <w:pPr>
        <w:pStyle w:val="Subsection"/>
      </w:pPr>
      <w:r>
        <w:tab/>
        <w:t>(1)</w:t>
      </w:r>
      <w:r>
        <w:tab/>
        <w:t>Foreign transfer duty is not chargeable on a transaction to which section 39 applies if the minimum amount of transfer duty referred to in section 39(3) is payable on the transaction.</w:t>
      </w:r>
    </w:p>
    <w:p>
      <w:pPr>
        <w:pStyle w:val="Subsection"/>
        <w:keepNext/>
      </w:pPr>
      <w:r>
        <w:tab/>
        <w:t>(2)</w:t>
      </w:r>
      <w:r>
        <w:tab/>
        <w:t xml:space="preserve">Except as provided in subsection (3), foreign transfer duty is not chargeable on a foreign dutiable transaction to the extent that — </w:t>
      </w:r>
    </w:p>
    <w:p>
      <w:pPr>
        <w:pStyle w:val="Indenta"/>
      </w:pPr>
      <w:r>
        <w:tab/>
        <w:t>(a)</w:t>
      </w:r>
      <w:r>
        <w:tab/>
        <w:t>transfer duty is not chargeable on the transaction under Chapter 2 Part 5 Division 6; or</w:t>
      </w:r>
    </w:p>
    <w:p>
      <w:pPr>
        <w:pStyle w:val="Indenta"/>
      </w:pPr>
      <w:r>
        <w:tab/>
        <w:t>(b)</w:t>
      </w:r>
      <w:r>
        <w:tab/>
        <w:t xml:space="preserve">transfer duty is not chargeable on the transaction under Chapter 2 Part 6 Division 1; or </w:t>
      </w:r>
    </w:p>
    <w:p>
      <w:pPr>
        <w:pStyle w:val="Indenta"/>
      </w:pPr>
      <w:r>
        <w:tab/>
        <w:t>(c)</w:t>
      </w:r>
      <w:r>
        <w:tab/>
        <w:t>nominal duty is chargeable on the transaction under Chapter 2 Part 6 Division 2.</w:t>
      </w:r>
    </w:p>
    <w:p>
      <w:pPr>
        <w:pStyle w:val="Subsection"/>
      </w:pPr>
      <w:r>
        <w:tab/>
        <w:t>(3)</w:t>
      </w:r>
      <w:r>
        <w:tab/>
        <w:t xml:space="preserve">Foreign transfer duty is chargeable on a foreign dutiable transaction if — </w:t>
      </w:r>
    </w:p>
    <w:p>
      <w:pPr>
        <w:pStyle w:val="Indenta"/>
      </w:pPr>
      <w:r>
        <w:tab/>
        <w:t>(a)</w:t>
      </w:r>
      <w:r>
        <w:tab/>
        <w:t>section 97 applies to the transaction, the person to whom the property is transferred or agreed to be transferred is a foreign person, and foreign transfer duty was not chargeable on the acquisition of the property by the person from whom the property is transferred or agreed to be transferred; or</w:t>
      </w:r>
    </w:p>
    <w:p>
      <w:pPr>
        <w:pStyle w:val="Indenta"/>
      </w:pPr>
      <w:r>
        <w:tab/>
        <w:t>(b)</w:t>
      </w:r>
      <w:r>
        <w:tab/>
        <w:t>section 114 applies to the transaction, the taker in default is a foreign person, and foreign transfer duty was not chargeable on the acquisition of the property by the trustee of the trust or on any acquisition by which the taker in default acquired its interest in the trust; or</w:t>
      </w:r>
    </w:p>
    <w:p>
      <w:pPr>
        <w:pStyle w:val="Indenta"/>
      </w:pPr>
      <w:r>
        <w:tab/>
        <w:t>(c)</w:t>
      </w:r>
      <w:r>
        <w:tab/>
        <w:t>section 115 applies to the transaction, the beneficiary is a foreign person, and foreign transfer duty was not chargeable on the acquisition of the property by the trustee of the trust; or</w:t>
      </w:r>
    </w:p>
    <w:p>
      <w:pPr>
        <w:pStyle w:val="Indenta"/>
      </w:pPr>
      <w:r>
        <w:tab/>
        <w:t>(d)</w:t>
      </w:r>
      <w:r>
        <w:tab/>
        <w:t>section 116 applies to the transaction, the beneficiary is a foreign person, and the declaration of trust has not been foreign transfer duty endorsed; or</w:t>
      </w:r>
    </w:p>
    <w:p>
      <w:pPr>
        <w:pStyle w:val="Indenta"/>
      </w:pPr>
      <w:r>
        <w:tab/>
        <w:t>(e)</w:t>
      </w:r>
      <w:r>
        <w:tab/>
        <w:t>section 117(1)(a) or (b) applies to the transaction, the real purchaser is a foreign person, and foreign transfer duty was not chargeable on the acquisition of the property by the apparent purchaser.</w:t>
      </w:r>
    </w:p>
    <w:p>
      <w:pPr>
        <w:pStyle w:val="Footnotesection"/>
      </w:pPr>
      <w:r>
        <w:tab/>
        <w:t>[Section 205Y inserted: No. 24 of 2018 s. 8.]</w:t>
      </w:r>
    </w:p>
    <w:p>
      <w:pPr>
        <w:pStyle w:val="Heading5"/>
      </w:pPr>
      <w:bookmarkStart w:id="1188" w:name="_Toc201229225"/>
      <w:bookmarkStart w:id="1189" w:name="_Toc182410290"/>
      <w:r>
        <w:rPr>
          <w:rStyle w:val="CharSectno"/>
        </w:rPr>
        <w:t>205Z</w:t>
      </w:r>
      <w:r>
        <w:t>.</w:t>
      </w:r>
      <w:r>
        <w:tab/>
        <w:t>Transactions relating to agreements for transfer of residential property</w:t>
      </w:r>
      <w:bookmarkEnd w:id="1188"/>
      <w:bookmarkEnd w:id="1189"/>
    </w:p>
    <w:p>
      <w:pPr>
        <w:pStyle w:val="Subsection"/>
      </w:pPr>
      <w:r>
        <w:tab/>
        <w:t>(1)</w:t>
      </w:r>
      <w:r>
        <w:tab/>
        <w:t xml:space="preserve">Foreign transfer duty is not chargeable on an agreement for the transfer of residential property if — </w:t>
      </w:r>
    </w:p>
    <w:p>
      <w:pPr>
        <w:pStyle w:val="Indenta"/>
      </w:pPr>
      <w:r>
        <w:tab/>
        <w:t>(a)</w:t>
      </w:r>
      <w:r>
        <w:tab/>
        <w:t>the agreement is an agreement referred to in section 42(2) or (4), the purchaser is a foreign person, and the transferee is not a foreign person; or</w:t>
      </w:r>
    </w:p>
    <w:p>
      <w:pPr>
        <w:pStyle w:val="Indenta"/>
      </w:pPr>
      <w:r>
        <w:tab/>
        <w:t>(b)</w:t>
      </w:r>
      <w:r>
        <w:tab/>
        <w:t>the agreement is an agreement referred to in section 42(4B), the purchaser is a foreign person, and the trust is not a foreign trust; or</w:t>
      </w:r>
    </w:p>
    <w:p>
      <w:pPr>
        <w:pStyle w:val="Indenta"/>
      </w:pPr>
      <w:r>
        <w:tab/>
        <w:t>(c)</w:t>
      </w:r>
      <w:r>
        <w:tab/>
        <w:t>the agreement is an agreement referred to in section 42(5), the person named in the agreement as the purchaser is a foreign person, and the corporation is not a foreign corporation.</w:t>
      </w:r>
    </w:p>
    <w:p>
      <w:pPr>
        <w:pStyle w:val="Subsection"/>
      </w:pPr>
      <w:r>
        <w:tab/>
        <w:t>(2)</w:t>
      </w:r>
      <w:r>
        <w:tab/>
        <w:t>Foreign transfer duty is not chargeable on an agreement for the transfer of residential property to a transferee if the property is transferred in conformity with the agreement and the transferee is not a foreign person when the property is transferred.</w:t>
      </w:r>
    </w:p>
    <w:p>
      <w:pPr>
        <w:pStyle w:val="Footnotesection"/>
      </w:pPr>
      <w:r>
        <w:tab/>
        <w:t>[Section 205Z inserted: No. 24 of 2018 s. 8.]</w:t>
      </w:r>
    </w:p>
    <w:p>
      <w:pPr>
        <w:pStyle w:val="Heading4"/>
        <w:rPr>
          <w:sz w:val="26"/>
          <w:szCs w:val="26"/>
        </w:rPr>
      </w:pPr>
      <w:bookmarkStart w:id="1190" w:name="_Toc201218155"/>
      <w:bookmarkStart w:id="1191" w:name="_Toc201224528"/>
      <w:bookmarkStart w:id="1192" w:name="_Toc201229226"/>
      <w:bookmarkStart w:id="1193" w:name="_Toc182388831"/>
      <w:bookmarkStart w:id="1194" w:name="_Toc182389493"/>
      <w:bookmarkStart w:id="1195" w:name="_Toc182410291"/>
      <w:r>
        <w:rPr>
          <w:sz w:val="26"/>
          <w:szCs w:val="26"/>
        </w:rPr>
        <w:t>Subdivision 2 — Exemptions relating to construction, refurbishment and subdivision</w:t>
      </w:r>
      <w:bookmarkEnd w:id="1190"/>
      <w:bookmarkEnd w:id="1191"/>
      <w:bookmarkEnd w:id="1192"/>
      <w:bookmarkEnd w:id="1193"/>
      <w:bookmarkEnd w:id="1194"/>
      <w:bookmarkEnd w:id="1195"/>
    </w:p>
    <w:p>
      <w:pPr>
        <w:pStyle w:val="Footnoteheading"/>
      </w:pPr>
      <w:r>
        <w:tab/>
        <w:t>[Heading inserted: No. 24 of 2018 s. 8.]</w:t>
      </w:r>
    </w:p>
    <w:p>
      <w:pPr>
        <w:pStyle w:val="Heading5"/>
      </w:pPr>
      <w:bookmarkStart w:id="1196" w:name="_Toc201229227"/>
      <w:bookmarkStart w:id="1197" w:name="_Toc182410292"/>
      <w:r>
        <w:rPr>
          <w:rStyle w:val="CharSectno"/>
        </w:rPr>
        <w:t>205ZA</w:t>
      </w:r>
      <w:r>
        <w:t>.</w:t>
      </w:r>
      <w:r>
        <w:tab/>
        <w:t>Exemption relating to construction or refurbishment of 10 or more dwellings</w:t>
      </w:r>
      <w:bookmarkEnd w:id="1196"/>
      <w:bookmarkEnd w:id="1197"/>
    </w:p>
    <w:p>
      <w:pPr>
        <w:pStyle w:val="Subsection"/>
      </w:pPr>
      <w:r>
        <w:tab/>
        <w:t>(1A)</w:t>
      </w:r>
      <w:r>
        <w:tab/>
        <w:t xml:space="preserve">In this section — </w:t>
      </w:r>
    </w:p>
    <w:p>
      <w:pPr>
        <w:pStyle w:val="Defstart"/>
      </w:pPr>
      <w:r>
        <w:tab/>
      </w:r>
      <w:r>
        <w:rPr>
          <w:rStyle w:val="CharDefText"/>
        </w:rPr>
        <w:t>substantial refurbishment</w:t>
      </w:r>
      <w:r>
        <w:t xml:space="preserve"> does not include minor works to a building or part of a building.</w:t>
      </w:r>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 xml:space="preserve">the person liable to pay foreign transfer duty on the transaction or an associate of the person intends to — </w:t>
      </w:r>
    </w:p>
    <w:p>
      <w:pPr>
        <w:pStyle w:val="Indenti"/>
      </w:pPr>
      <w:r>
        <w:tab/>
        <w:t>(i)</w:t>
      </w:r>
      <w:r>
        <w:tab/>
        <w:t>construct or complete the construction of 10 or more dwellings on the parcel of land; or</w:t>
      </w:r>
    </w:p>
    <w:p>
      <w:pPr>
        <w:pStyle w:val="Indenti"/>
      </w:pPr>
      <w:r>
        <w:tab/>
        <w:t>(ii)</w:t>
      </w:r>
      <w:r>
        <w:tab/>
        <w:t>provide 10 or more dwellings on the parcel of land by carrying out, or completing the carrying out of, substantial refurbishment of a building, or part of a building, that is not capable of being used solely or dominantly as a place of residence;</w:t>
      </w:r>
    </w:p>
    <w:p>
      <w:pPr>
        <w:pStyle w:val="Indenta"/>
      </w:pPr>
      <w:r>
        <w:tab/>
      </w:r>
      <w:r>
        <w:tab/>
        <w:t>and</w:t>
      </w:r>
    </w:p>
    <w:p>
      <w:pPr>
        <w:pStyle w:val="Ednotepara"/>
      </w:pPr>
      <w:r>
        <w:tab/>
        <w:t>[(b)</w:t>
      </w:r>
      <w:r>
        <w:tab/>
        <w:t>deleted]</w:t>
      </w:r>
    </w:p>
    <w:p>
      <w:pPr>
        <w:pStyle w:val="Indenta"/>
      </w:pPr>
      <w:r>
        <w:tab/>
        <w:t>(c)</w:t>
      </w:r>
      <w:r>
        <w:tab/>
        <w:t>within the period of 5 years beginning on the day on which the transaction is completed, the person or associate complies with subsection (3) in relation to 10 or more dwellings on the parcel of land; and</w:t>
      </w:r>
    </w:p>
    <w:p>
      <w:pPr>
        <w:pStyle w:val="Indenta"/>
        <w:keepNext/>
      </w:pPr>
      <w:r>
        <w:tab/>
        <w:t>(d)</w:t>
      </w:r>
      <w:r>
        <w:tab/>
        <w:t>the parcel of land is, in the Commissioner’s opinion, suitable for 10 or more dwellings.</w:t>
      </w:r>
    </w:p>
    <w:p>
      <w:pPr>
        <w:pStyle w:val="Subsection"/>
      </w:pPr>
      <w:r>
        <w:tab/>
        <w:t>(3)</w:t>
      </w:r>
      <w:r>
        <w:tab/>
        <w:t xml:space="preserve">A person or an associate of a person complies with this subsection in relation to — </w:t>
      </w:r>
    </w:p>
    <w:p>
      <w:pPr>
        <w:pStyle w:val="Indenta"/>
      </w:pPr>
      <w:r>
        <w:tab/>
        <w:t>(a)</w:t>
      </w:r>
      <w:r>
        <w:tab/>
        <w:t>a dwelling the person or associate intends to construct — if the person or associate begins construction of that dwelling or another dwelling on the parcel of land; or</w:t>
      </w:r>
    </w:p>
    <w:p>
      <w:pPr>
        <w:pStyle w:val="Indenta"/>
      </w:pPr>
      <w:r>
        <w:tab/>
        <w:t>(b)</w:t>
      </w:r>
      <w:r>
        <w:tab/>
        <w:t>a dwelling the person or associate intends to provide by carrying out substantial refurbishment of a building, or part of a building — if all licences, approvals, registrations, exemptions and other kinds of authorisation necessary to carry out the refurbishment for that dwelling or another dwelling on the parcel of land are issued, granted or obtained; or</w:t>
      </w:r>
    </w:p>
    <w:p>
      <w:pPr>
        <w:pStyle w:val="Indenta"/>
      </w:pPr>
      <w:r>
        <w:tab/>
        <w:t>(c)</w:t>
      </w:r>
      <w:r>
        <w:tab/>
        <w:t>a dwelling the person or associate intends to complete the construction of — if that dwelling or another dwelling on the parcel of land, construction of which is completed by the person or associate, is ready for occupation as a place of residence; or</w:t>
      </w:r>
    </w:p>
    <w:p>
      <w:pPr>
        <w:pStyle w:val="Indenta"/>
      </w:pPr>
      <w:r>
        <w:tab/>
        <w:t>(d)</w:t>
      </w:r>
      <w:r>
        <w:tab/>
        <w:t>a dwelling the person or associate intends to provide by completing the carrying out of substantial refurbishment of a building, or part of a building — if that dwelling, or another dwelling on the parcel of land for which substantial refurbishment is completed by the person or associate, is ready for occupation as a place of residence.</w:t>
      </w:r>
    </w:p>
    <w:p>
      <w:pPr>
        <w:pStyle w:val="Subsection"/>
      </w:pPr>
      <w:r>
        <w:tab/>
        <w:t>(4)</w:t>
      </w:r>
      <w:r>
        <w:tab/>
        <w:t xml:space="preserve">For the purposes of subsection (3)(a), construction of a dwelling begins on — </w:t>
      </w:r>
    </w:p>
    <w:p>
      <w:pPr>
        <w:pStyle w:val="Indenta"/>
      </w:pPr>
      <w:r>
        <w:tab/>
        <w:t>(a)</w:t>
      </w:r>
      <w:r>
        <w:tab/>
        <w:t>the day on which laying the foundations for the dwelling begins; or</w:t>
      </w:r>
    </w:p>
    <w:p>
      <w:pPr>
        <w:pStyle w:val="Indenta"/>
        <w:keepNext/>
      </w:pPr>
      <w:r>
        <w:tab/>
        <w:t>(b)</w:t>
      </w:r>
      <w:r>
        <w:tab/>
        <w:t>another day the Commissioner considers appropriate in the circumstances of the case.</w:t>
      </w:r>
    </w:p>
    <w:p>
      <w:pPr>
        <w:pStyle w:val="Subsection"/>
        <w:keepNext/>
      </w:pPr>
      <w:r>
        <w:tab/>
        <w:t>(5)</w:t>
      </w:r>
      <w:r>
        <w:tab/>
        <w:t xml:space="preserve">An application for reassessment under section 205ZC(2) because of this section must be made on or before the later of the following — </w:t>
      </w:r>
    </w:p>
    <w:p>
      <w:pPr>
        <w:pStyle w:val="Indenta"/>
      </w:pPr>
      <w:r>
        <w:tab/>
        <w:t>(a)</w:t>
      </w:r>
      <w:r>
        <w:tab/>
        <w:t>the last day of the period of 1 year beginning on the day on which the person or associate complies with subsection (3) in relation to 10 or more dwellings;</w:t>
      </w:r>
    </w:p>
    <w:p>
      <w:pPr>
        <w:pStyle w:val="Indenta"/>
      </w:pPr>
      <w:r>
        <w:tab/>
        <w:t>(b)</w:t>
      </w:r>
      <w:r>
        <w:tab/>
        <w:t>the last day of the period of 5 years beginning on the day on which the transaction is completed.</w:t>
      </w:r>
    </w:p>
    <w:p>
      <w:pPr>
        <w:pStyle w:val="Footnotesection"/>
      </w:pPr>
      <w:r>
        <w:tab/>
        <w:t>[Section 205ZA inserted: No. 24 of 2018 s. 8; amended: No. 29 of 2023 s. 4.]</w:t>
      </w:r>
    </w:p>
    <w:p>
      <w:pPr>
        <w:pStyle w:val="Heading5"/>
      </w:pPr>
      <w:bookmarkStart w:id="1198" w:name="_Toc201229228"/>
      <w:bookmarkStart w:id="1199" w:name="_Toc182410293"/>
      <w:r>
        <w:rPr>
          <w:rStyle w:val="CharSectno"/>
        </w:rPr>
        <w:t>205ZB</w:t>
      </w:r>
      <w:r>
        <w:t>.</w:t>
      </w:r>
      <w:r>
        <w:tab/>
        <w:t>Exemption relating to subdivision for purpose of constructing 10 or more dwellings</w:t>
      </w:r>
      <w:bookmarkEnd w:id="1198"/>
      <w:bookmarkEnd w:id="1199"/>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Ednotepara"/>
      </w:pPr>
      <w:r>
        <w:tab/>
        <w:t>[(a)</w:t>
      </w:r>
      <w:r>
        <w:tab/>
        <w:t>deleted]</w:t>
      </w:r>
    </w:p>
    <w:p>
      <w:pPr>
        <w:pStyle w:val="Indenta"/>
      </w:pPr>
      <w:r>
        <w:tab/>
        <w:t>(b)</w:t>
      </w:r>
      <w:r>
        <w:tab/>
        <w:t>the person liable to pay foreign transfer duty on the transaction or an associate of the person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transaction is completed, the person or associate — </w:t>
      </w:r>
    </w:p>
    <w:p>
      <w:pPr>
        <w:pStyle w:val="Indenti"/>
      </w:pPr>
      <w:r>
        <w:tab/>
        <w:t>(i)</w:t>
      </w:r>
      <w:r>
        <w:tab/>
        <w:t xml:space="preserve">begins subdividing the parcel of land; or </w:t>
      </w:r>
    </w:p>
    <w:p>
      <w:pPr>
        <w:pStyle w:val="Indenti"/>
        <w:keepNext/>
      </w:pPr>
      <w:r>
        <w:tab/>
        <w:t>(ii)</w:t>
      </w:r>
      <w:r>
        <w:tab/>
        <w:t>if subdividing the parcel of land has begun when the transaction is completed, completes subdividing the parcel of land;</w:t>
      </w:r>
    </w:p>
    <w:p>
      <w:pPr>
        <w:pStyle w:val="Indenta"/>
        <w:keepNext/>
      </w:pPr>
      <w:r>
        <w:tab/>
      </w:r>
      <w:r>
        <w:tab/>
        <w:t>and</w:t>
      </w:r>
    </w:p>
    <w:p>
      <w:pPr>
        <w:pStyle w:val="Indenta"/>
      </w:pPr>
      <w:r>
        <w:tab/>
        <w:t>(d)</w:t>
      </w:r>
      <w:r>
        <w:tab/>
        <w:t>the parcel of land is, in the Commissioner’s opinion, suitable for 10 or more dwellings.</w:t>
      </w:r>
    </w:p>
    <w:p>
      <w:pPr>
        <w:pStyle w:val="Subsection"/>
      </w:pPr>
      <w:r>
        <w:tab/>
        <w:t>(3)</w:t>
      </w:r>
      <w:r>
        <w:tab/>
        <w:t xml:space="preserve">An application for reassessment under section 205ZC(2) because of this section must be made on or before the later of the following — </w:t>
      </w:r>
    </w:p>
    <w:p>
      <w:pPr>
        <w:pStyle w:val="Indenta"/>
      </w:pPr>
      <w:r>
        <w:tab/>
        <w:t>(a)</w:t>
      </w:r>
      <w:r>
        <w:tab/>
        <w:t xml:space="preserve">the last day of the period of 1 year beginning on the day on which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t>(b)</w:t>
      </w:r>
      <w:r>
        <w:tab/>
        <w:t>the last day of the period of 5 years beginning on the day on which the transaction is completed.</w:t>
      </w:r>
    </w:p>
    <w:p>
      <w:pPr>
        <w:pStyle w:val="Subsection"/>
      </w:pPr>
      <w:r>
        <w:tab/>
        <w:t>(4)</w:t>
      </w:r>
      <w:r>
        <w:tab/>
        <w:t xml:space="preserve">For the purposes of subsections (2)(c) and (3)(a) — </w:t>
      </w:r>
    </w:p>
    <w:p>
      <w:pPr>
        <w:pStyle w:val="Indenta"/>
      </w:pPr>
      <w:r>
        <w:tab/>
        <w:t>(a)</w:t>
      </w:r>
      <w:r>
        <w:tab/>
        <w:t xml:space="preserve">a person begins subdividing land on the day on which the land is subdivided under the </w:t>
      </w:r>
      <w:r>
        <w:rPr>
          <w:i/>
        </w:rPr>
        <w:t>Land Tax Assessment Act 2002</w:t>
      </w:r>
      <w:r>
        <w:t xml:space="preserve"> Glossary clause 3; and</w:t>
      </w:r>
    </w:p>
    <w:p>
      <w:pPr>
        <w:pStyle w:val="Indenta"/>
        <w:keepNext/>
      </w:pPr>
      <w:r>
        <w:tab/>
        <w:t>(b)</w:t>
      </w:r>
      <w:r>
        <w:tab/>
        <w:t>a person completes subdividing land on the day on which the new certificate of title is created and registered for the subdivided land.</w:t>
      </w:r>
    </w:p>
    <w:p>
      <w:pPr>
        <w:pStyle w:val="Footnotesection"/>
      </w:pPr>
      <w:r>
        <w:tab/>
        <w:t>[Section 205ZB inserted: No. 24 of 2018 s. 8; amended: No. 12 of 2019 s. 107; No. 29 of 2023 s. 5.]</w:t>
      </w:r>
    </w:p>
    <w:p>
      <w:pPr>
        <w:pStyle w:val="Heading4"/>
        <w:rPr>
          <w:sz w:val="26"/>
          <w:szCs w:val="26"/>
        </w:rPr>
      </w:pPr>
      <w:bookmarkStart w:id="1200" w:name="_Toc201218158"/>
      <w:bookmarkStart w:id="1201" w:name="_Toc201224531"/>
      <w:bookmarkStart w:id="1202" w:name="_Toc201229229"/>
      <w:bookmarkStart w:id="1203" w:name="_Toc182388834"/>
      <w:bookmarkStart w:id="1204" w:name="_Toc182389496"/>
      <w:bookmarkStart w:id="1205" w:name="_Toc182410294"/>
      <w:r>
        <w:rPr>
          <w:sz w:val="26"/>
          <w:szCs w:val="26"/>
        </w:rPr>
        <w:t>Subdivision 3 — Reassessment</w:t>
      </w:r>
      <w:bookmarkEnd w:id="1200"/>
      <w:bookmarkEnd w:id="1201"/>
      <w:bookmarkEnd w:id="1202"/>
      <w:bookmarkEnd w:id="1203"/>
      <w:bookmarkEnd w:id="1204"/>
      <w:bookmarkEnd w:id="1205"/>
    </w:p>
    <w:p>
      <w:pPr>
        <w:pStyle w:val="Footnoteheading"/>
        <w:keepNext/>
      </w:pPr>
      <w:r>
        <w:tab/>
        <w:t>[Heading inserted: No. 24 of 2018 s. 8.]</w:t>
      </w:r>
    </w:p>
    <w:p>
      <w:pPr>
        <w:pStyle w:val="Heading5"/>
      </w:pPr>
      <w:bookmarkStart w:id="1206" w:name="_Toc201229230"/>
      <w:bookmarkStart w:id="1207" w:name="_Toc182410295"/>
      <w:r>
        <w:rPr>
          <w:rStyle w:val="CharSectno"/>
        </w:rPr>
        <w:t>205ZC</w:t>
      </w:r>
      <w:r>
        <w:t>.</w:t>
      </w:r>
      <w:r>
        <w:tab/>
        <w:t>Reassessment</w:t>
      </w:r>
      <w:bookmarkEnd w:id="1206"/>
      <w:bookmarkEnd w:id="1207"/>
    </w:p>
    <w:p>
      <w:pPr>
        <w:pStyle w:val="Subsection"/>
        <w:keepNext/>
      </w:pPr>
      <w:r>
        <w:tab/>
        <w:t>(1)</w:t>
      </w:r>
      <w:r>
        <w:tab/>
        <w:t xml:space="preserve">If the Commissioner is required to reassess the liability to transfer duty of a foreign dutiable transaction that is not liable to foreign transfer duty because of section 205Y — </w:t>
      </w:r>
    </w:p>
    <w:p>
      <w:pPr>
        <w:pStyle w:val="Indenta"/>
      </w:pPr>
      <w:r>
        <w:tab/>
        <w:t>(a)</w:t>
      </w:r>
      <w:r>
        <w:tab/>
        <w:t>the Commissioner, on the application of a taxpayer, must reassess the liability to foreign transfer duty of the transaction; and</w:t>
      </w:r>
    </w:p>
    <w:p>
      <w:pPr>
        <w:pStyle w:val="Indenta"/>
      </w:pPr>
      <w:r>
        <w:tab/>
        <w:t>(b)</w:t>
      </w:r>
      <w:r>
        <w:tab/>
        <w:t xml:space="preserve">the limitation as to time (if any) that applies in respect of the reassessment of transfer duty applies in respect of the reassessment of foreign transfer duty; and </w:t>
      </w:r>
    </w:p>
    <w:p>
      <w:pPr>
        <w:pStyle w:val="Indenta"/>
      </w:pPr>
      <w:r>
        <w:tab/>
        <w:t>(c)</w:t>
      </w:r>
      <w:r>
        <w:tab/>
        <w:t>if the reassessment of transfer duty is under section 107 — the application for reassessment under this subsection must be made in the approved form.</w:t>
      </w:r>
    </w:p>
    <w:p>
      <w:pPr>
        <w:pStyle w:val="Subsection"/>
      </w:pPr>
      <w:r>
        <w:tab/>
        <w:t>(2)</w:t>
      </w:r>
      <w:r>
        <w:tab/>
        <w:t>The Commissioner, on the application of a taxpayer, must reassess the liability to foreign transfer duty of a foreign dutiable transaction if the liability is affected by section 205Z, 205ZA or 205ZB.</w:t>
      </w:r>
    </w:p>
    <w:p>
      <w:pPr>
        <w:pStyle w:val="Subsection"/>
      </w:pPr>
      <w:r>
        <w:tab/>
        <w:t>(3)</w:t>
      </w:r>
      <w:r>
        <w:tab/>
        <w:t>The limitations as to time in the Taxation Administration Act section 17 do not apply in respect of a reassessment because of section 205ZA or 205ZB.</w:t>
      </w:r>
    </w:p>
    <w:p>
      <w:pPr>
        <w:pStyle w:val="Subsection"/>
      </w:pPr>
      <w:r>
        <w:tab/>
        <w:t>(4)</w:t>
      </w:r>
      <w:r>
        <w:tab/>
        <w:t>An application for reassessment under subsection (2) must be made in the approved form.</w:t>
      </w:r>
    </w:p>
    <w:p>
      <w:pPr>
        <w:pStyle w:val="Footnotesection"/>
      </w:pPr>
      <w:r>
        <w:tab/>
        <w:t>[Section 205ZC inserted: No. 24 of 2018 s. 8.]</w:t>
      </w:r>
    </w:p>
    <w:p>
      <w:pPr>
        <w:pStyle w:val="Heading3"/>
        <w:rPr>
          <w:sz w:val="28"/>
          <w:szCs w:val="28"/>
        </w:rPr>
      </w:pPr>
      <w:bookmarkStart w:id="1208" w:name="_Toc201218160"/>
      <w:bookmarkStart w:id="1209" w:name="_Toc201224533"/>
      <w:bookmarkStart w:id="1210" w:name="_Toc201229231"/>
      <w:bookmarkStart w:id="1211" w:name="_Toc182388836"/>
      <w:bookmarkStart w:id="1212" w:name="_Toc182389498"/>
      <w:bookmarkStart w:id="1213" w:name="_Toc182410296"/>
      <w:r>
        <w:rPr>
          <w:rStyle w:val="CharDivNo"/>
          <w:sz w:val="28"/>
          <w:szCs w:val="28"/>
        </w:rPr>
        <w:t>Part 3</w:t>
      </w:r>
      <w:r>
        <w:rPr>
          <w:sz w:val="28"/>
          <w:szCs w:val="28"/>
        </w:rPr>
        <w:t> — </w:t>
      </w:r>
      <w:r>
        <w:rPr>
          <w:rStyle w:val="CharDivText"/>
          <w:sz w:val="28"/>
          <w:szCs w:val="28"/>
        </w:rPr>
        <w:t>Foreign landholder duty</w:t>
      </w:r>
      <w:bookmarkEnd w:id="1208"/>
      <w:bookmarkEnd w:id="1209"/>
      <w:bookmarkEnd w:id="1210"/>
      <w:bookmarkEnd w:id="1211"/>
      <w:bookmarkEnd w:id="1212"/>
      <w:bookmarkEnd w:id="1213"/>
    </w:p>
    <w:p>
      <w:pPr>
        <w:pStyle w:val="Footnoteheading"/>
        <w:keepNext/>
      </w:pPr>
      <w:r>
        <w:tab/>
        <w:t>[Heading inserted: No. 24 of 2018 s. 8.]</w:t>
      </w:r>
    </w:p>
    <w:p>
      <w:pPr>
        <w:pStyle w:val="Heading4"/>
        <w:rPr>
          <w:sz w:val="26"/>
          <w:szCs w:val="26"/>
        </w:rPr>
      </w:pPr>
      <w:bookmarkStart w:id="1214" w:name="_Toc201218161"/>
      <w:bookmarkStart w:id="1215" w:name="_Toc201224534"/>
      <w:bookmarkStart w:id="1216" w:name="_Toc201229232"/>
      <w:bookmarkStart w:id="1217" w:name="_Toc182388837"/>
      <w:bookmarkStart w:id="1218" w:name="_Toc182389499"/>
      <w:bookmarkStart w:id="1219" w:name="_Toc182410297"/>
      <w:r>
        <w:rPr>
          <w:sz w:val="26"/>
          <w:szCs w:val="26"/>
        </w:rPr>
        <w:t>Division 1 — Preliminary</w:t>
      </w:r>
      <w:bookmarkEnd w:id="1214"/>
      <w:bookmarkEnd w:id="1215"/>
      <w:bookmarkEnd w:id="1216"/>
      <w:bookmarkEnd w:id="1217"/>
      <w:bookmarkEnd w:id="1218"/>
      <w:bookmarkEnd w:id="1219"/>
    </w:p>
    <w:p>
      <w:pPr>
        <w:pStyle w:val="Footnoteheading"/>
        <w:keepNext/>
      </w:pPr>
      <w:r>
        <w:tab/>
        <w:t>[Heading inserted: No. 24 of 2018 s. 8.]</w:t>
      </w:r>
    </w:p>
    <w:p>
      <w:pPr>
        <w:pStyle w:val="Heading5"/>
      </w:pPr>
      <w:bookmarkStart w:id="1220" w:name="_Toc201229233"/>
      <w:bookmarkStart w:id="1221" w:name="_Toc182410298"/>
      <w:r>
        <w:rPr>
          <w:rStyle w:val="CharSectno"/>
        </w:rPr>
        <w:t>205ZD</w:t>
      </w:r>
      <w:r>
        <w:t>.</w:t>
      </w:r>
      <w:r>
        <w:tab/>
        <w:t>Terms used</w:t>
      </w:r>
      <w:bookmarkEnd w:id="1220"/>
      <w:bookmarkEnd w:id="1221"/>
    </w:p>
    <w:p>
      <w:pPr>
        <w:pStyle w:val="Subsection"/>
      </w:pPr>
      <w:r>
        <w:tab/>
        <w:t>(1)</w:t>
      </w:r>
      <w:r>
        <w:tab/>
        <w:t xml:space="preserve">In this Part, unless the contrary intention appears — </w:t>
      </w:r>
    </w:p>
    <w:p>
      <w:pPr>
        <w:pStyle w:val="Defstart"/>
      </w:pPr>
      <w:r>
        <w:rPr>
          <w:b/>
        </w:rPr>
        <w:tab/>
      </w:r>
      <w:r>
        <w:rPr>
          <w:rStyle w:val="CharDefText"/>
        </w:rPr>
        <w:t>foreign acquirer</w:t>
      </w:r>
      <w:r>
        <w:t xml:space="preserve"> means — </w:t>
      </w:r>
    </w:p>
    <w:p>
      <w:pPr>
        <w:pStyle w:val="Defpara"/>
      </w:pPr>
      <w:r>
        <w:tab/>
        <w:t>(a)</w:t>
      </w:r>
      <w:r>
        <w:tab/>
        <w:t xml:space="preserve">in relation to a foreign landholder acquisition to which section 205ZH(1)(a)(i) applies — </w:t>
      </w:r>
    </w:p>
    <w:p>
      <w:pPr>
        <w:pStyle w:val="Defsubpara"/>
      </w:pPr>
      <w:r>
        <w:tab/>
        <w:t>(i)</w:t>
      </w:r>
      <w:r>
        <w:tab/>
        <w:t>a foreign person that acquires an interest in a residential landholder by the acquisition; and</w:t>
      </w:r>
    </w:p>
    <w:p>
      <w:pPr>
        <w:pStyle w:val="Defsubpara"/>
      </w:pPr>
      <w:r>
        <w:tab/>
        <w:t>(ii)</w:t>
      </w:r>
      <w:r>
        <w:tab/>
        <w:t>if there is more than 1 person referred to in subparagraph (i), each of them;</w:t>
      </w:r>
    </w:p>
    <w:p>
      <w:pPr>
        <w:pStyle w:val="Defpara"/>
      </w:pPr>
      <w:r>
        <w:tab/>
      </w:r>
      <w:r>
        <w:tab/>
        <w:t>or</w:t>
      </w:r>
    </w:p>
    <w:p>
      <w:pPr>
        <w:pStyle w:val="Defpara"/>
      </w:pPr>
      <w:r>
        <w:tab/>
        <w:t>(b)</w:t>
      </w:r>
      <w:r>
        <w:tab/>
        <w:t>in relation to a foreign landholder acquisition to which section 205ZH(1)(a)(ii) applies —</w:t>
      </w:r>
    </w:p>
    <w:p>
      <w:pPr>
        <w:pStyle w:val="Defsubpara"/>
      </w:pPr>
      <w:r>
        <w:tab/>
        <w:t>(i)</w:t>
      </w:r>
      <w:r>
        <w:tab/>
        <w:t>a foreign person that is a related person in respect of the acquirer of the interest in the residential landholder and has an interest in the residential landholder immediately after the acquisition; and</w:t>
      </w:r>
    </w:p>
    <w:p>
      <w:pPr>
        <w:pStyle w:val="Defsubpara"/>
      </w:pPr>
      <w:r>
        <w:tab/>
        <w:t>(ii)</w:t>
      </w:r>
      <w:r>
        <w:tab/>
        <w:t>if there is more than 1 person referred to in subparagraph (i), each of them.</w:t>
      </w:r>
    </w:p>
    <w:p>
      <w:pPr>
        <w:pStyle w:val="Defstart"/>
      </w:pPr>
      <w:r>
        <w:tab/>
      </w:r>
      <w:r>
        <w:rPr>
          <w:rStyle w:val="CharDefText"/>
        </w:rPr>
        <w:t>foreign landholder acquisition</w:t>
      </w:r>
      <w:r>
        <w:t xml:space="preserve"> has the meaning given in section 205ZH;</w:t>
      </w:r>
    </w:p>
    <w:p>
      <w:pPr>
        <w:pStyle w:val="Defstart"/>
      </w:pPr>
      <w:r>
        <w:tab/>
      </w:r>
      <w:r>
        <w:rPr>
          <w:rStyle w:val="CharDefText"/>
        </w:rPr>
        <w:t>residential landholder</w:t>
      </w:r>
      <w:r>
        <w:t xml:space="preserve"> means an entity that is a residential landholder under section 205ZG.</w:t>
      </w:r>
    </w:p>
    <w:p>
      <w:pPr>
        <w:pStyle w:val="Subsection"/>
        <w:keepNext/>
      </w:pPr>
      <w:r>
        <w:tab/>
        <w:t>(2)</w:t>
      </w:r>
      <w:r>
        <w:tab/>
        <w:t>Unless the contrary intention appears, a reference in this Part to a provision of Chapter 3 that is applied by section 205ZE(1) is a reference to that provision as so applied.</w:t>
      </w:r>
    </w:p>
    <w:p>
      <w:pPr>
        <w:pStyle w:val="Footnotesection"/>
      </w:pPr>
      <w:r>
        <w:tab/>
        <w:t>[Section 205ZD inserted: No. 24 of 2018 s. 8; amended: No. 12 of 2019 s. 108.]</w:t>
      </w:r>
    </w:p>
    <w:p>
      <w:pPr>
        <w:pStyle w:val="Heading4"/>
        <w:rPr>
          <w:sz w:val="26"/>
          <w:szCs w:val="26"/>
        </w:rPr>
      </w:pPr>
      <w:bookmarkStart w:id="1222" w:name="_Toc201218163"/>
      <w:bookmarkStart w:id="1223" w:name="_Toc201224536"/>
      <w:bookmarkStart w:id="1224" w:name="_Toc201229234"/>
      <w:bookmarkStart w:id="1225" w:name="_Toc182388839"/>
      <w:bookmarkStart w:id="1226" w:name="_Toc182389501"/>
      <w:bookmarkStart w:id="1227" w:name="_Toc182410299"/>
      <w:r>
        <w:rPr>
          <w:sz w:val="26"/>
          <w:szCs w:val="26"/>
        </w:rPr>
        <w:t>Division 2 — Application of Chapter 3</w:t>
      </w:r>
      <w:bookmarkEnd w:id="1222"/>
      <w:bookmarkEnd w:id="1223"/>
      <w:bookmarkEnd w:id="1224"/>
      <w:bookmarkEnd w:id="1225"/>
      <w:bookmarkEnd w:id="1226"/>
      <w:bookmarkEnd w:id="1227"/>
    </w:p>
    <w:p>
      <w:pPr>
        <w:pStyle w:val="Footnoteheading"/>
      </w:pPr>
      <w:r>
        <w:tab/>
        <w:t>[Heading inserted: No. 24 of 2018 s. 8.]</w:t>
      </w:r>
    </w:p>
    <w:p>
      <w:pPr>
        <w:pStyle w:val="Heading5"/>
      </w:pPr>
      <w:bookmarkStart w:id="1228" w:name="_Toc201229235"/>
      <w:bookmarkStart w:id="1229" w:name="_Toc182410300"/>
      <w:r>
        <w:rPr>
          <w:rStyle w:val="CharSectno"/>
        </w:rPr>
        <w:t>205ZE</w:t>
      </w:r>
      <w:r>
        <w:t>.</w:t>
      </w:r>
      <w:r>
        <w:tab/>
        <w:t>Application of Chapter 3</w:t>
      </w:r>
      <w:bookmarkEnd w:id="1228"/>
      <w:bookmarkEnd w:id="1229"/>
    </w:p>
    <w:p>
      <w:pPr>
        <w:pStyle w:val="Subsection"/>
      </w:pPr>
      <w:r>
        <w:tab/>
        <w:t>(1)</w:t>
      </w:r>
      <w:r>
        <w:tab/>
        <w:t>The provisions of Chapter 3 other than the provisions set out in the Table apply, with all appropriate modifications, in respect of foreign landholder duty in the same way as they apply in respect of landholder duty.</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c>
          <w:tcPr>
            <w:tcW w:w="2835" w:type="dxa"/>
          </w:tcPr>
          <w:p>
            <w:pPr>
              <w:pStyle w:val="TableNAm"/>
            </w:pPr>
            <w:r>
              <w:t>s. 148(2)</w:t>
            </w:r>
          </w:p>
        </w:tc>
        <w:tc>
          <w:tcPr>
            <w:tcW w:w="2835" w:type="dxa"/>
          </w:tcPr>
          <w:p>
            <w:pPr>
              <w:pStyle w:val="TableNAm"/>
            </w:pPr>
            <w:r>
              <w:t>s. 149A(1) and (3)</w:t>
            </w:r>
          </w:p>
        </w:tc>
      </w:tr>
      <w:tr>
        <w:tc>
          <w:tcPr>
            <w:tcW w:w="2835" w:type="dxa"/>
          </w:tcPr>
          <w:p>
            <w:pPr>
              <w:pStyle w:val="TableNAm"/>
            </w:pPr>
            <w:r>
              <w:t>Part 2</w:t>
            </w:r>
          </w:p>
        </w:tc>
        <w:tc>
          <w:tcPr>
            <w:tcW w:w="2835" w:type="dxa"/>
          </w:tcPr>
          <w:p>
            <w:pPr>
              <w:pStyle w:val="TableNAm"/>
            </w:pPr>
            <w:r>
              <w:t>s. 155</w:t>
            </w:r>
          </w:p>
        </w:tc>
      </w:tr>
      <w:tr>
        <w:tc>
          <w:tcPr>
            <w:tcW w:w="2835" w:type="dxa"/>
          </w:tcPr>
          <w:p>
            <w:pPr>
              <w:pStyle w:val="TableNAm"/>
            </w:pPr>
            <w:r>
              <w:t>s. 157</w:t>
            </w:r>
          </w:p>
        </w:tc>
        <w:tc>
          <w:tcPr>
            <w:tcW w:w="2835" w:type="dxa"/>
          </w:tcPr>
          <w:p>
            <w:pPr>
              <w:pStyle w:val="TableNAm"/>
            </w:pPr>
            <w:r>
              <w:t>Part 5 Division 2 Subdivision 2</w:t>
            </w:r>
          </w:p>
        </w:tc>
      </w:tr>
      <w:tr>
        <w:tc>
          <w:tcPr>
            <w:tcW w:w="2835" w:type="dxa"/>
          </w:tcPr>
          <w:p>
            <w:pPr>
              <w:pStyle w:val="TableNAm"/>
            </w:pPr>
            <w:r>
              <w:t>s. 167</w:t>
            </w:r>
          </w:p>
        </w:tc>
        <w:tc>
          <w:tcPr>
            <w:tcW w:w="2835" w:type="dxa"/>
          </w:tcPr>
          <w:p>
            <w:pPr>
              <w:pStyle w:val="TableNAm"/>
            </w:pPr>
            <w:r>
              <w:t>s. 168</w:t>
            </w:r>
          </w:p>
        </w:tc>
      </w:tr>
      <w:tr>
        <w:tc>
          <w:tcPr>
            <w:tcW w:w="2835" w:type="dxa"/>
          </w:tcPr>
          <w:p>
            <w:pPr>
              <w:pStyle w:val="TableNAm"/>
            </w:pPr>
            <w:r>
              <w:t>s. 171</w:t>
            </w:r>
          </w:p>
        </w:tc>
        <w:tc>
          <w:tcPr>
            <w:tcW w:w="2835" w:type="dxa"/>
          </w:tcPr>
          <w:p>
            <w:pPr>
              <w:pStyle w:val="TableNAm"/>
            </w:pPr>
            <w:r>
              <w:t>Part 5 Division 2 Subdivision 4</w:t>
            </w:r>
          </w:p>
        </w:tc>
      </w:tr>
      <w:tr>
        <w:tc>
          <w:tcPr>
            <w:tcW w:w="2835" w:type="dxa"/>
          </w:tcPr>
          <w:p>
            <w:pPr>
              <w:pStyle w:val="TableNAm"/>
            </w:pPr>
            <w:r>
              <w:t>s. 175</w:t>
            </w:r>
          </w:p>
        </w:tc>
        <w:tc>
          <w:tcPr>
            <w:tcW w:w="2835" w:type="dxa"/>
          </w:tcPr>
          <w:p>
            <w:pPr>
              <w:pStyle w:val="TableNAm"/>
            </w:pPr>
            <w:r>
              <w:t>Part 6 Division 4</w:t>
            </w:r>
          </w:p>
        </w:tc>
      </w:tr>
      <w:tr>
        <w:tc>
          <w:tcPr>
            <w:tcW w:w="2835" w:type="dxa"/>
          </w:tcPr>
          <w:p>
            <w:pPr>
              <w:pStyle w:val="TableNAm"/>
            </w:pPr>
            <w:r>
              <w:t>s. 193</w:t>
            </w:r>
          </w:p>
        </w:tc>
        <w:tc>
          <w:tcPr>
            <w:tcW w:w="2835" w:type="dxa"/>
          </w:tcPr>
          <w:p>
            <w:pPr>
              <w:pStyle w:val="TableNAm"/>
            </w:pPr>
            <w:r>
              <w:t>Part 6 Division 6A</w:t>
            </w:r>
          </w:p>
        </w:tc>
      </w:tr>
      <w:tr>
        <w:tc>
          <w:tcPr>
            <w:tcW w:w="2835" w:type="dxa"/>
          </w:tcPr>
          <w:p>
            <w:pPr>
              <w:pStyle w:val="TableNAm"/>
            </w:pPr>
            <w:r>
              <w:t>Part 6 Division 7</w:t>
            </w:r>
          </w:p>
        </w:tc>
        <w:tc>
          <w:tcPr>
            <w:tcW w:w="2835" w:type="dxa"/>
          </w:tcPr>
          <w:p>
            <w:pPr>
              <w:pStyle w:val="TableNAm"/>
            </w:pPr>
            <w:r>
              <w:t>Part 7 Divisions 1 and 2</w:t>
            </w:r>
          </w:p>
        </w:tc>
      </w:tr>
      <w:tr>
        <w:tc>
          <w:tcPr>
            <w:tcW w:w="2835" w:type="dxa"/>
          </w:tcPr>
          <w:p>
            <w:pPr>
              <w:pStyle w:val="TableNAm"/>
            </w:pPr>
            <w:r>
              <w:t>s. 204G</w:t>
            </w:r>
          </w:p>
        </w:tc>
        <w:tc>
          <w:tcPr>
            <w:tcW w:w="2835" w:type="dxa"/>
          </w:tcPr>
          <w:p>
            <w:pPr>
              <w:pStyle w:val="TableNAm"/>
            </w:pPr>
          </w:p>
        </w:tc>
      </w:tr>
    </w:tbl>
    <w:p>
      <w:pPr>
        <w:pStyle w:val="Subsection"/>
      </w:pPr>
      <w:r>
        <w:tab/>
        <w:t>(2)</w:t>
      </w:r>
      <w:r>
        <w:tab/>
        <w:t xml:space="preserve">Without limiting subsection (1), the provisions applied by that subsection apply as if — </w:t>
      </w:r>
    </w:p>
    <w:p>
      <w:pPr>
        <w:pStyle w:val="Indenta"/>
      </w:pPr>
      <w:r>
        <w:tab/>
        <w:t>(a)</w:t>
      </w:r>
      <w:r>
        <w:tab/>
        <w:t>a reference to duty or landholder duty were a reference to foreign landholder duty; and</w:t>
      </w:r>
    </w:p>
    <w:p>
      <w:pPr>
        <w:pStyle w:val="Indenta"/>
      </w:pPr>
      <w:r>
        <w:tab/>
        <w:t>(b)</w:t>
      </w:r>
      <w:r>
        <w:tab/>
        <w:t>a reference to an acquirer (other than in section 179) were a reference to a foreign acquirer; and</w:t>
      </w:r>
    </w:p>
    <w:p>
      <w:pPr>
        <w:pStyle w:val="Indenta"/>
      </w:pPr>
      <w:r>
        <w:tab/>
        <w:t>(c)</w:t>
      </w:r>
      <w:r>
        <w:tab/>
        <w:t>a reference to a landholder were a reference to a residential landholder; and</w:t>
      </w:r>
    </w:p>
    <w:p>
      <w:pPr>
        <w:pStyle w:val="Indenta"/>
      </w:pPr>
      <w:r>
        <w:tab/>
        <w:t>(d)</w:t>
      </w:r>
      <w:r>
        <w:tab/>
        <w:t>a reference to a relevant acquisition were a reference to a foreign landholder acquisition; and</w:t>
      </w:r>
    </w:p>
    <w:p>
      <w:pPr>
        <w:pStyle w:val="Indenta"/>
      </w:pPr>
      <w:r>
        <w:tab/>
        <w:t>(e)</w:t>
      </w:r>
      <w:r>
        <w:tab/>
        <w:t>a reference to land assets, land assets in Western Australia or dutiable property were a reference to residential property; and</w:t>
      </w:r>
    </w:p>
    <w:p>
      <w:pPr>
        <w:pStyle w:val="Indenta"/>
      </w:pPr>
      <w:r>
        <w:tab/>
        <w:t>(f)</w:t>
      </w:r>
      <w:r>
        <w:tab/>
        <w:t>a reference to a chattel were a reference to a chattel, the use of which is directly linked to, or is incidental to, the use of residential property for residential purposes; and</w:t>
      </w:r>
    </w:p>
    <w:p>
      <w:pPr>
        <w:pStyle w:val="Indenta"/>
      </w:pPr>
      <w:r>
        <w:tab/>
        <w:t>(g)</w:t>
      </w:r>
      <w:r>
        <w:tab/>
        <w:t xml:space="preserve">the definition of </w:t>
      </w:r>
      <w:r>
        <w:rPr>
          <w:rStyle w:val="CharDefText"/>
        </w:rPr>
        <w:t>land asset</w:t>
      </w:r>
      <w:r>
        <w:t xml:space="preserve"> in section 148(1) were deleted;</w:t>
      </w:r>
    </w:p>
    <w:p>
      <w:pPr>
        <w:pStyle w:val="Indenta"/>
      </w:pPr>
      <w:r>
        <w:tab/>
        <w:t>(h)</w:t>
      </w:r>
      <w:r>
        <w:tab/>
        <w:t>the provisions of Division 8 Subdivisions 1 and 2 of this Chapter were provisions of Chapter 3 Part 5 Division 2 Subdivision 3; and</w:t>
      </w:r>
    </w:p>
    <w:p>
      <w:pPr>
        <w:pStyle w:val="Indenta"/>
      </w:pPr>
      <w:r>
        <w:tab/>
        <w:t>(i)</w:t>
      </w:r>
      <w:r>
        <w:tab/>
        <w:t xml:space="preserve">the reference in the definition of </w:t>
      </w:r>
      <w:r>
        <w:rPr>
          <w:b/>
          <w:i/>
        </w:rPr>
        <w:t>call option</w:t>
      </w:r>
      <w:r>
        <w:t xml:space="preserve">, </w:t>
      </w:r>
      <w:r>
        <w:rPr>
          <w:b/>
          <w:i/>
        </w:rPr>
        <w:t>put option</w:t>
      </w:r>
      <w:r>
        <w:t xml:space="preserve"> and </w:t>
      </w:r>
      <w:r>
        <w:rPr>
          <w:b/>
          <w:i/>
        </w:rPr>
        <w:t>simultaneous put and call option</w:t>
      </w:r>
      <w:r>
        <w:t xml:space="preserve"> in section 177(1) to section 44 were a reference to section 44 as applied by section 205S(1); and </w:t>
      </w:r>
    </w:p>
    <w:p>
      <w:pPr>
        <w:pStyle w:val="Indenta"/>
      </w:pPr>
      <w:r>
        <w:tab/>
        <w:t>(j)</w:t>
      </w:r>
      <w:r>
        <w:tab/>
        <w:t>the reference in section 179(2)(a) to the acquirer were a reference to a foreign acquirer, other than a person whose interest in the residential landholder is, for the purpose of calculating the duty, an excluded interest under section 189; and</w:t>
      </w:r>
    </w:p>
    <w:p>
      <w:pPr>
        <w:pStyle w:val="Indenta"/>
      </w:pPr>
      <w:r>
        <w:tab/>
        <w:t>(ja)</w:t>
      </w:r>
      <w:r>
        <w:tab/>
        <w:t xml:space="preserve">the reference in section 179(2)(d) or 185(b) to a related person in respect of the acquirer were a reference to a foreign person that is a related person in respect of a foreign acquirer (as defined in paragraph (a) of the definition of </w:t>
      </w:r>
      <w:r>
        <w:rPr>
          <w:rStyle w:val="CharDefText"/>
        </w:rPr>
        <w:t>foreign acquirer</w:t>
      </w:r>
      <w:r>
        <w:t xml:space="preserve"> in section 205ZD(1)); and</w:t>
      </w:r>
    </w:p>
    <w:p>
      <w:pPr>
        <w:pStyle w:val="Indenta"/>
      </w:pPr>
      <w:r>
        <w:tab/>
        <w:t>(jb)</w:t>
      </w:r>
      <w:r>
        <w:tab/>
        <w:t xml:space="preserve">a reference in section 189(2)(a) or (6) — </w:t>
      </w:r>
    </w:p>
    <w:p>
      <w:pPr>
        <w:pStyle w:val="Indenti"/>
      </w:pPr>
      <w:r>
        <w:tab/>
        <w:t>(i)</w:t>
      </w:r>
      <w:r>
        <w:tab/>
        <w:t>to the person were a reference to the foreign acquirer; and</w:t>
      </w:r>
    </w:p>
    <w:p>
      <w:pPr>
        <w:pStyle w:val="Indenti"/>
      </w:pPr>
      <w:r>
        <w:tab/>
        <w:t>(ii)</w:t>
      </w:r>
      <w:r>
        <w:tab/>
        <w:t xml:space="preserve">to a related person were a reference to a foreign person that is a related person in respect of a foreign acquirer (as defined in paragraph (a) of the definition of </w:t>
      </w:r>
      <w:r>
        <w:rPr>
          <w:rStyle w:val="CharDefText"/>
        </w:rPr>
        <w:t>foreign acquirer</w:t>
      </w:r>
      <w:r>
        <w:t xml:space="preserve"> in section 205ZD(1));</w:t>
      </w:r>
    </w:p>
    <w:p>
      <w:pPr>
        <w:pStyle w:val="Indenta"/>
      </w:pPr>
      <w:r>
        <w:tab/>
      </w:r>
      <w:r>
        <w:tab/>
        <w:t>and</w:t>
      </w:r>
    </w:p>
    <w:p>
      <w:pPr>
        <w:pStyle w:val="Indenta"/>
        <w:rPr>
          <w:b/>
        </w:rPr>
      </w:pPr>
      <w:r>
        <w:tab/>
        <w:t>(k)</w:t>
      </w:r>
      <w:r>
        <w:tab/>
        <w:t>a reference in section 188(1) or 189(1) to applying the appropriate rate of duty under section 184(1) to the value were a reference to working out 7% of the value; and</w:t>
      </w:r>
    </w:p>
    <w:p>
      <w:pPr>
        <w:pStyle w:val="Indenta"/>
      </w:pPr>
      <w:r>
        <w:tab/>
        <w:t>(l)</w:t>
      </w:r>
      <w:r>
        <w:tab/>
        <w:t>the reference in section 189(6) to 1 July 2008 were a reference to 1 January 2019; and</w:t>
      </w:r>
    </w:p>
    <w:p>
      <w:pPr>
        <w:pStyle w:val="Indenta"/>
      </w:pPr>
      <w:r>
        <w:tab/>
        <w:t>(m)</w:t>
      </w:r>
      <w:r>
        <w:tab/>
        <w:t xml:space="preserve">a reference to a provision specified in Column 1 of the Table were a reference to the provision specified opposite it in Column 2 of the Table. </w:t>
      </w:r>
    </w:p>
    <w:p>
      <w:pPr>
        <w:pStyle w:val="THeadingNAm"/>
      </w:pPr>
      <w:r>
        <w:t>Table</w:t>
      </w:r>
    </w:p>
    <w:tbl>
      <w:tblPr>
        <w:tblW w:w="5670" w:type="dxa"/>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151</w:t>
            </w:r>
          </w:p>
        </w:tc>
        <w:tc>
          <w:tcPr>
            <w:tcW w:w="2835" w:type="dxa"/>
          </w:tcPr>
          <w:p>
            <w:pPr>
              <w:pStyle w:val="TableNAm"/>
            </w:pPr>
            <w:r>
              <w:t>s. 205ZF</w:t>
            </w:r>
          </w:p>
        </w:tc>
      </w:tr>
      <w:tr>
        <w:tc>
          <w:tcPr>
            <w:tcW w:w="2835" w:type="dxa"/>
          </w:tcPr>
          <w:p>
            <w:pPr>
              <w:pStyle w:val="TableNAm"/>
            </w:pPr>
            <w:r>
              <w:t>s. 155</w:t>
            </w:r>
          </w:p>
        </w:tc>
        <w:tc>
          <w:tcPr>
            <w:tcW w:w="2835" w:type="dxa"/>
          </w:tcPr>
          <w:p>
            <w:pPr>
              <w:pStyle w:val="TableNAm"/>
            </w:pPr>
            <w:r>
              <w:t>s. 205ZG</w:t>
            </w:r>
          </w:p>
        </w:tc>
      </w:tr>
      <w:tr>
        <w:tc>
          <w:tcPr>
            <w:tcW w:w="2835" w:type="dxa"/>
          </w:tcPr>
          <w:p>
            <w:pPr>
              <w:pStyle w:val="TableNAm"/>
            </w:pPr>
            <w:r>
              <w:t>s. 163</w:t>
            </w:r>
          </w:p>
        </w:tc>
        <w:tc>
          <w:tcPr>
            <w:tcW w:w="2835" w:type="dxa"/>
          </w:tcPr>
          <w:p>
            <w:pPr>
              <w:pStyle w:val="TableNAm"/>
            </w:pPr>
            <w:r>
              <w:t>s. 205ZH</w:t>
            </w:r>
          </w:p>
        </w:tc>
      </w:tr>
      <w:tr>
        <w:tc>
          <w:tcPr>
            <w:tcW w:w="2835" w:type="dxa"/>
          </w:tcPr>
          <w:p>
            <w:pPr>
              <w:pStyle w:val="TableNAm"/>
            </w:pPr>
            <w:r>
              <w:t>s. 167</w:t>
            </w:r>
          </w:p>
        </w:tc>
        <w:tc>
          <w:tcPr>
            <w:tcW w:w="2835" w:type="dxa"/>
          </w:tcPr>
          <w:p>
            <w:pPr>
              <w:pStyle w:val="TableNAm"/>
            </w:pPr>
            <w:r>
              <w:t>s. 205ZM</w:t>
            </w:r>
          </w:p>
        </w:tc>
      </w:tr>
      <w:tr>
        <w:tc>
          <w:tcPr>
            <w:tcW w:w="2835" w:type="dxa"/>
          </w:tcPr>
          <w:p>
            <w:pPr>
              <w:pStyle w:val="TableNAm"/>
            </w:pPr>
            <w:r>
              <w:t>s. 200</w:t>
            </w:r>
          </w:p>
        </w:tc>
        <w:tc>
          <w:tcPr>
            <w:tcW w:w="2835" w:type="dxa"/>
          </w:tcPr>
          <w:p>
            <w:pPr>
              <w:pStyle w:val="TableNAm"/>
            </w:pPr>
            <w:r>
              <w:t>s. 205ZS</w:t>
            </w:r>
          </w:p>
        </w:tc>
      </w:tr>
      <w:tr>
        <w:tc>
          <w:tcPr>
            <w:tcW w:w="2835" w:type="dxa"/>
          </w:tcPr>
          <w:p>
            <w:pPr>
              <w:pStyle w:val="TableNAm"/>
            </w:pPr>
            <w:r>
              <w:t>s. 204G</w:t>
            </w:r>
          </w:p>
        </w:tc>
        <w:tc>
          <w:tcPr>
            <w:tcW w:w="2835" w:type="dxa"/>
          </w:tcPr>
          <w:p>
            <w:pPr>
              <w:pStyle w:val="TableNAm"/>
            </w:pPr>
            <w:r>
              <w:t>s. 205ZKA</w:t>
            </w:r>
          </w:p>
        </w:tc>
      </w:tr>
    </w:tbl>
    <w:p>
      <w:pPr>
        <w:pStyle w:val="Footnotesection"/>
      </w:pPr>
      <w:r>
        <w:tab/>
        <w:t>[Section 205ZE inserted: No. 24 of 2018 s. 8; amended: No. 12 of 2019 s. 109.]</w:t>
      </w:r>
    </w:p>
    <w:p>
      <w:pPr>
        <w:pStyle w:val="Heading4"/>
        <w:rPr>
          <w:sz w:val="26"/>
          <w:szCs w:val="26"/>
        </w:rPr>
      </w:pPr>
      <w:bookmarkStart w:id="1230" w:name="_Toc201218165"/>
      <w:bookmarkStart w:id="1231" w:name="_Toc201224538"/>
      <w:bookmarkStart w:id="1232" w:name="_Toc201229236"/>
      <w:bookmarkStart w:id="1233" w:name="_Toc182388841"/>
      <w:bookmarkStart w:id="1234" w:name="_Toc182389503"/>
      <w:bookmarkStart w:id="1235" w:name="_Toc182410301"/>
      <w:r>
        <w:rPr>
          <w:sz w:val="26"/>
          <w:szCs w:val="26"/>
        </w:rPr>
        <w:t>Division 3 — Imposition of foreign landholder duty</w:t>
      </w:r>
      <w:bookmarkEnd w:id="1230"/>
      <w:bookmarkEnd w:id="1231"/>
      <w:bookmarkEnd w:id="1232"/>
      <w:bookmarkEnd w:id="1233"/>
      <w:bookmarkEnd w:id="1234"/>
      <w:bookmarkEnd w:id="1235"/>
    </w:p>
    <w:p>
      <w:pPr>
        <w:pStyle w:val="Footnoteheading"/>
      </w:pPr>
      <w:r>
        <w:tab/>
        <w:t>[Heading inserted: No. 24 of 2018 s. 8.]</w:t>
      </w:r>
    </w:p>
    <w:p>
      <w:pPr>
        <w:pStyle w:val="Heading5"/>
      </w:pPr>
      <w:bookmarkStart w:id="1236" w:name="_Toc201229237"/>
      <w:bookmarkStart w:id="1237" w:name="_Toc182410302"/>
      <w:r>
        <w:rPr>
          <w:rStyle w:val="CharSectno"/>
        </w:rPr>
        <w:t>205ZF</w:t>
      </w:r>
      <w:r>
        <w:t>.</w:t>
      </w:r>
      <w:r>
        <w:tab/>
        <w:t>Foreign landholder duty imposed</w:t>
      </w:r>
      <w:bookmarkEnd w:id="1236"/>
      <w:bookmarkEnd w:id="1237"/>
    </w:p>
    <w:p>
      <w:pPr>
        <w:pStyle w:val="Subsection"/>
      </w:pPr>
      <w:r>
        <w:tab/>
      </w:r>
      <w:r>
        <w:tab/>
        <w:t>Foreign landholder duty is imposed in respect of any foreign landholder acquisition of an interest in a residential landholder.</w:t>
      </w:r>
    </w:p>
    <w:p>
      <w:pPr>
        <w:pStyle w:val="Footnotesection"/>
      </w:pPr>
      <w:r>
        <w:tab/>
        <w:t>[Section 205ZF inserted: No. 24 of 2018 s. 8.]</w:t>
      </w:r>
    </w:p>
    <w:p>
      <w:pPr>
        <w:pStyle w:val="Heading4"/>
        <w:keepLines/>
        <w:rPr>
          <w:sz w:val="26"/>
          <w:szCs w:val="26"/>
        </w:rPr>
      </w:pPr>
      <w:bookmarkStart w:id="1238" w:name="_Toc201218167"/>
      <w:bookmarkStart w:id="1239" w:name="_Toc201224540"/>
      <w:bookmarkStart w:id="1240" w:name="_Toc201229238"/>
      <w:bookmarkStart w:id="1241" w:name="_Toc182388843"/>
      <w:bookmarkStart w:id="1242" w:name="_Toc182389505"/>
      <w:bookmarkStart w:id="1243" w:name="_Toc182410303"/>
      <w:r>
        <w:rPr>
          <w:sz w:val="26"/>
          <w:szCs w:val="26"/>
        </w:rPr>
        <w:t>Division 4 — Residential landholders to which this Part applies</w:t>
      </w:r>
      <w:bookmarkEnd w:id="1238"/>
      <w:bookmarkEnd w:id="1239"/>
      <w:bookmarkEnd w:id="1240"/>
      <w:bookmarkEnd w:id="1241"/>
      <w:bookmarkEnd w:id="1242"/>
      <w:bookmarkEnd w:id="1243"/>
    </w:p>
    <w:p>
      <w:pPr>
        <w:pStyle w:val="Footnoteheading"/>
        <w:keepNext/>
        <w:keepLines/>
      </w:pPr>
      <w:r>
        <w:tab/>
        <w:t>[Heading inserted: No. 24 of 2018 s. 8.]</w:t>
      </w:r>
    </w:p>
    <w:p>
      <w:pPr>
        <w:pStyle w:val="Heading5"/>
      </w:pPr>
      <w:bookmarkStart w:id="1244" w:name="_Toc201229239"/>
      <w:bookmarkStart w:id="1245" w:name="_Toc182410304"/>
      <w:r>
        <w:rPr>
          <w:rStyle w:val="CharSectno"/>
        </w:rPr>
        <w:t>205ZG</w:t>
      </w:r>
      <w:r>
        <w:t>.</w:t>
      </w:r>
      <w:r>
        <w:tab/>
        <w:t>Which entities are residential landholders</w:t>
      </w:r>
      <w:bookmarkEnd w:id="1244"/>
      <w:bookmarkEnd w:id="1245"/>
    </w:p>
    <w:p>
      <w:pPr>
        <w:pStyle w:val="Subsection"/>
      </w:pPr>
      <w:r>
        <w:tab/>
        <w:t>(1)</w:t>
      </w:r>
      <w:r>
        <w:tab/>
        <w:t>This section applies where it is necessary to determine in relation to an acquisition of an interest in an entity whether the entity is a residential landholder for the purposes section 205ZH.</w:t>
      </w:r>
    </w:p>
    <w:p>
      <w:pPr>
        <w:pStyle w:val="Subsection"/>
      </w:pPr>
      <w:r>
        <w:tab/>
        <w:t>(2)</w:t>
      </w:r>
      <w:r>
        <w:tab/>
        <w:t xml:space="preserve">An entity is a residential landholder if — </w:t>
      </w:r>
    </w:p>
    <w:p>
      <w:pPr>
        <w:pStyle w:val="Indenta"/>
      </w:pPr>
      <w:r>
        <w:tab/>
        <w:t>(a)</w:t>
      </w:r>
      <w:r>
        <w:tab/>
        <w:t>immediately before the acquisition, it is entitled to residential property or an entity linked to the entity is so entitled; and</w:t>
      </w:r>
    </w:p>
    <w:p>
      <w:pPr>
        <w:pStyle w:val="Indenta"/>
      </w:pPr>
      <w:r>
        <w:tab/>
        <w:t>(b)</w:t>
      </w:r>
      <w:r>
        <w:tab/>
        <w:t>it is a landholder in relation to the acquisition.</w:t>
      </w:r>
    </w:p>
    <w:p>
      <w:pPr>
        <w:pStyle w:val="Ednotesubsection"/>
      </w:pPr>
      <w:r>
        <w:tab/>
        <w:t>[(3), (4)</w:t>
      </w:r>
      <w:r>
        <w:tab/>
        <w:t>deleted]</w:t>
      </w:r>
    </w:p>
    <w:p>
      <w:pPr>
        <w:pStyle w:val="Footnotesection"/>
      </w:pPr>
      <w:r>
        <w:tab/>
        <w:t>[Section 205ZG inserted: No. 24 of 2018 s. 8; amended: No. 12 of 2019 s. 110.]</w:t>
      </w:r>
    </w:p>
    <w:p>
      <w:pPr>
        <w:pStyle w:val="Heading4"/>
        <w:rPr>
          <w:sz w:val="26"/>
          <w:szCs w:val="26"/>
        </w:rPr>
      </w:pPr>
      <w:bookmarkStart w:id="1246" w:name="_Toc201218169"/>
      <w:bookmarkStart w:id="1247" w:name="_Toc201224542"/>
      <w:bookmarkStart w:id="1248" w:name="_Toc201229240"/>
      <w:bookmarkStart w:id="1249" w:name="_Toc182388845"/>
      <w:bookmarkStart w:id="1250" w:name="_Toc182389507"/>
      <w:bookmarkStart w:id="1251" w:name="_Toc182410305"/>
      <w:r>
        <w:rPr>
          <w:sz w:val="26"/>
          <w:szCs w:val="26"/>
        </w:rPr>
        <w:t>Division 5 — Acquisitions to which this Part applies</w:t>
      </w:r>
      <w:bookmarkEnd w:id="1246"/>
      <w:bookmarkEnd w:id="1247"/>
      <w:bookmarkEnd w:id="1248"/>
      <w:bookmarkEnd w:id="1249"/>
      <w:bookmarkEnd w:id="1250"/>
      <w:bookmarkEnd w:id="1251"/>
    </w:p>
    <w:p>
      <w:pPr>
        <w:pStyle w:val="Footnoteheading"/>
        <w:keepNext/>
      </w:pPr>
      <w:r>
        <w:tab/>
        <w:t>[Heading inserted: No. 24 of 2018 s. 8.]</w:t>
      </w:r>
    </w:p>
    <w:p>
      <w:pPr>
        <w:pStyle w:val="Heading5"/>
      </w:pPr>
      <w:bookmarkStart w:id="1252" w:name="_Toc201229241"/>
      <w:bookmarkStart w:id="1253" w:name="_Toc182410306"/>
      <w:r>
        <w:rPr>
          <w:rStyle w:val="CharSectno"/>
        </w:rPr>
        <w:t>205ZH</w:t>
      </w:r>
      <w:r>
        <w:t>.</w:t>
      </w:r>
      <w:r>
        <w:tab/>
        <w:t>Foreign landholder acquisitions</w:t>
      </w:r>
      <w:bookmarkEnd w:id="1252"/>
      <w:bookmarkEnd w:id="1253"/>
    </w:p>
    <w:p>
      <w:pPr>
        <w:pStyle w:val="Subsection"/>
        <w:keepNext/>
      </w:pPr>
      <w:r>
        <w:tab/>
        <w:t>(1)</w:t>
      </w:r>
      <w:r>
        <w:tab/>
        <w:t xml:space="preserve">An acquisition by a person (the </w:t>
      </w:r>
      <w:r>
        <w:rPr>
          <w:rStyle w:val="CharDefText"/>
        </w:rPr>
        <w:t>acquirer</w:t>
      </w:r>
      <w:r>
        <w:t xml:space="preserve">) of an interest in an entity that is a residential landholder in relation to the acquisition is a </w:t>
      </w:r>
      <w:r>
        <w:rPr>
          <w:rStyle w:val="CharDefText"/>
        </w:rPr>
        <w:t>foreign landholder acquisition</w:t>
      </w:r>
      <w:r>
        <w:t xml:space="preserve"> if — </w:t>
      </w:r>
    </w:p>
    <w:p>
      <w:pPr>
        <w:pStyle w:val="Indenta"/>
      </w:pPr>
      <w:r>
        <w:tab/>
        <w:t>(a)</w:t>
      </w:r>
      <w:r>
        <w:tab/>
        <w:t xml:space="preserve">either — </w:t>
      </w:r>
    </w:p>
    <w:p>
      <w:pPr>
        <w:pStyle w:val="Indenti"/>
      </w:pPr>
      <w:r>
        <w:tab/>
        <w:t>(i)</w:t>
      </w:r>
      <w:r>
        <w:tab/>
        <w:t>the acquirer is a foreign person; or</w:t>
      </w:r>
    </w:p>
    <w:p>
      <w:pPr>
        <w:pStyle w:val="Indenti"/>
      </w:pPr>
      <w:r>
        <w:tab/>
        <w:t>(ii)</w:t>
      </w:r>
      <w:r>
        <w:tab/>
        <w:t>the acquirer is not a foreign person but, immediately after the acquisition, there is at least 1 related person in respect of the acquirer that is a foreign person and has an interest in the residential landholder;</w:t>
      </w:r>
    </w:p>
    <w:p>
      <w:pPr>
        <w:pStyle w:val="Indenta"/>
      </w:pPr>
      <w:r>
        <w:tab/>
      </w:r>
      <w:r>
        <w:tab/>
        <w:t>and</w:t>
      </w:r>
    </w:p>
    <w:p>
      <w:pPr>
        <w:pStyle w:val="Indenta"/>
      </w:pPr>
      <w:r>
        <w:tab/>
        <w:t>(b)</w:t>
      </w:r>
      <w:r>
        <w:tab/>
        <w:t>subsection (2) applies to the acquisition.</w:t>
      </w:r>
    </w:p>
    <w:p>
      <w:pPr>
        <w:pStyle w:val="Subsection"/>
        <w:keepNext/>
      </w:pPr>
      <w:r>
        <w:tab/>
        <w:t>(2)</w:t>
      </w:r>
      <w:r>
        <w:tab/>
        <w:t>This subsection applies to an acquisition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residential landholder; and</w:t>
      </w:r>
    </w:p>
    <w:p>
      <w:pPr>
        <w:pStyle w:val="Indenti"/>
      </w:pPr>
      <w:r>
        <w:tab/>
        <w:t>(ii)</w:t>
      </w:r>
      <w:r>
        <w:tab/>
        <w:t>immediately after the acquisition, the acquirer has a significant interest in the residential landholder;</w:t>
      </w:r>
    </w:p>
    <w:p>
      <w:pPr>
        <w:pStyle w:val="Indenta"/>
      </w:pPr>
      <w:r>
        <w:tab/>
        <w:t>(b)</w:t>
      </w:r>
      <w:r>
        <w:tab/>
        <w:t xml:space="preserve">if — </w:t>
      </w:r>
    </w:p>
    <w:p>
      <w:pPr>
        <w:pStyle w:val="Indenti"/>
        <w:keepNext/>
      </w:pPr>
      <w:r>
        <w:tab/>
        <w:t>(i)</w:t>
      </w:r>
      <w:r>
        <w:tab/>
        <w:t>immediately before the acquisition, the aggregated group interest in the residential landholder does not amount to a significant interest; and</w:t>
      </w:r>
    </w:p>
    <w:p>
      <w:pPr>
        <w:pStyle w:val="Indenti"/>
      </w:pPr>
      <w:r>
        <w:tab/>
        <w:t>(ii)</w:t>
      </w:r>
      <w:r>
        <w:tab/>
        <w:t>immediately after the acquisition, the aggregated group interest in the residential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residential landholder; and</w:t>
      </w:r>
    </w:p>
    <w:p>
      <w:pPr>
        <w:pStyle w:val="Indenti"/>
      </w:pPr>
      <w:r>
        <w:tab/>
        <w:t>(ii)</w:t>
      </w:r>
      <w:r>
        <w:tab/>
        <w:t>as a result of the acquisition, the acquirer’s interest in the residential landholder increases;</w:t>
      </w:r>
    </w:p>
    <w:p>
      <w:pPr>
        <w:pStyle w:val="Indenta"/>
      </w:pPr>
      <w:r>
        <w:tab/>
        <w:t>(d)</w:t>
      </w:r>
      <w:r>
        <w:tab/>
        <w:t xml:space="preserve">if — </w:t>
      </w:r>
    </w:p>
    <w:p>
      <w:pPr>
        <w:pStyle w:val="Indenti"/>
      </w:pPr>
      <w:r>
        <w:tab/>
        <w:t>(i)</w:t>
      </w:r>
      <w:r>
        <w:tab/>
        <w:t>immediately before the acquisition, the aggregated group interest in the residential landholder amounts to a significant interest; and</w:t>
      </w:r>
    </w:p>
    <w:p>
      <w:pPr>
        <w:pStyle w:val="Indenti"/>
      </w:pPr>
      <w:r>
        <w:tab/>
        <w:t>(ii)</w:t>
      </w:r>
      <w:r>
        <w:tab/>
        <w:t>as a result of the acquisition, the aggregated group interest in the residential landholder increases.</w:t>
      </w:r>
    </w:p>
    <w:p>
      <w:pPr>
        <w:pStyle w:val="Subsection"/>
        <w:keepNext/>
      </w:pPr>
      <w:r>
        <w:tab/>
        <w:t>(3)</w:t>
      </w:r>
      <w:r>
        <w:tab/>
        <w:t xml:space="preserve">In subsection (2) — </w:t>
      </w:r>
    </w:p>
    <w:p>
      <w:pPr>
        <w:pStyle w:val="Defstart"/>
        <w:keepNext/>
      </w:pPr>
      <w:r>
        <w:tab/>
      </w:r>
      <w:r>
        <w:rPr>
          <w:rStyle w:val="CharDefText"/>
        </w:rPr>
        <w:t>aggregated group interest</w:t>
      </w:r>
      <w:r>
        <w:t xml:space="preserve"> means the aggregate of — </w:t>
      </w:r>
    </w:p>
    <w:p>
      <w:pPr>
        <w:pStyle w:val="Defpara"/>
      </w:pPr>
      <w:r>
        <w:tab/>
        <w:t>(a)</w:t>
      </w:r>
      <w:r>
        <w:tab/>
        <w:t>the interest (if any) that the acquirer has in the residential landholder; and</w:t>
      </w:r>
    </w:p>
    <w:p>
      <w:pPr>
        <w:pStyle w:val="Defpara"/>
      </w:pPr>
      <w:r>
        <w:tab/>
        <w:t>(b)</w:t>
      </w:r>
      <w:r>
        <w:tab/>
        <w:t>if 1 or more related persons have an interest in the residential landholder — all of those interests.</w:t>
      </w:r>
    </w:p>
    <w:p>
      <w:pPr>
        <w:pStyle w:val="Footnotesection"/>
      </w:pPr>
      <w:r>
        <w:tab/>
        <w:t>[Section 205ZH inserted: No. 12 of 2019 s. 111.]</w:t>
      </w:r>
    </w:p>
    <w:p>
      <w:pPr>
        <w:pStyle w:val="Ednotesection"/>
      </w:pPr>
      <w:r>
        <w:t>[</w:t>
      </w:r>
      <w:r>
        <w:rPr>
          <w:b/>
        </w:rPr>
        <w:t>205ZI.</w:t>
      </w:r>
      <w:r>
        <w:tab/>
        <w:t>Deleted: No. 12 of 2019 s. 111.]</w:t>
      </w:r>
    </w:p>
    <w:p>
      <w:pPr>
        <w:pStyle w:val="Heading4"/>
        <w:rPr>
          <w:sz w:val="26"/>
          <w:szCs w:val="26"/>
        </w:rPr>
      </w:pPr>
      <w:bookmarkStart w:id="1254" w:name="_Toc201218171"/>
      <w:bookmarkStart w:id="1255" w:name="_Toc201224544"/>
      <w:bookmarkStart w:id="1256" w:name="_Toc201229242"/>
      <w:bookmarkStart w:id="1257" w:name="_Toc182388847"/>
      <w:bookmarkStart w:id="1258" w:name="_Toc182389509"/>
      <w:bookmarkStart w:id="1259" w:name="_Toc182410307"/>
      <w:r>
        <w:rPr>
          <w:sz w:val="26"/>
          <w:szCs w:val="26"/>
        </w:rPr>
        <w:t>Division 6 — Collection of foreign landholder duty</w:t>
      </w:r>
      <w:bookmarkEnd w:id="1254"/>
      <w:bookmarkEnd w:id="1255"/>
      <w:bookmarkEnd w:id="1256"/>
      <w:bookmarkEnd w:id="1257"/>
      <w:bookmarkEnd w:id="1258"/>
      <w:bookmarkEnd w:id="1259"/>
    </w:p>
    <w:p>
      <w:pPr>
        <w:pStyle w:val="Footnoteheading"/>
        <w:keepNext/>
      </w:pPr>
      <w:r>
        <w:tab/>
        <w:t>[Heading inserted: No. 24 of 2018 s. 8.]</w:t>
      </w:r>
    </w:p>
    <w:p>
      <w:pPr>
        <w:pStyle w:val="Heading5"/>
      </w:pPr>
      <w:bookmarkStart w:id="1260" w:name="_Toc201229243"/>
      <w:bookmarkStart w:id="1261" w:name="_Toc182410308"/>
      <w:r>
        <w:rPr>
          <w:rStyle w:val="CharSectno"/>
        </w:rPr>
        <w:t>205ZJ</w:t>
      </w:r>
      <w:r>
        <w:t>.</w:t>
      </w:r>
      <w:r>
        <w:tab/>
        <w:t>Rate of foreign landholder duty</w:t>
      </w:r>
      <w:bookmarkEnd w:id="1260"/>
      <w:bookmarkEnd w:id="1261"/>
    </w:p>
    <w:p>
      <w:pPr>
        <w:pStyle w:val="Subsection"/>
        <w:keepNext/>
      </w:pPr>
      <w:r>
        <w:tab/>
      </w:r>
      <w:r>
        <w:tab/>
        <w:t xml:space="preserve">Foreign landholder duty is chargeable — </w:t>
      </w:r>
    </w:p>
    <w:p>
      <w:pPr>
        <w:pStyle w:val="Indenta"/>
      </w:pPr>
      <w:r>
        <w:tab/>
        <w:t>(a)</w:t>
      </w:r>
      <w:r>
        <w:tab/>
        <w:t xml:space="preserve">by reference to the value referred to in section 188(1) or 189(1), as the case requires; and </w:t>
      </w:r>
    </w:p>
    <w:p>
      <w:pPr>
        <w:pStyle w:val="Indenta"/>
      </w:pPr>
      <w:r>
        <w:tab/>
        <w:t>(b)</w:t>
      </w:r>
      <w:r>
        <w:tab/>
        <w:t>at the rate of 7% of that value.</w:t>
      </w:r>
    </w:p>
    <w:p>
      <w:pPr>
        <w:pStyle w:val="Footnotesection"/>
      </w:pPr>
      <w:r>
        <w:tab/>
        <w:t>[Section 205ZJ inserted: No. 24 of 2018 s. 8.]</w:t>
      </w:r>
    </w:p>
    <w:p>
      <w:pPr>
        <w:pStyle w:val="Heading5"/>
      </w:pPr>
      <w:bookmarkStart w:id="1262" w:name="_Toc201229244"/>
      <w:bookmarkStart w:id="1263" w:name="_Toc182410309"/>
      <w:r>
        <w:rPr>
          <w:rStyle w:val="CharSectno"/>
        </w:rPr>
        <w:t>205ZK</w:t>
      </w:r>
      <w:r>
        <w:t>.</w:t>
      </w:r>
      <w:r>
        <w:tab/>
        <w:t>Calculation of foreign landholder duty where landholder duty calculated under s. 193</w:t>
      </w:r>
      <w:bookmarkEnd w:id="1262"/>
      <w:bookmarkEnd w:id="1263"/>
    </w:p>
    <w:p>
      <w:pPr>
        <w:pStyle w:val="Subsection"/>
      </w:pPr>
      <w:r>
        <w:tab/>
        <w:t>(1)</w:t>
      </w:r>
      <w:r>
        <w:tab/>
        <w:t>This section applies to the calculation of foreign landholder duty in respect of a foreign landholder acquisition if the Commissioner calculates landholder duty in respect of the acquisition under section 193(3).</w:t>
      </w:r>
    </w:p>
    <w:p>
      <w:pPr>
        <w:pStyle w:val="Subsection"/>
      </w:pPr>
      <w:r>
        <w:tab/>
        <w:t>(2)</w:t>
      </w:r>
      <w:r>
        <w:tab/>
        <w:t xml:space="preserve">If this section applies — </w:t>
      </w:r>
    </w:p>
    <w:p>
      <w:pPr>
        <w:pStyle w:val="Indenta"/>
      </w:pPr>
      <w:r>
        <w:tab/>
        <w:t>(a)</w:t>
      </w:r>
      <w:r>
        <w:tab/>
        <w:t>the Commissioner may calculate the foreign landholder duty in respect of the acquisition as if the acquisition occurred at the end of the relevant period (as defined in section 193(1)); and</w:t>
      </w:r>
    </w:p>
    <w:p>
      <w:pPr>
        <w:pStyle w:val="Indenta"/>
      </w:pPr>
      <w:r>
        <w:tab/>
        <w:t>(b)</w:t>
      </w:r>
      <w:r>
        <w:tab/>
        <w:t xml:space="preserve">if the single relevant acquisition referred to in section 193(3) (the </w:t>
      </w:r>
      <w:r>
        <w:rPr>
          <w:rStyle w:val="CharDefText"/>
        </w:rPr>
        <w:t>single acquisition</w:t>
      </w:r>
      <w:r>
        <w:t xml:space="preserve">) includes more than 1 foreign landholder acquisition — </w:t>
      </w:r>
    </w:p>
    <w:p>
      <w:pPr>
        <w:pStyle w:val="Indenti"/>
      </w:pPr>
      <w:r>
        <w:tab/>
        <w:t>(i)</w:t>
      </w:r>
      <w:r>
        <w:tab/>
        <w:t>the Commissioner is not required to make a separate calculation of foreign landholder duty in respect of the acquisition; and</w:t>
      </w:r>
    </w:p>
    <w:p>
      <w:pPr>
        <w:pStyle w:val="Indenti"/>
        <w:keepNext/>
      </w:pPr>
      <w:r>
        <w:tab/>
        <w:t>(ii)</w:t>
      </w:r>
      <w:r>
        <w:tab/>
        <w:t>the Commissioner may calculate foreign landholder duty in respect of all foreign landholder acquisitions forming part of the single acquisition as if all of the acquisitions had been made by a single foreign landholder acquisition.</w:t>
      </w:r>
    </w:p>
    <w:p>
      <w:pPr>
        <w:pStyle w:val="Footnotesection"/>
      </w:pPr>
      <w:r>
        <w:tab/>
        <w:t>[Section 205ZK inserted: No. 24 of 2018 s. 8.]</w:t>
      </w:r>
    </w:p>
    <w:p>
      <w:pPr>
        <w:pStyle w:val="Heading5"/>
      </w:pPr>
      <w:bookmarkStart w:id="1264" w:name="_Toc201229245"/>
      <w:bookmarkStart w:id="1265" w:name="_Toc182410310"/>
      <w:r>
        <w:rPr>
          <w:rStyle w:val="CharSectno"/>
        </w:rPr>
        <w:t>205ZKA</w:t>
      </w:r>
      <w:r>
        <w:t>.</w:t>
      </w:r>
      <w:r>
        <w:tab/>
        <w:t>Modified application of s. 176 if entity becomes residential landholder because of acquisitions forming one arrangement</w:t>
      </w:r>
      <w:bookmarkEnd w:id="1264"/>
      <w:bookmarkEnd w:id="1265"/>
    </w:p>
    <w:p>
      <w:pPr>
        <w:pStyle w:val="Subsection"/>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residential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 </w:t>
      </w:r>
    </w:p>
    <w:p>
      <w:pPr>
        <w:pStyle w:val="Indenti"/>
      </w:pPr>
      <w:r>
        <w:tab/>
        <w:t>(i)</w:t>
      </w:r>
      <w:r>
        <w:tab/>
        <w:t>the main entity becomes a landholder in relation to the main acquisition because section 155(3) or 156A(3) becomes applicable; and</w:t>
      </w:r>
    </w:p>
    <w:p>
      <w:pPr>
        <w:pStyle w:val="Indenti"/>
      </w:pPr>
      <w:r>
        <w:tab/>
        <w:t>(ii)</w:t>
      </w:r>
      <w:r>
        <w:tab/>
        <w:t>the main entity becomes a residential landholder in relation to the main acquisition because section 205ZG(2)(b) becomes applicable.</w:t>
      </w:r>
    </w:p>
    <w:p>
      <w:pPr>
        <w:pStyle w:val="Subsection"/>
      </w:pPr>
      <w:r>
        <w:tab/>
        <w:t>(2)</w:t>
      </w:r>
      <w:r>
        <w:tab/>
        <w:t xml:space="preserve">From the time at which section 205ZG(2)(b) becomes applicable, the application of section 176 in relation to the main acquisition is modified as follows — </w:t>
      </w:r>
    </w:p>
    <w:p>
      <w:pPr>
        <w:pStyle w:val="Indenta"/>
      </w:pPr>
      <w:r>
        <w:tab/>
        <w:t>(a)</w:t>
      </w:r>
      <w:r>
        <w:tab/>
        <w:t>section 176(2) applies in relation to the main acquisition subject to subsection (3) of this section;</w:t>
      </w:r>
    </w:p>
    <w:p>
      <w:pPr>
        <w:pStyle w:val="Indenta"/>
      </w:pPr>
      <w:r>
        <w:tab/>
        <w:t>(b)</w:t>
      </w:r>
      <w:r>
        <w:tab/>
        <w:t>section 176(3) does not apply in relation to the main acquisition.</w:t>
      </w:r>
    </w:p>
    <w:p>
      <w:pPr>
        <w:pStyle w:val="Subsection"/>
      </w:pPr>
      <w:r>
        <w:tab/>
        <w:t>(3)</w:t>
      </w:r>
      <w:r>
        <w:tab/>
        <w:t>For the purposes of sections 180(1) and 183, the main acquisition is taken to occur at the time at which section 205ZG(2)(b) becomes applicable.</w:t>
      </w:r>
    </w:p>
    <w:p>
      <w:pPr>
        <w:pStyle w:val="Footnotesection"/>
      </w:pPr>
      <w:r>
        <w:tab/>
        <w:t>[Section 205ZKA inserted: No. 12 of 2019 s. 112.]</w:t>
      </w:r>
    </w:p>
    <w:p>
      <w:pPr>
        <w:pStyle w:val="Heading4"/>
        <w:rPr>
          <w:sz w:val="26"/>
          <w:szCs w:val="26"/>
        </w:rPr>
      </w:pPr>
      <w:bookmarkStart w:id="1266" w:name="_Toc201218175"/>
      <w:bookmarkStart w:id="1267" w:name="_Toc201224548"/>
      <w:bookmarkStart w:id="1268" w:name="_Toc201229246"/>
      <w:bookmarkStart w:id="1269" w:name="_Toc182388851"/>
      <w:bookmarkStart w:id="1270" w:name="_Toc182389513"/>
      <w:bookmarkStart w:id="1271" w:name="_Toc182410311"/>
      <w:r>
        <w:rPr>
          <w:sz w:val="26"/>
          <w:szCs w:val="26"/>
        </w:rPr>
        <w:t>Division 7 — Interim assessment of foreign landholder duty</w:t>
      </w:r>
      <w:bookmarkEnd w:id="1266"/>
      <w:bookmarkEnd w:id="1267"/>
      <w:bookmarkEnd w:id="1268"/>
      <w:bookmarkEnd w:id="1269"/>
      <w:bookmarkEnd w:id="1270"/>
      <w:bookmarkEnd w:id="1271"/>
    </w:p>
    <w:p>
      <w:pPr>
        <w:pStyle w:val="Footnoteheading"/>
      </w:pPr>
      <w:r>
        <w:tab/>
        <w:t>[Heading inserted: No. 24 of 2018 s. 8.]</w:t>
      </w:r>
    </w:p>
    <w:p>
      <w:pPr>
        <w:pStyle w:val="Heading5"/>
      </w:pPr>
      <w:bookmarkStart w:id="1272" w:name="_Toc201229247"/>
      <w:bookmarkStart w:id="1273" w:name="_Toc182410312"/>
      <w:r>
        <w:rPr>
          <w:rStyle w:val="CharSectno"/>
        </w:rPr>
        <w:t>205ZL</w:t>
      </w:r>
      <w:r>
        <w:t>.</w:t>
      </w:r>
      <w:r>
        <w:tab/>
        <w:t>Interim assessment of foreign landholder duty</w:t>
      </w:r>
      <w:bookmarkEnd w:id="1272"/>
      <w:bookmarkEnd w:id="1273"/>
    </w:p>
    <w:p>
      <w:pPr>
        <w:pStyle w:val="Subsection"/>
      </w:pPr>
      <w:r>
        <w:tab/>
        <w:t>(1)</w:t>
      </w:r>
      <w:r>
        <w:tab/>
        <w:t xml:space="preserve">The Commissioner may make an assessment (an </w:t>
      </w:r>
      <w:r>
        <w:rPr>
          <w:rStyle w:val="CharDefText"/>
        </w:rPr>
        <w:t>interim assessment</w:t>
      </w:r>
      <w:r>
        <w:t>) of a portion of the foreign landholder duty payable in respect of a foreign landholder acquisition if, under section 195A(1), the Commissioner makes an assessment of a portion of the landholder duty payable in respect of the acquisition.</w:t>
      </w:r>
    </w:p>
    <w:p>
      <w:pPr>
        <w:pStyle w:val="Subsection"/>
      </w:pPr>
      <w:r>
        <w:tab/>
        <w:t>(2)</w:t>
      </w:r>
      <w:r>
        <w:tab/>
        <w:t>For the purposes of making an interim assessment, the foreign landholder duty payable is to be determined as if the portion of the value of the residential landholder were the full value of the residential landholder.</w:t>
      </w:r>
    </w:p>
    <w:p>
      <w:pPr>
        <w:pStyle w:val="Subsection"/>
      </w:pPr>
      <w:r>
        <w:tab/>
        <w:t>(3)</w:t>
      </w:r>
      <w:r>
        <w:tab/>
        <w:t xml:space="preserve">The Commissioner can make a determination of a portion of the value of a residential landholder for the purposes of making an interim assessment even though the Commissioner has ascertained — </w:t>
      </w:r>
    </w:p>
    <w:p>
      <w:pPr>
        <w:pStyle w:val="Indenta"/>
      </w:pPr>
      <w:r>
        <w:tab/>
        <w:t>(a)</w:t>
      </w:r>
      <w:r>
        <w:tab/>
        <w:t>the value of only some of the residential property or chattels to which section 186(1) applies; or</w:t>
      </w:r>
    </w:p>
    <w:p>
      <w:pPr>
        <w:pStyle w:val="Indenta"/>
      </w:pPr>
      <w:r>
        <w:tab/>
        <w:t>(b)</w:t>
      </w:r>
      <w:r>
        <w:tab/>
        <w:t>only a portion of the value of particular residential property or chattels to which section 186(1) applies.</w:t>
      </w:r>
    </w:p>
    <w:p>
      <w:pPr>
        <w:pStyle w:val="Footnotesection"/>
      </w:pPr>
      <w:r>
        <w:tab/>
        <w:t>[Section 205ZL inserted: No. 24 of 2018 s. 8.]</w:t>
      </w:r>
    </w:p>
    <w:p>
      <w:pPr>
        <w:pStyle w:val="Heading4"/>
        <w:rPr>
          <w:sz w:val="26"/>
          <w:szCs w:val="26"/>
        </w:rPr>
      </w:pPr>
      <w:bookmarkStart w:id="1274" w:name="_Toc201218177"/>
      <w:bookmarkStart w:id="1275" w:name="_Toc201224550"/>
      <w:bookmarkStart w:id="1276" w:name="_Toc201229248"/>
      <w:bookmarkStart w:id="1277" w:name="_Toc182388853"/>
      <w:bookmarkStart w:id="1278" w:name="_Toc182389515"/>
      <w:bookmarkStart w:id="1279" w:name="_Toc182410313"/>
      <w:r>
        <w:rPr>
          <w:sz w:val="26"/>
          <w:szCs w:val="26"/>
        </w:rPr>
        <w:t>Division 8 — Exemptions and reassessment</w:t>
      </w:r>
      <w:bookmarkEnd w:id="1274"/>
      <w:bookmarkEnd w:id="1275"/>
      <w:bookmarkEnd w:id="1276"/>
      <w:bookmarkEnd w:id="1277"/>
      <w:bookmarkEnd w:id="1278"/>
      <w:bookmarkEnd w:id="1279"/>
    </w:p>
    <w:p>
      <w:pPr>
        <w:pStyle w:val="Footnoteheading"/>
        <w:keepNext/>
      </w:pPr>
      <w:r>
        <w:tab/>
        <w:t>[Heading inserted: No. 24 of 2018 s. 8.]</w:t>
      </w:r>
    </w:p>
    <w:p>
      <w:pPr>
        <w:pStyle w:val="Heading4"/>
        <w:rPr>
          <w:sz w:val="26"/>
          <w:szCs w:val="26"/>
        </w:rPr>
      </w:pPr>
      <w:bookmarkStart w:id="1280" w:name="_Toc201218178"/>
      <w:bookmarkStart w:id="1281" w:name="_Toc201224551"/>
      <w:bookmarkStart w:id="1282" w:name="_Toc201229249"/>
      <w:bookmarkStart w:id="1283" w:name="_Toc182388854"/>
      <w:bookmarkStart w:id="1284" w:name="_Toc182389516"/>
      <w:bookmarkStart w:id="1285" w:name="_Toc182410314"/>
      <w:r>
        <w:rPr>
          <w:sz w:val="26"/>
          <w:szCs w:val="26"/>
        </w:rPr>
        <w:t>Subdivision 1 — Exempt acquisitions</w:t>
      </w:r>
      <w:bookmarkEnd w:id="1280"/>
      <w:bookmarkEnd w:id="1281"/>
      <w:bookmarkEnd w:id="1282"/>
      <w:bookmarkEnd w:id="1283"/>
      <w:bookmarkEnd w:id="1284"/>
      <w:bookmarkEnd w:id="1285"/>
    </w:p>
    <w:p>
      <w:pPr>
        <w:pStyle w:val="Footnoteheading"/>
        <w:keepNext/>
      </w:pPr>
      <w:r>
        <w:tab/>
        <w:t>[Heading inserted: No. 24 of 2018 s. 8.]</w:t>
      </w:r>
    </w:p>
    <w:p>
      <w:pPr>
        <w:pStyle w:val="Heading5"/>
      </w:pPr>
      <w:bookmarkStart w:id="1286" w:name="_Toc201229250"/>
      <w:bookmarkStart w:id="1287" w:name="_Toc182410315"/>
      <w:r>
        <w:rPr>
          <w:rStyle w:val="CharSectno"/>
        </w:rPr>
        <w:t>205ZM</w:t>
      </w:r>
      <w:r>
        <w:t>.</w:t>
      </w:r>
      <w:r>
        <w:tab/>
        <w:t>Exemption or reduction of foreign landholder duty if foreign transfer duty would not be chargeable</w:t>
      </w:r>
      <w:bookmarkEnd w:id="1286"/>
      <w:bookmarkEnd w:id="1287"/>
    </w:p>
    <w:p>
      <w:pPr>
        <w:pStyle w:val="Subsection"/>
      </w:pPr>
      <w:r>
        <w:tab/>
        <w:t>(1)</w:t>
      </w:r>
      <w:r>
        <w:tab/>
        <w:t xml:space="preserve">In this section — </w:t>
      </w:r>
    </w:p>
    <w:p>
      <w:pPr>
        <w:pStyle w:val="Defstart"/>
      </w:pPr>
      <w:r>
        <w:tab/>
      </w:r>
      <w:r>
        <w:rPr>
          <w:rStyle w:val="CharDefText"/>
        </w:rPr>
        <w:t>acquiring person</w:t>
      </w:r>
      <w:r>
        <w:t xml:space="preserve">, in relation to an acquisition, means the person making the acquisition; </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residential property, as if the relevant residential property were property of the relinquishing person;</w:t>
      </w:r>
    </w:p>
    <w:p>
      <w:pPr>
        <w:pStyle w:val="Defstart"/>
      </w:pPr>
      <w:r>
        <w:tab/>
      </w:r>
      <w:r>
        <w:rPr>
          <w:rStyle w:val="CharDefText"/>
        </w:rPr>
        <w:t>relevant residential property</w:t>
      </w:r>
      <w:r>
        <w:t>, in relation to an acquisition of an interest in a residential landholder, means the residential property in Western Australia to which the landholder, and each linked entity in respect of the landholder, is entitled;</w:t>
      </w:r>
    </w:p>
    <w:p>
      <w:pPr>
        <w:pStyle w:val="Defstart"/>
      </w:pPr>
      <w:r>
        <w:tab/>
      </w:r>
      <w:r>
        <w:rPr>
          <w:rStyle w:val="CharDefText"/>
        </w:rPr>
        <w:t>relinquishing person</w:t>
      </w:r>
      <w:r>
        <w:t>, in relation to an acquisition, means the person from whom the interest in the residential landholder was acquired.</w:t>
      </w:r>
    </w:p>
    <w:p>
      <w:pPr>
        <w:pStyle w:val="Subsection"/>
      </w:pPr>
      <w:r>
        <w:tab/>
        <w:t>(2)</w:t>
      </w:r>
      <w:r>
        <w:tab/>
        <w:t>This section applies to an acquisition of an interest in a residential landholder if no foreign transfer duty would be chargeable, or foreign transfer duty would be chargeable only to a particular extent, on the notional transfer in relation to the acquisition.</w:t>
      </w:r>
    </w:p>
    <w:p>
      <w:pPr>
        <w:pStyle w:val="Subsection"/>
      </w:pPr>
      <w:r>
        <w:tab/>
        <w:t>(2A)</w:t>
      </w:r>
      <w:r>
        <w:tab/>
        <w:t>If no foreign transfer duty would be chargeable on the notional transfer, the acquisition is exempt.</w:t>
      </w:r>
    </w:p>
    <w:p>
      <w:pPr>
        <w:pStyle w:val="Subsection"/>
        <w:keepNext/>
        <w:keepLines/>
      </w:pPr>
      <w:r>
        <w:tab/>
        <w:t>(2B)</w:t>
      </w:r>
      <w:r>
        <w:tab/>
        <w:t>If foreign transfer duty would be chargeable on the notional transfer only to a particular extent, then despite Chapter 3 Part 6 Division 5, the amount of foreign landholder duty chargeable in respect of the acquisition is the amount of foreign landholder duty calculated under that Division in respect of the acquisition reduced by the same proportion as the proportion of the notional transfer on which no foreign transfer duty would be chargeable.</w:t>
      </w:r>
    </w:p>
    <w:p>
      <w:pPr>
        <w:pStyle w:val="Subsection"/>
      </w:pPr>
      <w:r>
        <w:tab/>
        <w:t>(3)</w:t>
      </w:r>
      <w:r>
        <w:tab/>
        <w:t>For the purposes of this section, the acquiring person in respect of an acquisition to which section 205ZH(1)(a)(ii) applies is to be treated as if they were a foreign person.</w:t>
      </w:r>
    </w:p>
    <w:p>
      <w:pPr>
        <w:pStyle w:val="Subsection"/>
      </w:pPr>
      <w:r>
        <w:tab/>
        <w:t>(4)</w:t>
      </w:r>
      <w:r>
        <w:tab/>
        <w:t xml:space="preserve">If the acquiring person did not acquire the interest in the residential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(5)</w:t>
      </w:r>
      <w:r>
        <w:tab/>
        <w:t xml:space="preserve">This section does not apply if — </w:t>
      </w:r>
    </w:p>
    <w:p>
      <w:pPr>
        <w:pStyle w:val="Indenta"/>
      </w:pPr>
      <w:r>
        <w:tab/>
        <w:t>(a)</w:t>
      </w:r>
      <w:r>
        <w:tab/>
        <w:t>no foreign transfer duty would be chargeable, or foreign transfer duty would be chargeable only to a particular extent, on the notional transfer because of an exemption or reduction under Chapter 6; or</w:t>
      </w:r>
    </w:p>
    <w:p>
      <w:pPr>
        <w:pStyle w:val="Indenta"/>
      </w:pPr>
      <w:r>
        <w:tab/>
        <w:t>(b)</w:t>
      </w:r>
      <w:r>
        <w:tab/>
        <w:t>section 194 applies to the acquisition.</w:t>
      </w:r>
    </w:p>
    <w:p>
      <w:pPr>
        <w:pStyle w:val="Footnotesection"/>
      </w:pPr>
      <w:r>
        <w:tab/>
        <w:t>[Section 205ZM inserted: No. 24 of 2018 s. 8; amended: No. 12 of 2019 s. 113.]</w:t>
      </w:r>
    </w:p>
    <w:p>
      <w:pPr>
        <w:pStyle w:val="Heading5"/>
      </w:pPr>
      <w:bookmarkStart w:id="1288" w:name="_Toc201229251"/>
      <w:bookmarkStart w:id="1289" w:name="_Toc182410316"/>
      <w:r>
        <w:rPr>
          <w:rStyle w:val="CharSectno"/>
        </w:rPr>
        <w:t>205ZN</w:t>
      </w:r>
      <w:r>
        <w:t>.</w:t>
      </w:r>
      <w:r>
        <w:tab/>
        <w:t>Exemption for certain acquisitions treated as made under agreement referred to in s. 176(2)</w:t>
      </w:r>
      <w:bookmarkEnd w:id="1288"/>
      <w:bookmarkEnd w:id="1289"/>
    </w:p>
    <w:p>
      <w:pPr>
        <w:pStyle w:val="Subsection"/>
      </w:pPr>
      <w:r>
        <w:tab/>
      </w:r>
      <w:r>
        <w:tab/>
        <w:t xml:space="preserve">An acquisition is exempt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when the agreement is completed the acquirer is not a foreign person; and</w:t>
      </w:r>
    </w:p>
    <w:p>
      <w:pPr>
        <w:pStyle w:val="Indenta"/>
      </w:pPr>
      <w:r>
        <w:tab/>
        <w:t>(c)</w:t>
      </w:r>
      <w:r>
        <w:tab/>
        <w:t>had the acquisition not been treated as mentioned in paragraph (a) the liability for foreign landholder duty in respect of the acquisition would not have arisen.</w:t>
      </w:r>
    </w:p>
    <w:p>
      <w:pPr>
        <w:pStyle w:val="Footnotesection"/>
      </w:pPr>
      <w:r>
        <w:tab/>
        <w:t>[Section 205ZN inserted: No. 24 of 2018 s. 8.]</w:t>
      </w:r>
    </w:p>
    <w:p>
      <w:pPr>
        <w:pStyle w:val="Heading4"/>
        <w:rPr>
          <w:sz w:val="26"/>
          <w:szCs w:val="26"/>
        </w:rPr>
      </w:pPr>
      <w:bookmarkStart w:id="1290" w:name="_Toc201218181"/>
      <w:bookmarkStart w:id="1291" w:name="_Toc201224554"/>
      <w:bookmarkStart w:id="1292" w:name="_Toc201229252"/>
      <w:bookmarkStart w:id="1293" w:name="_Toc182388857"/>
      <w:bookmarkStart w:id="1294" w:name="_Toc182389519"/>
      <w:bookmarkStart w:id="1295" w:name="_Toc182410317"/>
      <w:r>
        <w:rPr>
          <w:sz w:val="26"/>
          <w:szCs w:val="26"/>
        </w:rPr>
        <w:t>Subdivision 2 — Exemptions relating to construction, refurbishment and subdivision</w:t>
      </w:r>
      <w:bookmarkEnd w:id="1290"/>
      <w:bookmarkEnd w:id="1291"/>
      <w:bookmarkEnd w:id="1292"/>
      <w:bookmarkEnd w:id="1293"/>
      <w:bookmarkEnd w:id="1294"/>
      <w:bookmarkEnd w:id="1295"/>
    </w:p>
    <w:p>
      <w:pPr>
        <w:pStyle w:val="Footnoteheading"/>
      </w:pPr>
      <w:r>
        <w:tab/>
        <w:t>[Heading inserted: No. 24 of 2018 s. 8.]</w:t>
      </w:r>
    </w:p>
    <w:p>
      <w:pPr>
        <w:pStyle w:val="Heading5"/>
      </w:pPr>
      <w:bookmarkStart w:id="1296" w:name="_Toc201229253"/>
      <w:bookmarkStart w:id="1297" w:name="_Toc182410318"/>
      <w:r>
        <w:rPr>
          <w:rStyle w:val="CharSectno"/>
        </w:rPr>
        <w:t>205ZO</w:t>
      </w:r>
      <w:r>
        <w:t>.</w:t>
      </w:r>
      <w:r>
        <w:tab/>
        <w:t>Exemption relating to construction or refurbishment of 10 or more dwellings</w:t>
      </w:r>
      <w:bookmarkEnd w:id="1296"/>
      <w:bookmarkEnd w:id="1297"/>
    </w:p>
    <w:p>
      <w:pPr>
        <w:pStyle w:val="Subsection"/>
      </w:pPr>
      <w:r>
        <w:tab/>
        <w:t>(1A)</w:t>
      </w:r>
      <w:r>
        <w:tab/>
        <w:t xml:space="preserve">In this section — </w:t>
      </w:r>
    </w:p>
    <w:p>
      <w:pPr>
        <w:pStyle w:val="Defstart"/>
      </w:pPr>
      <w:r>
        <w:tab/>
      </w:r>
      <w:r>
        <w:rPr>
          <w:rStyle w:val="CharDefText"/>
        </w:rPr>
        <w:t>substantial refurbishment</w:t>
      </w:r>
      <w:r>
        <w:t xml:space="preserve"> does not include minor works to a building or part of a building.</w:t>
      </w:r>
    </w:p>
    <w:p>
      <w:pPr>
        <w:pStyle w:val="Subsection"/>
      </w:pPr>
      <w:r>
        <w:tab/>
        <w:t>(1)</w:t>
      </w:r>
      <w:r>
        <w:tab/>
        <w:t xml:space="preserve">An acquisition is exempt if — </w:t>
      </w:r>
    </w:p>
    <w:p>
      <w:pPr>
        <w:pStyle w:val="Indenta"/>
      </w:pPr>
      <w:r>
        <w:tab/>
        <w:t>(a)</w:t>
      </w:r>
      <w:r>
        <w:tab/>
        <w:t>when the acquisition occurs the residential landholder or a linked entity in respect of the landholder is entitled to a parcel of land and the landholder, linked entity or an associate of the landholder intends to —</w:t>
      </w:r>
    </w:p>
    <w:p>
      <w:pPr>
        <w:pStyle w:val="Indenti"/>
      </w:pPr>
      <w:r>
        <w:tab/>
        <w:t>(i)</w:t>
      </w:r>
      <w:r>
        <w:tab/>
        <w:t>construct or complete the construction of 10 or more dwellings on the parcel of land; or</w:t>
      </w:r>
    </w:p>
    <w:p>
      <w:pPr>
        <w:pStyle w:val="Indenti"/>
        <w:keepNext/>
      </w:pPr>
      <w:r>
        <w:tab/>
        <w:t>(ii)</w:t>
      </w:r>
      <w:r>
        <w:tab/>
        <w:t>provide 10 or more dwellings on the parcel of land by carrying out, or completing the carrying out of, substantial refurbishment of a building, or part of a building, that is not capable of being used solely or dominantly as a place of residence;</w:t>
      </w:r>
    </w:p>
    <w:p>
      <w:pPr>
        <w:pStyle w:val="Indenta"/>
      </w:pPr>
      <w:r>
        <w:tab/>
      </w:r>
      <w:r>
        <w:tab/>
        <w:t>and</w:t>
      </w:r>
    </w:p>
    <w:p>
      <w:pPr>
        <w:pStyle w:val="Ednotepara"/>
      </w:pPr>
      <w:r>
        <w:tab/>
        <w:t>[(b)</w:t>
      </w:r>
      <w:r>
        <w:tab/>
        <w:t>deleted]</w:t>
      </w:r>
    </w:p>
    <w:p>
      <w:pPr>
        <w:pStyle w:val="Indenta"/>
      </w:pPr>
      <w:r>
        <w:tab/>
        <w:t>(c)</w:t>
      </w:r>
      <w:r>
        <w:tab/>
        <w:t>within the period of 5 years beginning on the day on which the acquisition occurs, the landholder, linked entity or associate complies with subsection (2) in relation to 10 or more dwellings; and</w:t>
      </w:r>
    </w:p>
    <w:p>
      <w:pPr>
        <w:pStyle w:val="Indenta"/>
      </w:pPr>
      <w:r>
        <w:tab/>
        <w:t>(d)</w:t>
      </w:r>
      <w:r>
        <w:tab/>
        <w:t>the interest the subject of the acquisition has not been disposed of by the acquirer at the time the landholder, linked entity or associate complies with subsection (2) in relation to 10 or more dwellings; and</w:t>
      </w:r>
    </w:p>
    <w:p>
      <w:pPr>
        <w:pStyle w:val="Indenta"/>
      </w:pPr>
      <w:r>
        <w:tab/>
        <w:t>(e)</w:t>
      </w:r>
      <w:r>
        <w:tab/>
        <w:t>the parcel of land is, in the Commissioner’s opinion, suitable for 10 or more dwellings.</w:t>
      </w:r>
    </w:p>
    <w:p>
      <w:pPr>
        <w:pStyle w:val="Subsection"/>
      </w:pPr>
      <w:r>
        <w:tab/>
        <w:t>(2)</w:t>
      </w:r>
      <w:r>
        <w:tab/>
        <w:t xml:space="preserve">A residential landholder, linked entity or associate of a residential landholder complies with this subsection in relation to — </w:t>
      </w:r>
    </w:p>
    <w:p>
      <w:pPr>
        <w:pStyle w:val="Indenta"/>
      </w:pPr>
      <w:r>
        <w:tab/>
        <w:t>(a)</w:t>
      </w:r>
      <w:r>
        <w:tab/>
        <w:t>a dwelling the landholder, linked entity or associate intends to construct — if the landholder, linked entity or associate begins construction of that dwelling or another dwelling on the parcel of land; or</w:t>
      </w:r>
    </w:p>
    <w:p>
      <w:pPr>
        <w:pStyle w:val="Indenta"/>
      </w:pPr>
      <w:r>
        <w:tab/>
        <w:t>(b)</w:t>
      </w:r>
      <w:r>
        <w:tab/>
        <w:t>a dwelling the landholder, linked entity or associate intends to provide by carrying out substantial refurbishment of a building, or part of a building — if all licences, approvals, registrations, exemptions and other kinds of authorisation necessary to carry out the refurbishment for that dwelling or another dwelling on the parcel of land are issued, granted or obtained; or</w:t>
      </w:r>
    </w:p>
    <w:p>
      <w:pPr>
        <w:pStyle w:val="Indenta"/>
      </w:pPr>
      <w:r>
        <w:tab/>
        <w:t>(c)</w:t>
      </w:r>
      <w:r>
        <w:tab/>
        <w:t>a dwelling the landholder, linked entity or associate intends to complete the construction of — if that dwelling or another dwelling on the parcel of land, construction of which is completed by the landholder, linked entity or associate, is ready for occupation as a place of residence; or</w:t>
      </w:r>
    </w:p>
    <w:p>
      <w:pPr>
        <w:pStyle w:val="Indenta"/>
      </w:pPr>
      <w:r>
        <w:tab/>
        <w:t>(d)</w:t>
      </w:r>
      <w:r>
        <w:tab/>
        <w:t>a dwelling the landholder, linked entity or associate intends to provide by completing the carrying out of substantial refurbishment of a building, or part of a building — if that dwelling, or another dwelling on the parcel of land for which substantial refurbishment is completed by the landholder, linked entity or associate, is ready for occupation as a place of residence.</w:t>
      </w:r>
    </w:p>
    <w:p>
      <w:pPr>
        <w:pStyle w:val="Subsection"/>
      </w:pPr>
      <w:r>
        <w:tab/>
        <w:t>(3)</w:t>
      </w:r>
      <w:r>
        <w:tab/>
        <w:t xml:space="preserve">For the purposes of subsection (2)(a),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(4)</w:t>
      </w:r>
      <w:r>
        <w:tab/>
        <w:t xml:space="preserve">An application for reassessment under section 205ZR because of this section must be made on or before the later of the following — </w:t>
      </w:r>
    </w:p>
    <w:p>
      <w:pPr>
        <w:pStyle w:val="Indenta"/>
      </w:pPr>
      <w:r>
        <w:tab/>
        <w:t>(a)</w:t>
      </w:r>
      <w:r>
        <w:tab/>
        <w:t>the last day of the period of 1 year beginning on the day on which the residential landholder, linked entity or associate complies with subsection (2) in relation to 10 or more dwellings;</w:t>
      </w:r>
    </w:p>
    <w:p>
      <w:pPr>
        <w:pStyle w:val="Indenta"/>
      </w:pPr>
      <w:r>
        <w:tab/>
        <w:t>(b)</w:t>
      </w:r>
      <w:r>
        <w:tab/>
        <w:t>the last day of the period of 5 years beginning on the day on which the acquisition occurs.</w:t>
      </w:r>
    </w:p>
    <w:p>
      <w:pPr>
        <w:pStyle w:val="Footnotesection"/>
      </w:pPr>
      <w:r>
        <w:tab/>
        <w:t>[Section 205ZO inserted: No. 24 of 2018 s. 8; amended: No. 29 of 2023 s. 6.]</w:t>
      </w:r>
    </w:p>
    <w:p>
      <w:pPr>
        <w:pStyle w:val="Heading5"/>
      </w:pPr>
      <w:bookmarkStart w:id="1298" w:name="_Toc201229254"/>
      <w:bookmarkStart w:id="1299" w:name="_Toc182410319"/>
      <w:r>
        <w:rPr>
          <w:rStyle w:val="CharSectno"/>
        </w:rPr>
        <w:t>205ZP</w:t>
      </w:r>
      <w:r>
        <w:t>.</w:t>
      </w:r>
      <w:r>
        <w:tab/>
        <w:t>Exemption relating to subdivision for purpose of constructing 10 or more dwellings</w:t>
      </w:r>
      <w:bookmarkEnd w:id="1298"/>
      <w:bookmarkEnd w:id="1299"/>
    </w:p>
    <w:p>
      <w:pPr>
        <w:pStyle w:val="Subsection"/>
      </w:pPr>
      <w:r>
        <w:tab/>
        <w:t>(1)</w:t>
      </w:r>
      <w:r>
        <w:tab/>
        <w:t xml:space="preserve">An acquisition is exempt if — </w:t>
      </w:r>
    </w:p>
    <w:p>
      <w:pPr>
        <w:pStyle w:val="Indenta"/>
      </w:pPr>
      <w:r>
        <w:tab/>
        <w:t>(a)</w:t>
      </w:r>
      <w:r>
        <w:tab/>
        <w:t>when the acquisition occurs, the residential landholder or a linked entity in respect of the landholder is entitled to a parcel of land and the landholder, linked entity or an associate of the landholder intends to subdivide or complete subdividing the parcel of land for the purpose of a person constructing 10 or more dwellings on the land; and</w:t>
      </w:r>
    </w:p>
    <w:p>
      <w:pPr>
        <w:pStyle w:val="Ednotepara"/>
      </w:pPr>
      <w:r>
        <w:tab/>
        <w:t>[(b)</w:t>
      </w:r>
      <w:r>
        <w:tab/>
        <w:t>deleted]</w:t>
      </w:r>
    </w:p>
    <w:p>
      <w:pPr>
        <w:pStyle w:val="Indenta"/>
      </w:pPr>
      <w:r>
        <w:tab/>
        <w:t>(c)</w:t>
      </w:r>
      <w:r>
        <w:tab/>
        <w:t xml:space="preserve">within the period of 5 years beginning on the day on which the acquisition occurs,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keepNext/>
      </w:pPr>
      <w:r>
        <w:tab/>
        <w:t>(d)</w:t>
      </w:r>
      <w:r>
        <w:tab/>
        <w:t xml:space="preserve">the interest the subject of the acquisition has not been disposed of by the acquirer when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pPr>
      <w:r>
        <w:tab/>
        <w:t>(e)</w:t>
      </w:r>
      <w:r>
        <w:tab/>
        <w:t>the parcel of land is, in the Commissioner’s opinion, suitable for 10 or more dwellings.</w:t>
      </w:r>
    </w:p>
    <w:p>
      <w:pPr>
        <w:pStyle w:val="Subsection"/>
      </w:pPr>
      <w:r>
        <w:tab/>
        <w:t>(2)</w:t>
      </w:r>
      <w:r>
        <w:tab/>
        <w:t xml:space="preserve">An application for reassessment under section 205ZR because of this section must be made on or before the later of the following — </w:t>
      </w:r>
    </w:p>
    <w:p>
      <w:pPr>
        <w:pStyle w:val="Indenta"/>
      </w:pPr>
      <w:r>
        <w:tab/>
        <w:t>(a)</w:t>
      </w:r>
      <w:r>
        <w:tab/>
        <w:t xml:space="preserve">the last day of the period of 1 year beginning on the day on which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t>(b)</w:t>
      </w:r>
      <w:r>
        <w:tab/>
        <w:t>the last day of the period of 5 years beginning on the day on which the acquisition occurs.</w:t>
      </w:r>
    </w:p>
    <w:p>
      <w:pPr>
        <w:pStyle w:val="Subsection"/>
        <w:keepNext/>
      </w:pPr>
      <w:r>
        <w:tab/>
        <w:t>(3)</w:t>
      </w:r>
      <w:r>
        <w:tab/>
        <w:t xml:space="preserve">For the purposes of subsections (1)(c) and (d) and (2)(a) — </w:t>
      </w:r>
    </w:p>
    <w:p>
      <w:pPr>
        <w:pStyle w:val="Indenta"/>
      </w:pPr>
      <w:r>
        <w:tab/>
        <w:t>(a)</w:t>
      </w:r>
      <w:r>
        <w:tab/>
        <w:t xml:space="preserve">a person begins subdividing land on the day on which the land is subdivided under the </w:t>
      </w:r>
      <w:r>
        <w:rPr>
          <w:i/>
        </w:rPr>
        <w:t>Land Tax Assessment Act 2002</w:t>
      </w:r>
      <w:r>
        <w:t xml:space="preserve"> Glossary clause 3; and </w:t>
      </w:r>
    </w:p>
    <w:p>
      <w:pPr>
        <w:pStyle w:val="Indenta"/>
        <w:keepNext/>
      </w:pPr>
      <w:r>
        <w:tab/>
        <w:t>(b)</w:t>
      </w:r>
      <w:r>
        <w:tab/>
        <w:t>a person completes subdividing land on the day on which the new certificate of title is created and registered for the subdivided land.</w:t>
      </w:r>
    </w:p>
    <w:p>
      <w:pPr>
        <w:pStyle w:val="Footnotesection"/>
      </w:pPr>
      <w:r>
        <w:tab/>
        <w:t>[Section 205ZP inserted: No. 24 of 2018 s. 8; amended: No. 12 of 2019 s. 114; No. 29 of 2023 s. 7.]</w:t>
      </w:r>
    </w:p>
    <w:p>
      <w:pPr>
        <w:pStyle w:val="Heading5"/>
      </w:pPr>
      <w:bookmarkStart w:id="1300" w:name="_Toc201229255"/>
      <w:bookmarkStart w:id="1301" w:name="_Toc182410320"/>
      <w:r>
        <w:rPr>
          <w:rStyle w:val="CharSectno"/>
        </w:rPr>
        <w:t>205ZQ</w:t>
      </w:r>
      <w:r>
        <w:t>.</w:t>
      </w:r>
      <w:r>
        <w:tab/>
        <w:t>Calculation of duty where some land of landholder not part of parcel of land</w:t>
      </w:r>
      <w:bookmarkEnd w:id="1300"/>
      <w:bookmarkEnd w:id="1301"/>
    </w:p>
    <w:p>
      <w:pPr>
        <w:pStyle w:val="Subsection"/>
      </w:pPr>
      <w:r>
        <w:tab/>
        <w:t>(1)</w:t>
      </w:r>
      <w:r>
        <w:tab/>
        <w:t xml:space="preserve">This section applies to an acquisition referred to in section 205ZO or 205ZP if immediately before the acquisition the residential landholder, or a linked entity in respect of the landholder, is entitled to — </w:t>
      </w:r>
    </w:p>
    <w:p>
      <w:pPr>
        <w:pStyle w:val="Indenta"/>
      </w:pPr>
      <w:r>
        <w:tab/>
        <w:t>(a)</w:t>
      </w:r>
      <w:r>
        <w:tab/>
        <w:t>a parcel of land referred to in section 205ZO or 205ZP; and</w:t>
      </w:r>
    </w:p>
    <w:p>
      <w:pPr>
        <w:pStyle w:val="Indenta"/>
      </w:pPr>
      <w:r>
        <w:tab/>
        <w:t>(b)</w:t>
      </w:r>
      <w:r>
        <w:tab/>
        <w:t>other residential property in Western Australia.</w:t>
      </w:r>
    </w:p>
    <w:p>
      <w:pPr>
        <w:pStyle w:val="Subsection"/>
      </w:pPr>
      <w:r>
        <w:tab/>
        <w:t>(2)</w:t>
      </w:r>
      <w:r>
        <w:tab/>
        <w:t>Section 166 is not applicable to or in relation to the acquisition.</w:t>
      </w:r>
    </w:p>
    <w:p>
      <w:pPr>
        <w:pStyle w:val="Subsection"/>
      </w:pPr>
      <w:r>
        <w:tab/>
        <w:t>(3)</w:t>
      </w:r>
      <w:r>
        <w:tab/>
        <w:t>For the purposes of calculating foreign landholder duty in respect of the acquisition the residential property referred to in subsection (1)(a) is to be disregarded when determining the value of the landholder.</w:t>
      </w:r>
    </w:p>
    <w:p>
      <w:pPr>
        <w:pStyle w:val="Footnotesection"/>
      </w:pPr>
      <w:r>
        <w:tab/>
        <w:t>[Section 205ZQ inserted: No. 24 of 2018 s. 8.]</w:t>
      </w:r>
    </w:p>
    <w:p>
      <w:pPr>
        <w:pStyle w:val="Heading4"/>
        <w:rPr>
          <w:sz w:val="26"/>
          <w:szCs w:val="26"/>
        </w:rPr>
      </w:pPr>
      <w:bookmarkStart w:id="1302" w:name="_Toc201218185"/>
      <w:bookmarkStart w:id="1303" w:name="_Toc201224558"/>
      <w:bookmarkStart w:id="1304" w:name="_Toc201229256"/>
      <w:bookmarkStart w:id="1305" w:name="_Toc182388861"/>
      <w:bookmarkStart w:id="1306" w:name="_Toc182389523"/>
      <w:bookmarkStart w:id="1307" w:name="_Toc182410321"/>
      <w:r>
        <w:rPr>
          <w:sz w:val="26"/>
          <w:szCs w:val="26"/>
        </w:rPr>
        <w:t>Subdivision 3 — Reassessment</w:t>
      </w:r>
      <w:bookmarkEnd w:id="1302"/>
      <w:bookmarkEnd w:id="1303"/>
      <w:bookmarkEnd w:id="1304"/>
      <w:bookmarkEnd w:id="1305"/>
      <w:bookmarkEnd w:id="1306"/>
      <w:bookmarkEnd w:id="1307"/>
    </w:p>
    <w:p>
      <w:pPr>
        <w:pStyle w:val="Footnoteheading"/>
        <w:keepNext/>
      </w:pPr>
      <w:r>
        <w:tab/>
        <w:t>[Heading inserted: No. 24 of 2018 s. 8.]</w:t>
      </w:r>
    </w:p>
    <w:p>
      <w:pPr>
        <w:pStyle w:val="Heading5"/>
      </w:pPr>
      <w:bookmarkStart w:id="1308" w:name="_Toc201229257"/>
      <w:bookmarkStart w:id="1309" w:name="_Toc182410322"/>
      <w:r>
        <w:rPr>
          <w:rStyle w:val="CharSectno"/>
        </w:rPr>
        <w:t>205ZR</w:t>
      </w:r>
      <w:r>
        <w:t>.</w:t>
      </w:r>
      <w:r>
        <w:tab/>
        <w:t>Reassessment</w:t>
      </w:r>
      <w:bookmarkEnd w:id="1308"/>
      <w:bookmarkEnd w:id="1309"/>
    </w:p>
    <w:p>
      <w:pPr>
        <w:pStyle w:val="Subsection"/>
      </w:pPr>
      <w:r>
        <w:tab/>
        <w:t>(1)</w:t>
      </w:r>
      <w:r>
        <w:tab/>
        <w:t>The Commissioner, on the application of a person that has paid or is liable to pay foreign landholder duty, must reassess the liability to foreign landholder duty on an acquisition if the liability is affected by section 205ZN, 205ZO or 205ZP.</w:t>
      </w:r>
    </w:p>
    <w:p>
      <w:pPr>
        <w:pStyle w:val="Subsection"/>
      </w:pPr>
      <w:r>
        <w:tab/>
        <w:t>(2)</w:t>
      </w:r>
      <w:r>
        <w:tab/>
        <w:t>An application for reassessment under this section must be made in the approved form.</w:t>
      </w:r>
    </w:p>
    <w:p>
      <w:pPr>
        <w:pStyle w:val="Subsection"/>
      </w:pPr>
      <w:r>
        <w:tab/>
        <w:t>(3)</w:t>
      </w:r>
      <w:r>
        <w:tab/>
        <w:t>The limitations as to time in the Taxation Administration Act section 17 do not apply in respect of a reassessment because of section 205ZO or 205ZP.</w:t>
      </w:r>
    </w:p>
    <w:p>
      <w:pPr>
        <w:pStyle w:val="Footnotesection"/>
      </w:pPr>
      <w:r>
        <w:tab/>
        <w:t>[Section 205ZR inserted: No. 24 of 2018 s. 8.]</w:t>
      </w:r>
    </w:p>
    <w:p>
      <w:pPr>
        <w:pStyle w:val="Heading4"/>
        <w:rPr>
          <w:sz w:val="26"/>
          <w:szCs w:val="26"/>
        </w:rPr>
      </w:pPr>
      <w:bookmarkStart w:id="1310" w:name="_Toc201218187"/>
      <w:bookmarkStart w:id="1311" w:name="_Toc201224560"/>
      <w:bookmarkStart w:id="1312" w:name="_Toc201229258"/>
      <w:bookmarkStart w:id="1313" w:name="_Toc182388863"/>
      <w:bookmarkStart w:id="1314" w:name="_Toc182389525"/>
      <w:bookmarkStart w:id="1315" w:name="_Toc182410323"/>
      <w:r>
        <w:rPr>
          <w:sz w:val="26"/>
          <w:szCs w:val="26"/>
        </w:rPr>
        <w:t>Division 9 — Lodgment of declaration</w:t>
      </w:r>
      <w:bookmarkEnd w:id="1310"/>
      <w:bookmarkEnd w:id="1311"/>
      <w:bookmarkEnd w:id="1312"/>
      <w:bookmarkEnd w:id="1313"/>
      <w:bookmarkEnd w:id="1314"/>
      <w:bookmarkEnd w:id="1315"/>
    </w:p>
    <w:p>
      <w:pPr>
        <w:pStyle w:val="Footnoteheading"/>
      </w:pPr>
      <w:r>
        <w:tab/>
        <w:t>[Heading inserted: No. 24 of 2018 s. 8.]</w:t>
      </w:r>
    </w:p>
    <w:p>
      <w:pPr>
        <w:pStyle w:val="Heading5"/>
      </w:pPr>
      <w:bookmarkStart w:id="1316" w:name="_Toc201229259"/>
      <w:bookmarkStart w:id="1317" w:name="_Toc182410324"/>
      <w:r>
        <w:rPr>
          <w:rStyle w:val="CharSectno"/>
        </w:rPr>
        <w:t>205ZS</w:t>
      </w:r>
      <w:r>
        <w:t>.</w:t>
      </w:r>
      <w:r>
        <w:tab/>
        <w:t>Foreign landholder duty declaration to be lodged</w:t>
      </w:r>
      <w:bookmarkEnd w:id="1316"/>
      <w:bookmarkEnd w:id="1317"/>
    </w:p>
    <w:p>
      <w:pPr>
        <w:pStyle w:val="Subsection"/>
      </w:pPr>
      <w:r>
        <w:tab/>
        <w:t>(1)</w:t>
      </w:r>
      <w:r>
        <w:tab/>
        <w:t>A foreign landholder duty declaration must be lodged in respect of a foreign landholder acquisition.</w:t>
      </w:r>
    </w:p>
    <w:p>
      <w:pPr>
        <w:pStyle w:val="Subsection"/>
      </w:pPr>
      <w:r>
        <w:tab/>
        <w:t>(2)</w:t>
      </w:r>
      <w:r>
        <w:tab/>
        <w:t>The foreign landholder duty declaration must be lodged on or before the day on which an acquisition statement or agreement is required to be lodged under section 200, 201(6) or 202(2) in respect of the acquisition.</w:t>
      </w:r>
    </w:p>
    <w:p>
      <w:pPr>
        <w:pStyle w:val="Footnotesection"/>
      </w:pPr>
      <w:r>
        <w:tab/>
        <w:t>[Section 205ZS inserted: No. 24 of 2018 s. 8; amended: No. 12 of 2019 s. 115.]</w:t>
      </w:r>
    </w:p>
    <w:p>
      <w:pPr>
        <w:pStyle w:val="Heading5"/>
      </w:pPr>
      <w:bookmarkStart w:id="1318" w:name="_Toc201229260"/>
      <w:bookmarkStart w:id="1319" w:name="_Toc182410325"/>
      <w:r>
        <w:rPr>
          <w:rStyle w:val="CharSectno"/>
        </w:rPr>
        <w:t>205ZT</w:t>
      </w:r>
      <w:r>
        <w:t>.</w:t>
      </w:r>
      <w:r>
        <w:tab/>
        <w:t>Failure to lodge foreign landholder duty declaration</w:t>
      </w:r>
      <w:bookmarkEnd w:id="1318"/>
      <w:bookmarkEnd w:id="1319"/>
    </w:p>
    <w:p>
      <w:pPr>
        <w:pStyle w:val="Subsection"/>
        <w:keepNext/>
      </w:pPr>
      <w:r>
        <w:tab/>
      </w:r>
      <w:r>
        <w:tab/>
        <w:t xml:space="preserve">If a foreign landholder duty declaration is not lodged in accordance with section 205ZS(2), the following persons commit an offence — </w:t>
      </w:r>
    </w:p>
    <w:p>
      <w:pPr>
        <w:pStyle w:val="Indenta"/>
      </w:pPr>
      <w:r>
        <w:tab/>
        <w:t>(a)</w:t>
      </w:r>
      <w:r>
        <w:tab/>
        <w:t>in every case, the foreign acquirer, other than a person whose interest in the residential landholder is, for the purposes of calculating the duty, an excluded interest under section 189;</w:t>
      </w:r>
    </w:p>
    <w:p>
      <w:pPr>
        <w:pStyle w:val="Indenta"/>
      </w:pPr>
      <w:r>
        <w:tab/>
        <w:t>(b)</w:t>
      </w:r>
      <w:r>
        <w:tab/>
        <w:t>if the residential concerned is a corporation, the corporation;</w:t>
      </w:r>
    </w:p>
    <w:p>
      <w:pPr>
        <w:pStyle w:val="Indenta"/>
      </w:pPr>
      <w:r>
        <w:tab/>
        <w:t>(c)</w:t>
      </w:r>
      <w:r>
        <w:tab/>
        <w:t>if the residential concerned is a unit trust scheme, the trustee of the scheme;</w:t>
      </w:r>
    </w:p>
    <w:p>
      <w:pPr>
        <w:pStyle w:val="Indenta"/>
        <w:keepNext/>
      </w:pPr>
      <w:r>
        <w:tab/>
        <w:t>(d)</w:t>
      </w:r>
      <w:r>
        <w:tab/>
        <w:t xml:space="preserve">a foreign person that is a related person in respect of a foreign acquirer (as defined in paragraph (a) of the definition of </w:t>
      </w:r>
      <w:r>
        <w:rPr>
          <w:rStyle w:val="CharDefText"/>
        </w:rPr>
        <w:t>foreign acquirer</w:t>
      </w:r>
      <w:r>
        <w:t xml:space="preserve"> in section 205ZD(1)) and has an interest in the residential landholder immediately after the foreign landholder acquisition, other than a person whose interest in the landholder is, for the purpose of calculating the foreign landholder duty, an excluded interest under section 189.</w:t>
      </w:r>
    </w:p>
    <w:p>
      <w:pPr>
        <w:pStyle w:val="Penstart"/>
      </w:pPr>
      <w:r>
        <w:tab/>
        <w:t>Penalty: a fine of $5 000.</w:t>
      </w:r>
    </w:p>
    <w:p>
      <w:pPr>
        <w:pStyle w:val="Footnotesection"/>
      </w:pPr>
      <w:r>
        <w:tab/>
        <w:t>[Section 205ZT inserted: No. 24 of 2018 s. 8; amended: No. 12 of 2019 s. 116.]</w:t>
      </w:r>
    </w:p>
    <w:p>
      <w:pPr>
        <w:pStyle w:val="Heading2"/>
        <w:rPr>
          <w:sz w:val="32"/>
        </w:rPr>
      </w:pPr>
      <w:bookmarkStart w:id="1320" w:name="_Toc201218190"/>
      <w:bookmarkStart w:id="1321" w:name="_Toc201224563"/>
      <w:bookmarkStart w:id="1322" w:name="_Toc201229261"/>
      <w:bookmarkStart w:id="1323" w:name="_Toc182388866"/>
      <w:bookmarkStart w:id="1324" w:name="_Toc182389528"/>
      <w:bookmarkStart w:id="1325" w:name="_Toc182410326"/>
      <w:r>
        <w:rPr>
          <w:rStyle w:val="CharPartNo"/>
          <w:sz w:val="32"/>
        </w:rPr>
        <w:t>Chapter 4</w:t>
      </w:r>
      <w:r>
        <w:rPr>
          <w:sz w:val="32"/>
        </w:rPr>
        <w:t> — </w:t>
      </w:r>
      <w:r>
        <w:rPr>
          <w:rStyle w:val="CharPartText"/>
          <w:sz w:val="32"/>
        </w:rPr>
        <w:t>Insurance duty</w:t>
      </w:r>
      <w:bookmarkEnd w:id="1320"/>
      <w:bookmarkEnd w:id="1321"/>
      <w:bookmarkEnd w:id="1322"/>
      <w:bookmarkEnd w:id="1323"/>
      <w:bookmarkEnd w:id="1324"/>
      <w:bookmarkEnd w:id="1325"/>
    </w:p>
    <w:p>
      <w:pPr>
        <w:pStyle w:val="Heading3"/>
        <w:rPr>
          <w:sz w:val="28"/>
        </w:rPr>
      </w:pPr>
      <w:bookmarkStart w:id="1326" w:name="_Toc201218191"/>
      <w:bookmarkStart w:id="1327" w:name="_Toc201224564"/>
      <w:bookmarkStart w:id="1328" w:name="_Toc201229262"/>
      <w:bookmarkStart w:id="1329" w:name="_Toc182388867"/>
      <w:bookmarkStart w:id="1330" w:name="_Toc182389529"/>
      <w:bookmarkStart w:id="1331" w:name="_Toc182410327"/>
      <w:r>
        <w:rPr>
          <w:rStyle w:val="CharDivNo"/>
          <w:sz w:val="28"/>
        </w:rPr>
        <w:t>Part 1</w:t>
      </w:r>
      <w:r>
        <w:rPr>
          <w:sz w:val="28"/>
        </w:rPr>
        <w:t> — </w:t>
      </w:r>
      <w:r>
        <w:rPr>
          <w:rStyle w:val="CharDivText"/>
          <w:sz w:val="28"/>
        </w:rPr>
        <w:t>Preliminary</w:t>
      </w:r>
      <w:bookmarkEnd w:id="1326"/>
      <w:bookmarkEnd w:id="1327"/>
      <w:bookmarkEnd w:id="1328"/>
      <w:bookmarkEnd w:id="1329"/>
      <w:bookmarkEnd w:id="1330"/>
      <w:bookmarkEnd w:id="1331"/>
    </w:p>
    <w:p>
      <w:pPr>
        <w:pStyle w:val="Heading5"/>
      </w:pPr>
      <w:bookmarkStart w:id="1332" w:name="_Toc201229263"/>
      <w:bookmarkStart w:id="1333" w:name="_Toc182410328"/>
      <w:r>
        <w:rPr>
          <w:rStyle w:val="CharSectno"/>
        </w:rPr>
        <w:t>206</w:t>
      </w:r>
      <w:r>
        <w:t>.</w:t>
      </w:r>
      <w:r>
        <w:tab/>
        <w:t>Terms used</w:t>
      </w:r>
      <w:bookmarkEnd w:id="1332"/>
      <w:bookmarkEnd w:id="1333"/>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1334" w:name="_Toc201218193"/>
      <w:bookmarkStart w:id="1335" w:name="_Toc201224566"/>
      <w:bookmarkStart w:id="1336" w:name="_Toc201229264"/>
      <w:bookmarkStart w:id="1337" w:name="_Toc182388869"/>
      <w:bookmarkStart w:id="1338" w:name="_Toc182389531"/>
      <w:bookmarkStart w:id="1339" w:name="_Toc182410329"/>
      <w:r>
        <w:rPr>
          <w:rStyle w:val="CharDivNo"/>
          <w:sz w:val="28"/>
        </w:rPr>
        <w:t>Part 2</w:t>
      </w:r>
      <w:r>
        <w:rPr>
          <w:sz w:val="28"/>
        </w:rPr>
        <w:t> — </w:t>
      </w:r>
      <w:r>
        <w:rPr>
          <w:rStyle w:val="CharDivText"/>
          <w:sz w:val="28"/>
        </w:rPr>
        <w:t>Imposition of insurance duty</w:t>
      </w:r>
      <w:bookmarkEnd w:id="1334"/>
      <w:bookmarkEnd w:id="1335"/>
      <w:bookmarkEnd w:id="1336"/>
      <w:bookmarkEnd w:id="1337"/>
      <w:bookmarkEnd w:id="1338"/>
      <w:bookmarkEnd w:id="1339"/>
    </w:p>
    <w:p>
      <w:pPr>
        <w:pStyle w:val="Heading5"/>
        <w:spacing w:before="240"/>
      </w:pPr>
      <w:bookmarkStart w:id="1340" w:name="_Toc201229265"/>
      <w:bookmarkStart w:id="1341" w:name="_Toc182410330"/>
      <w:r>
        <w:rPr>
          <w:rStyle w:val="CharSectno"/>
        </w:rPr>
        <w:t>207</w:t>
      </w:r>
      <w:r>
        <w:t>.</w:t>
      </w:r>
      <w:r>
        <w:tab/>
        <w:t>Insurance duty imposed</w:t>
      </w:r>
      <w:bookmarkEnd w:id="1340"/>
      <w:bookmarkEnd w:id="1341"/>
    </w:p>
    <w:p>
      <w:pPr>
        <w:pStyle w:val="Subsection"/>
      </w:pPr>
      <w:r>
        <w:tab/>
      </w:r>
      <w:r>
        <w:tab/>
        <w:t>Duty is imposed on the premium paid in relation to a contract of insurance.</w:t>
      </w:r>
    </w:p>
    <w:p>
      <w:pPr>
        <w:pStyle w:val="Heading5"/>
        <w:spacing w:before="240"/>
      </w:pPr>
      <w:bookmarkStart w:id="1342" w:name="_Toc201229266"/>
      <w:bookmarkStart w:id="1343" w:name="_Toc182410331"/>
      <w:r>
        <w:rPr>
          <w:rStyle w:val="CharSectno"/>
        </w:rPr>
        <w:t>208</w:t>
      </w:r>
      <w:r>
        <w:t>.</w:t>
      </w:r>
      <w:r>
        <w:tab/>
        <w:t>Contract of insurance</w:t>
      </w:r>
      <w:bookmarkEnd w:id="1342"/>
      <w:bookmarkEnd w:id="1343"/>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1344" w:name="_Toc201229267"/>
      <w:bookmarkStart w:id="1345" w:name="_Toc182410332"/>
      <w:r>
        <w:rPr>
          <w:rStyle w:val="CharSectno"/>
        </w:rPr>
        <w:t>209</w:t>
      </w:r>
      <w:r>
        <w:t>.</w:t>
      </w:r>
      <w:r>
        <w:tab/>
        <w:t>General insurance</w:t>
      </w:r>
      <w:bookmarkEnd w:id="1344"/>
      <w:bookmarkEnd w:id="1345"/>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spacing w:before="120"/>
      </w:pPr>
      <w:r>
        <w:tab/>
      </w:r>
      <w:r>
        <w:tab/>
        <w:t>or both.</w:t>
      </w:r>
    </w:p>
    <w:p>
      <w:pPr>
        <w:pStyle w:val="Subsection"/>
        <w:keepNext/>
        <w:tabs>
          <w:tab w:val="left" w:pos="4536"/>
        </w:tabs>
        <w:spacing w:before="120"/>
      </w:pPr>
      <w:r>
        <w:tab/>
        <w:t>(2)</w:t>
      </w:r>
      <w:r>
        <w:tab/>
      </w:r>
      <w:r>
        <w:rPr>
          <w:rStyle w:val="CharDefText"/>
        </w:rPr>
        <w:t>General insurance</w:t>
      </w:r>
      <w:r>
        <w:rPr>
          <w:b/>
        </w:rPr>
        <w:t xml:space="preserve"> </w:t>
      </w:r>
      <w:r>
        <w:t>does not include any of the following —</w:t>
      </w:r>
    </w:p>
    <w:p>
      <w:pPr>
        <w:pStyle w:val="Indenta"/>
        <w:keepNext/>
      </w:pPr>
      <w:r>
        <w:tab/>
        <w:t>(a)</w:t>
      </w:r>
      <w:r>
        <w:tab/>
        <w:t>life insurance;</w:t>
      </w:r>
    </w:p>
    <w:p>
      <w:pPr>
        <w:pStyle w:val="Indenta"/>
      </w:pPr>
      <w:r>
        <w:tab/>
        <w:t>(b)</w:t>
      </w:r>
      <w:r>
        <w:tab/>
        <w:t xml:space="preserve">insurance against an employer’s liability to pay compensation under the </w:t>
      </w:r>
      <w:r>
        <w:rPr>
          <w:i/>
        </w:rPr>
        <w:t>Workers Compensation and Injury Management Act 2023</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Footnotesection"/>
      </w:pPr>
      <w:r>
        <w:tab/>
        <w:t>[Section 209 amended: No. 21 of 2023 s. 709(2).]</w:t>
      </w:r>
    </w:p>
    <w:p>
      <w:pPr>
        <w:pStyle w:val="Heading5"/>
      </w:pPr>
      <w:bookmarkStart w:id="1346" w:name="_Toc201229268"/>
      <w:bookmarkStart w:id="1347" w:name="_Toc182410333"/>
      <w:r>
        <w:rPr>
          <w:rStyle w:val="CharSectno"/>
        </w:rPr>
        <w:t>210</w:t>
      </w:r>
      <w:r>
        <w:t>.</w:t>
      </w:r>
      <w:r>
        <w:tab/>
        <w:t>Additional insurance in life insurance policy is general insurance</w:t>
      </w:r>
      <w:bookmarkEnd w:id="1346"/>
      <w:bookmarkEnd w:id="1347"/>
    </w:p>
    <w:p>
      <w:pPr>
        <w:pStyle w:val="Subsection"/>
      </w:pPr>
      <w:r>
        <w:tab/>
        <w:t>(1)</w:t>
      </w:r>
      <w:r>
        <w:tab/>
        <w:t>This section does not apply to a policy of life insurance unless the insured person’s place of residence is in Western Australia.</w:t>
      </w:r>
    </w:p>
    <w:p>
      <w:pPr>
        <w:pStyle w:val="Subsection"/>
        <w:keepNext/>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1348" w:name="_Toc201229269"/>
      <w:bookmarkStart w:id="1349" w:name="_Toc182410334"/>
      <w:r>
        <w:rPr>
          <w:rStyle w:val="CharSectno"/>
        </w:rPr>
        <w:t>211</w:t>
      </w:r>
      <w:r>
        <w:t>.</w:t>
      </w:r>
      <w:r>
        <w:tab/>
        <w:t>Premium</w:t>
      </w:r>
      <w:bookmarkEnd w:id="1348"/>
      <w:bookmarkEnd w:id="1349"/>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1350" w:name="_Toc201229270"/>
      <w:bookmarkStart w:id="1351" w:name="_Toc182410335"/>
      <w:r>
        <w:rPr>
          <w:rStyle w:val="CharSectno"/>
        </w:rPr>
        <w:t>212</w:t>
      </w:r>
      <w:r>
        <w:t>.</w:t>
      </w:r>
      <w:r>
        <w:tab/>
        <w:t>When premium paid</w:t>
      </w:r>
      <w:bookmarkEnd w:id="1350"/>
      <w:bookmarkEnd w:id="1351"/>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1352" w:name="_Toc201218200"/>
      <w:bookmarkStart w:id="1353" w:name="_Toc201224573"/>
      <w:bookmarkStart w:id="1354" w:name="_Toc201229271"/>
      <w:bookmarkStart w:id="1355" w:name="_Toc182388876"/>
      <w:bookmarkStart w:id="1356" w:name="_Toc182389538"/>
      <w:bookmarkStart w:id="1357" w:name="_Toc182410336"/>
      <w:r>
        <w:rPr>
          <w:rStyle w:val="CharDivNo"/>
          <w:sz w:val="28"/>
        </w:rPr>
        <w:t>Part 3</w:t>
      </w:r>
      <w:r>
        <w:rPr>
          <w:sz w:val="28"/>
        </w:rPr>
        <w:t> — </w:t>
      </w:r>
      <w:r>
        <w:rPr>
          <w:rStyle w:val="CharDivText"/>
          <w:sz w:val="28"/>
        </w:rPr>
        <w:t>Collection of insurance duty</w:t>
      </w:r>
      <w:bookmarkEnd w:id="1352"/>
      <w:bookmarkEnd w:id="1353"/>
      <w:bookmarkEnd w:id="1354"/>
      <w:bookmarkEnd w:id="1355"/>
      <w:bookmarkEnd w:id="1356"/>
      <w:bookmarkEnd w:id="1357"/>
    </w:p>
    <w:p>
      <w:pPr>
        <w:pStyle w:val="Heading4"/>
        <w:rPr>
          <w:sz w:val="26"/>
        </w:rPr>
      </w:pPr>
      <w:bookmarkStart w:id="1358" w:name="_Toc201218201"/>
      <w:bookmarkStart w:id="1359" w:name="_Toc201224574"/>
      <w:bookmarkStart w:id="1360" w:name="_Toc201229272"/>
      <w:bookmarkStart w:id="1361" w:name="_Toc182388877"/>
      <w:bookmarkStart w:id="1362" w:name="_Toc182389539"/>
      <w:bookmarkStart w:id="1363" w:name="_Toc182410337"/>
      <w:r>
        <w:rPr>
          <w:sz w:val="26"/>
        </w:rPr>
        <w:t>Division 1 — Liability</w:t>
      </w:r>
      <w:bookmarkEnd w:id="1358"/>
      <w:bookmarkEnd w:id="1359"/>
      <w:bookmarkEnd w:id="1360"/>
      <w:bookmarkEnd w:id="1361"/>
      <w:bookmarkEnd w:id="1362"/>
      <w:bookmarkEnd w:id="1363"/>
    </w:p>
    <w:p>
      <w:pPr>
        <w:pStyle w:val="Heading5"/>
      </w:pPr>
      <w:bookmarkStart w:id="1364" w:name="_Toc201229273"/>
      <w:bookmarkStart w:id="1365" w:name="_Toc182410338"/>
      <w:r>
        <w:rPr>
          <w:rStyle w:val="CharSectno"/>
        </w:rPr>
        <w:t>213</w:t>
      </w:r>
      <w:r>
        <w:t>.</w:t>
      </w:r>
      <w:r>
        <w:tab/>
        <w:t>Who is liable to pay duty</w:t>
      </w:r>
      <w:bookmarkEnd w:id="1364"/>
      <w:bookmarkEnd w:id="1365"/>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1366" w:name="_Toc201229274"/>
      <w:bookmarkStart w:id="1367" w:name="_Toc182410339"/>
      <w:r>
        <w:rPr>
          <w:rStyle w:val="CharSectno"/>
        </w:rPr>
        <w:t>214</w:t>
      </w:r>
      <w:r>
        <w:t>.</w:t>
      </w:r>
      <w:r>
        <w:tab/>
        <w:t>General insurer</w:t>
      </w:r>
      <w:bookmarkEnd w:id="1366"/>
      <w:bookmarkEnd w:id="1367"/>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1368" w:name="_Toc201218204"/>
      <w:bookmarkStart w:id="1369" w:name="_Toc201224577"/>
      <w:bookmarkStart w:id="1370" w:name="_Toc201229275"/>
      <w:bookmarkStart w:id="1371" w:name="_Toc182388880"/>
      <w:bookmarkStart w:id="1372" w:name="_Toc182389542"/>
      <w:bookmarkStart w:id="1373" w:name="_Toc182410340"/>
      <w:r>
        <w:rPr>
          <w:sz w:val="26"/>
        </w:rPr>
        <w:t>Division 2 — Amount of insurance duty</w:t>
      </w:r>
      <w:bookmarkEnd w:id="1368"/>
      <w:bookmarkEnd w:id="1369"/>
      <w:bookmarkEnd w:id="1370"/>
      <w:bookmarkEnd w:id="1371"/>
      <w:bookmarkEnd w:id="1372"/>
      <w:bookmarkEnd w:id="1373"/>
    </w:p>
    <w:p>
      <w:pPr>
        <w:pStyle w:val="Heading5"/>
        <w:spacing w:before="180"/>
      </w:pPr>
      <w:bookmarkStart w:id="1374" w:name="_Toc201229276"/>
      <w:bookmarkStart w:id="1375" w:name="_Toc182410341"/>
      <w:r>
        <w:rPr>
          <w:rStyle w:val="CharSectno"/>
        </w:rPr>
        <w:t>215</w:t>
      </w:r>
      <w:r>
        <w:t>.</w:t>
      </w:r>
      <w:r>
        <w:tab/>
        <w:t>Amount of duty payable</w:t>
      </w:r>
      <w:bookmarkEnd w:id="1374"/>
      <w:bookmarkEnd w:id="1375"/>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1376" w:name="_Toc201229277"/>
      <w:bookmarkStart w:id="1377" w:name="_Toc182410342"/>
      <w:r>
        <w:rPr>
          <w:rStyle w:val="CharSectno"/>
        </w:rPr>
        <w:t>216</w:t>
      </w:r>
      <w:r>
        <w:t>.</w:t>
      </w:r>
      <w:r>
        <w:tab/>
        <w:t>Policies effecting general insurance and other insurance, duty on</w:t>
      </w:r>
      <w:bookmarkEnd w:id="1376"/>
      <w:bookmarkEnd w:id="1377"/>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1378" w:name="_Toc201218207"/>
      <w:bookmarkStart w:id="1379" w:name="_Toc201224580"/>
      <w:bookmarkStart w:id="1380" w:name="_Toc201229278"/>
      <w:bookmarkStart w:id="1381" w:name="_Toc182388883"/>
      <w:bookmarkStart w:id="1382" w:name="_Toc182389545"/>
      <w:bookmarkStart w:id="1383" w:name="_Toc182410343"/>
      <w:r>
        <w:rPr>
          <w:sz w:val="26"/>
        </w:rPr>
        <w:t>Division 3 — Insurers</w:t>
      </w:r>
      <w:bookmarkEnd w:id="1378"/>
      <w:bookmarkEnd w:id="1379"/>
      <w:bookmarkEnd w:id="1380"/>
      <w:bookmarkEnd w:id="1381"/>
      <w:bookmarkEnd w:id="1382"/>
      <w:bookmarkEnd w:id="1383"/>
    </w:p>
    <w:p>
      <w:pPr>
        <w:pStyle w:val="Heading5"/>
      </w:pPr>
      <w:bookmarkStart w:id="1384" w:name="_Toc201229279"/>
      <w:bookmarkStart w:id="1385" w:name="_Toc182410344"/>
      <w:r>
        <w:rPr>
          <w:rStyle w:val="CharSectno"/>
        </w:rPr>
        <w:t>217</w:t>
      </w:r>
      <w:r>
        <w:t>.</w:t>
      </w:r>
      <w:r>
        <w:tab/>
        <w:t>General insurers to apply to be registered</w:t>
      </w:r>
      <w:bookmarkEnd w:id="1384"/>
      <w:bookmarkEnd w:id="1385"/>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1386" w:name="_Toc201229280"/>
      <w:bookmarkStart w:id="1387" w:name="_Toc182410345"/>
      <w:r>
        <w:rPr>
          <w:rStyle w:val="CharSectno"/>
        </w:rPr>
        <w:t>218</w:t>
      </w:r>
      <w:r>
        <w:t>.</w:t>
      </w:r>
      <w:r>
        <w:tab/>
        <w:t>Registration of general insurers</w:t>
      </w:r>
      <w:bookmarkEnd w:id="1386"/>
      <w:bookmarkEnd w:id="1387"/>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1388" w:name="_Toc201229281"/>
      <w:bookmarkStart w:id="1389" w:name="_Toc182410346"/>
      <w:r>
        <w:rPr>
          <w:rStyle w:val="CharSectno"/>
        </w:rPr>
        <w:t>219</w:t>
      </w:r>
      <w:r>
        <w:t>.</w:t>
      </w:r>
      <w:r>
        <w:tab/>
        <w:t>Return period of registered insurer</w:t>
      </w:r>
      <w:bookmarkEnd w:id="1388"/>
      <w:bookmarkEnd w:id="1389"/>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1390" w:name="_Toc201229282"/>
      <w:bookmarkStart w:id="1391" w:name="_Toc182410347"/>
      <w:r>
        <w:rPr>
          <w:rStyle w:val="CharSectno"/>
        </w:rPr>
        <w:t>220</w:t>
      </w:r>
      <w:r>
        <w:t>.</w:t>
      </w:r>
      <w:r>
        <w:tab/>
        <w:t>Registered insurers to lodge returns</w:t>
      </w:r>
      <w:bookmarkEnd w:id="1390"/>
      <w:bookmarkEnd w:id="1391"/>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1392" w:name="_Toc201229283"/>
      <w:bookmarkStart w:id="1393" w:name="_Toc182410348"/>
      <w:r>
        <w:rPr>
          <w:rStyle w:val="CharSectno"/>
        </w:rPr>
        <w:t>221</w:t>
      </w:r>
      <w:r>
        <w:t>.</w:t>
      </w:r>
      <w:r>
        <w:tab/>
        <w:t>Time for payment of duty by insurers</w:t>
      </w:r>
      <w:bookmarkEnd w:id="1392"/>
      <w:bookmarkEnd w:id="1393"/>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1394" w:name="_Toc201229284"/>
      <w:bookmarkStart w:id="1395" w:name="_Toc182410349"/>
      <w:r>
        <w:rPr>
          <w:rStyle w:val="CharSectno"/>
        </w:rPr>
        <w:t>222</w:t>
      </w:r>
      <w:r>
        <w:t>.</w:t>
      </w:r>
      <w:r>
        <w:tab/>
        <w:t>Cancelling registration of general insurers</w:t>
      </w:r>
      <w:bookmarkEnd w:id="1394"/>
      <w:bookmarkEnd w:id="1395"/>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1396" w:name="_Toc201218214"/>
      <w:bookmarkStart w:id="1397" w:name="_Toc201224587"/>
      <w:bookmarkStart w:id="1398" w:name="_Toc201229285"/>
      <w:bookmarkStart w:id="1399" w:name="_Toc182388890"/>
      <w:bookmarkStart w:id="1400" w:name="_Toc182389552"/>
      <w:bookmarkStart w:id="1401" w:name="_Toc182410350"/>
      <w:r>
        <w:rPr>
          <w:sz w:val="26"/>
        </w:rPr>
        <w:t>Division 4 — Insured persons</w:t>
      </w:r>
      <w:bookmarkEnd w:id="1396"/>
      <w:bookmarkEnd w:id="1397"/>
      <w:bookmarkEnd w:id="1398"/>
      <w:bookmarkEnd w:id="1399"/>
      <w:bookmarkEnd w:id="1400"/>
      <w:bookmarkEnd w:id="1401"/>
    </w:p>
    <w:p>
      <w:pPr>
        <w:pStyle w:val="Heading5"/>
        <w:spacing w:before="240"/>
      </w:pPr>
      <w:bookmarkStart w:id="1402" w:name="_Toc201229286"/>
      <w:bookmarkStart w:id="1403" w:name="_Toc182410351"/>
      <w:r>
        <w:rPr>
          <w:rStyle w:val="CharSectno"/>
        </w:rPr>
        <w:t>223</w:t>
      </w:r>
      <w:r>
        <w:t>.</w:t>
      </w:r>
      <w:r>
        <w:tab/>
        <w:t>Some insured persons to lodge statements</w:t>
      </w:r>
      <w:bookmarkEnd w:id="1402"/>
      <w:bookmarkEnd w:id="1403"/>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1404" w:name="_Toc201229287"/>
      <w:bookmarkStart w:id="1405" w:name="_Toc182410352"/>
      <w:r>
        <w:rPr>
          <w:rStyle w:val="CharSectno"/>
        </w:rPr>
        <w:t>224</w:t>
      </w:r>
      <w:r>
        <w:t>.</w:t>
      </w:r>
      <w:r>
        <w:tab/>
        <w:t>Time for payment of duty by insured persons</w:t>
      </w:r>
      <w:bookmarkEnd w:id="1404"/>
      <w:bookmarkEnd w:id="1405"/>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1406" w:name="_Toc201218217"/>
      <w:bookmarkStart w:id="1407" w:name="_Toc201224590"/>
      <w:bookmarkStart w:id="1408" w:name="_Toc201229288"/>
      <w:bookmarkStart w:id="1409" w:name="_Toc182388893"/>
      <w:bookmarkStart w:id="1410" w:name="_Toc182389555"/>
      <w:bookmarkStart w:id="1411" w:name="_Toc182410353"/>
      <w:r>
        <w:rPr>
          <w:rStyle w:val="CharDivNo"/>
          <w:sz w:val="28"/>
        </w:rPr>
        <w:t>Part 4</w:t>
      </w:r>
      <w:r>
        <w:rPr>
          <w:sz w:val="28"/>
        </w:rPr>
        <w:t> — </w:t>
      </w:r>
      <w:r>
        <w:rPr>
          <w:rStyle w:val="CharDivText"/>
          <w:sz w:val="28"/>
        </w:rPr>
        <w:t>General provisions as to insurance duty</w:t>
      </w:r>
      <w:bookmarkEnd w:id="1406"/>
      <w:bookmarkEnd w:id="1407"/>
      <w:bookmarkEnd w:id="1408"/>
      <w:bookmarkEnd w:id="1409"/>
      <w:bookmarkEnd w:id="1410"/>
      <w:bookmarkEnd w:id="1411"/>
    </w:p>
    <w:p>
      <w:pPr>
        <w:pStyle w:val="Heading5"/>
        <w:spacing w:before="180"/>
      </w:pPr>
      <w:bookmarkStart w:id="1412" w:name="_Toc201229289"/>
      <w:bookmarkStart w:id="1413" w:name="_Toc182410354"/>
      <w:r>
        <w:rPr>
          <w:rStyle w:val="CharSectno"/>
        </w:rPr>
        <w:t>225</w:t>
      </w:r>
      <w:r>
        <w:t>.</w:t>
      </w:r>
      <w:r>
        <w:tab/>
        <w:t>Insurer and intermediary to notify Commissioner of contracts of insurance</w:t>
      </w:r>
      <w:bookmarkEnd w:id="1412"/>
      <w:bookmarkEnd w:id="1413"/>
    </w:p>
    <w:p>
      <w:pPr>
        <w:pStyle w:val="Subsection"/>
        <w:keepNext/>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1414" w:name="_Toc201229290"/>
      <w:bookmarkStart w:id="1415" w:name="_Toc182410355"/>
      <w:r>
        <w:rPr>
          <w:rStyle w:val="CharSectno"/>
        </w:rPr>
        <w:t>226</w:t>
      </w:r>
      <w:r>
        <w:t>.</w:t>
      </w:r>
      <w:r>
        <w:tab/>
        <w:t>Refunds of duty if premium refunded</w:t>
      </w:r>
      <w:bookmarkEnd w:id="1414"/>
      <w:bookmarkEnd w:id="1415"/>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1416" w:name="_Toc201229291"/>
      <w:bookmarkStart w:id="1417" w:name="_Toc182410356"/>
      <w:r>
        <w:rPr>
          <w:rStyle w:val="CharSectno"/>
        </w:rPr>
        <w:t>227</w:t>
      </w:r>
      <w:r>
        <w:t>.</w:t>
      </w:r>
      <w:r>
        <w:tab/>
        <w:t>Records to be kept</w:t>
      </w:r>
      <w:bookmarkEnd w:id="1416"/>
      <w:bookmarkEnd w:id="1417"/>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keepNext/>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1418" w:name="_Toc201218221"/>
      <w:bookmarkStart w:id="1419" w:name="_Toc201224594"/>
      <w:bookmarkStart w:id="1420" w:name="_Toc201229292"/>
      <w:bookmarkStart w:id="1421" w:name="_Toc182388897"/>
      <w:bookmarkStart w:id="1422" w:name="_Toc182389559"/>
      <w:bookmarkStart w:id="1423" w:name="_Toc182410357"/>
      <w:r>
        <w:rPr>
          <w:rStyle w:val="CharPartNo"/>
          <w:sz w:val="32"/>
        </w:rPr>
        <w:t>Chapter 5</w:t>
      </w:r>
      <w:r>
        <w:rPr>
          <w:sz w:val="32"/>
        </w:rPr>
        <w:t> — </w:t>
      </w:r>
      <w:r>
        <w:rPr>
          <w:rStyle w:val="CharPartText"/>
          <w:sz w:val="32"/>
        </w:rPr>
        <w:t>Vehicle licence duty</w:t>
      </w:r>
      <w:bookmarkEnd w:id="1418"/>
      <w:bookmarkEnd w:id="1419"/>
      <w:bookmarkEnd w:id="1420"/>
      <w:bookmarkEnd w:id="1421"/>
      <w:bookmarkEnd w:id="1422"/>
      <w:bookmarkEnd w:id="1423"/>
    </w:p>
    <w:p>
      <w:pPr>
        <w:pStyle w:val="Heading3"/>
        <w:rPr>
          <w:sz w:val="28"/>
        </w:rPr>
      </w:pPr>
      <w:bookmarkStart w:id="1424" w:name="_Toc201218222"/>
      <w:bookmarkStart w:id="1425" w:name="_Toc201224595"/>
      <w:bookmarkStart w:id="1426" w:name="_Toc201229293"/>
      <w:bookmarkStart w:id="1427" w:name="_Toc182388898"/>
      <w:bookmarkStart w:id="1428" w:name="_Toc182389560"/>
      <w:bookmarkStart w:id="1429" w:name="_Toc182410358"/>
      <w:r>
        <w:rPr>
          <w:rStyle w:val="CharDivNo"/>
          <w:sz w:val="28"/>
        </w:rPr>
        <w:t>Part 1</w:t>
      </w:r>
      <w:r>
        <w:rPr>
          <w:sz w:val="28"/>
        </w:rPr>
        <w:t> — </w:t>
      </w:r>
      <w:r>
        <w:rPr>
          <w:rStyle w:val="CharDivText"/>
          <w:sz w:val="28"/>
        </w:rPr>
        <w:t>Preliminary</w:t>
      </w:r>
      <w:bookmarkEnd w:id="1424"/>
      <w:bookmarkEnd w:id="1425"/>
      <w:bookmarkEnd w:id="1426"/>
      <w:bookmarkEnd w:id="1427"/>
      <w:bookmarkEnd w:id="1428"/>
      <w:bookmarkEnd w:id="1429"/>
    </w:p>
    <w:p>
      <w:pPr>
        <w:pStyle w:val="Heading5"/>
        <w:rPr>
          <w:sz w:val="32"/>
        </w:rPr>
      </w:pPr>
      <w:bookmarkStart w:id="1430" w:name="_Toc201229294"/>
      <w:bookmarkStart w:id="1431" w:name="_Toc182410359"/>
      <w:r>
        <w:rPr>
          <w:rStyle w:val="CharSectno"/>
        </w:rPr>
        <w:t>228</w:t>
      </w:r>
      <w:r>
        <w:t>.</w:t>
      </w:r>
      <w:r>
        <w:tab/>
        <w:t>Terms used</w:t>
      </w:r>
      <w:bookmarkEnd w:id="1430"/>
      <w:bookmarkEnd w:id="1431"/>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keepNex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246(1)(a) or (3)(a) or 247(1)(a), other than a vehicle that has been used for a purpose referred to in section 246(1)(a)(ii) or (3)(a) or 247(1)(a)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keepNext/>
      </w:pPr>
      <w:r>
        <w:rPr>
          <w:b/>
        </w:rPr>
        <w:tab/>
      </w:r>
      <w:r>
        <w:rPr>
          <w:rStyle w:val="CharDefText"/>
        </w:rPr>
        <w:t>Vehicles Act</w:t>
      </w:r>
      <w:r>
        <w:t xml:space="preserve"> means the </w:t>
      </w:r>
      <w:r>
        <w:rPr>
          <w:i/>
          <w:iCs/>
        </w:rPr>
        <w:t>Road Traffic (Vehicles) Act 2012</w:t>
      </w:r>
      <w:r>
        <w:t>.</w:t>
      </w:r>
    </w:p>
    <w:p>
      <w:pPr>
        <w:pStyle w:val="Footnotesection"/>
      </w:pPr>
      <w:r>
        <w:tab/>
        <w:t>[Section 228 amended: No. 8 of 2012 s. 90 and 95; No. 16 of 2022 s. 7.]</w:t>
      </w:r>
    </w:p>
    <w:p>
      <w:pPr>
        <w:pStyle w:val="Heading3"/>
        <w:rPr>
          <w:sz w:val="28"/>
        </w:rPr>
      </w:pPr>
      <w:bookmarkStart w:id="1432" w:name="_Toc201218224"/>
      <w:bookmarkStart w:id="1433" w:name="_Toc201224597"/>
      <w:bookmarkStart w:id="1434" w:name="_Toc201229295"/>
      <w:bookmarkStart w:id="1435" w:name="_Toc182388900"/>
      <w:bookmarkStart w:id="1436" w:name="_Toc182389562"/>
      <w:bookmarkStart w:id="1437" w:name="_Toc182410360"/>
      <w:r>
        <w:rPr>
          <w:rStyle w:val="CharDivNo"/>
          <w:sz w:val="28"/>
        </w:rPr>
        <w:t>Part 2</w:t>
      </w:r>
      <w:r>
        <w:rPr>
          <w:sz w:val="28"/>
        </w:rPr>
        <w:t> — </w:t>
      </w:r>
      <w:r>
        <w:rPr>
          <w:rStyle w:val="CharDivText"/>
          <w:sz w:val="28"/>
        </w:rPr>
        <w:t>Imposition of vehicle licence duty</w:t>
      </w:r>
      <w:bookmarkEnd w:id="1432"/>
      <w:bookmarkEnd w:id="1433"/>
      <w:bookmarkEnd w:id="1434"/>
      <w:bookmarkEnd w:id="1435"/>
      <w:bookmarkEnd w:id="1436"/>
      <w:bookmarkEnd w:id="1437"/>
    </w:p>
    <w:p>
      <w:pPr>
        <w:pStyle w:val="Heading5"/>
      </w:pPr>
      <w:bookmarkStart w:id="1438" w:name="_Toc201229296"/>
      <w:bookmarkStart w:id="1439" w:name="_Toc182410361"/>
      <w:r>
        <w:rPr>
          <w:rStyle w:val="CharSectno"/>
        </w:rPr>
        <w:t>229</w:t>
      </w:r>
      <w:r>
        <w:t>.</w:t>
      </w:r>
      <w:r>
        <w:tab/>
        <w:t>Vehicle licence duty imposed</w:t>
      </w:r>
      <w:bookmarkEnd w:id="1438"/>
      <w:bookmarkEnd w:id="1439"/>
    </w:p>
    <w:p>
      <w:pPr>
        <w:pStyle w:val="Subsection"/>
      </w:pPr>
      <w:r>
        <w:tab/>
      </w:r>
      <w:r>
        <w:tab/>
        <w:t>Duty is imposed on the grant or transfer of a licence for a vehicle.</w:t>
      </w:r>
    </w:p>
    <w:p>
      <w:pPr>
        <w:pStyle w:val="Heading5"/>
      </w:pPr>
      <w:bookmarkStart w:id="1440" w:name="_Toc201229297"/>
      <w:bookmarkStart w:id="1441" w:name="_Toc182410362"/>
      <w:r>
        <w:rPr>
          <w:rStyle w:val="CharSectno"/>
        </w:rPr>
        <w:t>230</w:t>
      </w:r>
      <w:r>
        <w:t>.</w:t>
      </w:r>
      <w:r>
        <w:tab/>
        <w:t>Vehicle and licence</w:t>
      </w:r>
      <w:bookmarkEnd w:id="1440"/>
      <w:bookmarkEnd w:id="1441"/>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keepNext/>
        <w:rPr>
          <w:bCs/>
        </w:rPr>
      </w:pPr>
      <w:r>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No. 8 of 2012 s. 91 and 95.]</w:t>
      </w:r>
    </w:p>
    <w:p>
      <w:pPr>
        <w:pStyle w:val="Heading3"/>
        <w:rPr>
          <w:sz w:val="28"/>
        </w:rPr>
      </w:pPr>
      <w:bookmarkStart w:id="1442" w:name="_Toc201218227"/>
      <w:bookmarkStart w:id="1443" w:name="_Toc201224600"/>
      <w:bookmarkStart w:id="1444" w:name="_Toc201229298"/>
      <w:bookmarkStart w:id="1445" w:name="_Toc182388903"/>
      <w:bookmarkStart w:id="1446" w:name="_Toc182389565"/>
      <w:bookmarkStart w:id="1447" w:name="_Toc182410363"/>
      <w:r>
        <w:rPr>
          <w:rStyle w:val="CharDivNo"/>
          <w:sz w:val="28"/>
        </w:rPr>
        <w:t>Part 3</w:t>
      </w:r>
      <w:r>
        <w:rPr>
          <w:sz w:val="28"/>
        </w:rPr>
        <w:t> — </w:t>
      </w:r>
      <w:r>
        <w:rPr>
          <w:rStyle w:val="CharDivText"/>
          <w:sz w:val="28"/>
        </w:rPr>
        <w:t>Collection of vehicle licence duty</w:t>
      </w:r>
      <w:bookmarkEnd w:id="1442"/>
      <w:bookmarkEnd w:id="1443"/>
      <w:bookmarkEnd w:id="1444"/>
      <w:bookmarkEnd w:id="1445"/>
      <w:bookmarkEnd w:id="1446"/>
      <w:bookmarkEnd w:id="1447"/>
    </w:p>
    <w:p>
      <w:pPr>
        <w:pStyle w:val="Heading4"/>
        <w:rPr>
          <w:sz w:val="26"/>
        </w:rPr>
      </w:pPr>
      <w:bookmarkStart w:id="1448" w:name="_Toc201218228"/>
      <w:bookmarkStart w:id="1449" w:name="_Toc201224601"/>
      <w:bookmarkStart w:id="1450" w:name="_Toc201229299"/>
      <w:bookmarkStart w:id="1451" w:name="_Toc182388904"/>
      <w:bookmarkStart w:id="1452" w:name="_Toc182389566"/>
      <w:bookmarkStart w:id="1453" w:name="_Toc182410364"/>
      <w:r>
        <w:rPr>
          <w:sz w:val="26"/>
        </w:rPr>
        <w:t>Division 1 — Preliminary</w:t>
      </w:r>
      <w:bookmarkEnd w:id="1448"/>
      <w:bookmarkEnd w:id="1449"/>
      <w:bookmarkEnd w:id="1450"/>
      <w:bookmarkEnd w:id="1451"/>
      <w:bookmarkEnd w:id="1452"/>
      <w:bookmarkEnd w:id="1453"/>
    </w:p>
    <w:p>
      <w:pPr>
        <w:pStyle w:val="Heading5"/>
      </w:pPr>
      <w:bookmarkStart w:id="1454" w:name="_Toc201229300"/>
      <w:bookmarkStart w:id="1455" w:name="_Toc182410365"/>
      <w:r>
        <w:rPr>
          <w:rStyle w:val="CharSectno"/>
        </w:rPr>
        <w:t>231</w:t>
      </w:r>
      <w:r>
        <w:t>.</w:t>
      </w:r>
      <w:r>
        <w:tab/>
        <w:t>Terms used</w:t>
      </w:r>
      <w:bookmarkEnd w:id="1454"/>
      <w:bookmarkEnd w:id="1455"/>
    </w:p>
    <w:p>
      <w:pPr>
        <w:pStyle w:val="Subsection"/>
        <w:keepNext/>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keepNex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keepNex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keepNex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keepNex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1456" w:name="_Toc201218230"/>
      <w:bookmarkStart w:id="1457" w:name="_Toc201224603"/>
      <w:bookmarkStart w:id="1458" w:name="_Toc201229301"/>
      <w:bookmarkStart w:id="1459" w:name="_Toc182388906"/>
      <w:bookmarkStart w:id="1460" w:name="_Toc182389568"/>
      <w:bookmarkStart w:id="1461" w:name="_Toc182410366"/>
      <w:r>
        <w:rPr>
          <w:sz w:val="26"/>
        </w:rPr>
        <w:t>Division 2 — Liability</w:t>
      </w:r>
      <w:bookmarkEnd w:id="1456"/>
      <w:bookmarkEnd w:id="1457"/>
      <w:bookmarkEnd w:id="1458"/>
      <w:bookmarkEnd w:id="1459"/>
      <w:bookmarkEnd w:id="1460"/>
      <w:bookmarkEnd w:id="1461"/>
    </w:p>
    <w:p>
      <w:pPr>
        <w:pStyle w:val="Heading5"/>
        <w:ind w:left="0" w:firstLine="0"/>
      </w:pPr>
      <w:bookmarkStart w:id="1462" w:name="_Toc201229302"/>
      <w:bookmarkStart w:id="1463" w:name="_Toc182410367"/>
      <w:r>
        <w:rPr>
          <w:rStyle w:val="CharSectno"/>
        </w:rPr>
        <w:t>232</w:t>
      </w:r>
      <w:r>
        <w:t>.</w:t>
      </w:r>
      <w:r>
        <w:tab/>
        <w:t>Who is liable to pay duty</w:t>
      </w:r>
      <w:bookmarkEnd w:id="1462"/>
      <w:bookmarkEnd w:id="1463"/>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1464" w:name="_Toc201218232"/>
      <w:bookmarkStart w:id="1465" w:name="_Toc201224605"/>
      <w:bookmarkStart w:id="1466" w:name="_Toc201229303"/>
      <w:bookmarkStart w:id="1467" w:name="_Toc182388908"/>
      <w:bookmarkStart w:id="1468" w:name="_Toc182389570"/>
      <w:bookmarkStart w:id="1469" w:name="_Toc182410368"/>
      <w:r>
        <w:rPr>
          <w:sz w:val="26"/>
        </w:rPr>
        <w:t>Division 3 — Assessment and payment of vehicle licence duty</w:t>
      </w:r>
      <w:bookmarkEnd w:id="1464"/>
      <w:bookmarkEnd w:id="1465"/>
      <w:bookmarkEnd w:id="1466"/>
      <w:bookmarkEnd w:id="1467"/>
      <w:bookmarkEnd w:id="1468"/>
      <w:bookmarkEnd w:id="1469"/>
    </w:p>
    <w:p>
      <w:pPr>
        <w:pStyle w:val="Heading5"/>
      </w:pPr>
      <w:bookmarkStart w:id="1470" w:name="_Toc201229304"/>
      <w:bookmarkStart w:id="1471" w:name="_Toc182410369"/>
      <w:r>
        <w:rPr>
          <w:rStyle w:val="CharSectno"/>
        </w:rPr>
        <w:t>233</w:t>
      </w:r>
      <w:r>
        <w:t>.</w:t>
      </w:r>
      <w:r>
        <w:tab/>
        <w:t>Assessment of duty</w:t>
      </w:r>
      <w:bookmarkEnd w:id="1470"/>
      <w:bookmarkEnd w:id="1471"/>
    </w:p>
    <w:p>
      <w:pPr>
        <w:pStyle w:val="Subsection"/>
      </w:pPr>
      <w:r>
        <w:tab/>
        <w:t>(1)</w:t>
      </w:r>
      <w:r>
        <w:tab/>
        <w:t>When an application is made for the grant or transfer of a licence for a vehicle the CEO must assess the liability to duty of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keepNext/>
      </w:pPr>
      <w:r>
        <w:tab/>
        <w:t>(3)</w:t>
      </w:r>
      <w:r>
        <w:tab/>
        <w:t>An assessment made under subsection (1), or a reassessment made under section 244B(2) by the CEO, is taken to be an official assessment for the purposes of the Taxation Administration Act.</w:t>
      </w:r>
    </w:p>
    <w:p>
      <w:pPr>
        <w:pStyle w:val="Footnotesection"/>
      </w:pPr>
      <w:r>
        <w:tab/>
        <w:t>[Section 233 amended: No. 8 of 2012 s. 96; No. 16 of 2022 s. 8.]</w:t>
      </w:r>
    </w:p>
    <w:p>
      <w:pPr>
        <w:pStyle w:val="Heading5"/>
      </w:pPr>
      <w:bookmarkStart w:id="1472" w:name="_Toc201229305"/>
      <w:bookmarkStart w:id="1473" w:name="_Toc182410370"/>
      <w:r>
        <w:rPr>
          <w:rStyle w:val="CharSectno"/>
        </w:rPr>
        <w:t>234</w:t>
      </w:r>
      <w:r>
        <w:t>.</w:t>
      </w:r>
      <w:r>
        <w:tab/>
        <w:t>Applicant for licence to state dutiable value of vehicle etc.</w:t>
      </w:r>
      <w:bookmarkEnd w:id="1472"/>
      <w:bookmarkEnd w:id="1473"/>
    </w:p>
    <w:p>
      <w:pPr>
        <w:pStyle w:val="Subsection"/>
        <w:keepNext/>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keepNext/>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keepNext/>
      </w:pPr>
      <w:r>
        <w:tab/>
        <w:t>(3)</w:t>
      </w:r>
      <w:r>
        <w:tab/>
        <w:t>The applicant must comply with the requirement in subsection (2) within the period stated in the notice.</w:t>
      </w:r>
    </w:p>
    <w:p>
      <w:pPr>
        <w:pStyle w:val="Penstart"/>
      </w:pPr>
      <w:r>
        <w:tab/>
        <w:t>Penalty: a fine of $20 000.</w:t>
      </w:r>
    </w:p>
    <w:p>
      <w:pPr>
        <w:pStyle w:val="Subsection"/>
        <w:keepNext/>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keepNext/>
      </w:pPr>
      <w:r>
        <w:tab/>
        <w:t>(b)</w:t>
      </w:r>
      <w:r>
        <w:tab/>
        <w:t>under Part 4 Division 3 — nominal duty is chargeable on the grant or transfer of a licence for the vehicle.</w:t>
      </w:r>
    </w:p>
    <w:p>
      <w:pPr>
        <w:pStyle w:val="Footnotesection"/>
      </w:pPr>
      <w:r>
        <w:tab/>
        <w:t>[Section 234 amended: No. 8 of 2012 s. 96.]</w:t>
      </w:r>
    </w:p>
    <w:p>
      <w:pPr>
        <w:pStyle w:val="Heading5"/>
      </w:pPr>
      <w:bookmarkStart w:id="1474" w:name="_Toc201229306"/>
      <w:bookmarkStart w:id="1475" w:name="_Toc182410371"/>
      <w:r>
        <w:rPr>
          <w:rStyle w:val="CharSectno"/>
        </w:rPr>
        <w:t>235</w:t>
      </w:r>
      <w:r>
        <w:t>.</w:t>
      </w:r>
      <w:r>
        <w:tab/>
        <w:t>Payment of duty</w:t>
      </w:r>
      <w:bookmarkEnd w:id="1474"/>
      <w:bookmarkEnd w:id="1475"/>
    </w:p>
    <w:p>
      <w:pPr>
        <w:pStyle w:val="Subsection"/>
        <w:keepNext/>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keepNext/>
      </w:pPr>
      <w:r>
        <w:tab/>
        <w:t>(b)</w:t>
      </w:r>
      <w:r>
        <w:tab/>
        <w:t>if an assessment is made by the Commissioner — in accordance with the Taxation Administration Act.</w:t>
      </w:r>
    </w:p>
    <w:p>
      <w:pPr>
        <w:pStyle w:val="Footnotesection"/>
      </w:pPr>
      <w:r>
        <w:tab/>
        <w:t>[Section 235 amended: No. 8 of 2012 s. 95 and 96.]</w:t>
      </w:r>
    </w:p>
    <w:p>
      <w:pPr>
        <w:pStyle w:val="Heading4"/>
        <w:rPr>
          <w:sz w:val="26"/>
        </w:rPr>
      </w:pPr>
      <w:bookmarkStart w:id="1476" w:name="_Toc201218236"/>
      <w:bookmarkStart w:id="1477" w:name="_Toc201224609"/>
      <w:bookmarkStart w:id="1478" w:name="_Toc201229307"/>
      <w:bookmarkStart w:id="1479" w:name="_Toc182388912"/>
      <w:bookmarkStart w:id="1480" w:name="_Toc182389574"/>
      <w:bookmarkStart w:id="1481" w:name="_Toc182410372"/>
      <w:r>
        <w:rPr>
          <w:sz w:val="26"/>
        </w:rPr>
        <w:t>Division 4 — Amount of vehicle licence duty</w:t>
      </w:r>
      <w:bookmarkEnd w:id="1476"/>
      <w:bookmarkEnd w:id="1477"/>
      <w:bookmarkEnd w:id="1478"/>
      <w:bookmarkEnd w:id="1479"/>
      <w:bookmarkEnd w:id="1480"/>
      <w:bookmarkEnd w:id="1481"/>
    </w:p>
    <w:p>
      <w:pPr>
        <w:pStyle w:val="Heading5"/>
      </w:pPr>
      <w:bookmarkStart w:id="1482" w:name="_Toc201229308"/>
      <w:bookmarkStart w:id="1483" w:name="_Toc182410373"/>
      <w:r>
        <w:rPr>
          <w:rStyle w:val="CharSectno"/>
        </w:rPr>
        <w:t>236</w:t>
      </w:r>
      <w:r>
        <w:t>.</w:t>
      </w:r>
      <w:r>
        <w:tab/>
        <w:t>Amount of duty payable</w:t>
      </w:r>
      <w:bookmarkEnd w:id="1482"/>
      <w:bookmarkEnd w:id="1483"/>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keepNext/>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keepNext/>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keepNext/>
      </w:pPr>
      <w:r>
        <w:tab/>
      </w:r>
      <w:r>
        <w:tab/>
        <w:t xml:space="preserve">where — </w:t>
      </w:r>
    </w:p>
    <w:p>
      <w:pPr>
        <w:pStyle w:val="Indenta"/>
        <w:keepNext/>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keepNext/>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keepNext/>
      </w:pPr>
      <w:r>
        <w:tab/>
        <w:t>(b)</w:t>
      </w:r>
      <w:r>
        <w:tab/>
        <w:t>$12 000.</w:t>
      </w:r>
    </w:p>
    <w:p>
      <w:pPr>
        <w:pStyle w:val="Footnotesection"/>
      </w:pPr>
      <w:r>
        <w:tab/>
        <w:t>[Section 236 amended: No. 12 of 2008 s. 24.]</w:t>
      </w:r>
    </w:p>
    <w:p>
      <w:pPr>
        <w:pStyle w:val="Heading4"/>
        <w:rPr>
          <w:sz w:val="26"/>
        </w:rPr>
      </w:pPr>
      <w:bookmarkStart w:id="1484" w:name="_Toc201218238"/>
      <w:bookmarkStart w:id="1485" w:name="_Toc201224611"/>
      <w:bookmarkStart w:id="1486" w:name="_Toc201229309"/>
      <w:bookmarkStart w:id="1487" w:name="_Toc182388914"/>
      <w:bookmarkStart w:id="1488" w:name="_Toc182389576"/>
      <w:bookmarkStart w:id="1489" w:name="_Toc182410374"/>
      <w:r>
        <w:rPr>
          <w:sz w:val="26"/>
        </w:rPr>
        <w:t>Division 5 — Dutiable value of a vehicle</w:t>
      </w:r>
      <w:bookmarkEnd w:id="1484"/>
      <w:bookmarkEnd w:id="1485"/>
      <w:bookmarkEnd w:id="1486"/>
      <w:bookmarkEnd w:id="1487"/>
      <w:bookmarkEnd w:id="1488"/>
      <w:bookmarkEnd w:id="1489"/>
    </w:p>
    <w:p>
      <w:pPr>
        <w:pStyle w:val="Heading5"/>
        <w:spacing w:before="180"/>
      </w:pPr>
      <w:bookmarkStart w:id="1490" w:name="_Toc201229310"/>
      <w:bookmarkStart w:id="1491" w:name="_Toc182410375"/>
      <w:r>
        <w:rPr>
          <w:rStyle w:val="CharSectno"/>
        </w:rPr>
        <w:t>237</w:t>
      </w:r>
      <w:r>
        <w:t>.</w:t>
      </w:r>
      <w:r>
        <w:tab/>
        <w:t>Certain new vehicles, dutiable value of</w:t>
      </w:r>
      <w:bookmarkEnd w:id="1490"/>
      <w:bookmarkEnd w:id="1491"/>
    </w:p>
    <w:p>
      <w:pPr>
        <w:pStyle w:val="Subsection"/>
        <w:keepNext/>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keepNext/>
      </w:pPr>
      <w:r>
        <w:tab/>
        <w:t>(c)</w:t>
      </w:r>
      <w:r>
        <w:tab/>
        <w:t>for which a price has been fixed by the manufacturer, importer or principal distributor as the retail selling price in Western Australia of a vehicle of that make and model,</w:t>
      </w:r>
    </w:p>
    <w:p>
      <w:pPr>
        <w:pStyle w:val="Subsection"/>
        <w:keepNext/>
      </w:pPr>
      <w:r>
        <w:tab/>
      </w:r>
      <w:r>
        <w:tab/>
        <w:t xml:space="preserve">is the sum of — </w:t>
      </w:r>
    </w:p>
    <w:p>
      <w:pPr>
        <w:pStyle w:val="Indenta"/>
      </w:pPr>
      <w:r>
        <w:tab/>
        <w:t>(d)</w:t>
      </w:r>
      <w:r>
        <w:tab/>
        <w:t>the price fixed as described in paragraph (c); and</w:t>
      </w:r>
    </w:p>
    <w:p>
      <w:pPr>
        <w:pStyle w:val="Indenta"/>
        <w:keepLines/>
      </w:pPr>
      <w:r>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80"/>
      </w:pPr>
      <w:bookmarkStart w:id="1492" w:name="_Toc201229311"/>
      <w:bookmarkStart w:id="1493" w:name="_Toc182410376"/>
      <w:r>
        <w:rPr>
          <w:rStyle w:val="CharSectno"/>
        </w:rPr>
        <w:t>238</w:t>
      </w:r>
      <w:r>
        <w:t>.</w:t>
      </w:r>
      <w:r>
        <w:tab/>
        <w:t>Certain other vehicles, dutiable value of</w:t>
      </w:r>
      <w:bookmarkEnd w:id="1492"/>
      <w:bookmarkEnd w:id="1493"/>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1494" w:name="_Toc201229312"/>
      <w:bookmarkStart w:id="1495" w:name="_Toc182410377"/>
      <w:r>
        <w:rPr>
          <w:rStyle w:val="CharSectno"/>
        </w:rPr>
        <w:t>239</w:t>
      </w:r>
      <w:r>
        <w:t>.</w:t>
      </w:r>
      <w:r>
        <w:tab/>
        <w:t>Specialised vehicles, dutiable value of</w:t>
      </w:r>
      <w:bookmarkEnd w:id="1494"/>
      <w:bookmarkEnd w:id="1495"/>
    </w:p>
    <w:p>
      <w:pPr>
        <w:pStyle w:val="Subsection"/>
        <w:keepNext/>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keepNext/>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keepNext/>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keepNext/>
      </w:pPr>
      <w:r>
        <w:tab/>
      </w:r>
      <w:r>
        <w:tab/>
        <w:t>the person must not attach the original equipment to any other vehicle for which the licensee intends to become the licence holder.</w:t>
      </w:r>
    </w:p>
    <w:p>
      <w:pPr>
        <w:pStyle w:val="Penstart"/>
      </w:pPr>
      <w:r>
        <w:tab/>
        <w:t>Penalty: a fine of $20 000.</w:t>
      </w:r>
    </w:p>
    <w:p>
      <w:pPr>
        <w:pStyle w:val="Subsection"/>
        <w:keepNext/>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keepNext/>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keepNext/>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1496" w:name="_Toc201218242"/>
      <w:bookmarkStart w:id="1497" w:name="_Toc201224615"/>
      <w:bookmarkStart w:id="1498" w:name="_Toc201229313"/>
      <w:bookmarkStart w:id="1499" w:name="_Toc182388918"/>
      <w:bookmarkStart w:id="1500" w:name="_Toc182389580"/>
      <w:bookmarkStart w:id="1501" w:name="_Toc182410378"/>
      <w:r>
        <w:rPr>
          <w:rStyle w:val="CharDivNo"/>
          <w:sz w:val="28"/>
        </w:rPr>
        <w:t>Part 4</w:t>
      </w:r>
      <w:r>
        <w:rPr>
          <w:sz w:val="28"/>
        </w:rPr>
        <w:t> — </w:t>
      </w:r>
      <w:r>
        <w:rPr>
          <w:rStyle w:val="CharDivText"/>
          <w:sz w:val="28"/>
        </w:rPr>
        <w:t>Exemptions and nominal duty</w:t>
      </w:r>
      <w:bookmarkEnd w:id="1496"/>
      <w:bookmarkEnd w:id="1497"/>
      <w:bookmarkEnd w:id="1498"/>
      <w:bookmarkEnd w:id="1499"/>
      <w:bookmarkEnd w:id="1500"/>
      <w:bookmarkEnd w:id="1501"/>
    </w:p>
    <w:p>
      <w:pPr>
        <w:pStyle w:val="Heading4"/>
        <w:rPr>
          <w:sz w:val="26"/>
        </w:rPr>
      </w:pPr>
      <w:bookmarkStart w:id="1502" w:name="_Toc201218243"/>
      <w:bookmarkStart w:id="1503" w:name="_Toc201224616"/>
      <w:bookmarkStart w:id="1504" w:name="_Toc201229314"/>
      <w:bookmarkStart w:id="1505" w:name="_Toc182388919"/>
      <w:bookmarkStart w:id="1506" w:name="_Toc182389581"/>
      <w:bookmarkStart w:id="1507" w:name="_Toc182410379"/>
      <w:r>
        <w:rPr>
          <w:sz w:val="26"/>
        </w:rPr>
        <w:t>Division 1 — Exemptions — general</w:t>
      </w:r>
      <w:bookmarkEnd w:id="1502"/>
      <w:bookmarkEnd w:id="1503"/>
      <w:bookmarkEnd w:id="1504"/>
      <w:bookmarkEnd w:id="1505"/>
      <w:bookmarkEnd w:id="1506"/>
      <w:bookmarkEnd w:id="1507"/>
    </w:p>
    <w:p>
      <w:pPr>
        <w:pStyle w:val="Heading5"/>
        <w:spacing w:before="180"/>
      </w:pPr>
      <w:bookmarkStart w:id="1508" w:name="_Toc201229315"/>
      <w:bookmarkStart w:id="1509" w:name="_Toc182410380"/>
      <w:r>
        <w:rPr>
          <w:rStyle w:val="CharSectno"/>
        </w:rPr>
        <w:t>240</w:t>
      </w:r>
      <w:r>
        <w:t>.</w:t>
      </w:r>
      <w:r>
        <w:tab/>
        <w:t>If no vehicle licence fee payable under Vehicles Act</w:t>
      </w:r>
      <w:bookmarkEnd w:id="1508"/>
      <w:bookmarkEnd w:id="1509"/>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No. 8 of 2012 s. 92.]</w:t>
      </w:r>
    </w:p>
    <w:p>
      <w:pPr>
        <w:pStyle w:val="Heading5"/>
        <w:spacing w:before="180"/>
      </w:pPr>
      <w:bookmarkStart w:id="1510" w:name="_Toc201229316"/>
      <w:bookmarkStart w:id="1511" w:name="_Toc182410381"/>
      <w:r>
        <w:rPr>
          <w:rStyle w:val="CharSectno"/>
        </w:rPr>
        <w:t>241</w:t>
      </w:r>
      <w:r>
        <w:t>.</w:t>
      </w:r>
      <w:r>
        <w:tab/>
        <w:t>If transfer is a reconstruction transaction</w:t>
      </w:r>
      <w:bookmarkEnd w:id="1510"/>
      <w:bookmarkEnd w:id="1511"/>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No. 8 of 2012 s. 96.]</w:t>
      </w:r>
    </w:p>
    <w:p>
      <w:pPr>
        <w:pStyle w:val="Heading5"/>
        <w:spacing w:before="180"/>
      </w:pPr>
      <w:bookmarkStart w:id="1512" w:name="_Toc201229317"/>
      <w:bookmarkStart w:id="1513" w:name="_Toc182410382"/>
      <w:r>
        <w:rPr>
          <w:rStyle w:val="CharSectno"/>
        </w:rPr>
        <w:t>242</w:t>
      </w:r>
      <w:r>
        <w:t>.</w:t>
      </w:r>
      <w:r>
        <w:tab/>
        <w:t>If vehicle previously licensed to licence holder</w:t>
      </w:r>
      <w:bookmarkEnd w:id="1512"/>
      <w:bookmarkEnd w:id="1513"/>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No. 8 of 2012 s. 95.]</w:t>
      </w:r>
    </w:p>
    <w:p>
      <w:pPr>
        <w:pStyle w:val="Heading5"/>
      </w:pPr>
      <w:bookmarkStart w:id="1514" w:name="_Toc201229318"/>
      <w:bookmarkStart w:id="1515" w:name="_Toc182410383"/>
      <w:r>
        <w:rPr>
          <w:rStyle w:val="CharSectno"/>
        </w:rPr>
        <w:t>243</w:t>
      </w:r>
      <w:r>
        <w:t>.</w:t>
      </w:r>
      <w:r>
        <w:tab/>
        <w:t>If licence is for certain heavy vehicle</w:t>
      </w:r>
      <w:bookmarkEnd w:id="1514"/>
      <w:bookmarkEnd w:id="1515"/>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No. 8 of 2012 s. 93.]</w:t>
      </w:r>
    </w:p>
    <w:p>
      <w:pPr>
        <w:pStyle w:val="Heading5"/>
      </w:pPr>
      <w:bookmarkStart w:id="1516" w:name="_Toc201229319"/>
      <w:bookmarkStart w:id="1517" w:name="_Toc182410384"/>
      <w:r>
        <w:rPr>
          <w:rStyle w:val="CharSectno"/>
        </w:rPr>
        <w:t>244A</w:t>
      </w:r>
      <w:r>
        <w:t>.</w:t>
      </w:r>
      <w:r>
        <w:tab/>
        <w:t>If transfer is between spouses or de facto partners</w:t>
      </w:r>
      <w:bookmarkEnd w:id="1516"/>
      <w:bookmarkEnd w:id="1517"/>
    </w:p>
    <w:p>
      <w:pPr>
        <w:pStyle w:val="Subsection"/>
        <w:keepNext/>
      </w:pPr>
      <w:r>
        <w:tab/>
        <w:t>(1)</w:t>
      </w:r>
      <w:r>
        <w:tab/>
        <w:t xml:space="preserve">In this section — </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tab/>
      </w:r>
      <w:r>
        <w:rPr>
          <w:rStyle w:val="CharDefText"/>
        </w:rPr>
        <w:t>de facto partners of 2 years</w:t>
      </w:r>
      <w:r>
        <w:t xml:space="preserve"> has the meaning given in section 9;</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tab/>
      </w:r>
      <w:r>
        <w:rPr>
          <w:rStyle w:val="CharDefText"/>
        </w:rPr>
        <w:t>motor cycle</w:t>
      </w:r>
      <w:r>
        <w:t xml:space="preserve"> means a motor vehicle, other than a motorised wheelchair or a goods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motorised wheelchair</w:t>
      </w:r>
      <w:r>
        <w:t xml:space="preserve"> means a chair</w:t>
      </w:r>
      <w:r>
        <w:noBreakHyphen/>
        <w:t xml:space="preserve">type vehicle that — </w:t>
      </w:r>
    </w:p>
    <w:p>
      <w:pPr>
        <w:pStyle w:val="Defpara"/>
      </w:pPr>
      <w:r>
        <w:tab/>
        <w:t>(a)</w:t>
      </w:r>
      <w:r>
        <w:tab/>
        <w:t>is fitted with 3 or more wheels; and</w:t>
      </w:r>
    </w:p>
    <w:p>
      <w:pPr>
        <w:pStyle w:val="Defpara"/>
      </w:pPr>
      <w:r>
        <w:tab/>
        <w:t>(b)</w:t>
      </w:r>
      <w:r>
        <w:tab/>
        <w:t>is fitted and designed only for the use of persons with a physical disability.</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keepNext/>
      </w:pPr>
      <w:r>
        <w:tab/>
        <w:t>(5)</w:t>
      </w:r>
      <w:r>
        <w:tab/>
        <w:t xml:space="preserve">This subsection applies if the vehicle is a car or bus or a goods vehicle — </w:t>
      </w:r>
    </w:p>
    <w:p>
      <w:pPr>
        <w:pStyle w:val="Indenta"/>
      </w:pPr>
      <w:r>
        <w:tab/>
        <w:t>(a)</w:t>
      </w:r>
      <w:r>
        <w:tab/>
        <w:t>with an unloaded mass that does not exceed 3 000 kg; and</w:t>
      </w:r>
    </w:p>
    <w:p>
      <w:pPr>
        <w:pStyle w:val="Indenta"/>
      </w:pPr>
      <w:r>
        <w:tab/>
        <w:t>(b)</w:t>
      </w:r>
      <w:r>
        <w:tab/>
        <w:t>that is not a heavy vehicle; and</w:t>
      </w:r>
    </w:p>
    <w:p>
      <w:pPr>
        <w:pStyle w:val="Indenta"/>
      </w:pPr>
      <w:r>
        <w:tab/>
        <w:t>(c)</w:t>
      </w:r>
      <w:r>
        <w:tab/>
        <w:t>that is to be used exclusively for social, domestic or pleasure purposes and is not to be used in any trade, business or industry or for the carrying of passengers, or goods, for hire or reward.</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No. 27 of 2011 s. 4; amended: No. 8 of 2012 s. 94; No. 12 of 2019 s. 117.]</w:t>
      </w:r>
    </w:p>
    <w:p>
      <w:pPr>
        <w:pStyle w:val="Heading5"/>
      </w:pPr>
      <w:bookmarkStart w:id="1518" w:name="_Toc201229320"/>
      <w:bookmarkStart w:id="1519" w:name="_Toc182410385"/>
      <w:r>
        <w:rPr>
          <w:rStyle w:val="CharSectno"/>
        </w:rPr>
        <w:t>244B</w:t>
      </w:r>
      <w:r>
        <w:t>.</w:t>
      </w:r>
      <w:r>
        <w:tab/>
        <w:t>If agreement for purchase of vehicle is terminated or vehicle is returned</w:t>
      </w:r>
      <w:bookmarkEnd w:id="1518"/>
      <w:bookmarkEnd w:id="1519"/>
    </w:p>
    <w:p>
      <w:pPr>
        <w:pStyle w:val="Subsection"/>
        <w:keepNext/>
      </w:pPr>
      <w:r>
        <w:tab/>
        <w:t>(1)</w:t>
      </w:r>
      <w:r>
        <w:tab/>
        <w:t xml:space="preserve">Duty is not chargeable on the grant or transfer of a licence for a vehicle if — </w:t>
      </w:r>
    </w:p>
    <w:p>
      <w:pPr>
        <w:pStyle w:val="Indenta"/>
      </w:pPr>
      <w:r>
        <w:tab/>
        <w:t>(a)</w:t>
      </w:r>
      <w:r>
        <w:tab/>
        <w:t xml:space="preserve">the application for the grant or transfer of the licence is the result of an agreement for a person (the </w:t>
      </w:r>
      <w:r>
        <w:rPr>
          <w:rStyle w:val="CharDefText"/>
        </w:rPr>
        <w:t>purchaser</w:t>
      </w:r>
      <w:r>
        <w:t xml:space="preserve">) to purchase the vehicle from another person (the </w:t>
      </w:r>
      <w:r>
        <w:rPr>
          <w:rStyle w:val="CharDefText"/>
        </w:rPr>
        <w:t>seller</w:t>
      </w:r>
      <w:r>
        <w:t>); and</w:t>
      </w:r>
    </w:p>
    <w:p>
      <w:pPr>
        <w:pStyle w:val="Indenta"/>
        <w:keepNext/>
      </w:pPr>
      <w:r>
        <w:tab/>
        <w:t>(b)</w:t>
      </w:r>
      <w:r>
        <w:tab/>
        <w:t xml:space="preserve">either — </w:t>
      </w:r>
    </w:p>
    <w:p>
      <w:pPr>
        <w:pStyle w:val="Indenti"/>
      </w:pPr>
      <w:r>
        <w:tab/>
        <w:t>(i)</w:t>
      </w:r>
      <w:r>
        <w:tab/>
        <w:t>the agreement is rescinded, annulled or otherwise terminated before the purchaser takes possession of the vehicle; or</w:t>
      </w:r>
    </w:p>
    <w:p>
      <w:pPr>
        <w:pStyle w:val="Indenti"/>
        <w:keepNext/>
      </w:pPr>
      <w:r>
        <w:tab/>
        <w:t>(ii)</w:t>
      </w:r>
      <w:r>
        <w:tab/>
        <w:t>after the purchaser takes possession of the vehicle, the purchaser returns the vehicle for a refund or a replacement vehicle and the return is accepted;</w:t>
      </w:r>
    </w:p>
    <w:p>
      <w:pPr>
        <w:pStyle w:val="Indenta"/>
      </w:pPr>
      <w:r>
        <w:tab/>
      </w:r>
      <w:r>
        <w:tab/>
        <w:t>and</w:t>
      </w:r>
    </w:p>
    <w:p>
      <w:pPr>
        <w:pStyle w:val="Indenta"/>
      </w:pPr>
      <w:r>
        <w:tab/>
        <w:t>(c)</w:t>
      </w:r>
      <w:r>
        <w:tab/>
        <w:t>any money that is refundable on the occurrence of the relevant event referred to in paragraph (b) is refunded to the purchaser.</w:t>
      </w:r>
    </w:p>
    <w:p>
      <w:pPr>
        <w:pStyle w:val="Subsection"/>
      </w:pPr>
      <w:r>
        <w:tab/>
        <w:t>(2)</w:t>
      </w:r>
      <w:r>
        <w:tab/>
        <w:t>The appropriate reassessment officer must, on application in the approved form, make any reassessment necessary as a result of the operation of subsection (1).</w:t>
      </w:r>
    </w:p>
    <w:p>
      <w:pPr>
        <w:pStyle w:val="Subsection"/>
        <w:keepNext/>
      </w:pPr>
      <w:r>
        <w:tab/>
        <w:t>(3)</w:t>
      </w:r>
      <w:r>
        <w:tab/>
        <w:t xml:space="preserve">In subsection (2) — </w:t>
      </w:r>
    </w:p>
    <w:p>
      <w:pPr>
        <w:pStyle w:val="Defstart"/>
        <w:keepNext/>
      </w:pPr>
      <w:r>
        <w:tab/>
      </w:r>
      <w:r>
        <w:rPr>
          <w:rStyle w:val="CharDefText"/>
        </w:rPr>
        <w:t>appropriate reassessment officer</w:t>
      </w:r>
      <w:r>
        <w:t xml:space="preserve"> means — </w:t>
      </w:r>
    </w:p>
    <w:p>
      <w:pPr>
        <w:pStyle w:val="Defpara"/>
        <w:keepNext/>
      </w:pPr>
      <w:r>
        <w:tab/>
        <w:t>(a)</w:t>
      </w:r>
      <w:r>
        <w:tab/>
        <w:t xml:space="preserve">the CEO if — </w:t>
      </w:r>
    </w:p>
    <w:p>
      <w:pPr>
        <w:pStyle w:val="Defsubpara"/>
      </w:pPr>
      <w:r>
        <w:tab/>
        <w:t>(i)</w:t>
      </w:r>
      <w:r>
        <w:tab/>
        <w:t>the seller is a dealer; and</w:t>
      </w:r>
    </w:p>
    <w:p>
      <w:pPr>
        <w:pStyle w:val="Defsubpara"/>
      </w:pPr>
      <w:r>
        <w:tab/>
        <w:t>(ii)</w:t>
      </w:r>
      <w:r>
        <w:tab/>
        <w:t>the application for the grant or transfer of the licence to the purchaser is made by the seller; and</w:t>
      </w:r>
    </w:p>
    <w:p>
      <w:pPr>
        <w:pStyle w:val="Defsubpara"/>
        <w:keepNext/>
      </w:pPr>
      <w:r>
        <w:tab/>
        <w:t>(iii)</w:t>
      </w:r>
      <w:r>
        <w:tab/>
        <w:t>the agreement is rescinded, annulled or otherwise terminated before the purchaser takes possession of the vehicle as referred to in subsection (1)(b)(i);</w:t>
      </w:r>
    </w:p>
    <w:p>
      <w:pPr>
        <w:pStyle w:val="Defpara"/>
      </w:pPr>
      <w:r>
        <w:tab/>
      </w:r>
      <w:r>
        <w:tab/>
        <w:t>or</w:t>
      </w:r>
    </w:p>
    <w:p>
      <w:pPr>
        <w:pStyle w:val="Defpara"/>
      </w:pPr>
      <w:r>
        <w:tab/>
        <w:t>(b)</w:t>
      </w:r>
      <w:r>
        <w:tab/>
        <w:t>otherwise — the Commissioner.</w:t>
      </w:r>
    </w:p>
    <w:p>
      <w:pPr>
        <w:pStyle w:val="Subsection"/>
      </w:pPr>
      <w:r>
        <w:tab/>
        <w:t>(4)</w:t>
      </w:r>
      <w:r>
        <w:tab/>
        <w:t>The time limits in the Taxation Administration Act section 17 apply to a reassessment under subsection (2), whether made by the CEO or the Commissioner.</w:t>
      </w:r>
    </w:p>
    <w:p>
      <w:pPr>
        <w:pStyle w:val="Subsection"/>
      </w:pPr>
      <w:r>
        <w:tab/>
        <w:t>(5)</w:t>
      </w:r>
      <w:r>
        <w:tab/>
        <w:t>If, as the result of a reassessment made by the CEO under subsection (2), it appears that an overpayment of tax has been made, the CEO must refund the tax.</w:t>
      </w:r>
    </w:p>
    <w:p>
      <w:pPr>
        <w:pStyle w:val="Subsection"/>
      </w:pPr>
      <w:r>
        <w:tab/>
        <w:t>(6)</w:t>
      </w:r>
      <w:r>
        <w:tab/>
        <w:t>Despite the Taxation Administration Act section 16(1)(c), the Commissioner is not required to make a reassessment under that section if tax is refundable by the CEO under subsection (5).</w:t>
      </w:r>
    </w:p>
    <w:p>
      <w:pPr>
        <w:pStyle w:val="Subsection"/>
        <w:keepNext/>
      </w:pPr>
      <w:r>
        <w:tab/>
        <w:t>(7)</w:t>
      </w:r>
      <w:r>
        <w:tab/>
        <w:t>If duty is not chargeable on the grant or transfer of a licence for a vehicle under subsection (1), duty is also not chargeable on a subsequent transfer of the licence for the vehicle from the purchaser to the seller if the application for the subsequent transfer is made as a result of the occurrence of the relevant event referred to in subsection (1)(b).</w:t>
      </w:r>
    </w:p>
    <w:p>
      <w:pPr>
        <w:pStyle w:val="Footnotesection"/>
      </w:pPr>
      <w:r>
        <w:tab/>
        <w:t>[Section 244B inserted: No. 16 of 2022 s. 9.]</w:t>
      </w:r>
    </w:p>
    <w:p>
      <w:pPr>
        <w:pStyle w:val="Heading5"/>
      </w:pPr>
      <w:bookmarkStart w:id="1520" w:name="_Toc201229321"/>
      <w:bookmarkStart w:id="1521" w:name="_Toc182410386"/>
      <w:r>
        <w:rPr>
          <w:rStyle w:val="CharSectno"/>
        </w:rPr>
        <w:t>244</w:t>
      </w:r>
      <w:r>
        <w:t>.</w:t>
      </w:r>
      <w:r>
        <w:tab/>
        <w:t>If licence is for prescribed class of person or vehicle etc.</w:t>
      </w:r>
      <w:bookmarkEnd w:id="1520"/>
      <w:bookmarkEnd w:id="1521"/>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1522" w:name="_Toc201218251"/>
      <w:bookmarkStart w:id="1523" w:name="_Toc201224624"/>
      <w:bookmarkStart w:id="1524" w:name="_Toc201229322"/>
      <w:bookmarkStart w:id="1525" w:name="_Toc182388927"/>
      <w:bookmarkStart w:id="1526" w:name="_Toc182389589"/>
      <w:bookmarkStart w:id="1527" w:name="_Toc182410387"/>
      <w:r>
        <w:rPr>
          <w:sz w:val="26"/>
        </w:rPr>
        <w:t>Division 2 — Exemptions — motor vehicle dealers</w:t>
      </w:r>
      <w:bookmarkEnd w:id="1522"/>
      <w:bookmarkEnd w:id="1523"/>
      <w:bookmarkEnd w:id="1524"/>
      <w:bookmarkEnd w:id="1525"/>
      <w:bookmarkEnd w:id="1526"/>
      <w:bookmarkEnd w:id="1527"/>
    </w:p>
    <w:p>
      <w:pPr>
        <w:pStyle w:val="Heading5"/>
      </w:pPr>
      <w:bookmarkStart w:id="1528" w:name="_Toc201229323"/>
      <w:bookmarkStart w:id="1529" w:name="_Toc182410388"/>
      <w:r>
        <w:rPr>
          <w:rStyle w:val="CharSectno"/>
        </w:rPr>
        <w:t>245</w:t>
      </w:r>
      <w:r>
        <w:t>.</w:t>
      </w:r>
      <w:r>
        <w:tab/>
        <w:t>Use of vehicle includes for minor incidental purposes</w:t>
      </w:r>
      <w:bookmarkEnd w:id="1528"/>
      <w:bookmarkEnd w:id="1529"/>
    </w:p>
    <w:p>
      <w:pPr>
        <w:pStyle w:val="Subsection"/>
        <w:keepNext/>
      </w:pPr>
      <w:r>
        <w:tab/>
      </w:r>
      <w:r>
        <w:tab/>
        <w:t>A reference in this Division to the use of a vehicle for a purpose referred to in section 246(1)(a), (2)(a) or (3)(a) or 247(1)(a) includes a reference to its use for that purpose and for minor incidental purposes.</w:t>
      </w:r>
    </w:p>
    <w:p>
      <w:pPr>
        <w:pStyle w:val="Footnotesection"/>
      </w:pPr>
      <w:r>
        <w:tab/>
        <w:t>[Section 245 amended: No. 16 of 2022 s. 10.]</w:t>
      </w:r>
    </w:p>
    <w:p>
      <w:pPr>
        <w:pStyle w:val="Heading5"/>
      </w:pPr>
      <w:bookmarkStart w:id="1530" w:name="_Toc201229324"/>
      <w:bookmarkStart w:id="1531" w:name="_Toc182410389"/>
      <w:r>
        <w:rPr>
          <w:rStyle w:val="CharSectno"/>
        </w:rPr>
        <w:t>246</w:t>
      </w:r>
      <w:r>
        <w:t>.</w:t>
      </w:r>
      <w:r>
        <w:tab/>
        <w:t>If licence is for vehicle in dealer’s trading stock, demonstrator vehicle or service demonstrator vehicle</w:t>
      </w:r>
      <w:bookmarkEnd w:id="1530"/>
      <w:bookmarkEnd w:id="1531"/>
    </w:p>
    <w:p>
      <w:pPr>
        <w:pStyle w:val="Subsection"/>
        <w:keepNext/>
      </w:pPr>
      <w:r>
        <w:tab/>
        <w:t>(1)</w:t>
      </w:r>
      <w:r>
        <w:tab/>
        <w:t xml:space="preserve">Duty is not chargeable on the grant of a licence for a vehicle to a dealer if — </w:t>
      </w:r>
    </w:p>
    <w:p>
      <w:pPr>
        <w:pStyle w:val="Indenta"/>
        <w:keepNext/>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keepNext/>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(3)(a) or section 247(1)(a); and</w:t>
      </w:r>
    </w:p>
    <w:p>
      <w:pPr>
        <w:pStyle w:val="Indenti"/>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keepNext/>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(3)</w:t>
      </w:r>
      <w:r>
        <w:tab/>
        <w:t xml:space="preserve">Duty is not chargeable on the grant of a licence for a vehicle to a dealer if — </w:t>
      </w:r>
    </w:p>
    <w:p>
      <w:pPr>
        <w:pStyle w:val="Indenta"/>
      </w:pPr>
      <w:r>
        <w:tab/>
        <w:t>(a)</w:t>
      </w:r>
      <w:r>
        <w:tab/>
        <w:t>the dealer acquired the vehicle solely for the purpose of using it as a service demonstrator vehicle; and</w:t>
      </w:r>
    </w:p>
    <w:p>
      <w:pPr>
        <w:pStyle w:val="Indenta"/>
      </w:pPr>
      <w:r>
        <w:tab/>
        <w:t>(b)</w:t>
      </w:r>
      <w:r>
        <w:tab/>
        <w:t>at the time of acquisition, the vehicle has not been used; and</w:t>
      </w:r>
    </w:p>
    <w:p>
      <w:pPr>
        <w:pStyle w:val="Indenta"/>
        <w:keepNext/>
      </w:pPr>
      <w:r>
        <w:tab/>
        <w:t>(c)</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(1)(a) or section 247(1)(a); and</w:t>
      </w:r>
    </w:p>
    <w:p>
      <w:pPr>
        <w:pStyle w:val="Indenti"/>
      </w:pPr>
      <w:r>
        <w:tab/>
        <w:t>(ii)</w:t>
      </w:r>
      <w:r>
        <w:tab/>
        <w:t>the dealer understands the effect of sections 248 and 249.</w:t>
      </w:r>
    </w:p>
    <w:p>
      <w:pPr>
        <w:pStyle w:val="Subsection"/>
        <w:keepNext/>
      </w:pPr>
      <w:r>
        <w:tab/>
        <w:t>(4)</w:t>
      </w:r>
      <w:r>
        <w:tab/>
        <w:t xml:space="preserve">For the purposes of subsection (3)(a), a vehicle is used as a service demonstrator vehicle if — </w:t>
      </w:r>
    </w:p>
    <w:p>
      <w:pPr>
        <w:pStyle w:val="Indenta"/>
      </w:pPr>
      <w:r>
        <w:tab/>
        <w:t>(a)</w:t>
      </w:r>
      <w:r>
        <w:tab/>
        <w:t>a dealer uses the vehicle to loan to customers while their vehicles are being serviced or repaired, or otherwise undergoing mechanical work undertaken, by or on behalf of the dealer; and</w:t>
      </w:r>
    </w:p>
    <w:p>
      <w:pPr>
        <w:pStyle w:val="Indenta"/>
        <w:keepNext/>
      </w:pPr>
      <w:r>
        <w:tab/>
        <w:t>(b)</w:t>
      </w:r>
      <w:r>
        <w:tab/>
        <w:t xml:space="preserve">each loan to a customer referred to in paragraph (a) is made — </w:t>
      </w:r>
    </w:p>
    <w:p>
      <w:pPr>
        <w:pStyle w:val="Indenti"/>
      </w:pPr>
      <w:r>
        <w:tab/>
        <w:t>(i)</w:t>
      </w:r>
      <w:r>
        <w:tab/>
        <w:t>without charge or for a nominal charge only; and</w:t>
      </w:r>
    </w:p>
    <w:p>
      <w:pPr>
        <w:pStyle w:val="Indenti"/>
        <w:keepNext/>
      </w:pPr>
      <w:r>
        <w:tab/>
        <w:t>(ii)</w:t>
      </w:r>
      <w:r>
        <w:tab/>
        <w:t>for the purpose of demonstrating the vehicle to encourage the customer to purchase a new vehicle of the same make, model and model year from the dealer;</w:t>
      </w:r>
    </w:p>
    <w:p>
      <w:pPr>
        <w:pStyle w:val="Indenta"/>
      </w:pPr>
      <w:r>
        <w:tab/>
      </w:r>
      <w:r>
        <w:tab/>
        <w:t>and</w:t>
      </w:r>
    </w:p>
    <w:p>
      <w:pPr>
        <w:pStyle w:val="Indenta"/>
      </w:pPr>
      <w:r>
        <w:tab/>
        <w:t>(c)</w:t>
      </w:r>
      <w:r>
        <w:tab/>
        <w:t>the vehicle is of a make of vehicles that the dealer is authorised to supply under an agreement or arrangement with the manufacturer or principal distributor; and</w:t>
      </w:r>
    </w:p>
    <w:p>
      <w:pPr>
        <w:pStyle w:val="Indenta"/>
        <w:keepNext/>
      </w:pPr>
      <w:r>
        <w:tab/>
        <w:t>(d)</w:t>
      </w:r>
      <w:r>
        <w:tab/>
        <w:t>the model year of the vehicle is the latest model year released by the manufacturer in Australia for that model of vehicle.</w:t>
      </w:r>
    </w:p>
    <w:p>
      <w:pPr>
        <w:pStyle w:val="Footnotesection"/>
      </w:pPr>
      <w:r>
        <w:tab/>
        <w:t>[Section 246 amended: No. 16 of 2022 s. 11.]</w:t>
      </w:r>
    </w:p>
    <w:p>
      <w:pPr>
        <w:pStyle w:val="Heading5"/>
      </w:pPr>
      <w:bookmarkStart w:id="1532" w:name="_Toc201229325"/>
      <w:bookmarkStart w:id="1533" w:name="_Toc182410390"/>
      <w:r>
        <w:rPr>
          <w:rStyle w:val="CharSectno"/>
        </w:rPr>
        <w:t>247</w:t>
      </w:r>
      <w:r>
        <w:t>.</w:t>
      </w:r>
      <w:r>
        <w:tab/>
        <w:t>If licence is for vehicle used for charitable etc. purposes</w:t>
      </w:r>
      <w:bookmarkEnd w:id="1532"/>
      <w:bookmarkEnd w:id="1533"/>
    </w:p>
    <w:p>
      <w:pPr>
        <w:pStyle w:val="Subsection"/>
        <w:keepNext/>
      </w:pPr>
      <w:r>
        <w:tab/>
        <w:t>(1)</w:t>
      </w:r>
      <w:r>
        <w:tab/>
        <w:t xml:space="preserve">Duty is not chargeable on the grant or transfer of a licence for a vehicle to a dealer if — </w:t>
      </w:r>
    </w:p>
    <w:p>
      <w:pPr>
        <w:pStyle w:val="Indenta"/>
        <w:keepNext/>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keepNext/>
      </w:pPr>
      <w:r>
        <w:tab/>
        <w:t>(v)</w:t>
      </w:r>
      <w:r>
        <w:tab/>
        <w:t>solely for a prescribed purpose;</w:t>
      </w:r>
    </w:p>
    <w:p>
      <w:pPr>
        <w:pStyle w:val="Indenta"/>
        <w:spacing w:before="100"/>
      </w:pPr>
      <w:r>
        <w:tab/>
      </w:r>
      <w:r>
        <w:tab/>
        <w:t>and</w:t>
      </w:r>
    </w:p>
    <w:p>
      <w:pPr>
        <w:pStyle w:val="Indenta"/>
        <w:keepNext/>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246(1)(a), (2)(a) or (3)(a); and</w:t>
      </w:r>
    </w:p>
    <w:p>
      <w:pPr>
        <w:pStyle w:val="Indenti"/>
      </w:pPr>
      <w:r>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keepNext/>
        <w:spacing w:before="180"/>
      </w:pPr>
      <w:r>
        <w:tab/>
        <w:t>(3)</w:t>
      </w:r>
      <w:r>
        <w:tab/>
        <w:t>Subject to the Taxation Administration Act section 17, the Commissioner must make any reassessment necessary to give effect to subsection (2).</w:t>
      </w:r>
    </w:p>
    <w:p>
      <w:pPr>
        <w:pStyle w:val="Footnotesection"/>
      </w:pPr>
      <w:r>
        <w:tab/>
        <w:t>[Section 247 amended: No. 16 of 2022 s. 12.]</w:t>
      </w:r>
    </w:p>
    <w:p>
      <w:pPr>
        <w:pStyle w:val="Heading5"/>
        <w:spacing w:before="240"/>
      </w:pPr>
      <w:bookmarkStart w:id="1534" w:name="_Toc201229326"/>
      <w:bookmarkStart w:id="1535" w:name="_Toc182410391"/>
      <w:r>
        <w:rPr>
          <w:rStyle w:val="CharSectno"/>
        </w:rPr>
        <w:t>248</w:t>
      </w:r>
      <w:r>
        <w:t>.</w:t>
      </w:r>
      <w:r>
        <w:tab/>
        <w:t>Change of permitted use of exempt vehicle, Commissioner to be notified</w:t>
      </w:r>
      <w:bookmarkEnd w:id="1534"/>
      <w:bookmarkEnd w:id="1535"/>
    </w:p>
    <w:p>
      <w:pPr>
        <w:pStyle w:val="Subsection"/>
        <w:keepNext/>
        <w:spacing w:before="180"/>
      </w:pPr>
      <w:r>
        <w:tab/>
      </w:r>
      <w:r>
        <w:tab/>
        <w:t>If, under section 246(1), (2) or (3) or 247(1), no duty was chargeable on the grant or transfer of a licence for a vehicle to a dealer and the dealer uses, or allows another person to use, the vehicle for a different purpose referred to in section 246(1)(a), (2)(a) or (3)(a) or 247(1)(a), the dealer must notify the Commissioner, in the approved form, of the change in use within one month after the day on which the use of the vehicle changed.</w:t>
      </w:r>
    </w:p>
    <w:p>
      <w:pPr>
        <w:pStyle w:val="Penstart"/>
        <w:keepNext/>
      </w:pPr>
      <w:r>
        <w:tab/>
        <w:t>Penalty: a fine of $5 000.</w:t>
      </w:r>
    </w:p>
    <w:p>
      <w:pPr>
        <w:pStyle w:val="Footnotesection"/>
      </w:pPr>
      <w:r>
        <w:tab/>
        <w:t>[Section 248 amended: No. 16 of 2022 s. 13.]</w:t>
      </w:r>
    </w:p>
    <w:p>
      <w:pPr>
        <w:pStyle w:val="Heading5"/>
      </w:pPr>
      <w:bookmarkStart w:id="1536" w:name="_Toc201229327"/>
      <w:bookmarkStart w:id="1537" w:name="_Toc182410392"/>
      <w:r>
        <w:rPr>
          <w:rStyle w:val="CharSectno"/>
        </w:rPr>
        <w:t>249</w:t>
      </w:r>
      <w:r>
        <w:t>.</w:t>
      </w:r>
      <w:r>
        <w:tab/>
        <w:t>Change of use of exempt vehicle to non</w:t>
      </w:r>
      <w:r>
        <w:noBreakHyphen/>
        <w:t>permitted use, consequences of</w:t>
      </w:r>
      <w:bookmarkEnd w:id="1536"/>
      <w:bookmarkEnd w:id="1537"/>
    </w:p>
    <w:p>
      <w:pPr>
        <w:pStyle w:val="Subsection"/>
        <w:keepNext/>
      </w:pPr>
      <w:r>
        <w:tab/>
        <w:t>(1)</w:t>
      </w:r>
      <w:r>
        <w:tab/>
        <w:t>If, under section 246(1), (2) or (3)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246(1)(a), (2)(a) or (3)(a) or 247(1)(a) unless the person notifies the Commissioner, in the approved form, of the change in use within one month after the day on which the use of the vehicle changed.</w:t>
      </w:r>
    </w:p>
    <w:p>
      <w:pPr>
        <w:pStyle w:val="Penstart"/>
      </w:pPr>
      <w:r>
        <w:tab/>
        <w:t>Penalty for this subsection: a fine of $20 000.</w:t>
      </w:r>
    </w:p>
    <w:p>
      <w:pPr>
        <w:pStyle w:val="Subsection"/>
        <w:keepNext/>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keepNext/>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keepNext/>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Footnotesection"/>
      </w:pPr>
      <w:r>
        <w:tab/>
        <w:t>[Section 249 amended: No. 16 of 2022 s. 14.]</w:t>
      </w:r>
    </w:p>
    <w:p>
      <w:pPr>
        <w:pStyle w:val="Heading4"/>
        <w:rPr>
          <w:sz w:val="26"/>
        </w:rPr>
      </w:pPr>
      <w:bookmarkStart w:id="1538" w:name="_Toc201218257"/>
      <w:bookmarkStart w:id="1539" w:name="_Toc201224630"/>
      <w:bookmarkStart w:id="1540" w:name="_Toc201229328"/>
      <w:bookmarkStart w:id="1541" w:name="_Toc182388933"/>
      <w:bookmarkStart w:id="1542" w:name="_Toc182389595"/>
      <w:bookmarkStart w:id="1543" w:name="_Toc182410393"/>
      <w:r>
        <w:rPr>
          <w:sz w:val="26"/>
        </w:rPr>
        <w:t>Division 3 — Nominal duty</w:t>
      </w:r>
      <w:bookmarkEnd w:id="1538"/>
      <w:bookmarkEnd w:id="1539"/>
      <w:bookmarkEnd w:id="1540"/>
      <w:bookmarkEnd w:id="1541"/>
      <w:bookmarkEnd w:id="1542"/>
      <w:bookmarkEnd w:id="1543"/>
    </w:p>
    <w:p>
      <w:pPr>
        <w:pStyle w:val="Heading5"/>
      </w:pPr>
      <w:bookmarkStart w:id="1544" w:name="_Toc201229329"/>
      <w:bookmarkStart w:id="1545" w:name="_Toc182410394"/>
      <w:r>
        <w:rPr>
          <w:rStyle w:val="CharSectno"/>
        </w:rPr>
        <w:t>250</w:t>
      </w:r>
      <w:r>
        <w:t>.</w:t>
      </w:r>
      <w:r>
        <w:tab/>
        <w:t>Transactions chargeable with nominal duty</w:t>
      </w:r>
      <w:bookmarkEnd w:id="1544"/>
      <w:bookmarkEnd w:id="1545"/>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keepNext/>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keepNext/>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keepNext/>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keepNext/>
      </w:pPr>
      <w:r>
        <w:tab/>
        <w:t>(b)</w:t>
      </w:r>
      <w:r>
        <w:tab/>
        <w:t xml:space="preserve">the transfer of the vehicle is in accordance with — </w:t>
      </w:r>
    </w:p>
    <w:p>
      <w:pPr>
        <w:pStyle w:val="Indenti"/>
      </w:pPr>
      <w:r>
        <w:tab/>
        <w:t>(i)</w:t>
      </w:r>
      <w:r>
        <w:tab/>
        <w:t>a matrimonial instrument or de facto relationship instrument that came into existence; or</w:t>
      </w:r>
    </w:p>
    <w:p>
      <w:pPr>
        <w:pStyle w:val="Indenti"/>
        <w:keepNext/>
      </w:pPr>
      <w:r>
        <w:tab/>
        <w:t>(ii)</w:t>
      </w:r>
      <w:r>
        <w:tab/>
        <w:t>an instrument that became a matrimonial instrument or de facto relationship instrument,</w:t>
      </w:r>
    </w:p>
    <w:p>
      <w:pPr>
        <w:pStyle w:val="Indenta"/>
        <w:keepNext/>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keepNext/>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keepNext/>
      </w:pPr>
      <w:r>
        <w:tab/>
        <w:t>(b)</w:t>
      </w:r>
      <w:r>
        <w:tab/>
        <w:t>the day on which the instrument became a matrimonial instrument or de facto relationship instrument,</w:t>
      </w:r>
    </w:p>
    <w:p>
      <w:pPr>
        <w:pStyle w:val="Subsection"/>
      </w:pPr>
      <w:r>
        <w:tab/>
      </w:r>
      <w:r>
        <w:tab/>
        <w:t>as the case may be.</w:t>
      </w:r>
    </w:p>
    <w:p>
      <w:pPr>
        <w:pStyle w:val="Subsection"/>
        <w:keepNext/>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No. 32 of 2012 s. 24; No. 16 of 2022 s. 15.]</w:t>
      </w:r>
    </w:p>
    <w:p>
      <w:pPr>
        <w:pStyle w:val="Heading3"/>
        <w:keepLines/>
        <w:rPr>
          <w:sz w:val="28"/>
        </w:rPr>
      </w:pPr>
      <w:bookmarkStart w:id="1546" w:name="_Toc201218259"/>
      <w:bookmarkStart w:id="1547" w:name="_Toc201224632"/>
      <w:bookmarkStart w:id="1548" w:name="_Toc201229330"/>
      <w:bookmarkStart w:id="1549" w:name="_Toc182388935"/>
      <w:bookmarkStart w:id="1550" w:name="_Toc182389597"/>
      <w:bookmarkStart w:id="1551" w:name="_Toc182410395"/>
      <w:r>
        <w:rPr>
          <w:rStyle w:val="CharDivNo"/>
          <w:sz w:val="28"/>
        </w:rPr>
        <w:t>Part 5</w:t>
      </w:r>
      <w:r>
        <w:rPr>
          <w:sz w:val="28"/>
        </w:rPr>
        <w:t> — </w:t>
      </w:r>
      <w:r>
        <w:rPr>
          <w:rStyle w:val="CharDivText"/>
          <w:sz w:val="28"/>
        </w:rPr>
        <w:t>General provisions as to vehicle licence duty</w:t>
      </w:r>
      <w:bookmarkEnd w:id="1546"/>
      <w:bookmarkEnd w:id="1547"/>
      <w:bookmarkEnd w:id="1548"/>
      <w:bookmarkEnd w:id="1549"/>
      <w:bookmarkEnd w:id="1550"/>
      <w:bookmarkEnd w:id="1551"/>
    </w:p>
    <w:p>
      <w:pPr>
        <w:pStyle w:val="Heading5"/>
      </w:pPr>
      <w:bookmarkStart w:id="1552" w:name="_Toc201229331"/>
      <w:bookmarkStart w:id="1553" w:name="_Toc182410396"/>
      <w:r>
        <w:rPr>
          <w:rStyle w:val="CharSectno"/>
        </w:rPr>
        <w:t>251</w:t>
      </w:r>
      <w:r>
        <w:t>.</w:t>
      </w:r>
      <w:r>
        <w:tab/>
        <w:t>Failure to apply for transfer of licence</w:t>
      </w:r>
      <w:bookmarkEnd w:id="1552"/>
      <w:bookmarkEnd w:id="1553"/>
    </w:p>
    <w:p>
      <w:pPr>
        <w:pStyle w:val="Subsection"/>
        <w:keepNext/>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keepNext/>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No. 8 of 2012 s. 95.]</w:t>
      </w:r>
    </w:p>
    <w:p>
      <w:pPr>
        <w:pStyle w:val="Heading5"/>
      </w:pPr>
      <w:bookmarkStart w:id="1554" w:name="_Toc201229332"/>
      <w:bookmarkStart w:id="1555" w:name="_Toc182410397"/>
      <w:r>
        <w:rPr>
          <w:rStyle w:val="CharSectno"/>
        </w:rPr>
        <w:t>252</w:t>
      </w:r>
      <w:r>
        <w:t>.</w:t>
      </w:r>
      <w:r>
        <w:tab/>
        <w:t>Seller to state dutiable value of vehicle etc.</w:t>
      </w:r>
      <w:bookmarkEnd w:id="1554"/>
      <w:bookmarkEnd w:id="1555"/>
    </w:p>
    <w:p>
      <w:pPr>
        <w:pStyle w:val="Subsection"/>
        <w:keepNext/>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keepNext/>
      </w:pPr>
      <w:r>
        <w:tab/>
        <w:t>(b)</w:t>
      </w:r>
      <w:r>
        <w:tab/>
        <w:t>the person’s estimate of the dutiable value of the vehicle at the time the person ceased to be the owner of it.</w:t>
      </w:r>
    </w:p>
    <w:p>
      <w:pPr>
        <w:pStyle w:val="Penstart"/>
      </w:pPr>
      <w:r>
        <w:tab/>
        <w:t>Penalty: a fine of $20 000.</w:t>
      </w:r>
    </w:p>
    <w:p>
      <w:pPr>
        <w:pStyle w:val="Subsection"/>
        <w:keepNext/>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keepNext/>
      </w:pPr>
      <w:r>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keepNext/>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keepNext/>
      </w:pPr>
      <w:r>
        <w:tab/>
        <w:t>(b)</w:t>
      </w:r>
      <w:r>
        <w:tab/>
        <w:t>duty payable on the grant or transfer of the licence for that vehicle is initially assessed on a value of the vehicle that is less than the proper dutiable value,</w:t>
      </w:r>
    </w:p>
    <w:p>
      <w:pPr>
        <w:pStyle w:val="Subsection"/>
        <w:keepNext/>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No. 8 of 2012 s. 95 and 96.]</w:t>
      </w:r>
    </w:p>
    <w:p>
      <w:pPr>
        <w:pStyle w:val="Heading5"/>
      </w:pPr>
      <w:bookmarkStart w:id="1556" w:name="_Toc201229333"/>
      <w:bookmarkStart w:id="1557" w:name="_Toc182410398"/>
      <w:r>
        <w:rPr>
          <w:rStyle w:val="CharSectno"/>
        </w:rPr>
        <w:t>253</w:t>
      </w:r>
      <w:r>
        <w:t>.</w:t>
      </w:r>
      <w:r>
        <w:tab/>
        <w:t>Functions of CEO and Commissioner</w:t>
      </w:r>
      <w:bookmarkEnd w:id="1556"/>
      <w:bookmarkEnd w:id="1557"/>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No. 8 of 2012 s. 96.] </w:t>
      </w:r>
    </w:p>
    <w:p>
      <w:pPr>
        <w:pStyle w:val="Heading5"/>
      </w:pPr>
      <w:bookmarkStart w:id="1558" w:name="_Toc201229334"/>
      <w:bookmarkStart w:id="1559" w:name="_Toc182410399"/>
      <w:r>
        <w:rPr>
          <w:rStyle w:val="CharSectno"/>
        </w:rPr>
        <w:t>254</w:t>
      </w:r>
      <w:r>
        <w:t>.</w:t>
      </w:r>
      <w:r>
        <w:tab/>
        <w:t>Form of certain declarations</w:t>
      </w:r>
      <w:bookmarkEnd w:id="1558"/>
      <w:bookmarkEnd w:id="1559"/>
    </w:p>
    <w:p>
      <w:pPr>
        <w:pStyle w:val="Subsection"/>
        <w:keepNext/>
      </w:pPr>
      <w:r>
        <w:tab/>
      </w:r>
      <w:r>
        <w:tab/>
        <w:t>A declaration for the purposes of section 239(1)(e), 246(1)(b), (2)(b) or (3)(c) or 247(1)(b) must be signed by the person making the application for the grant or transfer of the licence.</w:t>
      </w:r>
    </w:p>
    <w:p>
      <w:pPr>
        <w:pStyle w:val="Footnotesection"/>
      </w:pPr>
      <w:r>
        <w:tab/>
        <w:t>[Section 254 amended: No. 16 of 2022 s. 16.]</w:t>
      </w:r>
    </w:p>
    <w:p>
      <w:pPr>
        <w:pStyle w:val="Heading5"/>
      </w:pPr>
      <w:bookmarkStart w:id="1560" w:name="_Toc201229335"/>
      <w:bookmarkStart w:id="1561" w:name="_Toc182410400"/>
      <w:r>
        <w:rPr>
          <w:rStyle w:val="CharSectno"/>
        </w:rPr>
        <w:t>255</w:t>
      </w:r>
      <w:r>
        <w:t>.</w:t>
      </w:r>
      <w:r>
        <w:tab/>
        <w:t>CEO’s duties</w:t>
      </w:r>
      <w:bookmarkEnd w:id="1560"/>
      <w:bookmarkEnd w:id="1561"/>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keepNext/>
      </w:pPr>
      <w:r>
        <w:tab/>
        <w:t>(b)</w:t>
      </w:r>
      <w:r>
        <w:tab/>
        <w:t>credit the amount of duty and penalty tax paid to the CEO, other than any amount refunded under section 244B(5), to the Commissioner.</w:t>
      </w:r>
    </w:p>
    <w:p>
      <w:pPr>
        <w:pStyle w:val="Footnotesection"/>
      </w:pPr>
      <w:r>
        <w:tab/>
        <w:t>[Section 255 amended: No. 8 of 2012 s. 96; No. 16 of 2022 s. 17.]</w:t>
      </w:r>
    </w:p>
    <w:p>
      <w:pPr>
        <w:pStyle w:val="Heading5"/>
      </w:pPr>
      <w:bookmarkStart w:id="1562" w:name="_Toc201229336"/>
      <w:bookmarkStart w:id="1563" w:name="_Toc182410401"/>
      <w:r>
        <w:rPr>
          <w:rStyle w:val="CharSectno"/>
        </w:rPr>
        <w:t>256</w:t>
      </w:r>
      <w:r>
        <w:t>.</w:t>
      </w:r>
      <w:r>
        <w:tab/>
        <w:t>Records to be kept by dealers</w:t>
      </w:r>
      <w:bookmarkEnd w:id="1562"/>
      <w:bookmarkEnd w:id="1563"/>
    </w:p>
    <w:p>
      <w:pPr>
        <w:pStyle w:val="Subsection"/>
        <w:keepNext/>
      </w:pPr>
      <w:r>
        <w:tab/>
      </w:r>
      <w:r>
        <w:tab/>
        <w:t xml:space="preserve">A dealer must keep — </w:t>
      </w:r>
    </w:p>
    <w:p>
      <w:pPr>
        <w:pStyle w:val="Indenta"/>
      </w:pPr>
      <w:r>
        <w:tab/>
        <w:t>(a)</w:t>
      </w:r>
      <w:r>
        <w:tab/>
        <w:t>the records that are prescribed for the purposes of this Chapter (if any); and</w:t>
      </w:r>
    </w:p>
    <w:p>
      <w:pPr>
        <w:pStyle w:val="Indenta"/>
        <w:keepNext/>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1564" w:name="_Toc201218266"/>
      <w:bookmarkStart w:id="1565" w:name="_Toc201224639"/>
      <w:bookmarkStart w:id="1566" w:name="_Toc201229337"/>
      <w:bookmarkStart w:id="1567" w:name="_Toc182388942"/>
      <w:bookmarkStart w:id="1568" w:name="_Toc182389604"/>
      <w:bookmarkStart w:id="1569" w:name="_Toc182410402"/>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1564"/>
      <w:bookmarkEnd w:id="1565"/>
      <w:bookmarkEnd w:id="1566"/>
      <w:bookmarkEnd w:id="1567"/>
      <w:bookmarkEnd w:id="1568"/>
      <w:bookmarkEnd w:id="1569"/>
    </w:p>
    <w:p>
      <w:pPr>
        <w:pStyle w:val="Heading5"/>
      </w:pPr>
      <w:bookmarkStart w:id="1570" w:name="_Toc201229338"/>
      <w:bookmarkStart w:id="1571" w:name="_Toc182410403"/>
      <w:r>
        <w:rPr>
          <w:rStyle w:val="CharSectno"/>
        </w:rPr>
        <w:t>257</w:t>
      </w:r>
      <w:r>
        <w:t>.</w:t>
      </w:r>
      <w:r>
        <w:tab/>
        <w:t>Terms used</w:t>
      </w:r>
      <w:bookmarkEnd w:id="1570"/>
      <w:bookmarkEnd w:id="1571"/>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tab/>
      </w:r>
      <w:r>
        <w:rPr>
          <w:rStyle w:val="CharDefText"/>
        </w:rPr>
        <w:t>notifiable event</w:t>
      </w:r>
      <w:r>
        <w:t xml:space="preserve"> has the meaning given by section 264(2) and (3);</w:t>
      </w:r>
    </w:p>
    <w:p>
      <w:pPr>
        <w:pStyle w:val="Defstart"/>
      </w:pPr>
      <w:r>
        <w:rPr>
          <w:b/>
        </w:rPr>
        <w:tab/>
      </w:r>
      <w:r>
        <w:rPr>
          <w:rStyle w:val="CharDefText"/>
        </w:rPr>
        <w:t>parent entity</w:t>
      </w:r>
      <w:r>
        <w:t xml:space="preserve"> has the meaning given in subsection (2);</w:t>
      </w:r>
    </w:p>
    <w:p>
      <w:pPr>
        <w:pStyle w:val="Defstart"/>
      </w:pPr>
      <w:r>
        <w:tab/>
      </w:r>
      <w:r>
        <w:rPr>
          <w:rStyle w:val="CharDefText"/>
        </w:rPr>
        <w:t>public float</w:t>
      </w:r>
      <w:r>
        <w:t xml:space="preserve"> means — </w:t>
      </w:r>
    </w:p>
    <w:p>
      <w:pPr>
        <w:pStyle w:val="Defpara"/>
      </w:pPr>
      <w:r>
        <w:tab/>
        <w:t>(a)</w:t>
      </w:r>
      <w:r>
        <w:tab/>
        <w:t>the securities of an entity being offered for sale or issue to the public for the purpose of listing the entity on a prescribed financial market; or</w:t>
      </w:r>
    </w:p>
    <w:p>
      <w:pPr>
        <w:pStyle w:val="Defpara"/>
      </w:pPr>
      <w:r>
        <w:tab/>
        <w:t>(b)</w:t>
      </w:r>
      <w:r>
        <w:tab/>
        <w:t>the securities of an entity being listed on a prescribed financial market within 12 months after being offered to the public as referred to in paragraph (a);</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tab/>
      </w:r>
      <w:r>
        <w:rPr>
          <w:rStyle w:val="CharDefText"/>
        </w:rPr>
        <w:t>security</w:t>
      </w:r>
      <w:r>
        <w:t xml:space="preserve"> — </w:t>
      </w:r>
    </w:p>
    <w:p>
      <w:pPr>
        <w:pStyle w:val="Defpara"/>
      </w:pPr>
      <w:r>
        <w:tab/>
        <w:t>(a)</w:t>
      </w:r>
      <w:r>
        <w:tab/>
        <w:t xml:space="preserve">in relation to an entity that is a corporation — </w:t>
      </w:r>
    </w:p>
    <w:p>
      <w:pPr>
        <w:pStyle w:val="Defsubpara"/>
      </w:pPr>
      <w:r>
        <w:tab/>
        <w:t>(i)</w:t>
      </w:r>
      <w:r>
        <w:tab/>
        <w:t>means an issued share of the corporation; and</w:t>
      </w:r>
    </w:p>
    <w:p>
      <w:pPr>
        <w:pStyle w:val="Defsubpara"/>
      </w:pPr>
      <w:r>
        <w:tab/>
        <w:t>(ii)</w:t>
      </w:r>
      <w:r>
        <w:tab/>
        <w:t>if the corporation is a hybrid company — includes an interest that the Commissioner considers is analogous to an issued share of the corporation;</w:t>
      </w:r>
    </w:p>
    <w:p>
      <w:pPr>
        <w:pStyle w:val="Defpara"/>
      </w:pPr>
      <w:r>
        <w:tab/>
      </w:r>
      <w:r>
        <w:tab/>
        <w:t>or</w:t>
      </w:r>
    </w:p>
    <w:p>
      <w:pPr>
        <w:pStyle w:val="Defpara"/>
      </w:pPr>
      <w:r>
        <w:tab/>
        <w:t>(b)</w:t>
      </w:r>
      <w:r>
        <w:tab/>
        <w:t>in relation to an entity that is a unit trust scheme — means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Subsection"/>
      </w:pPr>
      <w:r>
        <w:tab/>
        <w:t>(3)</w:t>
      </w:r>
      <w:r>
        <w:tab/>
        <w:t>A reference in section 260 or 264A to residential property includes a reference to a chattel in Western Australia to which section 205E(2) applies.</w:t>
      </w:r>
    </w:p>
    <w:p>
      <w:pPr>
        <w:pStyle w:val="Footnotesection"/>
      </w:pPr>
      <w:r>
        <w:tab/>
        <w:t>[Section 257 amended: No. 12 of 2019 s. 118.]</w:t>
      </w:r>
    </w:p>
    <w:p>
      <w:pPr>
        <w:pStyle w:val="Heading5"/>
        <w:spacing w:before="240"/>
      </w:pPr>
      <w:bookmarkStart w:id="1572" w:name="_Toc201229339"/>
      <w:bookmarkStart w:id="1573" w:name="_Toc182410404"/>
      <w:r>
        <w:rPr>
          <w:rStyle w:val="CharSectno"/>
        </w:rPr>
        <w:t>258</w:t>
      </w:r>
      <w:r>
        <w:t>.</w:t>
      </w:r>
      <w:r>
        <w:tab/>
        <w:t>Members of family</w:t>
      </w:r>
      <w:bookmarkEnd w:id="1572"/>
      <w:bookmarkEnd w:id="1573"/>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1574" w:name="_Toc201229340"/>
      <w:bookmarkStart w:id="1575" w:name="_Toc182410405"/>
      <w:r>
        <w:rPr>
          <w:rStyle w:val="CharSectno"/>
        </w:rPr>
        <w:t>259</w:t>
      </w:r>
      <w:r>
        <w:t>.</w:t>
      </w:r>
      <w:r>
        <w:tab/>
        <w:t>Relevant consolidation transaction</w:t>
      </w:r>
      <w:bookmarkEnd w:id="1574"/>
      <w:bookmarkEnd w:id="1575"/>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or foreign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Subsection"/>
      </w:pPr>
      <w:r>
        <w:tab/>
        <w:t>(5)</w:t>
      </w:r>
      <w:r>
        <w:tab/>
        <w:t xml:space="preserve">An acquisition is not a </w:t>
      </w:r>
      <w:r>
        <w:rPr>
          <w:rStyle w:val="CharDefText"/>
        </w:rPr>
        <w:t>relevant consolidation transaction</w:t>
      </w:r>
      <w:r>
        <w:t xml:space="preserve"> if any part of the consideration for the acquisition, or an associated acquisition, has been or is to be provided by a person that is not a member of the family formed by the corporate consolidation referred to in subsection (2).</w:t>
      </w:r>
    </w:p>
    <w:p>
      <w:pPr>
        <w:pStyle w:val="Subsection"/>
      </w:pPr>
      <w:r>
        <w:tab/>
        <w:t>(6)</w:t>
      </w:r>
      <w:r>
        <w:tab/>
        <w:t xml:space="preserve">For the purposes of subsection (5) — </w:t>
      </w:r>
    </w:p>
    <w:p>
      <w:pPr>
        <w:pStyle w:val="Indenta"/>
      </w:pPr>
      <w:r>
        <w:tab/>
        <w:t>(a)</w:t>
      </w:r>
      <w:r>
        <w:tab/>
        <w:t xml:space="preserve">if the acquisition concerned is an acquisition of securities of the affected entity by the head entity as referred to in subsection (2)(a) — an acquisition of securities of the head entity by a holder of securities of the affected entity that is made for the purposes of the same corporate consolidation is an </w:t>
      </w:r>
      <w:r>
        <w:rPr>
          <w:rStyle w:val="CharDefText"/>
        </w:rPr>
        <w:t>associated acquisition</w:t>
      </w:r>
      <w:r>
        <w:t>; or</w:t>
      </w:r>
    </w:p>
    <w:p>
      <w:pPr>
        <w:pStyle w:val="Indenta"/>
      </w:pPr>
      <w:r>
        <w:tab/>
        <w:t>(b)</w:t>
      </w:r>
      <w:r>
        <w:tab/>
        <w:t>if the acquisition concerned is an acquisition of securities of the head entity by a holder of securities of the affected entity as referred to in subsection (2)(b) — an acquisition of securities of the affected entity by the head entity that is made for the purposes of the same corporate consolidation is an associated acquisition.</w:t>
      </w:r>
    </w:p>
    <w:p>
      <w:pPr>
        <w:pStyle w:val="Subsection"/>
      </w:pPr>
      <w:r>
        <w:tab/>
        <w:t>(7)</w:t>
      </w:r>
      <w:r>
        <w:tab/>
        <w:t xml:space="preserve">Subsection (5) does not apply in relation to consideration provided for an acquisition or an associated acquisition if — </w:t>
      </w:r>
    </w:p>
    <w:p>
      <w:pPr>
        <w:pStyle w:val="Indenta"/>
      </w:pPr>
      <w:r>
        <w:tab/>
        <w:t>(a)</w:t>
      </w:r>
      <w:r>
        <w:tab/>
        <w:t>the acquisition or associated acquisition is of a kind referred to in subsection (2)(b); and</w:t>
      </w:r>
    </w:p>
    <w:p>
      <w:pPr>
        <w:pStyle w:val="Indenta"/>
      </w:pPr>
      <w:r>
        <w:tab/>
        <w:t>(b)</w:t>
      </w:r>
      <w:r>
        <w:tab/>
        <w:t>the consideration is the transfer of securities of the affected entity by the holder of those securities to the head entity.</w:t>
      </w:r>
    </w:p>
    <w:p>
      <w:pPr>
        <w:pStyle w:val="Footnotesection"/>
      </w:pPr>
      <w:r>
        <w:tab/>
        <w:t>[Section 259 amended: No. 24 of 2018 s. 9; No. 12 of 2019 s. 119.]</w:t>
      </w:r>
    </w:p>
    <w:p>
      <w:pPr>
        <w:pStyle w:val="Heading5"/>
      </w:pPr>
      <w:bookmarkStart w:id="1576" w:name="_Toc201229341"/>
      <w:bookmarkStart w:id="1577" w:name="_Toc182410406"/>
      <w:r>
        <w:rPr>
          <w:rStyle w:val="CharSectno"/>
        </w:rPr>
        <w:t>260</w:t>
      </w:r>
      <w:r>
        <w:t>.</w:t>
      </w:r>
      <w:r>
        <w:tab/>
        <w:t>Relevant reconstruction transaction</w:t>
      </w:r>
      <w:bookmarkEnd w:id="1576"/>
      <w:bookmarkEnd w:id="1577"/>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(aa)</w:t>
      </w:r>
      <w:r>
        <w:tab/>
        <w:t>any of the following foreign dutiable transactions, if foreign transfer duty is chargeable —</w:t>
      </w:r>
    </w:p>
    <w:p>
      <w:pPr>
        <w:pStyle w:val="Indenti"/>
      </w:pPr>
      <w:r>
        <w:tab/>
        <w:t>(i)</w:t>
      </w:r>
      <w:r>
        <w:tab/>
        <w:t>an agreement, whether conditional or not, for the transfer of residential property from one member of a family to another member of the family;</w:t>
      </w:r>
    </w:p>
    <w:p>
      <w:pPr>
        <w:pStyle w:val="Indenti"/>
      </w:pPr>
      <w:r>
        <w:tab/>
        <w:t>(ii)</w:t>
      </w:r>
      <w:r>
        <w:tab/>
        <w:t>a transfer of residential property from one member of a family to another member of the family;</w:t>
      </w:r>
    </w:p>
    <w:p>
      <w:pPr>
        <w:pStyle w:val="Indenti"/>
      </w:pPr>
      <w:r>
        <w:tab/>
        <w:t>(iii)</w:t>
      </w:r>
      <w:r>
        <w:tab/>
        <w:t>a declaration of trust over residential property under which one member of a family holds the property on trust for another member of the family;</w:t>
      </w:r>
    </w:p>
    <w:p>
      <w:pPr>
        <w:pStyle w:val="Indenti"/>
      </w:pPr>
      <w:r>
        <w:tab/>
        <w:t>(iv)</w:t>
      </w:r>
      <w:r>
        <w:tab/>
        <w:t>a vesting of residential property held by one member of a family in another member of the family;</w:t>
      </w:r>
    </w:p>
    <w:p>
      <w:pPr>
        <w:pStyle w:val="Indenti"/>
      </w:pPr>
      <w:r>
        <w:tab/>
        <w:t>(v)</w:t>
      </w:r>
      <w:r>
        <w:tab/>
        <w:t>a surrender of special residential property, as defined in section 205F(1), if the special residential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or foreign landholder duty is chargeable.</w:t>
      </w:r>
    </w:p>
    <w:p>
      <w:pPr>
        <w:pStyle w:val="Subsection"/>
      </w:pPr>
      <w:r>
        <w:tab/>
        <w:t>(1A)</w:t>
      </w:r>
      <w:r>
        <w:tab/>
        <w:t>For the purposes of subsection (1)(a)(v), a surrender of a mining tenement, in whole or in part, by one member of a family is taken to be a surrender to another member of the family if the surrender is made in contemplation of, or as part of an agreement that, the tenement, or the part of the tenement, be granted to or acquired by the other member of the family.</w:t>
      </w:r>
    </w:p>
    <w:p>
      <w:pPr>
        <w:pStyle w:val="Subsection"/>
        <w:keepNext/>
      </w:pPr>
      <w:r>
        <w:tab/>
        <w:t>(1B)</w:t>
      </w:r>
      <w:r>
        <w:tab/>
        <w:t xml:space="preserve">For the purposes of subsection (1)(d), an acquisition of an interest in an entity by one member of a family is taken to be an acquisition from another member of the family if — </w:t>
      </w:r>
    </w:p>
    <w:p>
      <w:pPr>
        <w:pStyle w:val="Indenta"/>
      </w:pPr>
      <w:r>
        <w:tab/>
        <w:t>(a)</w:t>
      </w:r>
      <w:r>
        <w:tab/>
        <w:t>the interest of the other member of the family in the entity is decreased because of the acquisition; or</w:t>
      </w:r>
    </w:p>
    <w:p>
      <w:pPr>
        <w:pStyle w:val="Indenta"/>
      </w:pPr>
      <w:r>
        <w:tab/>
        <w:t>(b)</w:t>
      </w:r>
      <w:r>
        <w:tab/>
        <w:t>the interest of the other member of the family in the entity decreased resulting in the acquisition.</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(2A)</w:t>
      </w:r>
      <w:r>
        <w:tab/>
        <w:t xml:space="preserve">A transaction referred to in subsection (1)(aa) is not a </w:t>
      </w:r>
      <w:r>
        <w:rPr>
          <w:rStyle w:val="CharDefText"/>
        </w:rPr>
        <w:t>relevant reconstruction transaction</w:t>
      </w:r>
      <w:r>
        <w:t xml:space="preserve"> if, immediately before the transaction, the residential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Subsection"/>
      </w:pPr>
      <w:r>
        <w:tab/>
        <w:t>(5)</w:t>
      </w:r>
      <w:r>
        <w:tab/>
        <w:t xml:space="preserve">A transaction, transfer or acquisition referred to in subsection (1) is not a </w:t>
      </w:r>
      <w:r>
        <w:rPr>
          <w:rStyle w:val="CharDefText"/>
        </w:rPr>
        <w:t>relevant reconstruction transaction</w:t>
      </w:r>
      <w:r>
        <w:t xml:space="preserve"> if any part of the consideration for the transaction, transfer or acquisition has been or is to be provided by a person that is not a member of the family referred to in that subsection.</w:t>
      </w:r>
    </w:p>
    <w:p>
      <w:pPr>
        <w:pStyle w:val="Footnotesection"/>
        <w:keepLines w:val="0"/>
        <w:spacing w:before="80"/>
        <w:ind w:left="890" w:hanging="890"/>
      </w:pPr>
      <w:r>
        <w:tab/>
        <w:t>[Section 260 amended: No. 9 of 2010 s. 5; No. 24 of 2018 s. 10; No. 12 of 2019 s. 120.]</w:t>
      </w:r>
    </w:p>
    <w:p>
      <w:pPr>
        <w:pStyle w:val="Heading5"/>
      </w:pPr>
      <w:bookmarkStart w:id="1578" w:name="_Toc201229342"/>
      <w:bookmarkStart w:id="1579" w:name="_Toc182410407"/>
      <w:r>
        <w:rPr>
          <w:rStyle w:val="CharSectno"/>
        </w:rPr>
        <w:t>260A</w:t>
      </w:r>
      <w:r>
        <w:t>.</w:t>
      </w:r>
      <w:r>
        <w:tab/>
        <w:t>Consideration provided as loan</w:t>
      </w:r>
      <w:bookmarkEnd w:id="1578"/>
      <w:bookmarkEnd w:id="1579"/>
    </w:p>
    <w:p>
      <w:pPr>
        <w:pStyle w:val="Subsection"/>
      </w:pPr>
      <w:r>
        <w:tab/>
      </w:r>
      <w:r>
        <w:tab/>
        <w:t>For the purposes of sections 259(5) and 260(5), consideration provided by a person other than a member of the family is taken to have been provided by a member of the family if the Commissioner is satisfied that the consideration was provided as a loan and has been or will be repaid by a member of the family.</w:t>
      </w:r>
    </w:p>
    <w:p>
      <w:pPr>
        <w:pStyle w:val="Footnotesection"/>
        <w:keepLines w:val="0"/>
        <w:spacing w:before="80"/>
        <w:ind w:left="890" w:hanging="890"/>
      </w:pPr>
      <w:r>
        <w:tab/>
        <w:t>[Section 260A inserted: No. 12 of 2019 s. 121.]</w:t>
      </w:r>
    </w:p>
    <w:p>
      <w:pPr>
        <w:pStyle w:val="Heading5"/>
      </w:pPr>
      <w:bookmarkStart w:id="1580" w:name="_Toc201229343"/>
      <w:bookmarkStart w:id="1581" w:name="_Toc182410408"/>
      <w:r>
        <w:rPr>
          <w:rStyle w:val="CharSectno"/>
        </w:rPr>
        <w:t>261</w:t>
      </w:r>
      <w:r>
        <w:t>.</w:t>
      </w:r>
      <w:r>
        <w:tab/>
        <w:t>Predetermining certain questions</w:t>
      </w:r>
      <w:bookmarkEnd w:id="1580"/>
      <w:bookmarkEnd w:id="1581"/>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or (4).</w:t>
      </w:r>
    </w:p>
    <w:p>
      <w:pPr>
        <w:pStyle w:val="Subsection"/>
      </w:pPr>
      <w:r>
        <w:tab/>
        <w:t>(2)</w:t>
      </w:r>
      <w:r>
        <w:tab/>
        <w:t>A person proposing to enter into a relevant transaction may ask the Commissioner to decide whether, if the transaction were entered into, it would be exempted.</w:t>
      </w:r>
    </w:p>
    <w:p>
      <w:pPr>
        <w:pStyle w:val="Ednotesubsection"/>
      </w:pPr>
      <w:r>
        <w:tab/>
        <w:t>[(3)</w:t>
      </w:r>
      <w:r>
        <w:tab/>
        <w:t>deleted]</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Ednotepara"/>
      </w:pPr>
      <w:r>
        <w:tab/>
        <w:t>[(a)</w:t>
      </w:r>
      <w:r>
        <w:tab/>
        <w:t>deleted]</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pPr>
      <w:r>
        <w:tab/>
        <w:t>(7A)</w:t>
      </w:r>
      <w:r>
        <w:tab/>
        <w:t>The Commissioner must refuse a pre</w:t>
      </w:r>
      <w:r>
        <w:noBreakHyphen/>
        <w:t>transaction decision request if the transaction to which the request relates has been entered into.</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Footnotesection"/>
        <w:keepLines w:val="0"/>
        <w:spacing w:before="80"/>
        <w:ind w:left="890" w:hanging="890"/>
      </w:pPr>
      <w:r>
        <w:tab/>
        <w:t>[Section 261 amended: No. 12 of 2019 s. 122.]</w:t>
      </w:r>
    </w:p>
    <w:p>
      <w:pPr>
        <w:pStyle w:val="Heading5"/>
        <w:spacing w:before="180"/>
      </w:pPr>
      <w:bookmarkStart w:id="1582" w:name="_Toc201229344"/>
      <w:bookmarkStart w:id="1583" w:name="_Toc182410409"/>
      <w:r>
        <w:rPr>
          <w:rStyle w:val="CharSectno"/>
        </w:rPr>
        <w:t>262</w:t>
      </w:r>
      <w:r>
        <w:t>.</w:t>
      </w:r>
      <w:r>
        <w:tab/>
        <w:t>Application for exemption</w:t>
      </w:r>
      <w:bookmarkEnd w:id="1582"/>
      <w:bookmarkEnd w:id="1583"/>
    </w:p>
    <w:p>
      <w:pPr>
        <w:pStyle w:val="Subsection"/>
        <w:keepNext/>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No. 17 of 2010 s. 16.]</w:t>
      </w:r>
    </w:p>
    <w:p>
      <w:pPr>
        <w:pStyle w:val="Heading5"/>
      </w:pPr>
      <w:bookmarkStart w:id="1584" w:name="_Toc201229345"/>
      <w:bookmarkStart w:id="1585" w:name="_Toc182410410"/>
      <w:r>
        <w:rPr>
          <w:rStyle w:val="CharSectno"/>
        </w:rPr>
        <w:t>263</w:t>
      </w:r>
      <w:r>
        <w:t>.</w:t>
      </w:r>
      <w:r>
        <w:tab/>
        <w:t>Grant of exemption</w:t>
      </w:r>
      <w:bookmarkEnd w:id="1584"/>
      <w:bookmarkEnd w:id="1585"/>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keepNext/>
      </w:pPr>
      <w:r>
        <w:tab/>
        <w:t>(4)</w:t>
      </w:r>
      <w:r>
        <w:tab/>
        <w:t xml:space="preserve">An exemption cannot be granted in relation to a relevant transaction if — </w:t>
      </w:r>
    </w:p>
    <w:p>
      <w:pPr>
        <w:pStyle w:val="Indenta"/>
      </w:pPr>
      <w:r>
        <w:tab/>
        <w:t>(a)</w:t>
      </w:r>
      <w:r>
        <w:tab/>
        <w:t xml:space="preserve">the Commissioner is satisfied that the transaction is part of a scheme or arrangement that has been, or is to be, entered into or carried out by a person — </w:t>
      </w:r>
    </w:p>
    <w:p>
      <w:pPr>
        <w:pStyle w:val="Indenti"/>
      </w:pPr>
      <w:r>
        <w:tab/>
        <w:t>(i)</w:t>
      </w:r>
      <w:r>
        <w:tab/>
        <w:t>for a purpose of avoiding or reducing any liability of a person for duty; or</w:t>
      </w:r>
    </w:p>
    <w:p>
      <w:pPr>
        <w:pStyle w:val="Indenti"/>
      </w:pPr>
      <w:r>
        <w:tab/>
        <w:t>(ii)</w:t>
      </w:r>
      <w:r>
        <w:tab/>
        <w:t>for the sole or dominant purpose of avoiding or reducing any liability of a person for tax other than duty;</w:t>
      </w:r>
    </w:p>
    <w:p>
      <w:pPr>
        <w:pStyle w:val="Indenta"/>
      </w:pPr>
      <w:r>
        <w:tab/>
      </w:r>
      <w:r>
        <w:tab/>
        <w:t>or</w:t>
      </w:r>
    </w:p>
    <w:p>
      <w:pPr>
        <w:pStyle w:val="Indenta"/>
      </w:pPr>
      <w:r>
        <w:tab/>
        <w:t>(b)</w:t>
      </w:r>
      <w:r>
        <w:tab/>
        <w:t>the Commissioner is satisfied that the exemption would be revoked under section 264A because of the occurrence of a notifiable event referred to in that section; or</w:t>
      </w:r>
    </w:p>
    <w:p>
      <w:pPr>
        <w:pStyle w:val="Indenta"/>
      </w:pPr>
      <w:r>
        <w:tab/>
        <w:t>(c)</w:t>
      </w:r>
      <w:r>
        <w:tab/>
        <w:t>any member of the family has an outstanding tax liability.</w:t>
      </w:r>
    </w:p>
    <w:p>
      <w:pPr>
        <w:pStyle w:val="Footnotesection"/>
        <w:keepLines w:val="0"/>
        <w:spacing w:before="80"/>
        <w:ind w:left="890" w:hanging="890"/>
      </w:pPr>
      <w:r>
        <w:tab/>
        <w:t>[Section 263 amended: No. 12 of 2019 s. 123.]</w:t>
      </w:r>
    </w:p>
    <w:p>
      <w:pPr>
        <w:pStyle w:val="Heading5"/>
      </w:pPr>
      <w:bookmarkStart w:id="1586" w:name="_Toc201229346"/>
      <w:bookmarkStart w:id="1587" w:name="_Toc182410411"/>
      <w:r>
        <w:rPr>
          <w:rStyle w:val="CharSectno"/>
        </w:rPr>
        <w:t>264</w:t>
      </w:r>
      <w:r>
        <w:t>.</w:t>
      </w:r>
      <w:r>
        <w:tab/>
        <w:t>Commissioner to be notified of certain events after exempt relevant transaction</w:t>
      </w:r>
      <w:bookmarkEnd w:id="1586"/>
      <w:bookmarkEnd w:id="1587"/>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keepNext/>
      </w:pPr>
      <w:r>
        <w:rPr>
          <w:b/>
        </w:rPr>
        <w:tab/>
      </w:r>
      <w:r>
        <w:rPr>
          <w:rStyle w:val="CharDefText"/>
        </w:rPr>
        <w:t>responsible person</w:t>
      </w:r>
      <w:r>
        <w:t xml:space="preserve"> means —</w:t>
      </w:r>
    </w:p>
    <w:p>
      <w:pPr>
        <w:pStyle w:val="Defpara"/>
        <w:keepNext/>
      </w:pPr>
      <w:r>
        <w:tab/>
        <w:t>(a)</w:t>
      </w:r>
      <w:r>
        <w:tab/>
        <w:t xml:space="preserve">for a notifiable event that occurs in relation to a relevant transaction as described in subsection (2)(a) — </w:t>
      </w:r>
    </w:p>
    <w:p>
      <w:pPr>
        <w:pStyle w:val="Defsubpara"/>
        <w:keepLines w:val="0"/>
      </w:pPr>
      <w:r>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pPr>
      <w:r>
        <w:tab/>
        <w:t>(c)</w:t>
      </w:r>
      <w:r>
        <w:tab/>
        <w:t>an acquisition by one member of a family from another member of the family of an interest in an entity, if landholder duty is not chargeable on the acquisition; 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Footnotesection"/>
        <w:keepLines w:val="0"/>
        <w:spacing w:before="80"/>
        <w:ind w:left="890" w:hanging="890"/>
      </w:pPr>
      <w:r>
        <w:tab/>
        <w:t>[Section 264 amended: No. 12 of 2019 s. 124.]</w:t>
      </w:r>
    </w:p>
    <w:p>
      <w:pPr>
        <w:pStyle w:val="Heading5"/>
      </w:pPr>
      <w:bookmarkStart w:id="1588" w:name="_Toc201229347"/>
      <w:bookmarkStart w:id="1589" w:name="_Toc182410412"/>
      <w:r>
        <w:rPr>
          <w:rStyle w:val="CharSectno"/>
        </w:rPr>
        <w:t>264A</w:t>
      </w:r>
      <w:r>
        <w:t>.</w:t>
      </w:r>
      <w:r>
        <w:tab/>
        <w:t>Automatic revocation of exemption</w:t>
      </w:r>
      <w:bookmarkEnd w:id="1588"/>
      <w:bookmarkEnd w:id="1589"/>
    </w:p>
    <w:p>
      <w:pPr>
        <w:pStyle w:val="Subsection"/>
        <w:keepNext/>
      </w:pPr>
      <w:r>
        <w:tab/>
        <w:t>(1)</w:t>
      </w:r>
      <w:r>
        <w:tab/>
        <w:t xml:space="preserve">The exemption for an exempt relevant reconstruction transaction is revoked by this subsection if — </w:t>
      </w:r>
    </w:p>
    <w:p>
      <w:pPr>
        <w:pStyle w:val="Indenta"/>
      </w:pPr>
      <w:r>
        <w:tab/>
        <w:t>(a)</w:t>
      </w:r>
      <w:r>
        <w:tab/>
        <w:t>a notifiable event to which section 264(2)(b) applies occurs in relation to the relevant reconstruction transaction within 3 years after the date of the transaction; and</w:t>
      </w:r>
    </w:p>
    <w:p>
      <w:pPr>
        <w:pStyle w:val="Indenta"/>
      </w:pPr>
      <w:r>
        <w:tab/>
        <w:t>(b)</w:t>
      </w:r>
      <w:r>
        <w:tab/>
        <w:t xml:space="preserve">the member of the transaction group referred to in whichever of section 264(2)(b)(i) or (ii) applies (the </w:t>
      </w:r>
      <w:r>
        <w:rPr>
          <w:rStyle w:val="CharDefText"/>
        </w:rPr>
        <w:t>relevant entity</w:t>
      </w:r>
      <w:r>
        <w:t xml:space="preserve">) is — </w:t>
      </w:r>
    </w:p>
    <w:p>
      <w:pPr>
        <w:pStyle w:val="Indenti"/>
      </w:pPr>
      <w:r>
        <w:tab/>
        <w:t>(i)</w:t>
      </w:r>
      <w:r>
        <w:tab/>
        <w:t>for a relevant reconstruction transaction referred to in section 260(1)(a)(iii) or (aa)(iii) — the entity for which the dutiable property or residential property is held on trust; or</w:t>
      </w:r>
    </w:p>
    <w:p>
      <w:pPr>
        <w:pStyle w:val="Indenti"/>
      </w:pPr>
      <w:r>
        <w:tab/>
        <w:t>(ii)</w:t>
      </w:r>
      <w:r>
        <w:tab/>
        <w:t>for a relevant reconstruction transaction referred to in section 260(1)(d) — the acquirer of the interest referred to in that section; or</w:t>
      </w:r>
    </w:p>
    <w:p>
      <w:pPr>
        <w:pStyle w:val="Indenti"/>
      </w:pPr>
      <w:r>
        <w:tab/>
        <w:t>(iii)</w:t>
      </w:r>
      <w:r>
        <w:tab/>
        <w:t>otherwise — the entity who would, but for the exemption, be liable to pay the transfer duty, foreign transfer duty or vehicle licence duty chargeable on the transaction;</w:t>
      </w:r>
    </w:p>
    <w:p>
      <w:pPr>
        <w:pStyle w:val="Indenta"/>
      </w:pPr>
      <w:r>
        <w:tab/>
      </w:r>
      <w:r>
        <w:tab/>
        <w:t>and</w:t>
      </w:r>
    </w:p>
    <w:p>
      <w:pPr>
        <w:pStyle w:val="Indenta"/>
      </w:pPr>
      <w:r>
        <w:tab/>
        <w:t>(c)</w:t>
      </w:r>
      <w:r>
        <w:tab/>
        <w:t>when the notifiable event occurs, the property referred to in subsection (2), or a part of that property, is held by, or on trust for, the relevant entity.</w:t>
      </w:r>
    </w:p>
    <w:p>
      <w:pPr>
        <w:pStyle w:val="Subsection"/>
      </w:pPr>
      <w:r>
        <w:tab/>
        <w:t>(2)</w:t>
      </w:r>
      <w:r>
        <w:tab/>
        <w:t xml:space="preserve">For the purposes of subsection (1)(c), the property is — </w:t>
      </w:r>
    </w:p>
    <w:p>
      <w:pPr>
        <w:pStyle w:val="Indenta"/>
      </w:pPr>
      <w:r>
        <w:tab/>
        <w:t>(a)</w:t>
      </w:r>
      <w:r>
        <w:tab/>
        <w:t>for a relevant reconstruction transaction referred to in section 260(1)(a) — the dutiable property to which the transaction relates; or</w:t>
      </w:r>
    </w:p>
    <w:p>
      <w:pPr>
        <w:pStyle w:val="Indenta"/>
      </w:pPr>
      <w:r>
        <w:tab/>
        <w:t>(b)</w:t>
      </w:r>
      <w:r>
        <w:tab/>
        <w:t>for a relevant reconstruction transaction referred to in section 260(1)(aa) — the residential property to which the transaction relates; or</w:t>
      </w:r>
    </w:p>
    <w:p>
      <w:pPr>
        <w:pStyle w:val="Indenta"/>
      </w:pPr>
      <w:r>
        <w:tab/>
        <w:t>(c)</w:t>
      </w:r>
      <w:r>
        <w:tab/>
        <w:t>for a relevant reconstruction transaction referred to in section 260(1)(b) — the licence for a vehicle to which the transaction relates; or</w:t>
      </w:r>
    </w:p>
    <w:p>
      <w:pPr>
        <w:pStyle w:val="Indenta"/>
      </w:pPr>
      <w:r>
        <w:tab/>
        <w:t>(d)</w:t>
      </w:r>
      <w:r>
        <w:tab/>
        <w:t>for a relevant reconstruction transaction referred to in section 260(1)(d) — the interest in an entity to which the transaction relates.</w:t>
      </w:r>
    </w:p>
    <w:p>
      <w:pPr>
        <w:pStyle w:val="Subsection"/>
      </w:pPr>
      <w:r>
        <w:tab/>
        <w:t>(3)</w:t>
      </w:r>
      <w:r>
        <w:tab/>
        <w:t xml:space="preserve">This section does not apply — </w:t>
      </w:r>
    </w:p>
    <w:p>
      <w:pPr>
        <w:pStyle w:val="Indenta"/>
      </w:pPr>
      <w:r>
        <w:tab/>
        <w:t>(a)</w:t>
      </w:r>
      <w:r>
        <w:tab/>
        <w:t>to a notifiable event that results from a public float; or</w:t>
      </w:r>
    </w:p>
    <w:p>
      <w:pPr>
        <w:pStyle w:val="Indenta"/>
      </w:pPr>
      <w:r>
        <w:tab/>
        <w:t>(b)</w:t>
      </w:r>
      <w:r>
        <w:tab/>
        <w:t>in prescribed circumstances.</w:t>
      </w:r>
    </w:p>
    <w:p>
      <w:pPr>
        <w:pStyle w:val="Subsection"/>
      </w:pPr>
      <w:r>
        <w:tab/>
        <w:t>(4)</w:t>
      </w:r>
      <w:r>
        <w:tab/>
        <w:t>This section applies whether or not there has been a change in the legal description of the property referred to in subsection (2)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264A inserted: No. 12 of 2019 s. 125.]</w:t>
      </w:r>
    </w:p>
    <w:p>
      <w:pPr>
        <w:pStyle w:val="Heading5"/>
      </w:pPr>
      <w:bookmarkStart w:id="1590" w:name="_Toc201229348"/>
      <w:bookmarkStart w:id="1591" w:name="_Toc182410413"/>
      <w:r>
        <w:rPr>
          <w:rStyle w:val="CharSectno"/>
        </w:rPr>
        <w:t>265</w:t>
      </w:r>
      <w:r>
        <w:t>.</w:t>
      </w:r>
      <w:r>
        <w:tab/>
        <w:t>Revocation of exemption by Commissioner</w:t>
      </w:r>
      <w:bookmarkEnd w:id="1590"/>
      <w:bookmarkEnd w:id="1591"/>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any liability of a person for duty; or</w:t>
      </w:r>
    </w:p>
    <w:p>
      <w:pPr>
        <w:pStyle w:val="Indenta"/>
      </w:pPr>
      <w:r>
        <w:tab/>
        <w:t>(b)</w:t>
      </w:r>
      <w:r>
        <w:tab/>
        <w:t>for the sole or dominant purpose of avoiding or reducing any liability of a person for tax other than duty,</w:t>
      </w:r>
    </w:p>
    <w:p>
      <w:pPr>
        <w:pStyle w:val="Subsection"/>
      </w:pPr>
      <w:r>
        <w:tab/>
      </w:r>
      <w:r>
        <w:tab/>
        <w:t>the Commissioner may revoke the exemption for the transaction.</w:t>
      </w:r>
    </w:p>
    <w:p>
      <w:pPr>
        <w:pStyle w:val="Footnotesection"/>
        <w:keepLines w:val="0"/>
        <w:spacing w:before="80"/>
        <w:ind w:left="890" w:hanging="890"/>
      </w:pPr>
      <w:r>
        <w:tab/>
        <w:t>[Section 265 amended: No. 12 of 2019 s. 126.]</w:t>
      </w:r>
    </w:p>
    <w:p>
      <w:pPr>
        <w:pStyle w:val="Heading5"/>
      </w:pPr>
      <w:bookmarkStart w:id="1592" w:name="_Toc201229349"/>
      <w:bookmarkStart w:id="1593" w:name="_Toc182410414"/>
      <w:r>
        <w:rPr>
          <w:rStyle w:val="CharSectno"/>
        </w:rPr>
        <w:t>266</w:t>
      </w:r>
      <w:r>
        <w:t>.</w:t>
      </w:r>
      <w:r>
        <w:tab/>
        <w:t>Liability for duty and tax if exemption revoked</w:t>
      </w:r>
      <w:bookmarkEnd w:id="1592"/>
      <w:bookmarkEnd w:id="1593"/>
    </w:p>
    <w:p>
      <w:pPr>
        <w:pStyle w:val="Subsection"/>
      </w:pPr>
      <w:r>
        <w:tab/>
        <w:t>(1)</w:t>
      </w:r>
      <w:r>
        <w:tab/>
        <w:t>If the exemption for a relevant transaction is revoked under section 264A or 265, the Commissioner must make an official assessment for the transaction.</w:t>
      </w:r>
    </w:p>
    <w:p>
      <w:pPr>
        <w:pStyle w:val="Subsection"/>
      </w:pPr>
      <w:r>
        <w:tab/>
        <w:t>(1A)</w:t>
      </w:r>
      <w:r>
        <w:tab/>
        <w:t xml:space="preserve">If the exemption is revoked under section 264A, the official assessment — </w:t>
      </w:r>
    </w:p>
    <w:p>
      <w:pPr>
        <w:pStyle w:val="Indenta"/>
      </w:pPr>
      <w:r>
        <w:tab/>
        <w:t>(a)</w:t>
      </w:r>
      <w:r>
        <w:tab/>
        <w:t>must determine the amount of duty payable on the relevant transaction as at the date of the transaction (subject to any reduction that applies under section 266A or 266B); and</w:t>
      </w:r>
    </w:p>
    <w:p>
      <w:pPr>
        <w:pStyle w:val="Indenta"/>
      </w:pPr>
      <w:r>
        <w:tab/>
        <w:t>(b)</w:t>
      </w:r>
      <w:r>
        <w:tab/>
        <w:t>may include penalty tax equal to the amount of that duty.</w:t>
      </w:r>
    </w:p>
    <w:p>
      <w:pPr>
        <w:pStyle w:val="Subsection"/>
      </w:pPr>
      <w:r>
        <w:tab/>
        <w:t>(2)</w:t>
      </w:r>
      <w:r>
        <w:tab/>
        <w:t xml:space="preserve">If the exemption is revoked under section 265, 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Subsection"/>
      </w:pPr>
      <w:r>
        <w:tab/>
        <w:t>(6)</w:t>
      </w:r>
      <w:r>
        <w:tab/>
        <w:t xml:space="preserve">Despite the Taxation Administration Act section 17, if an exemption for a relevant transaction is revoked under section 264A on the occurrence of a notifiable event, the Commissioner may make a reassessment in relation to the transaction at any time before the later of — </w:t>
      </w:r>
    </w:p>
    <w:p>
      <w:pPr>
        <w:pStyle w:val="Indenta"/>
      </w:pPr>
      <w:r>
        <w:tab/>
        <w:t>(a)</w:t>
      </w:r>
      <w:r>
        <w:tab/>
        <w:t>the day that is 5 years after the day on which the Commissioner made a reassessment under section 263(2), or issued a certificate or made an assessment under section 263(3), in relation to the transaction (whichever is relevant); or</w:t>
      </w:r>
    </w:p>
    <w:p>
      <w:pPr>
        <w:pStyle w:val="Indenta"/>
      </w:pPr>
      <w:r>
        <w:tab/>
        <w:t>(b)</w:t>
      </w:r>
      <w:r>
        <w:tab/>
        <w:t>the day that is 12 months after the day on which notice of the notifiable event was lodged under section 264(4).</w:t>
      </w:r>
    </w:p>
    <w:p>
      <w:pPr>
        <w:pStyle w:val="Footnotesection"/>
        <w:keepLines w:val="0"/>
        <w:spacing w:before="80"/>
        <w:ind w:left="890" w:hanging="890"/>
      </w:pPr>
      <w:r>
        <w:tab/>
        <w:t>[Section 266 amended: No. 12 of 2019 s. 127.]</w:t>
      </w:r>
    </w:p>
    <w:p>
      <w:pPr>
        <w:pStyle w:val="Heading5"/>
      </w:pPr>
      <w:bookmarkStart w:id="1594" w:name="_Toc201229350"/>
      <w:bookmarkStart w:id="1595" w:name="_Toc182410415"/>
      <w:r>
        <w:rPr>
          <w:rStyle w:val="CharSectno"/>
        </w:rPr>
        <w:t>266A</w:t>
      </w:r>
      <w:r>
        <w:t>.</w:t>
      </w:r>
      <w:r>
        <w:tab/>
        <w:t>Reduction of duty following automatic revocation or refusal of exemption</w:t>
      </w:r>
      <w:bookmarkEnd w:id="1594"/>
      <w:bookmarkEnd w:id="1595"/>
    </w:p>
    <w:p>
      <w:pPr>
        <w:pStyle w:val="Subsection"/>
      </w:pPr>
      <w:r>
        <w:tab/>
        <w:t>(1)</w:t>
      </w:r>
      <w:r>
        <w:tab/>
        <w:t xml:space="preserve">The duty to be assessed on a relevant reconstruction transaction is to be reduced in accordance with subsection (2) if — </w:t>
      </w:r>
    </w:p>
    <w:p>
      <w:pPr>
        <w:pStyle w:val="Indenta"/>
      </w:pPr>
      <w:r>
        <w:tab/>
        <w:t>(a)</w:t>
      </w:r>
      <w:r>
        <w:tab/>
        <w:t xml:space="preserve">either of the following occurs — </w:t>
      </w:r>
    </w:p>
    <w:p>
      <w:pPr>
        <w:pStyle w:val="Indenti"/>
      </w:pPr>
      <w:r>
        <w:tab/>
        <w:t>(i)</w:t>
      </w:r>
      <w:r>
        <w:tab/>
        <w:t>an exemption is granted for a relevant reconstruction transaction but the exemption is revoked under section 264A on the occurrence of a notifiable event;</w:t>
      </w:r>
    </w:p>
    <w:p>
      <w:pPr>
        <w:pStyle w:val="Indenti"/>
      </w:pPr>
      <w:r>
        <w:tab/>
        <w:t>(ii)</w:t>
      </w:r>
      <w:r>
        <w:tab/>
        <w:t>an exemption application is made in accordance with section 262 for a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at the time of the notifiable event, only part of the property referred to in section 264A(2) to which the relevant reconstruction transaction relates is held by, or on trust for, the member of the transaction group referred to in whichever of section 264(2)(b)(i) or (ii) applies (the </w:t>
      </w:r>
      <w:r>
        <w:rPr>
          <w:rStyle w:val="CharDefText"/>
        </w:rPr>
        <w:t>relevant entity</w:t>
      </w:r>
      <w:r>
        <w:t>).</w:t>
      </w:r>
    </w:p>
    <w:p>
      <w:pPr>
        <w:pStyle w:val="Subsection"/>
      </w:pPr>
      <w:r>
        <w:tab/>
        <w:t>(2)</w:t>
      </w:r>
      <w:r>
        <w:tab/>
        <w:t>Duty is chargeable on the relevant reconstruction transaction only to the extent that the transaction relates to the part of the property referred to in section 264A(2) that is held by, or on trust for, the relevant entity at the time of the notifiable event.</w:t>
      </w:r>
    </w:p>
    <w:p>
      <w:pPr>
        <w:pStyle w:val="Subsection"/>
      </w:pPr>
      <w:r>
        <w:tab/>
        <w:t>(3)</w:t>
      </w:r>
      <w:r>
        <w:tab/>
        <w:t>This section applies whether or not there has been a change in the legal description of the property referred to in section 264A(2)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266A inserted: No. 12 of 2019 s. 128.]</w:t>
      </w:r>
    </w:p>
    <w:p>
      <w:pPr>
        <w:pStyle w:val="Heading5"/>
      </w:pPr>
      <w:bookmarkStart w:id="1596" w:name="_Toc201229351"/>
      <w:bookmarkStart w:id="1597" w:name="_Toc182410416"/>
      <w:r>
        <w:rPr>
          <w:rStyle w:val="CharSectno"/>
        </w:rPr>
        <w:t>266B</w:t>
      </w:r>
      <w:r>
        <w:t>.</w:t>
      </w:r>
      <w:r>
        <w:tab/>
        <w:t>Reduction of duty following automatic revocation or refusal of exemption resulting from relevant acquisition</w:t>
      </w:r>
      <w:bookmarkEnd w:id="1596"/>
      <w:bookmarkEnd w:id="1597"/>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keepNext/>
      </w:pPr>
      <w:r>
        <w:tab/>
        <w:t>(2)</w:t>
      </w:r>
      <w:r>
        <w:tab/>
        <w:t xml:space="preserve">The duty assessed on a relevant reconstruction transaction is to be reduced in accordance with subsection (3) if — </w:t>
      </w:r>
    </w:p>
    <w:p>
      <w:pPr>
        <w:pStyle w:val="Indenta"/>
        <w:keepNext/>
      </w:pPr>
      <w:r>
        <w:tab/>
        <w:t>(a)</w:t>
      </w:r>
      <w:r>
        <w:tab/>
        <w:t xml:space="preserve">either of the following occurs — </w:t>
      </w:r>
    </w:p>
    <w:p>
      <w:pPr>
        <w:pStyle w:val="Indenti"/>
      </w:pPr>
      <w:r>
        <w:tab/>
        <w:t>(i)</w:t>
      </w:r>
      <w:r>
        <w:tab/>
        <w:t>an exemption is granted for the relevant reconstruction transaction but the exemption is revoked under section 264A on the occurrence of a notifiable event;</w:t>
      </w:r>
    </w:p>
    <w:p>
      <w:pPr>
        <w:pStyle w:val="Indenti"/>
      </w:pPr>
      <w:r>
        <w:tab/>
        <w:t>(ii)</w:t>
      </w:r>
      <w:r>
        <w:tab/>
        <w:t>an exemption application is made in accordance with section 262 for the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the notifiable event results from a relevant acquisition (the </w:t>
      </w:r>
      <w:r>
        <w:rPr>
          <w:rStyle w:val="CharDefText"/>
        </w:rPr>
        <w:t>triggering acquisition</w:t>
      </w:r>
      <w:r>
        <w:t>) on which landholder duty is chargeable; and</w:t>
      </w:r>
    </w:p>
    <w:p>
      <w:pPr>
        <w:pStyle w:val="Indenta"/>
      </w:pPr>
      <w:r>
        <w:tab/>
        <w:t>(c)</w:t>
      </w:r>
      <w:r>
        <w:tab/>
        <w:t xml:space="preserve">transfer duty or landholder duty is chargeable on the relevant reconstruction transaction in relation to particular property (the </w:t>
      </w:r>
      <w:r>
        <w:rPr>
          <w:rStyle w:val="CharDefText"/>
        </w:rPr>
        <w:t>relevant reconstruction transaction property</w:t>
      </w:r>
      <w:r>
        <w:t>); and</w:t>
      </w:r>
    </w:p>
    <w:p>
      <w:pPr>
        <w:pStyle w:val="Indenta"/>
      </w:pPr>
      <w:r>
        <w:tab/>
        <w:t>(d)</w:t>
      </w:r>
      <w:r>
        <w:tab/>
        <w:t xml:space="preserve">landholder duty is chargeable on the triggering acquisition in relation to particular property (the </w:t>
      </w:r>
      <w:r>
        <w:rPr>
          <w:rStyle w:val="CharDefText"/>
        </w:rPr>
        <w:t>triggering acquisition property</w:t>
      </w:r>
      <w:r>
        <w:t>); and</w:t>
      </w:r>
    </w:p>
    <w:p>
      <w:pPr>
        <w:pStyle w:val="Indenta"/>
      </w:pPr>
      <w:r>
        <w:tab/>
        <w:t>(e)</w:t>
      </w:r>
      <w:r>
        <w:tab/>
        <w:t>the triggering acquisition property is or includes the relevant reconstruction transaction property or part of the relevant reconstruction transaction property.</w:t>
      </w:r>
    </w:p>
    <w:p>
      <w:pPr>
        <w:pStyle w:val="PermNoteHeading"/>
      </w:pPr>
      <w:r>
        <w:tab/>
        <w:t>Note for this subsection:</w:t>
      </w:r>
    </w:p>
    <w:p>
      <w:pPr>
        <w:pStyle w:val="PermNoteText"/>
      </w:pPr>
      <w:r>
        <w:tab/>
      </w:r>
      <w:r>
        <w:tab/>
        <w:t>Section 266C provides for the property in relation to which landholder duty is taken to be chargeable for the purposes of this section.</w:t>
      </w:r>
    </w:p>
    <w:p>
      <w:pPr>
        <w:pStyle w:val="Subsection"/>
        <w:keepNext/>
      </w:pPr>
      <w:r>
        <w:tab/>
        <w:t>(3)</w:t>
      </w:r>
      <w:r>
        <w:tab/>
        <w:t xml:space="preserve">The duty assessed in respect of the relevant reconstruction transaction is to be reduced by the lesser of — </w:t>
      </w:r>
    </w:p>
    <w:p>
      <w:pPr>
        <w:pStyle w:val="Indenta"/>
      </w:pPr>
      <w:r>
        <w:tab/>
        <w:t>(a)</w:t>
      </w:r>
      <w:r>
        <w:tab/>
        <w:t>the amount of transfer duty or landholder duty that is chargeable on the relevant reconstruction transaction, to the extent that the duty is chargeable in relation to relevant property; or</w:t>
      </w:r>
    </w:p>
    <w:p>
      <w:pPr>
        <w:pStyle w:val="Indenta"/>
      </w:pPr>
      <w:r>
        <w:tab/>
        <w:t>(b)</w:t>
      </w:r>
      <w:r>
        <w:tab/>
        <w:t>the amount of landholder duty that is chargeable on the triggering acquisition, to the extent that the duty is chargeable in relation to relevant property.</w:t>
      </w:r>
    </w:p>
    <w:p>
      <w:pPr>
        <w:pStyle w:val="Subsection"/>
      </w:pPr>
      <w:r>
        <w:tab/>
        <w:t>(4)</w:t>
      </w:r>
      <w:r>
        <w:tab/>
        <w:t>For the purposes of subsection (3), relevant property is property that is both triggering acquisition property and relevant reconstruction transaction property, whether or not there has been a change in the legal description of the property between the relevant reconstruction transaction and the triggering acquisition.</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Subsection"/>
      </w:pPr>
      <w:r>
        <w:tab/>
        <w:t>(5)</w:t>
      </w:r>
      <w:r>
        <w:tab/>
        <w:t>If the relevant reconstruction transaction property is or includes an interest in particular property, and the triggering acquisition property is or includes a different interest in the same property, property is relevant property for the purposes of subsection (3) only to the extent of the lesser of the 2 interests.</w:t>
      </w:r>
    </w:p>
    <w:p>
      <w:pPr>
        <w:pStyle w:val="Footnotesection"/>
        <w:keepLines w:val="0"/>
        <w:spacing w:before="80"/>
        <w:ind w:left="890" w:hanging="890"/>
      </w:pPr>
      <w:r>
        <w:tab/>
        <w:t>[Section 266B inserted: No. 12 of 2019 s. 128.]</w:t>
      </w:r>
    </w:p>
    <w:p>
      <w:pPr>
        <w:pStyle w:val="Heading5"/>
      </w:pPr>
      <w:bookmarkStart w:id="1598" w:name="_Toc201229352"/>
      <w:bookmarkStart w:id="1599" w:name="_Toc182410417"/>
      <w:r>
        <w:rPr>
          <w:rStyle w:val="CharSectno"/>
        </w:rPr>
        <w:t>266C</w:t>
      </w:r>
      <w:r>
        <w:t>.</w:t>
      </w:r>
      <w:r>
        <w:tab/>
        <w:t>Property in relation to which landholder duty taken to be chargeable for s. 266B</w:t>
      </w:r>
      <w:bookmarkEnd w:id="1598"/>
      <w:bookmarkEnd w:id="1599"/>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For the purposes of section 266B, landholder duty that is chargeable on a relevant acquisition of an interest in an entity is taken to be chargeable in relation to — </w:t>
      </w:r>
    </w:p>
    <w:p>
      <w:pPr>
        <w:pStyle w:val="Indenta"/>
      </w:pPr>
      <w:r>
        <w:tab/>
        <w:t>(a)</w:t>
      </w:r>
      <w:r>
        <w:tab/>
        <w:t>for property of which 100% of the value is taken into account for the purposes of calculating that landholder duty — that property; and</w:t>
      </w:r>
    </w:p>
    <w:p>
      <w:pPr>
        <w:pStyle w:val="Indenta"/>
      </w:pPr>
      <w:r>
        <w:tab/>
        <w:t>(b)</w:t>
      </w:r>
      <w:r>
        <w:tab/>
        <w:t>for property of which a lower percentage of the value is taken into account for the purposes of calculating that landholder duty — a percentage interest in that property that is equal to the percentage taken into account for the purposes of calculating that landholder duty.</w:t>
      </w:r>
    </w:p>
    <w:p>
      <w:pPr>
        <w:pStyle w:val="Subsection"/>
      </w:pPr>
      <w:r>
        <w:tab/>
        <w:t>(3)</w:t>
      </w:r>
      <w:r>
        <w:tab/>
        <w:t xml:space="preserve">For the purposes of subsection (2), the percentage of the value of property that is taken into account for the purposes of calculating landholder duty is to be determined in accordance with the following formula — </w:t>
      </w:r>
    </w:p>
    <w:p>
      <w:pPr>
        <w:pStyle w:val="Equation"/>
        <w:keepNext/>
        <w:tabs>
          <w:tab w:val="left" w:pos="896"/>
        </w:tabs>
        <w:spacing w:before="120"/>
      </w:pPr>
      <w:r>
        <w:rPr>
          <w:iCs/>
          <w:noProof w:val="0"/>
        </w:rPr>
        <w:tab/>
      </w:r>
      <m:oMath>
        <m:r>
          <m:rPr>
            <m:sty m:val="p"/>
          </m:rPr>
          <w:rPr>
            <w:rFonts w:ascii="Cambria Math" w:hAnsi="Cambria Math"/>
          </w:rPr>
          <m:t xml:space="preserve">P × </m:t>
        </m:r>
        <m:d>
          <m:dPr>
            <m:ctrlPr>
              <w:rPr>
                <w:rFonts w:ascii="Cambria Math" w:hAnsi="Cambria Math"/>
                <w:noProof w:val="0"/>
              </w:rPr>
            </m:ctrlPr>
          </m:dPr>
          <m:e>
            <m:r>
              <m:rPr>
                <m:sty m:val="p"/>
              </m:rPr>
              <w:rPr>
                <w:rFonts w:ascii="Cambria Math" w:hAnsi="Cambria Math"/>
              </w:rPr>
              <m:t>I -E</m:t>
            </m:r>
          </m:e>
        </m:d>
      </m:oMath>
    </w:p>
    <w:p>
      <w:pPr>
        <w:pStyle w:val="Subsection"/>
      </w:pPr>
      <w:r>
        <w:tab/>
      </w:r>
      <w:r>
        <w:tab/>
        <w:t xml:space="preserve">where — </w:t>
      </w:r>
    </w:p>
    <w:p>
      <w:pPr>
        <w:pStyle w:val="MiscellaneousBody"/>
        <w:tabs>
          <w:tab w:val="left" w:pos="896"/>
          <w:tab w:val="left" w:pos="1134"/>
        </w:tabs>
        <w:ind w:left="1134" w:hanging="1134"/>
      </w:pPr>
      <w:r>
        <w:tab/>
        <w:t>P</w:t>
      </w:r>
      <w:r>
        <w:tab/>
        <w:t>is the percentage (expressed as a decimal) of the unencumbered value of that property taken into account under section 186 in determining the value of the landholder;</w:t>
      </w:r>
    </w:p>
    <w:p>
      <w:pPr>
        <w:pStyle w:val="MiscellaneousBody"/>
        <w:tabs>
          <w:tab w:val="left" w:pos="896"/>
          <w:tab w:val="left" w:pos="1134"/>
        </w:tabs>
        <w:ind w:left="1134" w:hanging="1134"/>
      </w:pPr>
      <w:r>
        <w:tab/>
        <w:t>I</w:t>
      </w:r>
      <w:r>
        <w:tab/>
        <w:t>is the percentage (expressed as a decimal) of the interest of the acquirer in the landholder after the relevant acquisition referred to in section 188(3);</w:t>
      </w:r>
    </w:p>
    <w:p>
      <w:pPr>
        <w:pStyle w:val="MiscellaneousBody"/>
        <w:tabs>
          <w:tab w:val="left" w:pos="896"/>
          <w:tab w:val="left" w:pos="1134"/>
        </w:tabs>
        <w:ind w:left="1134" w:hanging="1134"/>
      </w:pPr>
      <w:r>
        <w:tab/>
        <w:t>E</w:t>
      </w:r>
      <w:r>
        <w:tab/>
        <w:t>is the aggregate percentage (expressed as a decimal) of each excluded interest in relation to the relevant acquisition referred to in section 189.</w:t>
      </w:r>
    </w:p>
    <w:p>
      <w:pPr>
        <w:pStyle w:val="Footnotesection"/>
        <w:keepLines w:val="0"/>
        <w:spacing w:before="80"/>
        <w:ind w:left="890" w:hanging="890"/>
      </w:pPr>
      <w:r>
        <w:tab/>
        <w:t>[Section 266C inserted: No. 12 of 2019 s. 128.]</w:t>
      </w:r>
    </w:p>
    <w:p>
      <w:pPr>
        <w:pStyle w:val="Heading5"/>
      </w:pPr>
      <w:bookmarkStart w:id="1600" w:name="_Toc201229353"/>
      <w:bookmarkStart w:id="1601" w:name="_Toc182410418"/>
      <w:r>
        <w:rPr>
          <w:rStyle w:val="CharSectno"/>
        </w:rPr>
        <w:t>266D</w:t>
      </w:r>
      <w:r>
        <w:t>.</w:t>
      </w:r>
      <w:r>
        <w:tab/>
        <w:t>Application of s. 266B and 266C to foreign transfer duty and foreign landholder duty</w:t>
      </w:r>
      <w:bookmarkEnd w:id="1600"/>
      <w:bookmarkEnd w:id="1601"/>
    </w:p>
    <w:p>
      <w:pPr>
        <w:pStyle w:val="Subsection"/>
      </w:pPr>
      <w:r>
        <w:tab/>
      </w:r>
      <w:r>
        <w:tab/>
        <w:t>If foreign transfer duty or foreign landholder duty is chargeable on a relevant reconstruction transaction, sections 266B and</w:t>
      </w:r>
      <w:del w:id="1602" w:author="Master Repository Process" w:date="2025-06-19T17:03:00Z">
        <w:r>
          <w:delText xml:space="preserve"> </w:delText>
        </w:r>
      </w:del>
      <w:ins w:id="1603" w:author="Master Repository Process" w:date="2025-06-19T17:03:00Z">
        <w:r>
          <w:t> </w:t>
        </w:r>
      </w:ins>
      <w:r>
        <w:t xml:space="preserve">266C apply in relation to the foreign transfer duty or foreign landholder duty chargeable on the relevant reconstruction transaction as if — </w:t>
      </w:r>
    </w:p>
    <w:p>
      <w:pPr>
        <w:pStyle w:val="Indenta"/>
      </w:pPr>
      <w:r>
        <w:tab/>
        <w:t>(a)</w:t>
      </w:r>
      <w:r>
        <w:tab/>
        <w:t>a reference to transfer duty were a reference to foreign transfer duty; and</w:t>
      </w:r>
    </w:p>
    <w:p>
      <w:pPr>
        <w:pStyle w:val="Indenta"/>
      </w:pPr>
      <w:r>
        <w:tab/>
        <w:t>(b)</w:t>
      </w:r>
      <w:r>
        <w:tab/>
        <w:t>a reference to landholder duty were a reference to foreign landholder duty; and</w:t>
      </w:r>
    </w:p>
    <w:p>
      <w:pPr>
        <w:pStyle w:val="Indenta"/>
      </w:pPr>
      <w:r>
        <w:tab/>
        <w:t>(c)</w:t>
      </w:r>
      <w:r>
        <w:tab/>
        <w:t>a reference to a landholder were a reference to a residential landholder (as defined in section 205ZD(1)); and</w:t>
      </w:r>
    </w:p>
    <w:p>
      <w:pPr>
        <w:pStyle w:val="Indenta"/>
      </w:pPr>
      <w:r>
        <w:tab/>
        <w:t>(d)</w:t>
      </w:r>
      <w:r>
        <w:tab/>
        <w:t>a reference to a relevant acquisition were a reference to a foreign landholder acquisition (as defined in section 205ZD(1)); and</w:t>
      </w:r>
    </w:p>
    <w:p>
      <w:pPr>
        <w:pStyle w:val="Indenta"/>
      </w:pPr>
      <w:r>
        <w:tab/>
        <w:t>(e)</w:t>
      </w:r>
      <w:r>
        <w:tab/>
        <w:t>a reference to land assets (as defined in section 148(1)) were a reference to residential property; and</w:t>
      </w:r>
    </w:p>
    <w:p>
      <w:pPr>
        <w:pStyle w:val="Indenta"/>
      </w:pPr>
      <w:r>
        <w:tab/>
        <w:t>(f)</w:t>
      </w:r>
      <w:r>
        <w:tab/>
        <w:t>a reference to an acquirer were a reference to a foreign acquirer (as defined in section 205ZD(1)); and</w:t>
      </w:r>
    </w:p>
    <w:p>
      <w:pPr>
        <w:pStyle w:val="Indenta"/>
      </w:pPr>
      <w:r>
        <w:tab/>
        <w:t>(g)</w:t>
      </w:r>
      <w:r>
        <w:tab/>
        <w:t>a reference to a provision of Chapter 3 were a reference to that provision as applied by section 205ZE(1).</w:t>
      </w:r>
    </w:p>
    <w:p>
      <w:pPr>
        <w:pStyle w:val="Footnotesection"/>
        <w:keepLines w:val="0"/>
        <w:spacing w:before="80"/>
        <w:ind w:left="890" w:hanging="890"/>
      </w:pPr>
      <w:r>
        <w:tab/>
        <w:t>[Section 266D inserted: No. 12 of 2019 s. 128.]</w:t>
      </w:r>
    </w:p>
    <w:p>
      <w:pPr>
        <w:pStyle w:val="Heading2"/>
      </w:pPr>
      <w:bookmarkStart w:id="1604" w:name="_Toc201218283"/>
      <w:bookmarkStart w:id="1605" w:name="_Toc201224656"/>
      <w:bookmarkStart w:id="1606" w:name="_Toc201229354"/>
      <w:bookmarkStart w:id="1607" w:name="_Toc182388959"/>
      <w:bookmarkStart w:id="1608" w:name="_Toc182389621"/>
      <w:bookmarkStart w:id="1609" w:name="_Toc182410419"/>
      <w:r>
        <w:rPr>
          <w:rStyle w:val="CharPartNo"/>
        </w:rPr>
        <w:t>Chapter 6A</w:t>
      </w:r>
      <w:r>
        <w:t> — </w:t>
      </w:r>
      <w:r>
        <w:rPr>
          <w:rStyle w:val="CharPartText"/>
        </w:rPr>
        <w:t>Off</w:t>
      </w:r>
      <w:r>
        <w:rPr>
          <w:rStyle w:val="CharPartText"/>
        </w:rPr>
        <w:noBreakHyphen/>
        <w:t>the</w:t>
      </w:r>
      <w:r>
        <w:rPr>
          <w:rStyle w:val="CharPartText"/>
        </w:rPr>
        <w:noBreakHyphen/>
        <w:t>plan concession for transfer duty and foreign transfer duty</w:t>
      </w:r>
      <w:bookmarkEnd w:id="1604"/>
      <w:bookmarkEnd w:id="1605"/>
      <w:bookmarkEnd w:id="1606"/>
      <w:bookmarkEnd w:id="1607"/>
      <w:bookmarkEnd w:id="1608"/>
      <w:bookmarkEnd w:id="1609"/>
    </w:p>
    <w:p>
      <w:pPr>
        <w:pStyle w:val="Footnoteheading"/>
      </w:pPr>
      <w:r>
        <w:tab/>
        <w:t>[Heading inserted: No. 29 of 2023 s. 8.]</w:t>
      </w:r>
    </w:p>
    <w:p>
      <w:pPr>
        <w:pStyle w:val="Heading5"/>
      </w:pPr>
      <w:bookmarkStart w:id="1610" w:name="_Toc201229355"/>
      <w:bookmarkStart w:id="1611" w:name="_Toc182410420"/>
      <w:r>
        <w:rPr>
          <w:rStyle w:val="CharSectno"/>
        </w:rPr>
        <w:t>266E</w:t>
      </w:r>
      <w:r>
        <w:t>.</w:t>
      </w:r>
      <w:r>
        <w:tab/>
        <w:t>Terms used</w:t>
      </w:r>
      <w:bookmarkEnd w:id="1610"/>
      <w:bookmarkEnd w:id="1611"/>
    </w:p>
    <w:p>
      <w:pPr>
        <w:pStyle w:val="Subsection"/>
      </w:pPr>
      <w:r>
        <w:tab/>
      </w:r>
      <w:r>
        <w:tab/>
        <w:t xml:space="preserve">In this Chapter — </w:t>
      </w:r>
    </w:p>
    <w:p>
      <w:pPr>
        <w:pStyle w:val="Defstart"/>
      </w:pPr>
      <w:r>
        <w:tab/>
      </w:r>
      <w:r>
        <w:rPr>
          <w:rStyle w:val="CharDefText"/>
        </w:rPr>
        <w:t>cancelled transaction</w:t>
      </w:r>
      <w:r>
        <w:t xml:space="preserve"> has the meaning given in section 107(1);</w:t>
      </w:r>
    </w:p>
    <w:p>
      <w:pPr>
        <w:pStyle w:val="Defstart"/>
      </w:pPr>
      <w:r>
        <w:tab/>
      </w:r>
      <w:r>
        <w:rPr>
          <w:rStyle w:val="CharDefText"/>
        </w:rPr>
        <w:t>community titles (building) scheme</w:t>
      </w:r>
      <w:r>
        <w:t xml:space="preserve"> has the meaning given in the </w:t>
      </w:r>
      <w:r>
        <w:rPr>
          <w:i/>
        </w:rPr>
        <w:t>Community Titles Act 2018</w:t>
      </w:r>
      <w:r>
        <w:t xml:space="preserve"> section 11(7);</w:t>
      </w:r>
    </w:p>
    <w:p>
      <w:pPr>
        <w:pStyle w:val="Defstart"/>
      </w:pPr>
      <w:r>
        <w:tab/>
      </w:r>
      <w:r>
        <w:rPr>
          <w:rStyle w:val="CharDefText"/>
        </w:rPr>
        <w:t>concessional off</w:t>
      </w:r>
      <w:r>
        <w:rPr>
          <w:rStyle w:val="CharDefText"/>
        </w:rPr>
        <w:noBreakHyphen/>
        <w:t>the</w:t>
      </w:r>
      <w:r>
        <w:rPr>
          <w:rStyle w:val="CharDefText"/>
        </w:rPr>
        <w:noBreakHyphen/>
        <w:t>plan agreement</w:t>
      </w:r>
      <w:r>
        <w:t xml:space="preserve"> means — </w:t>
      </w:r>
    </w:p>
    <w:p>
      <w:pPr>
        <w:pStyle w:val="Defpara"/>
      </w:pPr>
      <w:r>
        <w:tab/>
        <w:t>(a)</w:t>
      </w:r>
      <w:r>
        <w:tab/>
        <w:t>a concessional pre</w:t>
      </w:r>
      <w:r>
        <w:noBreakHyphen/>
        <w:t>construction agreement; or</w:t>
      </w:r>
    </w:p>
    <w:p>
      <w:pPr>
        <w:pStyle w:val="Defpara"/>
      </w:pPr>
      <w:r>
        <w:tab/>
        <w:t>(b)</w:t>
      </w:r>
      <w:r>
        <w:tab/>
        <w:t>a concessional under construction agreement;</w:t>
      </w:r>
    </w:p>
    <w:p>
      <w:pPr>
        <w:pStyle w:val="Defstart"/>
      </w:pPr>
      <w:r>
        <w:tab/>
      </w:r>
      <w:r>
        <w:rPr>
          <w:rStyle w:val="CharDefText"/>
        </w:rPr>
        <w:t>concessional pre</w:t>
      </w:r>
      <w:r>
        <w:rPr>
          <w:rStyle w:val="CharDefText"/>
        </w:rPr>
        <w:noBreakHyphen/>
        <w:t>construction agreement</w:t>
      </w:r>
      <w:r>
        <w:t xml:space="preserve"> has the meaning given in section 266F;</w:t>
      </w:r>
    </w:p>
    <w:p>
      <w:pPr>
        <w:pStyle w:val="Defstart"/>
      </w:pPr>
      <w:r>
        <w:tab/>
      </w:r>
      <w:r>
        <w:rPr>
          <w:rStyle w:val="CharDefText"/>
        </w:rPr>
        <w:t>concessional under construction agreement</w:t>
      </w:r>
      <w:r>
        <w:t xml:space="preserve"> has the meaning given in section 266FA;</w:t>
      </w:r>
    </w:p>
    <w:p>
      <w:pPr>
        <w:pStyle w:val="Defstart"/>
      </w:pPr>
      <w:r>
        <w:tab/>
      </w:r>
      <w:r>
        <w:rPr>
          <w:rStyle w:val="CharDefText"/>
        </w:rPr>
        <w:t>concession amount</w:t>
      </w:r>
      <w:r>
        <w:t>, for a concessional off</w:t>
      </w:r>
      <w:r>
        <w:noBreakHyphen/>
        <w:t>the</w:t>
      </w:r>
      <w:r>
        <w:noBreakHyphen/>
        <w:t>plan agreement, means the concession amount for the agreement determined under sections 266L to 266N;</w:t>
      </w:r>
    </w:p>
    <w:p>
      <w:pPr>
        <w:pStyle w:val="Defstart"/>
      </w:pPr>
      <w:r>
        <w:tab/>
      </w:r>
      <w:r>
        <w:rPr>
          <w:rStyle w:val="CharDefText"/>
        </w:rPr>
        <w:t>concession day</w:t>
      </w:r>
      <w:r>
        <w:t>, in relation to a concessional off</w:t>
      </w:r>
      <w:r>
        <w:noBreakHyphen/>
        <w:t>the</w:t>
      </w:r>
      <w:r>
        <w:noBreakHyphen/>
        <w:t>plan agreement, has the meaning given in section 266H;</w:t>
      </w:r>
    </w:p>
    <w:p>
      <w:pPr>
        <w:pStyle w:val="Defstart"/>
      </w:pPr>
      <w:r>
        <w:tab/>
      </w:r>
      <w:r>
        <w:rPr>
          <w:rStyle w:val="CharDefText"/>
        </w:rPr>
        <w:t>dutiable value</w:t>
      </w:r>
      <w:r>
        <w:t xml:space="preserve"> has the meaning given in section 9;</w:t>
      </w:r>
    </w:p>
    <w:p>
      <w:pPr>
        <w:pStyle w:val="Defstart"/>
        <w:rPr>
          <w:ins w:id="1612" w:author="Master Repository Process" w:date="2025-06-19T17:03:00Z"/>
        </w:rPr>
      </w:pPr>
      <w:ins w:id="1613" w:author="Master Repository Process" w:date="2025-06-19T17:03:00Z">
        <w:r>
          <w:tab/>
        </w:r>
        <w:r>
          <w:rPr>
            <w:rStyle w:val="CharDefText"/>
          </w:rPr>
          <w:t>eligible scheme</w:t>
        </w:r>
        <w:r>
          <w:t xml:space="preserve"> means a strata scheme or a community titles (building) scheme;</w:t>
        </w:r>
      </w:ins>
    </w:p>
    <w:p>
      <w:pPr>
        <w:pStyle w:val="Defstart"/>
      </w:pPr>
      <w:r>
        <w:tab/>
      </w:r>
      <w:r>
        <w:rPr>
          <w:rStyle w:val="CharDefText"/>
        </w:rPr>
        <w:t>lot</w:t>
      </w:r>
      <w:r>
        <w:t xml:space="preserve"> — </w:t>
      </w:r>
    </w:p>
    <w:p>
      <w:pPr>
        <w:pStyle w:val="Defpara"/>
      </w:pPr>
      <w:r>
        <w:tab/>
        <w:t>(a)</w:t>
      </w:r>
      <w:r>
        <w:tab/>
        <w:t xml:space="preserve">in relation to a strata scheme — means a lot in a strata scheme as defined in the </w:t>
      </w:r>
      <w:r>
        <w:rPr>
          <w:i/>
        </w:rPr>
        <w:t>Strata Titles Act 1985</w:t>
      </w:r>
      <w:r>
        <w:t xml:space="preserve"> section 3(1); or</w:t>
      </w:r>
    </w:p>
    <w:p>
      <w:pPr>
        <w:pStyle w:val="Defpara"/>
      </w:pPr>
      <w:r>
        <w:tab/>
        <w:t>(b)</w:t>
      </w:r>
      <w:r>
        <w:tab/>
        <w:t xml:space="preserve">in relation to a community titles (building) scheme — has the meaning given in the </w:t>
      </w:r>
      <w:r>
        <w:rPr>
          <w:i/>
        </w:rPr>
        <w:t>Community Titles Act 2018</w:t>
      </w:r>
      <w:r>
        <w:t xml:space="preserve"> section 3(1);</w:t>
      </w:r>
    </w:p>
    <w:p>
      <w:pPr>
        <w:pStyle w:val="Defstart"/>
      </w:pPr>
      <w:r>
        <w:tab/>
      </w:r>
      <w:r>
        <w:rPr>
          <w:rStyle w:val="CharDefText"/>
        </w:rPr>
        <w:t>multi</w:t>
      </w:r>
      <w:r>
        <w:rPr>
          <w:rStyle w:val="CharDefText"/>
        </w:rPr>
        <w:noBreakHyphen/>
        <w:t>tiered scheme</w:t>
      </w:r>
      <w:r>
        <w:t xml:space="preserve"> means </w:t>
      </w:r>
      <w:del w:id="1614" w:author="Master Repository Process" w:date="2025-06-19T17:03:00Z">
        <w:r>
          <w:delText>a strata scheme or a community titles (building)</w:delText>
        </w:r>
      </w:del>
      <w:ins w:id="1615" w:author="Master Repository Process" w:date="2025-06-19T17:03:00Z">
        <w:r>
          <w:t>an eligible</w:t>
        </w:r>
      </w:ins>
      <w:r>
        <w:t xml:space="preserve"> scheme, other than a </w:t>
      </w:r>
      <w:del w:id="1616" w:author="Master Repository Process" w:date="2025-06-19T17:03:00Z">
        <w:r>
          <w:delText>strata scheme or community titles (building scheme) in which no part of a floor of a lot or part of a lot in a building forms or joins the ceiling of another lot or part of a lot in a building</w:delText>
        </w:r>
      </w:del>
      <w:ins w:id="1617" w:author="Master Repository Process" w:date="2025-06-19T17:03:00Z">
        <w:r>
          <w:t>single</w:t>
        </w:r>
        <w:r>
          <w:noBreakHyphen/>
          <w:t>tiered scheme</w:t>
        </w:r>
      </w:ins>
      <w:r>
        <w:t>;</w:t>
      </w:r>
    </w:p>
    <w:p>
      <w:pPr>
        <w:pStyle w:val="Defstart"/>
      </w:pPr>
      <w:r>
        <w:tab/>
      </w:r>
      <w:r>
        <w:rPr>
          <w:rStyle w:val="CharDefText"/>
        </w:rPr>
        <w:t xml:space="preserve">new </w:t>
      </w:r>
      <w:del w:id="1618" w:author="Master Repository Process" w:date="2025-06-19T17:03:00Z">
        <w:r>
          <w:rPr>
            <w:rStyle w:val="CharDefText"/>
          </w:rPr>
          <w:delText>residential unit or apartment</w:delText>
        </w:r>
      </w:del>
      <w:ins w:id="1619" w:author="Master Repository Process" w:date="2025-06-19T17:03:00Z">
        <w:r>
          <w:rPr>
            <w:rStyle w:val="CharDefText"/>
          </w:rPr>
          <w:t>dwelling</w:t>
        </w:r>
      </w:ins>
      <w:r>
        <w:t xml:space="preserve"> has the meaning given in section 266G(1) and (2);</w:t>
      </w:r>
    </w:p>
    <w:p>
      <w:pPr>
        <w:pStyle w:val="Defstart"/>
      </w:pPr>
      <w:r>
        <w:tab/>
      </w:r>
      <w:r>
        <w:rPr>
          <w:rStyle w:val="CharDefText"/>
        </w:rPr>
        <w:t>Off</w:t>
      </w:r>
      <w:r>
        <w:rPr>
          <w:rStyle w:val="CharDefText"/>
        </w:rPr>
        <w:noBreakHyphen/>
        <w:t>the</w:t>
      </w:r>
      <w:r>
        <w:rPr>
          <w:rStyle w:val="CharDefText"/>
        </w:rPr>
        <w:noBreakHyphen/>
        <w:t>Plan Duty Rebate Scheme</w:t>
      </w:r>
      <w:r>
        <w:t xml:space="preserve"> means the administrative scheme for the payment of rebates on duty known as the Off</w:t>
      </w:r>
      <w:r>
        <w:noBreakHyphen/>
        <w:t>the</w:t>
      </w:r>
      <w:r>
        <w:noBreakHyphen/>
        <w:t>Plan Duty Rebate Scheme;</w:t>
      </w:r>
    </w:p>
    <w:p>
      <w:pPr>
        <w:pStyle w:val="Defstart"/>
      </w:pPr>
      <w:r>
        <w:tab/>
      </w:r>
      <w:r>
        <w:rPr>
          <w:rStyle w:val="CharDefText"/>
        </w:rPr>
        <w:t>replacement transaction</w:t>
      </w:r>
      <w:r>
        <w:t>, in relation to a cancelled transaction, has the meaning given in section 107(1);</w:t>
      </w:r>
    </w:p>
    <w:p>
      <w:pPr>
        <w:pStyle w:val="Defstart"/>
        <w:rPr>
          <w:ins w:id="1620" w:author="Master Repository Process" w:date="2025-06-19T17:03:00Z"/>
        </w:rPr>
      </w:pPr>
      <w:ins w:id="1621" w:author="Master Repository Process" w:date="2025-06-19T17:03:00Z">
        <w:r>
          <w:tab/>
        </w:r>
        <w:r>
          <w:rPr>
            <w:rStyle w:val="CharDefText"/>
          </w:rPr>
          <w:t>single</w:t>
        </w:r>
        <w:r>
          <w:rPr>
            <w:rStyle w:val="CharDefText"/>
          </w:rPr>
          <w:noBreakHyphen/>
          <w:t>tiered scheme</w:t>
        </w:r>
        <w:r>
          <w:t xml:space="preserve"> means an eligible scheme in which no part of a floor of a lot or part of a lot in a building forms or joins the ceiling of another lot or part of a lot in a building;</w:t>
        </w:r>
      </w:ins>
    </w:p>
    <w:p>
      <w:pPr>
        <w:pStyle w:val="Defstart"/>
      </w:pPr>
      <w:r>
        <w:tab/>
      </w:r>
      <w:r>
        <w:rPr>
          <w:rStyle w:val="CharDefText"/>
        </w:rPr>
        <w:t>strata scheme</w:t>
      </w:r>
      <w:r>
        <w:t xml:space="preserve"> has the meaning given in the </w:t>
      </w:r>
      <w:r>
        <w:rPr>
          <w:i/>
        </w:rPr>
        <w:t>Strata Titles Act 1985</w:t>
      </w:r>
      <w:r>
        <w:t xml:space="preserve"> section 9;</w:t>
      </w:r>
    </w:p>
    <w:p>
      <w:pPr>
        <w:pStyle w:val="Defstart"/>
      </w:pPr>
      <w:r>
        <w:tab/>
      </w:r>
      <w:r>
        <w:rPr>
          <w:rStyle w:val="CharDefText"/>
        </w:rPr>
        <w:t>subsale transaction</w:t>
      </w:r>
      <w:r>
        <w:t>, in relation to a cancelled transaction, has the meaning given in section 107(1);</w:t>
      </w:r>
    </w:p>
    <w:p>
      <w:pPr>
        <w:pStyle w:val="Defstart"/>
      </w:pPr>
      <w:r>
        <w:tab/>
      </w:r>
      <w:r>
        <w:rPr>
          <w:rStyle w:val="CharDefText"/>
        </w:rPr>
        <w:t>unadjusted duty amount</w:t>
      </w:r>
      <w:r>
        <w:t>, in relation to a concessional off</w:t>
      </w:r>
      <w:r>
        <w:noBreakHyphen/>
        <w:t>the</w:t>
      </w:r>
      <w:r>
        <w:noBreakHyphen/>
        <w:t>plan agreement, has the meaning given in section 266I.</w:t>
      </w:r>
    </w:p>
    <w:p>
      <w:pPr>
        <w:pStyle w:val="Footnotesection"/>
      </w:pPr>
      <w:r>
        <w:tab/>
        <w:t>[Section 266E inserted: No. 29 of 2023 s. </w:t>
      </w:r>
      <w:del w:id="1622" w:author="Master Repository Process" w:date="2025-06-19T17:03:00Z">
        <w:r>
          <w:delText>8</w:delText>
        </w:r>
      </w:del>
      <w:ins w:id="1623" w:author="Master Repository Process" w:date="2025-06-19T17:03:00Z">
        <w:r>
          <w:t>8; amended: No. 5 of 2025 s. 7</w:t>
        </w:r>
      </w:ins>
      <w:r>
        <w:t>.]</w:t>
      </w:r>
    </w:p>
    <w:p>
      <w:pPr>
        <w:pStyle w:val="Heading5"/>
      </w:pPr>
      <w:bookmarkStart w:id="1624" w:name="_Toc201229356"/>
      <w:bookmarkStart w:id="1625" w:name="_Toc182410421"/>
      <w:r>
        <w:rPr>
          <w:rStyle w:val="CharSectno"/>
        </w:rPr>
        <w:t>266F</w:t>
      </w:r>
      <w:r>
        <w:t>.</w:t>
      </w:r>
      <w:r>
        <w:tab/>
        <w:t>Concessional pre</w:t>
      </w:r>
      <w:r>
        <w:noBreakHyphen/>
        <w:t>construction agreement</w:t>
      </w:r>
      <w:bookmarkEnd w:id="1624"/>
      <w:bookmarkEnd w:id="1625"/>
    </w:p>
    <w:p>
      <w:pPr>
        <w:pStyle w:val="Subsection"/>
      </w:pPr>
      <w:r>
        <w:tab/>
        <w:t>(1)</w:t>
      </w:r>
      <w:r>
        <w:tab/>
        <w:t xml:space="preserve">An agreement for the transfer of dutiable property is a </w:t>
      </w:r>
      <w:r>
        <w:rPr>
          <w:rStyle w:val="CharDefText"/>
        </w:rPr>
        <w:t>concessional pre</w:t>
      </w:r>
      <w:r>
        <w:rPr>
          <w:rStyle w:val="CharDefText"/>
        </w:rPr>
        <w:noBreakHyphen/>
        <w:t>construction agreement</w:t>
      </w:r>
      <w:r>
        <w:t xml:space="preserve"> if the agreement is — </w:t>
      </w:r>
    </w:p>
    <w:p>
      <w:pPr>
        <w:pStyle w:val="Indenta"/>
      </w:pPr>
      <w:r>
        <w:tab/>
        <w:t>(a)</w:t>
      </w:r>
      <w:r>
        <w:tab/>
        <w:t xml:space="preserve">an agreement for the purchase, from the owner of land to be subdivided by the registration of </w:t>
      </w:r>
      <w:del w:id="1626" w:author="Master Repository Process" w:date="2025-06-19T17:03:00Z">
        <w:r>
          <w:delText>a multi</w:delText>
        </w:r>
        <w:r>
          <w:noBreakHyphen/>
          <w:delText>tiered</w:delText>
        </w:r>
      </w:del>
      <w:ins w:id="1627" w:author="Master Repository Process" w:date="2025-06-19T17:03:00Z">
        <w:r>
          <w:t>an eligible</w:t>
        </w:r>
      </w:ins>
      <w:r>
        <w:t xml:space="preserve"> scheme or an amendment of </w:t>
      </w:r>
      <w:del w:id="1628" w:author="Master Repository Process" w:date="2025-06-19T17:03:00Z">
        <w:r>
          <w:delText>a multi</w:delText>
        </w:r>
        <w:r>
          <w:noBreakHyphen/>
          <w:delText>tiered</w:delText>
        </w:r>
      </w:del>
      <w:ins w:id="1629" w:author="Master Repository Process" w:date="2025-06-19T17:03:00Z">
        <w:r>
          <w:t xml:space="preserve">an eligible </w:t>
        </w:r>
      </w:ins>
      <w:r>
        <w:t xml:space="preserve"> scheme, of a lot in the scheme on which there will be a new </w:t>
      </w:r>
      <w:del w:id="1630" w:author="Master Repository Process" w:date="2025-06-19T17:03:00Z">
        <w:r>
          <w:delText>residential unit or apartment</w:delText>
        </w:r>
      </w:del>
      <w:ins w:id="1631" w:author="Master Repository Process" w:date="2025-06-19T17:03:00Z">
        <w:r>
          <w:t>dwelling</w:t>
        </w:r>
      </w:ins>
      <w:r>
        <w:t>; and</w:t>
      </w:r>
    </w:p>
    <w:p>
      <w:pPr>
        <w:pStyle w:val="Indenta"/>
      </w:pPr>
      <w:r>
        <w:tab/>
        <w:t>(b)</w:t>
      </w:r>
      <w:r>
        <w:tab/>
        <w:t>entered into before development for the subdivision commences; and</w:t>
      </w:r>
    </w:p>
    <w:p>
      <w:pPr>
        <w:pStyle w:val="Indenta"/>
        <w:keepNext/>
      </w:pPr>
      <w:r>
        <w:tab/>
        <w:t>(c)</w:t>
      </w:r>
      <w:r>
        <w:tab/>
        <w:t>entered into in the period</w:t>
      </w:r>
      <w:del w:id="1632" w:author="Master Repository Process" w:date="2025-06-19T17:03:00Z">
        <w:r>
          <w:delText xml:space="preserve"> beginning on 23 October 2019 and ending on 30 June 2025.</w:delText>
        </w:r>
      </w:del>
      <w:ins w:id="1633" w:author="Master Repository Process" w:date="2025-06-19T17:03:00Z">
        <w:r>
          <w:t xml:space="preserve"> — </w:t>
        </w:r>
      </w:ins>
    </w:p>
    <w:p>
      <w:pPr>
        <w:pStyle w:val="Indenti"/>
        <w:rPr>
          <w:ins w:id="1634" w:author="Master Repository Process" w:date="2025-06-19T17:03:00Z"/>
        </w:rPr>
      </w:pPr>
      <w:ins w:id="1635" w:author="Master Repository Process" w:date="2025-06-19T17:03:00Z">
        <w:r>
          <w:tab/>
          <w:t>(i)</w:t>
        </w:r>
        <w:r>
          <w:tab/>
          <w:t>if the eligible scheme is a multi</w:t>
        </w:r>
        <w:r>
          <w:noBreakHyphen/>
          <w:t>tiered scheme — beginning on 23 October 2019 and ending on 30 June 2026; or</w:t>
        </w:r>
      </w:ins>
    </w:p>
    <w:p>
      <w:pPr>
        <w:pStyle w:val="Indenti"/>
        <w:rPr>
          <w:ins w:id="1636" w:author="Master Repository Process" w:date="2025-06-19T17:03:00Z"/>
        </w:rPr>
      </w:pPr>
      <w:ins w:id="1637" w:author="Master Repository Process" w:date="2025-06-19T17:03:00Z">
        <w:r>
          <w:tab/>
          <w:t>(ii)</w:t>
        </w:r>
        <w:r>
          <w:tab/>
          <w:t>if the eligible scheme is a single</w:t>
        </w:r>
        <w:r>
          <w:noBreakHyphen/>
          <w:t>tiered scheme — beginning on 21 March 2025 and ending on 30 June 2026.</w:t>
        </w:r>
      </w:ins>
    </w:p>
    <w:p>
      <w:pPr>
        <w:pStyle w:val="Subsection"/>
        <w:keepNext/>
      </w:pPr>
      <w:r>
        <w:tab/>
        <w:t>(2)</w:t>
      </w:r>
      <w:r>
        <w:tab/>
        <w:t xml:space="preserve">An agreement (the </w:t>
      </w:r>
      <w:r>
        <w:rPr>
          <w:rStyle w:val="CharDefText"/>
        </w:rPr>
        <w:t>new agreement</w:t>
      </w:r>
      <w:r>
        <w:t xml:space="preserve">) for the transfer of dutiable property is also a </w:t>
      </w:r>
      <w:r>
        <w:rPr>
          <w:rStyle w:val="CharDefText"/>
        </w:rPr>
        <w:t>concessional pre</w:t>
      </w:r>
      <w:r>
        <w:rPr>
          <w:rStyle w:val="CharDefText"/>
        </w:rPr>
        <w:noBreakHyphen/>
        <w:t>construction agreement</w:t>
      </w:r>
      <w:r>
        <w:t xml:space="preserve"> if the new agreement is — </w:t>
      </w:r>
    </w:p>
    <w:p>
      <w:pPr>
        <w:pStyle w:val="Indenta"/>
      </w:pPr>
      <w:r>
        <w:tab/>
        <w:t>(a)</w:t>
      </w:r>
      <w:r>
        <w:tab/>
        <w:t xml:space="preserve">an agreement for the purchase, from the owner of land to be subdivided by the registration of </w:t>
      </w:r>
      <w:del w:id="1638" w:author="Master Repository Process" w:date="2025-06-19T17:03:00Z">
        <w:r>
          <w:delText>a multi</w:delText>
        </w:r>
        <w:r>
          <w:noBreakHyphen/>
          <w:delText>tiered</w:delText>
        </w:r>
      </w:del>
      <w:ins w:id="1639" w:author="Master Repository Process" w:date="2025-06-19T17:03:00Z">
        <w:r>
          <w:t>an eligible</w:t>
        </w:r>
      </w:ins>
      <w:r>
        <w:t xml:space="preserve"> scheme or an amendment of </w:t>
      </w:r>
      <w:bookmarkStart w:id="1640" w:name="_Hlk201222916"/>
      <w:del w:id="1641" w:author="Master Repository Process" w:date="2025-06-19T17:03:00Z">
        <w:r>
          <w:delText>a multi</w:delText>
        </w:r>
        <w:r>
          <w:noBreakHyphen/>
          <w:delText>tiered</w:delText>
        </w:r>
      </w:del>
      <w:ins w:id="1642" w:author="Master Repository Process" w:date="2025-06-19T17:03:00Z">
        <w:r>
          <w:t>an eligible</w:t>
        </w:r>
      </w:ins>
      <w:bookmarkEnd w:id="1640"/>
      <w:r>
        <w:t xml:space="preserve"> scheme, of a lot in the scheme on which there will be a new </w:t>
      </w:r>
      <w:del w:id="1643" w:author="Master Repository Process" w:date="2025-06-19T17:03:00Z">
        <w:r>
          <w:delText>residential unit or apartment</w:delText>
        </w:r>
      </w:del>
      <w:ins w:id="1644" w:author="Master Repository Process" w:date="2025-06-19T17:03:00Z">
        <w:r>
          <w:t>dwelling</w:t>
        </w:r>
      </w:ins>
      <w:r>
        <w:t>; and</w:t>
      </w:r>
    </w:p>
    <w:p>
      <w:pPr>
        <w:pStyle w:val="Indenta"/>
      </w:pPr>
      <w:r>
        <w:tab/>
        <w:t>(b)</w:t>
      </w:r>
      <w:r>
        <w:tab/>
        <w:t xml:space="preserve">substantially similar in effect to an earlier cancelled transaction that — </w:t>
      </w:r>
    </w:p>
    <w:p>
      <w:pPr>
        <w:pStyle w:val="Indenti"/>
      </w:pPr>
      <w:r>
        <w:tab/>
        <w:t>(i)</w:t>
      </w:r>
      <w:r>
        <w:tab/>
        <w:t>was a concessional pre</w:t>
      </w:r>
      <w:r>
        <w:noBreakHyphen/>
        <w:t>construction agreement under subsection (1); and</w:t>
      </w:r>
    </w:p>
    <w:p>
      <w:pPr>
        <w:pStyle w:val="Indenti"/>
      </w:pPr>
      <w:r>
        <w:tab/>
        <w:t>(ii)</w:t>
      </w:r>
      <w:r>
        <w:tab/>
        <w:t>was between all of the same parties as the parties to the new agreement, except that the seller was different;</w:t>
      </w:r>
    </w:p>
    <w:p>
      <w:pPr>
        <w:pStyle w:val="Indenta"/>
      </w:pPr>
      <w:r>
        <w:tab/>
      </w:r>
      <w:r>
        <w:tab/>
        <w:t>and</w:t>
      </w:r>
    </w:p>
    <w:p>
      <w:pPr>
        <w:pStyle w:val="Indenta"/>
      </w:pPr>
      <w:r>
        <w:tab/>
        <w:t>(c)</w:t>
      </w:r>
      <w:r>
        <w:tab/>
        <w:t>entered into after development for the subdivision commences, but before development for the subdivision is completed.</w:t>
      </w:r>
    </w:p>
    <w:p>
      <w:pPr>
        <w:pStyle w:val="Subsection"/>
      </w:pPr>
      <w:r>
        <w:tab/>
        <w:t>(3)</w:t>
      </w:r>
      <w:r>
        <w:tab/>
        <w:t xml:space="preserve">Despite subsections (1) and (2), an agreement (the </w:t>
      </w:r>
      <w:r>
        <w:rPr>
          <w:rStyle w:val="CharDefText"/>
        </w:rPr>
        <w:t>relevant agreement</w:t>
      </w:r>
      <w:r>
        <w:t xml:space="preserve">) to which either of those subsections applies is not a </w:t>
      </w:r>
      <w:r>
        <w:rPr>
          <w:rStyle w:val="CharDefText"/>
        </w:rPr>
        <w:t>concessional pre</w:t>
      </w:r>
      <w:r>
        <w:rPr>
          <w:rStyle w:val="CharDefText"/>
        </w:rPr>
        <w:noBreakHyphen/>
        <w:t>construction agreement</w:t>
      </w:r>
      <w:r>
        <w:t xml:space="preserve"> — </w:t>
      </w:r>
    </w:p>
    <w:p>
      <w:pPr>
        <w:pStyle w:val="Indenta"/>
      </w:pPr>
      <w:r>
        <w:tab/>
        <w:t>(a)</w:t>
      </w:r>
      <w:r>
        <w:tab/>
        <w:t>if a rebate has been paid in relation to the relevant agreement under the Off</w:t>
      </w:r>
      <w:r>
        <w:noBreakHyphen/>
        <w:t>the</w:t>
      </w:r>
      <w:r>
        <w:noBreakHyphen/>
        <w:t>Plan Duty Rebate Scheme; or</w:t>
      </w:r>
    </w:p>
    <w:p>
      <w:pPr>
        <w:pStyle w:val="Indenta"/>
        <w:keepNext/>
      </w:pPr>
      <w:r>
        <w:tab/>
        <w:t>(b)</w:t>
      </w:r>
      <w:r>
        <w:tab/>
        <w:t xml:space="preserve">if — </w:t>
      </w:r>
    </w:p>
    <w:p>
      <w:pPr>
        <w:pStyle w:val="Indenti"/>
        <w:rPr>
          <w:ins w:id="1645" w:author="Master Repository Process" w:date="2025-06-19T17:03:00Z"/>
        </w:rPr>
      </w:pPr>
      <w:ins w:id="1646" w:author="Master Repository Process" w:date="2025-06-19T17:03:00Z">
        <w:r>
          <w:tab/>
          <w:t>(ia)</w:t>
        </w:r>
        <w:r>
          <w:tab/>
          <w:t>the eligible scheme is a multi</w:t>
        </w:r>
        <w:r>
          <w:noBreakHyphen/>
          <w:t xml:space="preserve">tiered scheme; and </w:t>
        </w:r>
      </w:ins>
    </w:p>
    <w:p>
      <w:pPr>
        <w:pStyle w:val="Indenti"/>
      </w:pPr>
      <w:r>
        <w:tab/>
        <w:t>(i)</w:t>
      </w:r>
      <w:r>
        <w:tab/>
        <w:t>development for the subdivision of the land by the registration of the multi</w:t>
      </w:r>
      <w:r>
        <w:noBreakHyphen/>
        <w:t>tiered scheme, or the amendment of the multi</w:t>
      </w:r>
      <w:r>
        <w:noBreakHyphen/>
        <w:t>tiered scheme, is completed before 31 August 2023; and</w:t>
      </w:r>
    </w:p>
    <w:p>
      <w:pPr>
        <w:pStyle w:val="Indenti"/>
      </w:pPr>
      <w:r>
        <w:tab/>
        <w:t>(ii)</w:t>
      </w:r>
      <w:r>
        <w:tab/>
        <w:t>the eligibility criteria for payment of a rebate under the Off</w:t>
      </w:r>
      <w:r>
        <w:noBreakHyphen/>
        <w:t>the</w:t>
      </w:r>
      <w:r>
        <w:noBreakHyphen/>
        <w:t>Plan Duty Rebate Scheme are not satisfied in relation to the relevant agreement;</w:t>
      </w:r>
    </w:p>
    <w:p>
      <w:pPr>
        <w:pStyle w:val="Indenta"/>
      </w:pPr>
      <w:r>
        <w:tab/>
      </w:r>
      <w:r>
        <w:tab/>
        <w:t>or</w:t>
      </w:r>
    </w:p>
    <w:p>
      <w:pPr>
        <w:pStyle w:val="Indenta"/>
      </w:pPr>
      <w:r>
        <w:tab/>
        <w:t>(c)</w:t>
      </w:r>
      <w:r>
        <w:tab/>
        <w:t>if the relevant agreement is a replacement transaction in relation to a cancelled transaction; or</w:t>
      </w:r>
    </w:p>
    <w:p>
      <w:pPr>
        <w:pStyle w:val="Indenta"/>
      </w:pPr>
      <w:r>
        <w:tab/>
        <w:t>(d)</w:t>
      </w:r>
      <w:r>
        <w:tab/>
        <w:t>if the relevant agreement is a subsale transaction in relation to a cancelled transaction that was a concessional pre</w:t>
      </w:r>
      <w:r>
        <w:noBreakHyphen/>
        <w:t>construction agreement; or</w:t>
      </w:r>
    </w:p>
    <w:p>
      <w:pPr>
        <w:pStyle w:val="Indenta"/>
      </w:pPr>
      <w:r>
        <w:tab/>
        <w:t>(e)</w:t>
      </w:r>
      <w:r>
        <w:tab/>
        <w:t xml:space="preserve">if — </w:t>
      </w:r>
    </w:p>
    <w:p>
      <w:pPr>
        <w:pStyle w:val="Indenti"/>
      </w:pPr>
      <w:r>
        <w:tab/>
        <w:t>(i)</w:t>
      </w:r>
      <w:r>
        <w:tab/>
        <w:t>the relevant agreement is between all of the same parties as the parties to, and is substantially similar in effect to, an earlier cancelled transaction; and</w:t>
      </w:r>
    </w:p>
    <w:p>
      <w:pPr>
        <w:pStyle w:val="Indenti"/>
      </w:pPr>
      <w:r>
        <w:tab/>
        <w:t>(ii)</w:t>
      </w:r>
      <w:r>
        <w:tab/>
        <w:t>in the opinion of the Commissioner, the sole or dominant purpose of any party in entering into the relevant agreement is to obtain a rebate, or a higher amount of rebate, under the Off</w:t>
      </w:r>
      <w:r>
        <w:noBreakHyphen/>
        <w:t>the</w:t>
      </w:r>
      <w:r>
        <w:noBreakHyphen/>
        <w:t>Plan Duty Rebate Scheme;</w:t>
      </w:r>
    </w:p>
    <w:p>
      <w:pPr>
        <w:pStyle w:val="Indenta"/>
      </w:pPr>
      <w:r>
        <w:tab/>
      </w:r>
      <w:r>
        <w:tab/>
        <w:t>or</w:t>
      </w:r>
    </w:p>
    <w:p>
      <w:pPr>
        <w:pStyle w:val="Indenta"/>
      </w:pPr>
      <w:r>
        <w:tab/>
        <w:t>(f)</w:t>
      </w:r>
      <w:r>
        <w:tab/>
        <w:t xml:space="preserve">if the relevant agreement is substantially similar in effect to an earlier cancelled transaction that — </w:t>
      </w:r>
    </w:p>
    <w:p>
      <w:pPr>
        <w:pStyle w:val="Indenti"/>
      </w:pPr>
      <w:r>
        <w:tab/>
        <w:t>(i)</w:t>
      </w:r>
      <w:r>
        <w:tab/>
        <w:t>was between all of the same parties as the parties to the relevant agreement, except that the seller was different; and</w:t>
      </w:r>
    </w:p>
    <w:p>
      <w:pPr>
        <w:pStyle w:val="Indenti"/>
      </w:pPr>
      <w:r>
        <w:tab/>
        <w:t>(ii)</w:t>
      </w:r>
      <w:r>
        <w:tab/>
        <w:t>was entered into before 23 October 2019</w:t>
      </w:r>
      <w:del w:id="1647" w:author="Master Repository Process" w:date="2025-06-19T17:03:00Z">
        <w:r>
          <w:delText>.</w:delText>
        </w:r>
      </w:del>
      <w:ins w:id="1648" w:author="Master Repository Process" w:date="2025-06-19T17:03:00Z">
        <w:r>
          <w:t xml:space="preserve"> (if the eligible scheme is a multi</w:t>
        </w:r>
        <w:r>
          <w:noBreakHyphen/>
          <w:t>tiered scheme) or before 21 March 2025 (if the eligible scheme is a single</w:t>
        </w:r>
        <w:r>
          <w:noBreakHyphen/>
          <w:t>tiered scheme).</w:t>
        </w:r>
      </w:ins>
    </w:p>
    <w:p>
      <w:pPr>
        <w:pStyle w:val="Subsection"/>
      </w:pPr>
      <w:r>
        <w:tab/>
        <w:t>(4)</w:t>
      </w:r>
      <w:r>
        <w:tab/>
        <w:t>For the purposes of subsection (3)(b)(ii), the eligibility criteria for payment of a rebate under the Off</w:t>
      </w:r>
      <w:r>
        <w:noBreakHyphen/>
        <w:t>the</w:t>
      </w:r>
      <w:r>
        <w:noBreakHyphen/>
        <w:t>Plan Duty Rebate Scheme are taken to be the criteria set out in the application form entitled “Form FDA49 — Off</w:t>
      </w:r>
      <w:r>
        <w:noBreakHyphen/>
        <w:t>the</w:t>
      </w:r>
      <w:r>
        <w:noBreakHyphen/>
        <w:t>Plan Rebate: Pre</w:t>
      </w:r>
      <w:r>
        <w:noBreakHyphen/>
        <w:t>construction Contract” as published on the Commissioner’s website on 31 August 2023.</w:t>
      </w:r>
    </w:p>
    <w:p>
      <w:pPr>
        <w:pStyle w:val="Subsection"/>
      </w:pPr>
      <w:r>
        <w:tab/>
        <w:t>(5)</w:t>
      </w:r>
      <w:r>
        <w:tab/>
        <w:t>The Commissioner must ensure that the form referred to in subsection (4) remains published on the Commissioner’s website.</w:t>
      </w:r>
    </w:p>
    <w:p>
      <w:pPr>
        <w:pStyle w:val="Footnotesection"/>
      </w:pPr>
      <w:r>
        <w:tab/>
        <w:t>[Section 266F inserted: No. 29 of 2023 s. </w:t>
      </w:r>
      <w:del w:id="1649" w:author="Master Repository Process" w:date="2025-06-19T17:03:00Z">
        <w:r>
          <w:delText>8</w:delText>
        </w:r>
      </w:del>
      <w:ins w:id="1650" w:author="Master Repository Process" w:date="2025-06-19T17:03:00Z">
        <w:r>
          <w:t>8; amended: No. 5 of 2025 s. 8 and 15</w:t>
        </w:r>
      </w:ins>
      <w:r>
        <w:t>.]</w:t>
      </w:r>
    </w:p>
    <w:p>
      <w:pPr>
        <w:pStyle w:val="Heading5"/>
      </w:pPr>
      <w:bookmarkStart w:id="1651" w:name="_Toc201229357"/>
      <w:bookmarkStart w:id="1652" w:name="_Toc182410422"/>
      <w:r>
        <w:rPr>
          <w:rStyle w:val="CharSectno"/>
        </w:rPr>
        <w:t>266FA</w:t>
      </w:r>
      <w:r>
        <w:t>.</w:t>
      </w:r>
      <w:r>
        <w:tab/>
        <w:t>Concessional under construction agreement</w:t>
      </w:r>
      <w:bookmarkEnd w:id="1651"/>
      <w:bookmarkEnd w:id="1652"/>
    </w:p>
    <w:p>
      <w:pPr>
        <w:pStyle w:val="Subsection"/>
      </w:pPr>
      <w:r>
        <w:tab/>
        <w:t>(1)</w:t>
      </w:r>
      <w:r>
        <w:tab/>
        <w:t xml:space="preserve">An agreement for the transfer of dutiable property is a </w:t>
      </w:r>
      <w:r>
        <w:rPr>
          <w:rStyle w:val="CharDefText"/>
        </w:rPr>
        <w:t>concessional under construction agreement</w:t>
      </w:r>
      <w:r>
        <w:t xml:space="preserve"> if the agreement is — </w:t>
      </w:r>
    </w:p>
    <w:p>
      <w:pPr>
        <w:pStyle w:val="Indenta"/>
      </w:pPr>
      <w:r>
        <w:tab/>
        <w:t>(a)</w:t>
      </w:r>
      <w:r>
        <w:tab/>
        <w:t xml:space="preserve">an agreement for the purchase, from the owner of land to be subdivided by the registration of </w:t>
      </w:r>
      <w:del w:id="1653" w:author="Master Repository Process" w:date="2025-06-19T17:03:00Z">
        <w:r>
          <w:delText>a multi</w:delText>
        </w:r>
        <w:r>
          <w:noBreakHyphen/>
          <w:delText>tiered</w:delText>
        </w:r>
      </w:del>
      <w:ins w:id="1654" w:author="Master Repository Process" w:date="2025-06-19T17:03:00Z">
        <w:r>
          <w:t>an eligible</w:t>
        </w:r>
      </w:ins>
      <w:r>
        <w:t xml:space="preserve"> scheme or an amendment of </w:t>
      </w:r>
      <w:del w:id="1655" w:author="Master Repository Process" w:date="2025-06-19T17:03:00Z">
        <w:r>
          <w:delText>a multi</w:delText>
        </w:r>
        <w:r>
          <w:noBreakHyphen/>
          <w:delText>tiered</w:delText>
        </w:r>
      </w:del>
      <w:ins w:id="1656" w:author="Master Repository Process" w:date="2025-06-19T17:03:00Z">
        <w:r>
          <w:t>an eligible</w:t>
        </w:r>
      </w:ins>
      <w:r>
        <w:t xml:space="preserve"> scheme, of a lot in the scheme on which there will be a new </w:t>
      </w:r>
      <w:del w:id="1657" w:author="Master Repository Process" w:date="2025-06-19T17:03:00Z">
        <w:r>
          <w:delText>residential unit or apartment</w:delText>
        </w:r>
      </w:del>
      <w:ins w:id="1658" w:author="Master Repository Process" w:date="2025-06-19T17:03:00Z">
        <w:r>
          <w:t>dwelling</w:t>
        </w:r>
      </w:ins>
      <w:r>
        <w:t>; and</w:t>
      </w:r>
    </w:p>
    <w:p>
      <w:pPr>
        <w:pStyle w:val="Indenta"/>
      </w:pPr>
      <w:r>
        <w:tab/>
        <w:t>(b)</w:t>
      </w:r>
      <w:r>
        <w:tab/>
        <w:t>entered into after development for the subdivision commences, but before development for the subdivision is completed; and</w:t>
      </w:r>
    </w:p>
    <w:p>
      <w:pPr>
        <w:pStyle w:val="Indenta"/>
      </w:pPr>
      <w:r>
        <w:tab/>
        <w:t>(c)</w:t>
      </w:r>
      <w:r>
        <w:tab/>
        <w:t>entered into in the period</w:t>
      </w:r>
      <w:del w:id="1659" w:author="Master Repository Process" w:date="2025-06-19T17:03:00Z">
        <w:r>
          <w:delText xml:space="preserve"> beginning on 31 August 2023 and ending on 30 June 2025.</w:delText>
        </w:r>
      </w:del>
      <w:ins w:id="1660" w:author="Master Repository Process" w:date="2025-06-19T17:03:00Z">
        <w:r>
          <w:t xml:space="preserve"> — </w:t>
        </w:r>
      </w:ins>
    </w:p>
    <w:p>
      <w:pPr>
        <w:pStyle w:val="Indenti"/>
        <w:rPr>
          <w:ins w:id="1661" w:author="Master Repository Process" w:date="2025-06-19T17:03:00Z"/>
        </w:rPr>
      </w:pPr>
      <w:ins w:id="1662" w:author="Master Repository Process" w:date="2025-06-19T17:03:00Z">
        <w:r>
          <w:tab/>
          <w:t>(i)</w:t>
        </w:r>
        <w:r>
          <w:tab/>
          <w:t>if the eligible scheme is a multi</w:t>
        </w:r>
        <w:r>
          <w:noBreakHyphen/>
          <w:t>tiered scheme — beginning on 31 August 2023 and ending on 30 June 2026; or</w:t>
        </w:r>
      </w:ins>
    </w:p>
    <w:p>
      <w:pPr>
        <w:pStyle w:val="Indenti"/>
        <w:rPr>
          <w:ins w:id="1663" w:author="Master Repository Process" w:date="2025-06-19T17:03:00Z"/>
        </w:rPr>
      </w:pPr>
      <w:ins w:id="1664" w:author="Master Repository Process" w:date="2025-06-19T17:03:00Z">
        <w:r>
          <w:tab/>
          <w:t>(ii)</w:t>
        </w:r>
        <w:r>
          <w:tab/>
          <w:t>if the eligible scheme is a single</w:t>
        </w:r>
        <w:r>
          <w:noBreakHyphen/>
          <w:t>tiered scheme — beginning on 21 March 2025 and ending on 30 June 2026.</w:t>
        </w:r>
      </w:ins>
    </w:p>
    <w:p>
      <w:pPr>
        <w:pStyle w:val="Subsection"/>
      </w:pPr>
      <w:r>
        <w:tab/>
        <w:t>(2)</w:t>
      </w:r>
      <w:r>
        <w:tab/>
        <w:t xml:space="preserve">An agreement (the </w:t>
      </w:r>
      <w:r>
        <w:rPr>
          <w:rStyle w:val="CharDefText"/>
        </w:rPr>
        <w:t>new agreement</w:t>
      </w:r>
      <w:r>
        <w:t xml:space="preserve">) for the transfer of dutiable property is also a </w:t>
      </w:r>
      <w:r>
        <w:rPr>
          <w:rStyle w:val="CharDefText"/>
        </w:rPr>
        <w:t>concessional under construction agreement</w:t>
      </w:r>
      <w:r>
        <w:t xml:space="preserve"> if — </w:t>
      </w:r>
    </w:p>
    <w:p>
      <w:pPr>
        <w:pStyle w:val="Indenta"/>
      </w:pPr>
      <w:r>
        <w:tab/>
        <w:t>(a)</w:t>
      </w:r>
      <w:r>
        <w:tab/>
        <w:t>subsection (1)(a) and (b) apply to the new agreement; and</w:t>
      </w:r>
    </w:p>
    <w:p>
      <w:pPr>
        <w:pStyle w:val="Indenta"/>
      </w:pPr>
      <w:r>
        <w:tab/>
        <w:t>(b)</w:t>
      </w:r>
      <w:r>
        <w:tab/>
        <w:t xml:space="preserve">the new agreement is substantially similar in effect to an earlier cancelled transaction that — </w:t>
      </w:r>
    </w:p>
    <w:p>
      <w:pPr>
        <w:pStyle w:val="Indenti"/>
      </w:pPr>
      <w:r>
        <w:tab/>
        <w:t>(i)</w:t>
      </w:r>
      <w:r>
        <w:tab/>
        <w:t>was a concessional under construction agreement under subsection (1); and</w:t>
      </w:r>
    </w:p>
    <w:p>
      <w:pPr>
        <w:pStyle w:val="Indenti"/>
      </w:pPr>
      <w:r>
        <w:tab/>
        <w:t>(ii)</w:t>
      </w:r>
      <w:r>
        <w:tab/>
        <w:t>was between all of the same parties as the parties to the new agreement, except that the seller was different.</w:t>
      </w:r>
    </w:p>
    <w:p>
      <w:pPr>
        <w:pStyle w:val="Subsection"/>
      </w:pPr>
      <w:r>
        <w:tab/>
        <w:t>(3)</w:t>
      </w:r>
      <w:r>
        <w:tab/>
        <w:t xml:space="preserve">Despite subsections (1) and (2), an agreement (the </w:t>
      </w:r>
      <w:r>
        <w:rPr>
          <w:rStyle w:val="CharDefText"/>
        </w:rPr>
        <w:t>relevant agreement</w:t>
      </w:r>
      <w:r>
        <w:t xml:space="preserve">) to which either of those subsections applies is not a </w:t>
      </w:r>
      <w:r>
        <w:rPr>
          <w:rStyle w:val="CharDefText"/>
        </w:rPr>
        <w:t>concessional under construction agreement</w:t>
      </w:r>
      <w:r>
        <w:t xml:space="preserve"> if the relevant agreement is — </w:t>
      </w:r>
    </w:p>
    <w:p>
      <w:pPr>
        <w:pStyle w:val="Indenta"/>
      </w:pPr>
      <w:r>
        <w:tab/>
        <w:t>(a)</w:t>
      </w:r>
      <w:r>
        <w:tab/>
        <w:t>a concessional pre</w:t>
      </w:r>
      <w:r>
        <w:noBreakHyphen/>
        <w:t>construction agreement to which section 266F(2) applies; or</w:t>
      </w:r>
    </w:p>
    <w:p>
      <w:pPr>
        <w:pStyle w:val="Indenta"/>
      </w:pPr>
      <w:r>
        <w:tab/>
        <w:t>(b)</w:t>
      </w:r>
      <w:r>
        <w:tab/>
        <w:t>a replacement transaction in relation to a cancelled transaction; or</w:t>
      </w:r>
    </w:p>
    <w:p>
      <w:pPr>
        <w:pStyle w:val="Indenta"/>
      </w:pPr>
      <w:r>
        <w:tab/>
        <w:t>(c)</w:t>
      </w:r>
      <w:r>
        <w:tab/>
        <w:t>a subsale transaction in relation to a cancelled transaction that was a concessional off</w:t>
      </w:r>
      <w:r>
        <w:noBreakHyphen/>
        <w:t>the</w:t>
      </w:r>
      <w:r>
        <w:noBreakHyphen/>
        <w:t>plan agreement; or</w:t>
      </w:r>
    </w:p>
    <w:p>
      <w:pPr>
        <w:pStyle w:val="Indenta"/>
      </w:pPr>
      <w:r>
        <w:tab/>
        <w:t>(d)</w:t>
      </w:r>
      <w:r>
        <w:tab/>
        <w:t xml:space="preserve">substantially similar in effect to an earlier cancelled transaction that — </w:t>
      </w:r>
    </w:p>
    <w:p>
      <w:pPr>
        <w:pStyle w:val="Indenti"/>
      </w:pPr>
      <w:r>
        <w:tab/>
        <w:t>(i)</w:t>
      </w:r>
      <w:r>
        <w:tab/>
        <w:t>was between all of the same parties as the parties to the relevant agreement, except that the seller was different; and</w:t>
      </w:r>
    </w:p>
    <w:p>
      <w:pPr>
        <w:pStyle w:val="Indenti"/>
        <w:keepNext/>
      </w:pPr>
      <w:r>
        <w:tab/>
        <w:t>(ii)</w:t>
      </w:r>
      <w:r>
        <w:tab/>
        <w:t>was entered into before 31 August 2023</w:t>
      </w:r>
      <w:del w:id="1665" w:author="Master Repository Process" w:date="2025-06-19T17:03:00Z">
        <w:r>
          <w:delText>.</w:delText>
        </w:r>
      </w:del>
      <w:ins w:id="1666" w:author="Master Repository Process" w:date="2025-06-19T17:03:00Z">
        <w:r>
          <w:t xml:space="preserve"> (if the eligible scheme is a multi</w:t>
        </w:r>
        <w:r>
          <w:noBreakHyphen/>
          <w:t>tiered scheme) or before 21 March 2025 (if the eligible scheme is a single</w:t>
        </w:r>
        <w:r>
          <w:noBreakHyphen/>
          <w:t>tiered scheme).</w:t>
        </w:r>
      </w:ins>
    </w:p>
    <w:p>
      <w:pPr>
        <w:pStyle w:val="Footnotesection"/>
      </w:pPr>
      <w:r>
        <w:tab/>
        <w:t>[Section 266FA inserted: No. 29 of 2023 s. </w:t>
      </w:r>
      <w:del w:id="1667" w:author="Master Repository Process" w:date="2025-06-19T17:03:00Z">
        <w:r>
          <w:delText>8</w:delText>
        </w:r>
      </w:del>
      <w:ins w:id="1668" w:author="Master Repository Process" w:date="2025-06-19T17:03:00Z">
        <w:r>
          <w:t>8; amended: No. 5 of 2025 s. 9 and 15</w:t>
        </w:r>
      </w:ins>
      <w:r>
        <w:t>.]</w:t>
      </w:r>
    </w:p>
    <w:p>
      <w:pPr>
        <w:pStyle w:val="Heading5"/>
      </w:pPr>
      <w:bookmarkStart w:id="1669" w:name="_Toc182410423"/>
      <w:bookmarkStart w:id="1670" w:name="_Toc201229358"/>
      <w:r>
        <w:rPr>
          <w:rStyle w:val="CharSectno"/>
        </w:rPr>
        <w:t>266G</w:t>
      </w:r>
      <w:r>
        <w:t>.</w:t>
      </w:r>
      <w:r>
        <w:tab/>
        <w:t xml:space="preserve">New </w:t>
      </w:r>
      <w:del w:id="1671" w:author="Master Repository Process" w:date="2025-06-19T17:03:00Z">
        <w:r>
          <w:delText>residential unit or apartment</w:delText>
        </w:r>
      </w:del>
      <w:bookmarkEnd w:id="1669"/>
      <w:ins w:id="1672" w:author="Master Repository Process" w:date="2025-06-19T17:03:00Z">
        <w:r>
          <w:t>dwelling</w:t>
        </w:r>
      </w:ins>
      <w:bookmarkEnd w:id="1670"/>
    </w:p>
    <w:p>
      <w:pPr>
        <w:pStyle w:val="Subsection"/>
      </w:pPr>
      <w:r>
        <w:tab/>
        <w:t>(1)</w:t>
      </w:r>
      <w:r>
        <w:tab/>
        <w:t xml:space="preserve">For the purposes of sections 266F(1)(a) and </w:t>
      </w:r>
      <w:r>
        <w:rPr>
          <w:color w:val="000000" w:themeColor="text1"/>
        </w:rPr>
        <w:t>(2)(a) and 266FA(1)(a),</w:t>
      </w:r>
      <w:r>
        <w:t xml:space="preserve"> a </w:t>
      </w:r>
      <w:r>
        <w:rPr>
          <w:rStyle w:val="CharDefText"/>
        </w:rPr>
        <w:t xml:space="preserve">new </w:t>
      </w:r>
      <w:del w:id="1673" w:author="Master Repository Process" w:date="2025-06-19T17:03:00Z">
        <w:r>
          <w:rPr>
            <w:rStyle w:val="CharDefText"/>
          </w:rPr>
          <w:delText>residential unit or apartment</w:delText>
        </w:r>
      </w:del>
      <w:ins w:id="1674" w:author="Master Repository Process" w:date="2025-06-19T17:03:00Z">
        <w:r>
          <w:rPr>
            <w:rStyle w:val="CharDefText"/>
          </w:rPr>
          <w:t>dwelling</w:t>
        </w:r>
      </w:ins>
      <w:r>
        <w:t xml:space="preserve"> is a building, or part of a building, that — </w:t>
      </w:r>
    </w:p>
    <w:p>
      <w:pPr>
        <w:pStyle w:val="Indenta"/>
      </w:pPr>
      <w:r>
        <w:tab/>
        <w:t>(a)</w:t>
      </w:r>
      <w:r>
        <w:tab/>
        <w:t>may lawfully be used as a place of residence; and</w:t>
      </w:r>
    </w:p>
    <w:p>
      <w:pPr>
        <w:pStyle w:val="Indenta"/>
      </w:pPr>
      <w:r>
        <w:tab/>
        <w:t>(b)</w:t>
      </w:r>
      <w:r>
        <w:tab/>
        <w:t>in the Commissioner’s opinion, is suitable to be used as a place of residence; and</w:t>
      </w:r>
    </w:p>
    <w:p>
      <w:pPr>
        <w:pStyle w:val="Indenta"/>
      </w:pPr>
      <w:r>
        <w:tab/>
        <w:t>(c)</w:t>
      </w:r>
      <w:r>
        <w:tab/>
        <w:t>is intended to be used solely or dominantly as a place of residence; and</w:t>
      </w:r>
    </w:p>
    <w:p>
      <w:pPr>
        <w:pStyle w:val="Indenta"/>
      </w:pPr>
      <w:r>
        <w:tab/>
        <w:t>(d)</w:t>
      </w:r>
      <w:r>
        <w:tab/>
        <w:t>is not an existing building or part of an existing building.</w:t>
      </w:r>
    </w:p>
    <w:p>
      <w:pPr>
        <w:pStyle w:val="Subsection"/>
      </w:pPr>
      <w:r>
        <w:tab/>
        <w:t>(2)</w:t>
      </w:r>
      <w:r>
        <w:tab/>
        <w:t xml:space="preserve">Despite subsection (1), a building or part of a building is not a </w:t>
      </w:r>
      <w:r>
        <w:rPr>
          <w:rStyle w:val="CharDefText"/>
        </w:rPr>
        <w:t xml:space="preserve">new </w:t>
      </w:r>
      <w:del w:id="1675" w:author="Master Repository Process" w:date="2025-06-19T17:03:00Z">
        <w:r>
          <w:rPr>
            <w:rStyle w:val="CharDefText"/>
          </w:rPr>
          <w:delText>residential unit or apartment</w:delText>
        </w:r>
      </w:del>
      <w:ins w:id="1676" w:author="Master Repository Process" w:date="2025-06-19T17:03:00Z">
        <w:r>
          <w:rPr>
            <w:rStyle w:val="CharDefText"/>
          </w:rPr>
          <w:t>dwelling</w:t>
        </w:r>
      </w:ins>
      <w:r>
        <w:t xml:space="preserve"> if it is — </w:t>
      </w:r>
    </w:p>
    <w:p>
      <w:pPr>
        <w:pStyle w:val="Indenta"/>
      </w:pPr>
      <w:r>
        <w:tab/>
        <w:t>(a)</w:t>
      </w:r>
      <w:r>
        <w:tab/>
        <w:t>intended to be used as a hotel, motel, hostel, lodging house, boarding house or serviced apartment; or</w:t>
      </w:r>
    </w:p>
    <w:p>
      <w:pPr>
        <w:pStyle w:val="Indenta"/>
      </w:pPr>
      <w:r>
        <w:tab/>
        <w:t>(b)</w:t>
      </w:r>
      <w:r>
        <w:tab/>
        <w:t>of a prescribed class.</w:t>
      </w:r>
    </w:p>
    <w:p>
      <w:pPr>
        <w:pStyle w:val="Subsection"/>
      </w:pPr>
      <w:r>
        <w:tab/>
        <w:t>(3)</w:t>
      </w:r>
      <w:r>
        <w:tab/>
        <w:t xml:space="preserve">For the purposes of subsection (1)(d), an </w:t>
      </w:r>
      <w:r>
        <w:rPr>
          <w:rStyle w:val="CharDefText"/>
        </w:rPr>
        <w:t>existing building</w:t>
      </w:r>
      <w:r>
        <w:t xml:space="preserve"> is a building that has already been constructed when development for the subdivision referred to in section 266F(1)(a) or (2)(a) or 266FA(1)(a) (as the case requires) commences, whether or not refurbishment of the building is undertaken as part of that development.</w:t>
      </w:r>
    </w:p>
    <w:p>
      <w:pPr>
        <w:pStyle w:val="Footnotesection"/>
      </w:pPr>
      <w:r>
        <w:tab/>
        <w:t>[Section 266G inserted: No. 29 of 2023 s. </w:t>
      </w:r>
      <w:del w:id="1677" w:author="Master Repository Process" w:date="2025-06-19T17:03:00Z">
        <w:r>
          <w:delText>8</w:delText>
        </w:r>
      </w:del>
      <w:ins w:id="1678" w:author="Master Repository Process" w:date="2025-06-19T17:03:00Z">
        <w:r>
          <w:t>8; amended: No. 5 of 2025 s. 10</w:t>
        </w:r>
      </w:ins>
      <w:r>
        <w:t>.]</w:t>
      </w:r>
    </w:p>
    <w:p>
      <w:pPr>
        <w:pStyle w:val="Heading5"/>
      </w:pPr>
      <w:bookmarkStart w:id="1679" w:name="_Toc201229359"/>
      <w:bookmarkStart w:id="1680" w:name="_Toc182410424"/>
      <w:r>
        <w:rPr>
          <w:rStyle w:val="CharSectno"/>
        </w:rPr>
        <w:t>266H</w:t>
      </w:r>
      <w:r>
        <w:t>.</w:t>
      </w:r>
      <w:r>
        <w:tab/>
        <w:t>Concession day for agreement</w:t>
      </w:r>
      <w:bookmarkEnd w:id="1679"/>
      <w:bookmarkEnd w:id="1680"/>
    </w:p>
    <w:p>
      <w:pPr>
        <w:pStyle w:val="Subsection"/>
      </w:pPr>
      <w:r>
        <w:tab/>
        <w:t>(1)</w:t>
      </w:r>
      <w:r>
        <w:tab/>
        <w:t xml:space="preserve">The </w:t>
      </w:r>
      <w:r>
        <w:rPr>
          <w:rStyle w:val="CharDefText"/>
        </w:rPr>
        <w:t>concession day</w:t>
      </w:r>
      <w:r>
        <w:t xml:space="preserve"> for a concessional off</w:t>
      </w:r>
      <w:r>
        <w:noBreakHyphen/>
        <w:t>the</w:t>
      </w:r>
      <w:r>
        <w:noBreakHyphen/>
        <w:t xml:space="preserve">plan agreement is — </w:t>
      </w:r>
    </w:p>
    <w:p>
      <w:pPr>
        <w:pStyle w:val="Indenta"/>
      </w:pPr>
      <w:r>
        <w:tab/>
        <w:t>(a)</w:t>
      </w:r>
      <w:r>
        <w:tab/>
        <w:t>if subsection (2) does not apply — the day on which the agreement is entered into; or</w:t>
      </w:r>
    </w:p>
    <w:p>
      <w:pPr>
        <w:pStyle w:val="Indenta"/>
      </w:pPr>
      <w:r>
        <w:tab/>
        <w:t>(b)</w:t>
      </w:r>
      <w:r>
        <w:tab/>
        <w:t>if subsection (2) applies — the day on which the cancelled transaction referred to in subsection (2) is entered into.</w:t>
      </w:r>
    </w:p>
    <w:p>
      <w:pPr>
        <w:pStyle w:val="Subsection"/>
      </w:pPr>
      <w:r>
        <w:tab/>
        <w:t>(2)</w:t>
      </w:r>
      <w:r>
        <w:tab/>
        <w:t>This subsection applies to a concessional off</w:t>
      </w:r>
      <w:r>
        <w:noBreakHyphen/>
        <w:t>the</w:t>
      </w:r>
      <w:r>
        <w:noBreakHyphen/>
        <w:t xml:space="preserve">plan agreement (the </w:t>
      </w:r>
      <w:r>
        <w:rPr>
          <w:rStyle w:val="CharDefText"/>
        </w:rPr>
        <w:t>new agreement</w:t>
      </w:r>
      <w:r>
        <w:t xml:space="preserve">) if the new agreement is substantially similar in effect to an earlier cancelled transaction that — </w:t>
      </w:r>
    </w:p>
    <w:p>
      <w:pPr>
        <w:pStyle w:val="Indenta"/>
      </w:pPr>
      <w:r>
        <w:tab/>
        <w:t>(a)</w:t>
      </w:r>
      <w:r>
        <w:tab/>
        <w:t xml:space="preserve">was — </w:t>
      </w:r>
    </w:p>
    <w:p>
      <w:pPr>
        <w:pStyle w:val="Indenti"/>
      </w:pPr>
      <w:r>
        <w:tab/>
        <w:t>(i)</w:t>
      </w:r>
      <w:r>
        <w:tab/>
        <w:t>if the new agreement is a concessional pre</w:t>
      </w:r>
      <w:r>
        <w:noBreakHyphen/>
        <w:t>construction agreement — a concessional pre</w:t>
      </w:r>
      <w:r>
        <w:noBreakHyphen/>
        <w:t>construction agreement under section 266F(1); or</w:t>
      </w:r>
    </w:p>
    <w:p>
      <w:pPr>
        <w:pStyle w:val="Indenti"/>
      </w:pPr>
      <w:r>
        <w:tab/>
        <w:t>(ii)</w:t>
      </w:r>
      <w:r>
        <w:tab/>
        <w:t>if the new agreement is a concessional under construction agreement — a concessional under construction agreement under section 266FA(1);</w:t>
      </w:r>
    </w:p>
    <w:p>
      <w:pPr>
        <w:pStyle w:val="Indenta"/>
      </w:pPr>
      <w:r>
        <w:tab/>
      </w:r>
      <w:r>
        <w:tab/>
        <w:t>and</w:t>
      </w:r>
    </w:p>
    <w:p>
      <w:pPr>
        <w:pStyle w:val="Indenta"/>
      </w:pPr>
      <w:r>
        <w:tab/>
        <w:t>(b)</w:t>
      </w:r>
      <w:r>
        <w:tab/>
        <w:t>was between all of the same parties as the parties to the new agreement, except that the seller was different.</w:t>
      </w:r>
    </w:p>
    <w:p>
      <w:pPr>
        <w:pStyle w:val="Subsection"/>
      </w:pPr>
      <w:r>
        <w:tab/>
        <w:t>(3)</w:t>
      </w:r>
      <w:r>
        <w:tab/>
        <w:t>If there is more than 1 cancelled transaction of the kind referred to in subsection (2) in relation to a concessional off</w:t>
      </w:r>
      <w:r>
        <w:noBreakHyphen/>
        <w:t>the</w:t>
      </w:r>
      <w:r>
        <w:noBreakHyphen/>
        <w:t>plan agreement, the reference in subsection (1)(b) to the cancelled transaction is a reference to the earliest of those cancelled transactions.</w:t>
      </w:r>
    </w:p>
    <w:p>
      <w:pPr>
        <w:pStyle w:val="Footnotesection"/>
      </w:pPr>
      <w:r>
        <w:tab/>
        <w:t>[Section 266H inserted: No. 29 of 2023 s. 8.]</w:t>
      </w:r>
    </w:p>
    <w:p>
      <w:pPr>
        <w:pStyle w:val="Heading5"/>
      </w:pPr>
      <w:bookmarkStart w:id="1681" w:name="_Toc201229360"/>
      <w:bookmarkStart w:id="1682" w:name="_Toc182410425"/>
      <w:r>
        <w:rPr>
          <w:rStyle w:val="CharSectno"/>
        </w:rPr>
        <w:t>266I</w:t>
      </w:r>
      <w:r>
        <w:t>.</w:t>
      </w:r>
      <w:r>
        <w:tab/>
        <w:t>Unadjusted duty amount for agreement</w:t>
      </w:r>
      <w:bookmarkEnd w:id="1681"/>
      <w:bookmarkEnd w:id="1682"/>
    </w:p>
    <w:p>
      <w:pPr>
        <w:pStyle w:val="Subsection"/>
        <w:keepNext/>
      </w:pPr>
      <w:r>
        <w:tab/>
      </w:r>
      <w:r>
        <w:tab/>
        <w:t xml:space="preserve">The </w:t>
      </w:r>
      <w:r>
        <w:rPr>
          <w:rStyle w:val="CharDefText"/>
        </w:rPr>
        <w:t>unadjusted duty amount</w:t>
      </w:r>
      <w:r>
        <w:t xml:space="preserve"> for a concessional off</w:t>
      </w:r>
      <w:r>
        <w:noBreakHyphen/>
        <w:t>the</w:t>
      </w:r>
      <w:r>
        <w:noBreakHyphen/>
        <w:t xml:space="preserve">plan agreement is — </w:t>
      </w:r>
    </w:p>
    <w:p>
      <w:pPr>
        <w:pStyle w:val="Indenta"/>
      </w:pPr>
      <w:r>
        <w:tab/>
        <w:t>(a)</w:t>
      </w:r>
      <w:r>
        <w:tab/>
        <w:t>if foreign transfer duty is not payable on the agreement — the amount of transfer duty that would be payable on the agreement if it were not a concessional off</w:t>
      </w:r>
      <w:r>
        <w:noBreakHyphen/>
        <w:t>the</w:t>
      </w:r>
      <w:r>
        <w:noBreakHyphen/>
        <w:t>plan agreement; or</w:t>
      </w:r>
    </w:p>
    <w:p>
      <w:pPr>
        <w:pStyle w:val="Indenta"/>
      </w:pPr>
      <w:r>
        <w:tab/>
        <w:t>(b)</w:t>
      </w:r>
      <w:r>
        <w:tab/>
        <w:t>if foreign transfer duty is payable on the agreement — the total amount of transfer duty and foreign transfer duty that would be payable on the agreement if it were not a concessional off</w:t>
      </w:r>
      <w:r>
        <w:noBreakHyphen/>
        <w:t>the</w:t>
      </w:r>
      <w:r>
        <w:noBreakHyphen/>
        <w:t>plan agreement.</w:t>
      </w:r>
    </w:p>
    <w:p>
      <w:pPr>
        <w:pStyle w:val="Footnotesection"/>
      </w:pPr>
      <w:r>
        <w:tab/>
        <w:t>[Section 266I inserted: No. 29 of 2023 s. 8.]</w:t>
      </w:r>
    </w:p>
    <w:p>
      <w:pPr>
        <w:pStyle w:val="Heading5"/>
      </w:pPr>
      <w:bookmarkStart w:id="1683" w:name="_Toc201229361"/>
      <w:bookmarkStart w:id="1684" w:name="_Toc182410426"/>
      <w:r>
        <w:rPr>
          <w:rStyle w:val="CharSectno"/>
        </w:rPr>
        <w:t>266J</w:t>
      </w:r>
      <w:r>
        <w:t>.</w:t>
      </w:r>
      <w:r>
        <w:tab/>
        <w:t>Determining when development for subdivision of land commences and is completed</w:t>
      </w:r>
      <w:bookmarkEnd w:id="1683"/>
      <w:bookmarkEnd w:id="1684"/>
    </w:p>
    <w:p>
      <w:pPr>
        <w:pStyle w:val="Subsection"/>
      </w:pPr>
      <w:r>
        <w:tab/>
        <w:t>(1)</w:t>
      </w:r>
      <w:r>
        <w:tab/>
        <w:t xml:space="preserve">This section applies in determining for the purposes of this Chapter when development for the subdivision of land by the registration of </w:t>
      </w:r>
      <w:del w:id="1685" w:author="Master Repository Process" w:date="2025-06-19T17:03:00Z">
        <w:r>
          <w:delText>a multi</w:delText>
        </w:r>
        <w:r>
          <w:noBreakHyphen/>
          <w:delText>tiered</w:delText>
        </w:r>
      </w:del>
      <w:ins w:id="1686" w:author="Master Repository Process" w:date="2025-06-19T17:03:00Z">
        <w:r>
          <w:t xml:space="preserve">an eligible </w:t>
        </w:r>
      </w:ins>
      <w:r>
        <w:t xml:space="preserve"> scheme, or an amendment of </w:t>
      </w:r>
      <w:bookmarkStart w:id="1687" w:name="_Hlk201223653"/>
      <w:del w:id="1688" w:author="Master Repository Process" w:date="2025-06-19T17:03:00Z">
        <w:r>
          <w:delText>a multi</w:delText>
        </w:r>
        <w:r>
          <w:noBreakHyphen/>
          <w:delText>tiered</w:delText>
        </w:r>
      </w:del>
      <w:ins w:id="1689" w:author="Master Repository Process" w:date="2025-06-19T17:03:00Z">
        <w:r>
          <w:t>an eligible</w:t>
        </w:r>
      </w:ins>
      <w:bookmarkEnd w:id="1687"/>
      <w:r>
        <w:t xml:space="preserve"> scheme, commences and is completed.</w:t>
      </w:r>
    </w:p>
    <w:p>
      <w:pPr>
        <w:pStyle w:val="Subsection"/>
      </w:pPr>
      <w:r>
        <w:tab/>
        <w:t>(2)</w:t>
      </w:r>
      <w:r>
        <w:tab/>
        <w:t>Development commences when relevant construction works commence on the land.</w:t>
      </w:r>
    </w:p>
    <w:p>
      <w:pPr>
        <w:pStyle w:val="Subsection"/>
      </w:pPr>
      <w:r>
        <w:tab/>
        <w:t>(3)</w:t>
      </w:r>
      <w:r>
        <w:tab/>
        <w:t xml:space="preserve">In subsection (2) — </w:t>
      </w:r>
    </w:p>
    <w:p>
      <w:pPr>
        <w:pStyle w:val="Defstart"/>
      </w:pPr>
      <w:r>
        <w:tab/>
      </w:r>
      <w:r>
        <w:rPr>
          <w:rStyle w:val="CharDefText"/>
        </w:rPr>
        <w:t>relevant construction works</w:t>
      </w:r>
      <w:r>
        <w:t xml:space="preserve"> — </w:t>
      </w:r>
    </w:p>
    <w:p>
      <w:pPr>
        <w:pStyle w:val="Defpara"/>
      </w:pPr>
      <w:r>
        <w:tab/>
        <w:t>(a)</w:t>
      </w:r>
      <w:r>
        <w:tab/>
        <w:t>means excavation or works associated with the construction of a building or structure that is necessary for the subdivision; but</w:t>
      </w:r>
    </w:p>
    <w:p>
      <w:pPr>
        <w:pStyle w:val="Defpara"/>
      </w:pPr>
      <w:r>
        <w:tab/>
        <w:t>(b)</w:t>
      </w:r>
      <w:r>
        <w:tab/>
        <w:t xml:space="preserve">does not include excavation or works consisting of — </w:t>
      </w:r>
    </w:p>
    <w:p>
      <w:pPr>
        <w:pStyle w:val="Defsubpara"/>
      </w:pPr>
      <w:r>
        <w:tab/>
        <w:t>(i)</w:t>
      </w:r>
      <w:r>
        <w:tab/>
        <w:t>demolishing an existing building or structure; or</w:t>
      </w:r>
    </w:p>
    <w:p>
      <w:pPr>
        <w:pStyle w:val="Defsubpara"/>
      </w:pPr>
      <w:r>
        <w:tab/>
        <w:t>(ii)</w:t>
      </w:r>
      <w:r>
        <w:tab/>
        <w:t>clearing a site for development; or</w:t>
      </w:r>
    </w:p>
    <w:p>
      <w:pPr>
        <w:pStyle w:val="Defsubpara"/>
      </w:pPr>
      <w:r>
        <w:tab/>
        <w:t>(iii)</w:t>
      </w:r>
      <w:r>
        <w:tab/>
        <w:t>installing temporary fencing or structures, transportable buildings or advertising materials.</w:t>
      </w:r>
    </w:p>
    <w:p>
      <w:pPr>
        <w:pStyle w:val="Subsection"/>
        <w:keepNext/>
      </w:pPr>
      <w:r>
        <w:tab/>
        <w:t>(4)</w:t>
      </w:r>
      <w:r>
        <w:tab/>
        <w:t xml:space="preserve">Development is completed when the land is subdivided by registration of the </w:t>
      </w:r>
      <w:del w:id="1690" w:author="Master Repository Process" w:date="2025-06-19T17:03:00Z">
        <w:r>
          <w:delText>multi</w:delText>
        </w:r>
        <w:r>
          <w:noBreakHyphen/>
          <w:delText>tiered</w:delText>
        </w:r>
      </w:del>
      <w:ins w:id="1691" w:author="Master Repository Process" w:date="2025-06-19T17:03:00Z">
        <w:r>
          <w:t>eligible</w:t>
        </w:r>
      </w:ins>
      <w:r>
        <w:t xml:space="preserve"> scheme, or the amendment of the </w:t>
      </w:r>
      <w:del w:id="1692" w:author="Master Repository Process" w:date="2025-06-19T17:03:00Z">
        <w:r>
          <w:delText>multi</w:delText>
        </w:r>
        <w:r>
          <w:noBreakHyphen/>
          <w:delText>tiered</w:delText>
        </w:r>
      </w:del>
      <w:ins w:id="1693" w:author="Master Repository Process" w:date="2025-06-19T17:03:00Z">
        <w:r>
          <w:t>eligible</w:t>
        </w:r>
      </w:ins>
      <w:r>
        <w:t xml:space="preserve"> scheme, under the </w:t>
      </w:r>
      <w:r>
        <w:rPr>
          <w:i/>
        </w:rPr>
        <w:t>Strata Titles Act 1985</w:t>
      </w:r>
      <w:r>
        <w:t xml:space="preserve"> section 11 or the </w:t>
      </w:r>
      <w:r>
        <w:rPr>
          <w:i/>
        </w:rPr>
        <w:t>Community Titles Act 2018</w:t>
      </w:r>
      <w:r>
        <w:t xml:space="preserve"> section 14 (as the case requires).</w:t>
      </w:r>
    </w:p>
    <w:p>
      <w:pPr>
        <w:pStyle w:val="Footnotesection"/>
      </w:pPr>
      <w:r>
        <w:tab/>
        <w:t>[Section 266J inserted: No. 29 of 2023 s. </w:t>
      </w:r>
      <w:del w:id="1694" w:author="Master Repository Process" w:date="2025-06-19T17:03:00Z">
        <w:r>
          <w:delText>8</w:delText>
        </w:r>
      </w:del>
      <w:ins w:id="1695" w:author="Master Repository Process" w:date="2025-06-19T17:03:00Z">
        <w:r>
          <w:t>8; amended: No. 5 of 2025 s. 15</w:t>
        </w:r>
      </w:ins>
      <w:r>
        <w:t>.]</w:t>
      </w:r>
    </w:p>
    <w:p>
      <w:pPr>
        <w:pStyle w:val="Heading5"/>
      </w:pPr>
      <w:bookmarkStart w:id="1696" w:name="_Toc201229362"/>
      <w:bookmarkStart w:id="1697" w:name="_Toc182410427"/>
      <w:r>
        <w:rPr>
          <w:rStyle w:val="CharSectno"/>
        </w:rPr>
        <w:t>266K</w:t>
      </w:r>
      <w:r>
        <w:t>.</w:t>
      </w:r>
      <w:r>
        <w:tab/>
        <w:t>Reduction of duty on concessional off</w:t>
      </w:r>
      <w:r>
        <w:noBreakHyphen/>
        <w:t>the</w:t>
      </w:r>
      <w:r>
        <w:noBreakHyphen/>
        <w:t>plan agreement</w:t>
      </w:r>
      <w:bookmarkEnd w:id="1696"/>
      <w:bookmarkEnd w:id="1697"/>
    </w:p>
    <w:p>
      <w:pPr>
        <w:pStyle w:val="Subsection"/>
      </w:pPr>
      <w:r>
        <w:tab/>
        <w:t>(1)</w:t>
      </w:r>
      <w:r>
        <w:tab/>
        <w:t>The amount of transfer duty and (if applicable) foreign transfer duty payable on a concessional off</w:t>
      </w:r>
      <w:r>
        <w:noBreakHyphen/>
        <w:t>the</w:t>
      </w:r>
      <w:r>
        <w:noBreakHyphen/>
        <w:t>plan agreement is to be reduced by the concession amount for the agreement in accordance with this section.</w:t>
      </w:r>
    </w:p>
    <w:p>
      <w:pPr>
        <w:pStyle w:val="Subsection"/>
      </w:pPr>
      <w:r>
        <w:tab/>
        <w:t>(2)</w:t>
      </w:r>
      <w:r>
        <w:tab/>
        <w:t xml:space="preserve">If foreign transfer duty is not payable on the agreement, the amount of transfer duty payable on the agreement is to be reduced by the concession amount. </w:t>
      </w:r>
    </w:p>
    <w:p>
      <w:pPr>
        <w:pStyle w:val="Subsection"/>
      </w:pPr>
      <w:r>
        <w:tab/>
        <w:t>(3)</w:t>
      </w:r>
      <w:r>
        <w:tab/>
        <w:t xml:space="preserve">If foreign transfer duty is payable on the agreement, the duty payable is to be reduced as follows — </w:t>
      </w:r>
    </w:p>
    <w:p>
      <w:pPr>
        <w:pStyle w:val="Indenta"/>
      </w:pPr>
      <w:r>
        <w:tab/>
        <w:t>(a)</w:t>
      </w:r>
      <w:r>
        <w:tab/>
        <w:t>first, the amount of transfer duty payable on the agreement is to be reduced by the concession amount, or by so much of the concession amount as is necessary to reduce the amount of transfer duty payable to zero;</w:t>
      </w:r>
    </w:p>
    <w:p>
      <w:pPr>
        <w:pStyle w:val="Indenta"/>
      </w:pPr>
      <w:r>
        <w:tab/>
        <w:t>(b)</w:t>
      </w:r>
      <w:r>
        <w:tab/>
        <w:t>second, if there is a remainder of the concession amount after the amount of transfer duty payable is reduced to zero — the foreign transfer duty payable on the agreement is to be reduced by the remainder.</w:t>
      </w:r>
    </w:p>
    <w:p>
      <w:pPr>
        <w:pStyle w:val="Footnotesection"/>
      </w:pPr>
      <w:r>
        <w:tab/>
        <w:t>[Section 266K inserted: No. 29 of 2023 s. 8.]</w:t>
      </w:r>
    </w:p>
    <w:p>
      <w:pPr>
        <w:pStyle w:val="Heading5"/>
      </w:pPr>
      <w:bookmarkStart w:id="1698" w:name="_Toc201229363"/>
      <w:bookmarkStart w:id="1699" w:name="_Toc182410428"/>
      <w:r>
        <w:rPr>
          <w:rStyle w:val="CharSectno"/>
        </w:rPr>
        <w:t>266L</w:t>
      </w:r>
      <w:r>
        <w:t>.</w:t>
      </w:r>
      <w:r>
        <w:tab/>
        <w:t>Concession amount</w:t>
      </w:r>
      <w:bookmarkEnd w:id="1698"/>
      <w:bookmarkEnd w:id="1699"/>
    </w:p>
    <w:p>
      <w:pPr>
        <w:pStyle w:val="Subsection"/>
      </w:pPr>
      <w:r>
        <w:tab/>
        <w:t>(1)</w:t>
      </w:r>
      <w:r>
        <w:tab/>
        <w:t>Subject to sections 266M(2) and 266N(2)(b), the concession amount for a concessional pre</w:t>
      </w:r>
      <w:r>
        <w:noBreakHyphen/>
        <w:t xml:space="preserve">construction agreement is the lesser of the following — </w:t>
      </w:r>
    </w:p>
    <w:p>
      <w:pPr>
        <w:pStyle w:val="Indenta"/>
      </w:pPr>
      <w:r>
        <w:tab/>
        <w:t>(a)</w:t>
      </w:r>
      <w:r>
        <w:tab/>
        <w:t>$50 000;</w:t>
      </w:r>
    </w:p>
    <w:p>
      <w:pPr>
        <w:pStyle w:val="Indenta"/>
        <w:keepNext/>
      </w:pPr>
      <w:r>
        <w:tab/>
        <w:t>(b)</w:t>
      </w:r>
      <w:r>
        <w:tab/>
        <w:t xml:space="preserve">an amount calculated by — </w:t>
      </w:r>
    </w:p>
    <w:p>
      <w:pPr>
        <w:pStyle w:val="Indenti"/>
      </w:pPr>
      <w:r>
        <w:tab/>
        <w:t>(i)</w:t>
      </w:r>
      <w:r>
        <w:tab/>
        <w:t>determining the applicable concession percentage under the Table according to the concession day of the agreement and the dutiable value of the agreement; and</w:t>
      </w:r>
    </w:p>
    <w:p>
      <w:pPr>
        <w:pStyle w:val="Indenti"/>
      </w:pPr>
      <w:r>
        <w:tab/>
        <w:t>(ii)</w:t>
      </w:r>
      <w:r>
        <w:tab/>
        <w:t>multiplying that percentage by the unadjusted duty amount for the agreement.</w:t>
      </w:r>
    </w:p>
    <w:p>
      <w:pPr>
        <w:pStyle w:val="THeadingNAm"/>
        <w:ind w:left="709"/>
      </w:pPr>
      <w:r>
        <w:t>Table</w:t>
      </w:r>
    </w:p>
    <w:tbl>
      <w:tblPr>
        <w:tblW w:w="6327"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127"/>
        <w:gridCol w:w="1701"/>
        <w:gridCol w:w="1791"/>
      </w:tblGrid>
      <w:tr>
        <w:trPr>
          <w:tblHeader/>
        </w:trPr>
        <w:tc>
          <w:tcPr>
            <w:tcW w:w="708" w:type="dxa"/>
          </w:tcPr>
          <w:p>
            <w:pPr>
              <w:pStyle w:val="TableNAm"/>
              <w:jc w:val="center"/>
              <w:rPr>
                <w:b/>
                <w:bCs/>
              </w:rPr>
            </w:pPr>
            <w:r>
              <w:rPr>
                <w:b/>
                <w:bCs/>
              </w:rPr>
              <w:t>Item</w:t>
            </w:r>
          </w:p>
        </w:tc>
        <w:tc>
          <w:tcPr>
            <w:tcW w:w="2127" w:type="dxa"/>
          </w:tcPr>
          <w:p>
            <w:pPr>
              <w:pStyle w:val="TableNAm"/>
              <w:jc w:val="center"/>
              <w:rPr>
                <w:b/>
                <w:bCs/>
              </w:rPr>
            </w:pPr>
            <w:r>
              <w:rPr>
                <w:b/>
                <w:bCs/>
              </w:rPr>
              <w:t>Concession day</w:t>
            </w:r>
          </w:p>
        </w:tc>
        <w:tc>
          <w:tcPr>
            <w:tcW w:w="1701" w:type="dxa"/>
          </w:tcPr>
          <w:p>
            <w:pPr>
              <w:pStyle w:val="TableNAm"/>
              <w:jc w:val="center"/>
              <w:rPr>
                <w:b/>
                <w:bCs/>
              </w:rPr>
            </w:pPr>
            <w:r>
              <w:rPr>
                <w:b/>
                <w:bCs/>
              </w:rPr>
              <w:t>Dutiable value</w:t>
            </w:r>
          </w:p>
        </w:tc>
        <w:tc>
          <w:tcPr>
            <w:tcW w:w="1791" w:type="dxa"/>
          </w:tcPr>
          <w:p>
            <w:pPr>
              <w:pStyle w:val="TableNAm"/>
              <w:jc w:val="center"/>
              <w:rPr>
                <w:b/>
                <w:bCs/>
              </w:rPr>
            </w:pPr>
            <w:r>
              <w:rPr>
                <w:b/>
                <w:bCs/>
              </w:rPr>
              <w:t>Concession percentage</w:t>
            </w:r>
            <w:r>
              <w:rPr>
                <w:b/>
                <w:bCs/>
              </w:rPr>
              <w:br/>
              <w:t>(%)</w:t>
            </w:r>
          </w:p>
        </w:tc>
      </w:tr>
      <w:tr>
        <w:tc>
          <w:tcPr>
            <w:tcW w:w="708" w:type="dxa"/>
          </w:tcPr>
          <w:p>
            <w:pPr>
              <w:pStyle w:val="TableNAm"/>
            </w:pPr>
            <w:r>
              <w:t>1.</w:t>
            </w:r>
          </w:p>
        </w:tc>
        <w:tc>
          <w:tcPr>
            <w:tcW w:w="2127" w:type="dxa"/>
          </w:tcPr>
          <w:p>
            <w:pPr>
              <w:pStyle w:val="TableNAm"/>
            </w:pPr>
            <w:r>
              <w:t>23 October 2019 to 23 October 2021</w:t>
            </w:r>
          </w:p>
        </w:tc>
        <w:tc>
          <w:tcPr>
            <w:tcW w:w="1701" w:type="dxa"/>
          </w:tcPr>
          <w:p>
            <w:pPr>
              <w:pStyle w:val="TableNAm"/>
            </w:pPr>
            <w:r>
              <w:t>Any dutiable value</w:t>
            </w:r>
          </w:p>
        </w:tc>
        <w:tc>
          <w:tcPr>
            <w:tcW w:w="1791" w:type="dxa"/>
          </w:tcPr>
          <w:p>
            <w:pPr>
              <w:pStyle w:val="TableNAm"/>
            </w:pPr>
            <w:r>
              <w:t>75</w:t>
            </w:r>
          </w:p>
        </w:tc>
      </w:tr>
      <w:tr>
        <w:tc>
          <w:tcPr>
            <w:tcW w:w="708" w:type="dxa"/>
          </w:tcPr>
          <w:p>
            <w:pPr>
              <w:pStyle w:val="TableNAm"/>
            </w:pPr>
            <w:r>
              <w:t>2.</w:t>
            </w:r>
          </w:p>
        </w:tc>
        <w:tc>
          <w:tcPr>
            <w:tcW w:w="2127" w:type="dxa"/>
          </w:tcPr>
          <w:p>
            <w:pPr>
              <w:pStyle w:val="TableNAm"/>
            </w:pPr>
            <w:r>
              <w:t>24 October 2021 to 31 May 2022</w:t>
            </w:r>
          </w:p>
        </w:tc>
        <w:tc>
          <w:tcPr>
            <w:tcW w:w="1701" w:type="dxa"/>
          </w:tcPr>
          <w:p>
            <w:pPr>
              <w:pStyle w:val="TableNAm"/>
            </w:pPr>
            <w:r>
              <w:t>Any dutiable value</w:t>
            </w:r>
          </w:p>
        </w:tc>
        <w:tc>
          <w:tcPr>
            <w:tcW w:w="1791" w:type="dxa"/>
          </w:tcPr>
          <w:p>
            <w:pPr>
              <w:pStyle w:val="TableNAm"/>
            </w:pPr>
            <w:r>
              <w:t>50</w:t>
            </w:r>
          </w:p>
        </w:tc>
      </w:tr>
      <w:tr>
        <w:tc>
          <w:tcPr>
            <w:tcW w:w="708" w:type="dxa"/>
          </w:tcPr>
          <w:p>
            <w:pPr>
              <w:pStyle w:val="TableNAm"/>
              <w:keepNext/>
            </w:pPr>
            <w:r>
              <w:t>3.</w:t>
            </w:r>
          </w:p>
        </w:tc>
        <w:tc>
          <w:tcPr>
            <w:tcW w:w="2127" w:type="dxa"/>
          </w:tcPr>
          <w:p>
            <w:pPr>
              <w:pStyle w:val="TableNAm"/>
              <w:keepNext/>
            </w:pPr>
            <w:r>
              <w:t>1 June 2022 to 10 May 2023</w:t>
            </w:r>
          </w:p>
        </w:tc>
        <w:tc>
          <w:tcPr>
            <w:tcW w:w="1701" w:type="dxa"/>
          </w:tcPr>
          <w:p>
            <w:pPr>
              <w:pStyle w:val="TableNAm"/>
              <w:keepNext/>
            </w:pPr>
            <w:r>
              <w:t>$500 000 or less</w:t>
            </w:r>
          </w:p>
        </w:tc>
        <w:tc>
          <w:tcPr>
            <w:tcW w:w="1791" w:type="dxa"/>
          </w:tcPr>
          <w:p>
            <w:pPr>
              <w:pStyle w:val="TableNAm"/>
              <w:keepNext/>
            </w:pPr>
            <w:r>
              <w:t>100</w:t>
            </w:r>
          </w:p>
        </w:tc>
      </w:tr>
      <w:tr>
        <w:tc>
          <w:tcPr>
            <w:tcW w:w="708" w:type="dxa"/>
          </w:tcPr>
          <w:p>
            <w:pPr>
              <w:pStyle w:val="TableNAm"/>
            </w:pPr>
            <w:r>
              <w:t>4.</w:t>
            </w:r>
          </w:p>
        </w:tc>
        <w:tc>
          <w:tcPr>
            <w:tcW w:w="2127" w:type="dxa"/>
          </w:tcPr>
          <w:p>
            <w:pPr>
              <w:pStyle w:val="TableNAm"/>
            </w:pPr>
            <w:r>
              <w:t>1 June 2022 to 10 May 2023</w:t>
            </w:r>
          </w:p>
        </w:tc>
        <w:tc>
          <w:tcPr>
            <w:tcW w:w="1701" w:type="dxa"/>
          </w:tcPr>
          <w:p>
            <w:pPr>
              <w:pStyle w:val="TableNAm"/>
            </w:pPr>
            <w:r>
              <w:t>More than $500 000 but less than $600 000</w:t>
            </w:r>
          </w:p>
        </w:tc>
        <w:tc>
          <w:tcPr>
            <w:tcW w:w="1791" w:type="dxa"/>
          </w:tcPr>
          <w:p>
            <w:pPr>
              <w:pStyle w:val="TableNAm"/>
            </w:pPr>
            <w:r>
              <w:t>X calculated under subsection (2)</w:t>
            </w:r>
          </w:p>
        </w:tc>
      </w:tr>
      <w:tr>
        <w:tc>
          <w:tcPr>
            <w:tcW w:w="708" w:type="dxa"/>
          </w:tcPr>
          <w:p>
            <w:pPr>
              <w:pStyle w:val="TableNAm"/>
            </w:pPr>
            <w:r>
              <w:t>5.</w:t>
            </w:r>
          </w:p>
        </w:tc>
        <w:tc>
          <w:tcPr>
            <w:tcW w:w="2127" w:type="dxa"/>
          </w:tcPr>
          <w:p>
            <w:pPr>
              <w:pStyle w:val="TableNAm"/>
            </w:pPr>
            <w:r>
              <w:t>1 June 2022 to 10 May 2023</w:t>
            </w:r>
          </w:p>
        </w:tc>
        <w:tc>
          <w:tcPr>
            <w:tcW w:w="1701" w:type="dxa"/>
          </w:tcPr>
          <w:p>
            <w:pPr>
              <w:pStyle w:val="TableNAm"/>
            </w:pPr>
            <w:r>
              <w:t>$600 000 or more</w:t>
            </w:r>
          </w:p>
        </w:tc>
        <w:tc>
          <w:tcPr>
            <w:tcW w:w="1791" w:type="dxa"/>
          </w:tcPr>
          <w:p>
            <w:pPr>
              <w:pStyle w:val="TableNAm"/>
            </w:pPr>
            <w:r>
              <w:t>50</w:t>
            </w:r>
          </w:p>
        </w:tc>
      </w:tr>
      <w:tr>
        <w:tc>
          <w:tcPr>
            <w:tcW w:w="708" w:type="dxa"/>
          </w:tcPr>
          <w:p>
            <w:pPr>
              <w:pStyle w:val="TableNAm"/>
            </w:pPr>
            <w:r>
              <w:t>6.</w:t>
            </w:r>
          </w:p>
        </w:tc>
        <w:tc>
          <w:tcPr>
            <w:tcW w:w="2127" w:type="dxa"/>
          </w:tcPr>
          <w:p>
            <w:pPr>
              <w:pStyle w:val="TableNAm"/>
            </w:pPr>
            <w:r>
              <w:t xml:space="preserve">11 May 2023 to </w:t>
            </w:r>
            <w:del w:id="1700" w:author="Master Repository Process" w:date="2025-06-19T17:03:00Z">
              <w:r>
                <w:delText>30 June</w:delText>
              </w:r>
            </w:del>
            <w:ins w:id="1701" w:author="Master Repository Process" w:date="2025-06-19T17:03:00Z">
              <w:r>
                <w:t>20 March</w:t>
              </w:r>
            </w:ins>
            <w:r>
              <w:t> 2025</w:t>
            </w:r>
          </w:p>
        </w:tc>
        <w:tc>
          <w:tcPr>
            <w:tcW w:w="1701" w:type="dxa"/>
          </w:tcPr>
          <w:p>
            <w:pPr>
              <w:pStyle w:val="TableNAm"/>
            </w:pPr>
            <w:r>
              <w:t>$650 000 or less</w:t>
            </w:r>
          </w:p>
        </w:tc>
        <w:tc>
          <w:tcPr>
            <w:tcW w:w="1791" w:type="dxa"/>
          </w:tcPr>
          <w:p>
            <w:pPr>
              <w:pStyle w:val="TableNAm"/>
            </w:pPr>
            <w:r>
              <w:t>100</w:t>
            </w:r>
          </w:p>
        </w:tc>
      </w:tr>
      <w:tr>
        <w:tc>
          <w:tcPr>
            <w:tcW w:w="708" w:type="dxa"/>
          </w:tcPr>
          <w:p>
            <w:pPr>
              <w:pStyle w:val="TableNAm"/>
              <w:keepNext/>
            </w:pPr>
            <w:r>
              <w:t>7.</w:t>
            </w:r>
          </w:p>
        </w:tc>
        <w:tc>
          <w:tcPr>
            <w:tcW w:w="2127" w:type="dxa"/>
          </w:tcPr>
          <w:p>
            <w:pPr>
              <w:pStyle w:val="TableNAm"/>
              <w:keepNext/>
            </w:pPr>
            <w:r>
              <w:t xml:space="preserve">11 May 2023 to </w:t>
            </w:r>
            <w:del w:id="1702" w:author="Master Repository Process" w:date="2025-06-19T17:03:00Z">
              <w:r>
                <w:delText>30 June</w:delText>
              </w:r>
            </w:del>
            <w:ins w:id="1703" w:author="Master Repository Process" w:date="2025-06-19T17:03:00Z">
              <w:r>
                <w:t>20 March</w:t>
              </w:r>
            </w:ins>
            <w:r>
              <w:t> 2025</w:t>
            </w:r>
          </w:p>
        </w:tc>
        <w:tc>
          <w:tcPr>
            <w:tcW w:w="1701" w:type="dxa"/>
          </w:tcPr>
          <w:p>
            <w:pPr>
              <w:pStyle w:val="TableNAm"/>
              <w:keepNext/>
            </w:pPr>
            <w:r>
              <w:t>More than $650 000 but less than $750 000</w:t>
            </w:r>
          </w:p>
        </w:tc>
        <w:tc>
          <w:tcPr>
            <w:tcW w:w="1791" w:type="dxa"/>
          </w:tcPr>
          <w:p>
            <w:pPr>
              <w:pStyle w:val="TableNAm"/>
              <w:keepNext/>
            </w:pPr>
            <w:r>
              <w:t>Y calculated under subsection (3)</w:t>
            </w:r>
          </w:p>
        </w:tc>
      </w:tr>
      <w:tr>
        <w:tc>
          <w:tcPr>
            <w:tcW w:w="708" w:type="dxa"/>
          </w:tcPr>
          <w:p>
            <w:pPr>
              <w:pStyle w:val="TableNAm"/>
            </w:pPr>
            <w:r>
              <w:t>8.</w:t>
            </w:r>
          </w:p>
        </w:tc>
        <w:tc>
          <w:tcPr>
            <w:tcW w:w="2127" w:type="dxa"/>
          </w:tcPr>
          <w:p>
            <w:pPr>
              <w:pStyle w:val="TableNAm"/>
            </w:pPr>
            <w:r>
              <w:t xml:space="preserve">11 May 2023 to </w:t>
            </w:r>
            <w:del w:id="1704" w:author="Master Repository Process" w:date="2025-06-19T17:03:00Z">
              <w:r>
                <w:delText>30 June</w:delText>
              </w:r>
            </w:del>
            <w:ins w:id="1705" w:author="Master Repository Process" w:date="2025-06-19T17:03:00Z">
              <w:r>
                <w:t>20 March</w:t>
              </w:r>
            </w:ins>
            <w:r>
              <w:t> 2025</w:t>
            </w:r>
          </w:p>
        </w:tc>
        <w:tc>
          <w:tcPr>
            <w:tcW w:w="1701" w:type="dxa"/>
          </w:tcPr>
          <w:p>
            <w:pPr>
              <w:pStyle w:val="TableNAm"/>
            </w:pPr>
            <w:r>
              <w:t>$750 000 or more</w:t>
            </w:r>
          </w:p>
        </w:tc>
        <w:tc>
          <w:tcPr>
            <w:tcW w:w="1791" w:type="dxa"/>
          </w:tcPr>
          <w:p>
            <w:pPr>
              <w:pStyle w:val="TableNAm"/>
            </w:pPr>
            <w:r>
              <w:t>50</w:t>
            </w:r>
          </w:p>
        </w:tc>
      </w:tr>
      <w:tr>
        <w:trPr>
          <w:ins w:id="1706" w:author="Master Repository Process" w:date="2025-06-19T17:03:00Z"/>
        </w:trPr>
        <w:tc>
          <w:tcPr>
            <w:tcW w:w="708" w:type="dxa"/>
          </w:tcPr>
          <w:p>
            <w:pPr>
              <w:pStyle w:val="TableNAm"/>
              <w:rPr>
                <w:ins w:id="1707" w:author="Master Repository Process" w:date="2025-06-19T17:03:00Z"/>
              </w:rPr>
            </w:pPr>
            <w:ins w:id="1708" w:author="Master Repository Process" w:date="2025-06-19T17:03:00Z">
              <w:r>
                <w:t>9.</w:t>
              </w:r>
            </w:ins>
          </w:p>
        </w:tc>
        <w:tc>
          <w:tcPr>
            <w:tcW w:w="2127" w:type="dxa"/>
          </w:tcPr>
          <w:p>
            <w:pPr>
              <w:pStyle w:val="TableNAm"/>
              <w:rPr>
                <w:ins w:id="1709" w:author="Master Repository Process" w:date="2025-06-19T17:03:00Z"/>
              </w:rPr>
            </w:pPr>
            <w:ins w:id="1710" w:author="Master Repository Process" w:date="2025-06-19T17:03:00Z">
              <w:r>
                <w:t>21 March 2025 to 30 June 2026</w:t>
              </w:r>
            </w:ins>
          </w:p>
        </w:tc>
        <w:tc>
          <w:tcPr>
            <w:tcW w:w="1701" w:type="dxa"/>
          </w:tcPr>
          <w:p>
            <w:pPr>
              <w:pStyle w:val="TableNAm"/>
              <w:rPr>
                <w:ins w:id="1711" w:author="Master Repository Process" w:date="2025-06-19T17:03:00Z"/>
              </w:rPr>
            </w:pPr>
            <w:ins w:id="1712" w:author="Master Repository Process" w:date="2025-06-19T17:03:00Z">
              <w:r>
                <w:t>$750 000 or less</w:t>
              </w:r>
            </w:ins>
          </w:p>
        </w:tc>
        <w:tc>
          <w:tcPr>
            <w:tcW w:w="1791" w:type="dxa"/>
          </w:tcPr>
          <w:p>
            <w:pPr>
              <w:pStyle w:val="TableNAm"/>
              <w:rPr>
                <w:ins w:id="1713" w:author="Master Repository Process" w:date="2025-06-19T17:03:00Z"/>
              </w:rPr>
            </w:pPr>
            <w:ins w:id="1714" w:author="Master Repository Process" w:date="2025-06-19T17:03:00Z">
              <w:r>
                <w:t>100</w:t>
              </w:r>
            </w:ins>
          </w:p>
        </w:tc>
      </w:tr>
      <w:tr>
        <w:trPr>
          <w:ins w:id="1715" w:author="Master Repository Process" w:date="2025-06-19T17:03:00Z"/>
        </w:trPr>
        <w:tc>
          <w:tcPr>
            <w:tcW w:w="708" w:type="dxa"/>
          </w:tcPr>
          <w:p>
            <w:pPr>
              <w:pStyle w:val="TableNAm"/>
              <w:rPr>
                <w:ins w:id="1716" w:author="Master Repository Process" w:date="2025-06-19T17:03:00Z"/>
              </w:rPr>
            </w:pPr>
            <w:ins w:id="1717" w:author="Master Repository Process" w:date="2025-06-19T17:03:00Z">
              <w:r>
                <w:t>10.</w:t>
              </w:r>
            </w:ins>
          </w:p>
        </w:tc>
        <w:tc>
          <w:tcPr>
            <w:tcW w:w="2127" w:type="dxa"/>
          </w:tcPr>
          <w:p>
            <w:pPr>
              <w:pStyle w:val="TableNAm"/>
              <w:rPr>
                <w:ins w:id="1718" w:author="Master Repository Process" w:date="2025-06-19T17:03:00Z"/>
              </w:rPr>
            </w:pPr>
            <w:ins w:id="1719" w:author="Master Repository Process" w:date="2025-06-19T17:03:00Z">
              <w:r>
                <w:t>21 March 2025 to 30 June 2026</w:t>
              </w:r>
            </w:ins>
          </w:p>
        </w:tc>
        <w:tc>
          <w:tcPr>
            <w:tcW w:w="1701" w:type="dxa"/>
          </w:tcPr>
          <w:p>
            <w:pPr>
              <w:pStyle w:val="TableNAm"/>
              <w:rPr>
                <w:ins w:id="1720" w:author="Master Repository Process" w:date="2025-06-19T17:03:00Z"/>
              </w:rPr>
            </w:pPr>
            <w:ins w:id="1721" w:author="Master Repository Process" w:date="2025-06-19T17:03:00Z">
              <w:r>
                <w:t>More than $750 000 but less than $850 000</w:t>
              </w:r>
            </w:ins>
          </w:p>
        </w:tc>
        <w:tc>
          <w:tcPr>
            <w:tcW w:w="1791" w:type="dxa"/>
          </w:tcPr>
          <w:p>
            <w:pPr>
              <w:pStyle w:val="TableNAm"/>
              <w:rPr>
                <w:ins w:id="1722" w:author="Master Repository Process" w:date="2025-06-19T17:03:00Z"/>
              </w:rPr>
            </w:pPr>
            <w:ins w:id="1723" w:author="Master Repository Process" w:date="2025-06-19T17:03:00Z">
              <w:r>
                <w:t>Z calculated under subsection (3A)</w:t>
              </w:r>
            </w:ins>
          </w:p>
        </w:tc>
      </w:tr>
      <w:tr>
        <w:trPr>
          <w:ins w:id="1724" w:author="Master Repository Process" w:date="2025-06-19T17:03:00Z"/>
        </w:trPr>
        <w:tc>
          <w:tcPr>
            <w:tcW w:w="708" w:type="dxa"/>
          </w:tcPr>
          <w:p>
            <w:pPr>
              <w:pStyle w:val="TableNAm"/>
              <w:rPr>
                <w:ins w:id="1725" w:author="Master Repository Process" w:date="2025-06-19T17:03:00Z"/>
              </w:rPr>
            </w:pPr>
            <w:ins w:id="1726" w:author="Master Repository Process" w:date="2025-06-19T17:03:00Z">
              <w:r>
                <w:t>11.</w:t>
              </w:r>
            </w:ins>
          </w:p>
        </w:tc>
        <w:tc>
          <w:tcPr>
            <w:tcW w:w="2127" w:type="dxa"/>
          </w:tcPr>
          <w:p>
            <w:pPr>
              <w:pStyle w:val="TableNAm"/>
              <w:rPr>
                <w:ins w:id="1727" w:author="Master Repository Process" w:date="2025-06-19T17:03:00Z"/>
              </w:rPr>
            </w:pPr>
            <w:ins w:id="1728" w:author="Master Repository Process" w:date="2025-06-19T17:03:00Z">
              <w:r>
                <w:t>21 March 2025 to 30 June 2026</w:t>
              </w:r>
            </w:ins>
          </w:p>
        </w:tc>
        <w:tc>
          <w:tcPr>
            <w:tcW w:w="1701" w:type="dxa"/>
          </w:tcPr>
          <w:p>
            <w:pPr>
              <w:pStyle w:val="TableNAm"/>
              <w:rPr>
                <w:ins w:id="1729" w:author="Master Repository Process" w:date="2025-06-19T17:03:00Z"/>
              </w:rPr>
            </w:pPr>
            <w:ins w:id="1730" w:author="Master Repository Process" w:date="2025-06-19T17:03:00Z">
              <w:r>
                <w:t>$850 000 or more</w:t>
              </w:r>
            </w:ins>
          </w:p>
        </w:tc>
        <w:tc>
          <w:tcPr>
            <w:tcW w:w="1791" w:type="dxa"/>
          </w:tcPr>
          <w:p>
            <w:pPr>
              <w:pStyle w:val="TableNAm"/>
              <w:rPr>
                <w:ins w:id="1731" w:author="Master Repository Process" w:date="2025-06-19T17:03:00Z"/>
              </w:rPr>
            </w:pPr>
            <w:ins w:id="1732" w:author="Master Repository Process" w:date="2025-06-19T17:03:00Z">
              <w:r>
                <w:t>50</w:t>
              </w:r>
            </w:ins>
          </w:p>
        </w:tc>
      </w:tr>
    </w:tbl>
    <w:p>
      <w:pPr>
        <w:pStyle w:val="Subsection"/>
      </w:pPr>
      <w:r>
        <w:tab/>
        <w:t>(2)</w:t>
      </w:r>
      <w:r>
        <w:tab/>
        <w:t xml:space="preserve">The calculation for the purposes of item 4 in the Table to subsection (1) is as follows — </w:t>
      </w:r>
    </w:p>
    <w:p>
      <w:pPr>
        <w:pStyle w:val="Equation"/>
        <w:spacing w:before="120"/>
        <w:ind w:left="879"/>
      </w:pPr>
      <m:oMathPara>
        <m:oMathParaPr>
          <m:jc m:val="left"/>
        </m:oMathParaPr>
        <m:oMath>
          <m:r>
            <m:rPr>
              <m:sty m:val="p"/>
            </m:rPr>
            <w:rPr>
              <w:rFonts w:ascii="Cambria Math" w:hAnsi="Cambria Math"/>
            </w:rPr>
            <m:t>X</m:t>
          </m:r>
          <m:r>
            <w:rPr>
              <w:rFonts w:ascii="Cambria Math" w:hAnsi="Cambria Math"/>
            </w:rPr>
            <m:t>=</m:t>
          </m:r>
          <m:r>
            <m:rPr>
              <m:sty m:val="p"/>
            </m:rPr>
            <w:rPr>
              <w:rFonts w:ascii="Cambria Math" w:hAnsi="Cambria Math"/>
            </w:rPr>
            <m:t xml:space="preserve">100-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V-500 000</m:t>
                  </m:r>
                </m:num>
                <m:den>
                  <m:r>
                    <m:rPr>
                      <m:sty m:val="p"/>
                    </m:rPr>
                    <w:rPr>
                      <w:rFonts w:ascii="Cambria Math" w:hAnsi="Cambria Math"/>
                    </w:rPr>
                    <m:t>100</m:t>
                  </m:r>
                </m:den>
              </m:f>
              <m:r>
                <m:rPr>
                  <m:sty m:val="p"/>
                </m:rPr>
                <w:rPr>
                  <w:rFonts w:ascii="Cambria Math" w:hAnsi="Cambria Math"/>
                </w:rPr>
                <m:t>×0.05</m:t>
              </m:r>
            </m:e>
          </m:d>
        </m:oMath>
      </m:oMathPara>
    </w:p>
    <w:p>
      <w:pPr>
        <w:pStyle w:val="MiscellaneousBody"/>
        <w:tabs>
          <w:tab w:val="left" w:pos="879"/>
          <w:tab w:val="left" w:pos="1418"/>
        </w:tabs>
      </w:pPr>
      <w:r>
        <w:tab/>
        <w:t xml:space="preserve">where — </w:t>
      </w:r>
    </w:p>
    <w:p>
      <w:pPr>
        <w:pStyle w:val="MiscellaneousBody"/>
        <w:tabs>
          <w:tab w:val="left" w:pos="879"/>
          <w:tab w:val="left" w:pos="1418"/>
        </w:tabs>
        <w:ind w:left="1276" w:hanging="1276"/>
      </w:pPr>
      <w:r>
        <w:tab/>
        <w:t>V</w:t>
      </w:r>
      <w:r>
        <w:tab/>
        <w:t>is the dutiable value of the concessional pre</w:t>
      </w:r>
      <w:r>
        <w:noBreakHyphen/>
        <w:t>construction agreement.</w:t>
      </w:r>
    </w:p>
    <w:p>
      <w:pPr>
        <w:pStyle w:val="Subsection"/>
        <w:keepNext/>
      </w:pPr>
      <w:r>
        <w:tab/>
        <w:t>(3)</w:t>
      </w:r>
      <w:r>
        <w:tab/>
        <w:t xml:space="preserve">The calculation for the purposes of item 7 in the Table to subsection (1) is as follows — </w:t>
      </w:r>
    </w:p>
    <w:p>
      <w:pPr>
        <w:pStyle w:val="Equation"/>
        <w:keepNext/>
        <w:spacing w:before="120"/>
        <w:ind w:left="879"/>
        <w:rPr>
          <w:rFonts w:ascii="Cambria Math" w:hAnsi="Cambria Math"/>
        </w:rPr>
      </w:pPr>
      <m:oMathPara>
        <m:oMathParaPr>
          <m:jc m:val="left"/>
        </m:oMathParaPr>
        <m:oMath>
          <m:r>
            <m:rPr>
              <m:sty m:val="p"/>
            </m:rPr>
            <w:rPr>
              <w:rFonts w:ascii="Cambria Math" w:hAnsi="Cambria Math"/>
            </w:rPr>
            <m:t xml:space="preserve">Y=100-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V-650 000</m:t>
                  </m:r>
                </m:num>
                <m:den>
                  <m:r>
                    <m:rPr>
                      <m:sty m:val="p"/>
                    </m:rPr>
                    <w:rPr>
                      <w:rFonts w:ascii="Cambria Math" w:hAnsi="Cambria Math"/>
                    </w:rPr>
                    <m:t>100</m:t>
                  </m:r>
                </m:den>
              </m:f>
              <m:r>
                <m:rPr>
                  <m:sty m:val="p"/>
                </m:rPr>
                <w:rPr>
                  <w:rFonts w:ascii="Cambria Math" w:hAnsi="Cambria Math"/>
                </w:rPr>
                <m:t>×0.05</m:t>
              </m:r>
            </m:e>
          </m:d>
        </m:oMath>
      </m:oMathPara>
    </w:p>
    <w:p>
      <w:pPr>
        <w:pStyle w:val="MiscellaneousBody"/>
        <w:keepNext/>
        <w:tabs>
          <w:tab w:val="left" w:pos="879"/>
          <w:tab w:val="left" w:pos="1418"/>
        </w:tabs>
      </w:pPr>
      <w:r>
        <w:tab/>
        <w:t xml:space="preserve">where — </w:t>
      </w:r>
    </w:p>
    <w:p>
      <w:pPr>
        <w:pStyle w:val="MiscellaneousBody"/>
        <w:tabs>
          <w:tab w:val="left" w:pos="879"/>
          <w:tab w:val="left" w:pos="1418"/>
        </w:tabs>
        <w:ind w:left="1276" w:hanging="1276"/>
      </w:pPr>
      <w:r>
        <w:tab/>
        <w:t>V</w:t>
      </w:r>
      <w:r>
        <w:tab/>
        <w:t>is the dutiable value of the concessional pre</w:t>
      </w:r>
      <w:r>
        <w:noBreakHyphen/>
        <w:t>construction agreement.</w:t>
      </w:r>
    </w:p>
    <w:p>
      <w:pPr>
        <w:pStyle w:val="Subsection"/>
        <w:rPr>
          <w:ins w:id="1733" w:author="Master Repository Process" w:date="2025-06-19T17:03:00Z"/>
        </w:rPr>
      </w:pPr>
      <w:ins w:id="1734" w:author="Master Repository Process" w:date="2025-06-19T17:03:00Z">
        <w:r>
          <w:tab/>
          <w:t>(3A)</w:t>
        </w:r>
        <w:r>
          <w:tab/>
          <w:t xml:space="preserve">The calculation for the purposes of item 10 in the Table to subsection (1) is as follows — </w:t>
        </w:r>
      </w:ins>
    </w:p>
    <w:p>
      <w:pPr>
        <w:pStyle w:val="Equation"/>
        <w:keepNext/>
        <w:spacing w:before="120"/>
        <w:ind w:left="879"/>
        <w:rPr>
          <w:ins w:id="1735" w:author="Master Repository Process" w:date="2025-06-19T17:03:00Z"/>
          <w:rFonts w:ascii="Cambria Math" w:hAnsi="Cambria Math"/>
        </w:rPr>
      </w:pPr>
      <m:oMathPara>
        <m:oMathParaPr>
          <m:jc m:val="left"/>
        </m:oMathParaPr>
        <m:oMath>
          <m:r>
            <w:ins w:id="1736" w:author="Master Repository Process" w:date="2025-06-19T17:03:00Z">
              <m:rPr>
                <m:sty m:val="p"/>
              </m:rPr>
              <w:rPr>
                <w:rFonts w:ascii="Cambria Math" w:hAnsi="Cambria Math"/>
              </w:rPr>
              <m:t xml:space="preserve">Z=100- </m:t>
            </w:ins>
          </m:r>
          <m:d>
            <m:dPr>
              <m:ctrlPr>
                <w:ins w:id="1737" w:author="Master Repository Process" w:date="2025-06-19T17:03:00Z">
                  <w:rPr>
                    <w:rFonts w:ascii="Cambria Math" w:hAnsi="Cambria Math"/>
                  </w:rPr>
                </w:ins>
              </m:ctrlPr>
            </m:dPr>
            <m:e>
              <m:f>
                <m:fPr>
                  <m:ctrlPr>
                    <w:ins w:id="1738" w:author="Master Repository Process" w:date="2025-06-19T17:03:00Z">
                      <w:rPr>
                        <w:rFonts w:ascii="Cambria Math" w:hAnsi="Cambria Math"/>
                      </w:rPr>
                    </w:ins>
                  </m:ctrlPr>
                </m:fPr>
                <m:num>
                  <m:r>
                    <w:ins w:id="1739" w:author="Master Repository Process" w:date="2025-06-19T17:03:00Z">
                      <m:rPr>
                        <m:sty m:val="p"/>
                      </m:rPr>
                      <w:rPr>
                        <w:rFonts w:ascii="Cambria Math" w:hAnsi="Cambria Math"/>
                      </w:rPr>
                      <m:t xml:space="preserve"> V-750 000</m:t>
                    </w:ins>
                  </m:r>
                </m:num>
                <m:den>
                  <m:r>
                    <w:ins w:id="1740" w:author="Master Repository Process" w:date="2025-06-19T17:03:00Z">
                      <m:rPr>
                        <m:sty m:val="p"/>
                      </m:rPr>
                      <w:rPr>
                        <w:rFonts w:ascii="Cambria Math" w:hAnsi="Cambria Math"/>
                      </w:rPr>
                      <m:t>100</m:t>
                    </w:ins>
                  </m:r>
                </m:den>
              </m:f>
              <m:r>
                <w:ins w:id="1741" w:author="Master Repository Process" w:date="2025-06-19T17:03:00Z">
                  <m:rPr>
                    <m:sty m:val="p"/>
                  </m:rPr>
                  <w:rPr>
                    <w:rFonts w:ascii="Cambria Math" w:hAnsi="Cambria Math"/>
                  </w:rPr>
                  <m:t>×0.05</m:t>
                </w:ins>
              </m:r>
            </m:e>
          </m:d>
        </m:oMath>
      </m:oMathPara>
    </w:p>
    <w:p>
      <w:pPr>
        <w:pStyle w:val="MiscellaneousBody"/>
        <w:tabs>
          <w:tab w:val="left" w:pos="879"/>
          <w:tab w:val="left" w:pos="1418"/>
        </w:tabs>
        <w:rPr>
          <w:ins w:id="1742" w:author="Master Repository Process" w:date="2025-06-19T17:03:00Z"/>
        </w:rPr>
      </w:pPr>
      <w:ins w:id="1743" w:author="Master Repository Process" w:date="2025-06-19T17:03:00Z">
        <w:r>
          <w:tab/>
          <w:t xml:space="preserve">where — </w:t>
        </w:r>
      </w:ins>
    </w:p>
    <w:p>
      <w:pPr>
        <w:pStyle w:val="MiscellaneousBody"/>
        <w:tabs>
          <w:tab w:val="left" w:pos="879"/>
          <w:tab w:val="left" w:pos="1418"/>
        </w:tabs>
        <w:ind w:left="1276" w:hanging="1276"/>
        <w:rPr>
          <w:ins w:id="1744" w:author="Master Repository Process" w:date="2025-06-19T17:03:00Z"/>
        </w:rPr>
      </w:pPr>
      <w:ins w:id="1745" w:author="Master Repository Process" w:date="2025-06-19T17:03:00Z">
        <w:r>
          <w:tab/>
          <w:t>V</w:t>
        </w:r>
        <w:r>
          <w:tab/>
          <w:t>is the dutiable value of the concessional pre</w:t>
        </w:r>
        <w:r>
          <w:noBreakHyphen/>
          <w:t>construction agreement.</w:t>
        </w:r>
      </w:ins>
    </w:p>
    <w:p>
      <w:pPr>
        <w:pStyle w:val="Subsection"/>
      </w:pPr>
      <w:r>
        <w:tab/>
        <w:t>(4)</w:t>
      </w:r>
      <w:r>
        <w:tab/>
        <w:t xml:space="preserve">Subject to sections 266M(2) and 266N(2)(b), the concession amount for a concessional under construction agreement is the lesser of the following — </w:t>
      </w:r>
    </w:p>
    <w:p>
      <w:pPr>
        <w:pStyle w:val="Indenta"/>
      </w:pPr>
      <w:r>
        <w:tab/>
        <w:t>(a)</w:t>
      </w:r>
      <w:r>
        <w:tab/>
        <w:t>$50 000;</w:t>
      </w:r>
    </w:p>
    <w:p>
      <w:pPr>
        <w:pStyle w:val="Indenta"/>
      </w:pPr>
      <w:r>
        <w:tab/>
        <w:t>(b)</w:t>
      </w:r>
      <w:r>
        <w:tab/>
        <w:t xml:space="preserve">an amount calculated by — </w:t>
      </w:r>
    </w:p>
    <w:p>
      <w:pPr>
        <w:pStyle w:val="Indenti"/>
      </w:pPr>
      <w:r>
        <w:tab/>
        <w:t>(i)</w:t>
      </w:r>
      <w:r>
        <w:tab/>
        <w:t xml:space="preserve">determining the applicable concession percentage under the Table according to the </w:t>
      </w:r>
      <w:ins w:id="1746" w:author="Master Repository Process" w:date="2025-06-19T17:03:00Z">
        <w:r>
          <w:t xml:space="preserve">concession day of the agreement and the </w:t>
        </w:r>
      </w:ins>
      <w:r>
        <w:t>dutiable value of the agreement; and</w:t>
      </w:r>
    </w:p>
    <w:p>
      <w:pPr>
        <w:pStyle w:val="Indenti"/>
      </w:pPr>
      <w:r>
        <w:tab/>
        <w:t>(ii)</w:t>
      </w:r>
      <w:r>
        <w:tab/>
        <w:t>multiplying that percentage by the unadjusted duty amount for the agreement.</w:t>
      </w:r>
    </w:p>
    <w:p>
      <w:pPr>
        <w:pStyle w:val="THeadingNAm"/>
      </w:pPr>
      <w:r>
        <w:t>Table</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98"/>
        <w:gridCol w:w="2327"/>
        <w:gridCol w:w="1538"/>
        <w:gridCol w:w="1816"/>
      </w:tblGrid>
      <w:tr>
        <w:trPr>
          <w:tblHeader/>
        </w:trPr>
        <w:tc>
          <w:tcPr>
            <w:tcW w:w="697" w:type="dxa"/>
          </w:tcPr>
          <w:p>
            <w:pPr>
              <w:pStyle w:val="TableNAm"/>
              <w:jc w:val="center"/>
              <w:rPr>
                <w:b/>
                <w:bCs/>
              </w:rPr>
            </w:pPr>
            <w:r>
              <w:rPr>
                <w:b/>
                <w:bCs/>
              </w:rPr>
              <w:t>Item</w:t>
            </w:r>
          </w:p>
        </w:tc>
        <w:tc>
          <w:tcPr>
            <w:tcW w:w="2325" w:type="dxa"/>
            <w:cellIns w:id="1747" w:author="Master Repository Process" w:date="2025-06-19T17:03:00Z"/>
          </w:tcPr>
          <w:p>
            <w:pPr>
              <w:pStyle w:val="TableNAm"/>
              <w:jc w:val="center"/>
              <w:rPr>
                <w:b/>
                <w:bCs/>
              </w:rPr>
            </w:pPr>
            <w:ins w:id="1748" w:author="Master Repository Process" w:date="2025-06-19T17:03:00Z">
              <w:r>
                <w:rPr>
                  <w:b/>
                  <w:bCs/>
                </w:rPr>
                <w:t>Concession day</w:t>
              </w:r>
            </w:ins>
          </w:p>
        </w:tc>
        <w:tc>
          <w:tcPr>
            <w:tcW w:w="1537" w:type="dxa"/>
          </w:tcPr>
          <w:p>
            <w:pPr>
              <w:pStyle w:val="TableNAm"/>
              <w:jc w:val="center"/>
              <w:rPr>
                <w:b/>
                <w:bCs/>
              </w:rPr>
            </w:pPr>
            <w:r>
              <w:rPr>
                <w:b/>
                <w:bCs/>
              </w:rPr>
              <w:t>Dutiable value</w:t>
            </w:r>
          </w:p>
        </w:tc>
        <w:tc>
          <w:tcPr>
            <w:tcW w:w="1814" w:type="dxa"/>
          </w:tcPr>
          <w:p>
            <w:pPr>
              <w:pStyle w:val="TableNAm"/>
              <w:jc w:val="center"/>
              <w:rPr>
                <w:b/>
                <w:bCs/>
              </w:rPr>
            </w:pPr>
            <w:r>
              <w:rPr>
                <w:b/>
                <w:bCs/>
              </w:rPr>
              <w:t>Concession percentage</w:t>
            </w:r>
            <w:r>
              <w:rPr>
                <w:b/>
                <w:bCs/>
              </w:rPr>
              <w:br/>
              <w:t>(%)</w:t>
            </w:r>
          </w:p>
        </w:tc>
      </w:tr>
      <w:tr>
        <w:tc>
          <w:tcPr>
            <w:tcW w:w="697" w:type="dxa"/>
          </w:tcPr>
          <w:p>
            <w:pPr>
              <w:pStyle w:val="TableNAm"/>
            </w:pPr>
            <w:r>
              <w:t>1.</w:t>
            </w:r>
          </w:p>
        </w:tc>
        <w:tc>
          <w:tcPr>
            <w:tcW w:w="2325" w:type="dxa"/>
            <w:cellIns w:id="1749" w:author="Master Repository Process" w:date="2025-06-19T17:03:00Z"/>
          </w:tcPr>
          <w:p>
            <w:pPr>
              <w:pStyle w:val="TableNAm"/>
            </w:pPr>
            <w:ins w:id="1750" w:author="Master Repository Process" w:date="2025-06-19T17:03:00Z">
              <w:r>
                <w:t>31 August 2023 to 20 March 2025</w:t>
              </w:r>
            </w:ins>
          </w:p>
        </w:tc>
        <w:tc>
          <w:tcPr>
            <w:tcW w:w="1537" w:type="dxa"/>
          </w:tcPr>
          <w:p>
            <w:pPr>
              <w:pStyle w:val="TableNAm"/>
            </w:pPr>
            <w:r>
              <w:t>$650 000 or less</w:t>
            </w:r>
          </w:p>
        </w:tc>
        <w:tc>
          <w:tcPr>
            <w:tcW w:w="1814" w:type="dxa"/>
          </w:tcPr>
          <w:p>
            <w:pPr>
              <w:pStyle w:val="TableNAm"/>
            </w:pPr>
            <w:r>
              <w:t>75</w:t>
            </w:r>
          </w:p>
        </w:tc>
      </w:tr>
      <w:tr>
        <w:tc>
          <w:tcPr>
            <w:tcW w:w="697" w:type="dxa"/>
          </w:tcPr>
          <w:p>
            <w:pPr>
              <w:pStyle w:val="TableNAm"/>
            </w:pPr>
            <w:r>
              <w:t>2.</w:t>
            </w:r>
          </w:p>
        </w:tc>
        <w:tc>
          <w:tcPr>
            <w:tcW w:w="2325" w:type="dxa"/>
            <w:cellIns w:id="1751" w:author="Master Repository Process" w:date="2025-06-19T17:03:00Z"/>
          </w:tcPr>
          <w:p>
            <w:pPr>
              <w:pStyle w:val="TableNAm"/>
            </w:pPr>
            <w:ins w:id="1752" w:author="Master Repository Process" w:date="2025-06-19T17:03:00Z">
              <w:r>
                <w:t>31 August 2023 to 20 March 2025</w:t>
              </w:r>
            </w:ins>
          </w:p>
        </w:tc>
        <w:tc>
          <w:tcPr>
            <w:tcW w:w="1537" w:type="dxa"/>
          </w:tcPr>
          <w:p>
            <w:pPr>
              <w:pStyle w:val="TableNAm"/>
            </w:pPr>
            <w:r>
              <w:t>More than $650 000 but less than $750 000</w:t>
            </w:r>
          </w:p>
        </w:tc>
        <w:tc>
          <w:tcPr>
            <w:tcW w:w="1814" w:type="dxa"/>
          </w:tcPr>
          <w:p>
            <w:pPr>
              <w:pStyle w:val="TableNAm"/>
            </w:pPr>
            <w:del w:id="1753" w:author="Master Repository Process" w:date="2025-06-19T17:03:00Z">
              <w:r>
                <w:delText>Z</w:delText>
              </w:r>
            </w:del>
            <w:ins w:id="1754" w:author="Master Repository Process" w:date="2025-06-19T17:03:00Z">
              <w:r>
                <w:t>A</w:t>
              </w:r>
            </w:ins>
            <w:r>
              <w:t xml:space="preserve"> calculated under subsection (5)</w:t>
            </w:r>
          </w:p>
        </w:tc>
      </w:tr>
      <w:tr>
        <w:tc>
          <w:tcPr>
            <w:tcW w:w="697" w:type="dxa"/>
          </w:tcPr>
          <w:p>
            <w:pPr>
              <w:pStyle w:val="TableNAm"/>
            </w:pPr>
            <w:r>
              <w:t>3.</w:t>
            </w:r>
          </w:p>
        </w:tc>
        <w:tc>
          <w:tcPr>
            <w:tcW w:w="2325" w:type="dxa"/>
            <w:cellIns w:id="1755" w:author="Master Repository Process" w:date="2025-06-19T17:03:00Z"/>
          </w:tcPr>
          <w:p>
            <w:pPr>
              <w:pStyle w:val="TableNAm"/>
            </w:pPr>
            <w:ins w:id="1756" w:author="Master Repository Process" w:date="2025-06-19T17:03:00Z">
              <w:r>
                <w:t>31 August 2023 to 20 March 2025</w:t>
              </w:r>
            </w:ins>
          </w:p>
        </w:tc>
        <w:tc>
          <w:tcPr>
            <w:tcW w:w="1537" w:type="dxa"/>
          </w:tcPr>
          <w:p>
            <w:pPr>
              <w:pStyle w:val="TableNAm"/>
            </w:pPr>
            <w:r>
              <w:t>$750 000 or more</w:t>
            </w:r>
          </w:p>
        </w:tc>
        <w:tc>
          <w:tcPr>
            <w:tcW w:w="1814" w:type="dxa"/>
          </w:tcPr>
          <w:p>
            <w:pPr>
              <w:pStyle w:val="TableNAm"/>
            </w:pPr>
            <w:r>
              <w:t>37.5</w:t>
            </w:r>
          </w:p>
        </w:tc>
      </w:tr>
      <w:tr>
        <w:trPr>
          <w:ins w:id="1757" w:author="Master Repository Process" w:date="2025-06-19T17:03:00Z"/>
        </w:trPr>
        <w:tc>
          <w:tcPr>
            <w:tcW w:w="697" w:type="dxa"/>
          </w:tcPr>
          <w:p>
            <w:pPr>
              <w:pStyle w:val="TableNAm"/>
              <w:rPr>
                <w:ins w:id="1758" w:author="Master Repository Process" w:date="2025-06-19T17:03:00Z"/>
              </w:rPr>
            </w:pPr>
            <w:ins w:id="1759" w:author="Master Repository Process" w:date="2025-06-19T17:03:00Z">
              <w:r>
                <w:t>4.</w:t>
              </w:r>
            </w:ins>
          </w:p>
        </w:tc>
        <w:tc>
          <w:tcPr>
            <w:tcW w:w="2325" w:type="dxa"/>
          </w:tcPr>
          <w:p>
            <w:pPr>
              <w:pStyle w:val="TableNAm"/>
              <w:rPr>
                <w:ins w:id="1760" w:author="Master Repository Process" w:date="2025-06-19T17:03:00Z"/>
              </w:rPr>
            </w:pPr>
            <w:ins w:id="1761" w:author="Master Repository Process" w:date="2025-06-19T17:03:00Z">
              <w:r>
                <w:t>21 March 2025 to 30 June 2026</w:t>
              </w:r>
            </w:ins>
          </w:p>
        </w:tc>
        <w:tc>
          <w:tcPr>
            <w:tcW w:w="1537" w:type="dxa"/>
          </w:tcPr>
          <w:p>
            <w:pPr>
              <w:pStyle w:val="TableNAm"/>
              <w:rPr>
                <w:ins w:id="1762" w:author="Master Repository Process" w:date="2025-06-19T17:03:00Z"/>
              </w:rPr>
            </w:pPr>
            <w:ins w:id="1763" w:author="Master Repository Process" w:date="2025-06-19T17:03:00Z">
              <w:r>
                <w:t>$750 000 or less</w:t>
              </w:r>
            </w:ins>
          </w:p>
        </w:tc>
        <w:tc>
          <w:tcPr>
            <w:tcW w:w="1814" w:type="dxa"/>
          </w:tcPr>
          <w:p>
            <w:pPr>
              <w:pStyle w:val="TableNAm"/>
              <w:rPr>
                <w:ins w:id="1764" w:author="Master Repository Process" w:date="2025-06-19T17:03:00Z"/>
              </w:rPr>
            </w:pPr>
            <w:ins w:id="1765" w:author="Master Repository Process" w:date="2025-06-19T17:03:00Z">
              <w:r>
                <w:t>75</w:t>
              </w:r>
            </w:ins>
          </w:p>
        </w:tc>
      </w:tr>
      <w:tr>
        <w:trPr>
          <w:ins w:id="1766" w:author="Master Repository Process" w:date="2025-06-19T17:03:00Z"/>
        </w:trPr>
        <w:tc>
          <w:tcPr>
            <w:tcW w:w="697" w:type="dxa"/>
          </w:tcPr>
          <w:p>
            <w:pPr>
              <w:pStyle w:val="TableNAm"/>
              <w:rPr>
                <w:ins w:id="1767" w:author="Master Repository Process" w:date="2025-06-19T17:03:00Z"/>
              </w:rPr>
            </w:pPr>
            <w:ins w:id="1768" w:author="Master Repository Process" w:date="2025-06-19T17:03:00Z">
              <w:r>
                <w:t>5.</w:t>
              </w:r>
            </w:ins>
          </w:p>
        </w:tc>
        <w:tc>
          <w:tcPr>
            <w:tcW w:w="2325" w:type="dxa"/>
          </w:tcPr>
          <w:p>
            <w:pPr>
              <w:pStyle w:val="TableNAm"/>
              <w:rPr>
                <w:ins w:id="1769" w:author="Master Repository Process" w:date="2025-06-19T17:03:00Z"/>
              </w:rPr>
            </w:pPr>
            <w:ins w:id="1770" w:author="Master Repository Process" w:date="2025-06-19T17:03:00Z">
              <w:r>
                <w:t>21 March 2025 to 30 June 2026</w:t>
              </w:r>
            </w:ins>
          </w:p>
        </w:tc>
        <w:tc>
          <w:tcPr>
            <w:tcW w:w="1537" w:type="dxa"/>
          </w:tcPr>
          <w:p>
            <w:pPr>
              <w:pStyle w:val="TableNAm"/>
              <w:rPr>
                <w:ins w:id="1771" w:author="Master Repository Process" w:date="2025-06-19T17:03:00Z"/>
              </w:rPr>
            </w:pPr>
            <w:ins w:id="1772" w:author="Master Repository Process" w:date="2025-06-19T17:03:00Z">
              <w:r>
                <w:t>More than $750 000 but less than $850 000</w:t>
              </w:r>
            </w:ins>
          </w:p>
        </w:tc>
        <w:tc>
          <w:tcPr>
            <w:tcW w:w="1814" w:type="dxa"/>
          </w:tcPr>
          <w:p>
            <w:pPr>
              <w:pStyle w:val="TableNAm"/>
              <w:rPr>
                <w:ins w:id="1773" w:author="Master Repository Process" w:date="2025-06-19T17:03:00Z"/>
              </w:rPr>
            </w:pPr>
            <w:ins w:id="1774" w:author="Master Repository Process" w:date="2025-06-19T17:03:00Z">
              <w:r>
                <w:t>B calculated under subsection (6)</w:t>
              </w:r>
            </w:ins>
          </w:p>
        </w:tc>
      </w:tr>
      <w:tr>
        <w:trPr>
          <w:ins w:id="1775" w:author="Master Repository Process" w:date="2025-06-19T17:03:00Z"/>
        </w:trPr>
        <w:tc>
          <w:tcPr>
            <w:tcW w:w="697" w:type="dxa"/>
          </w:tcPr>
          <w:p>
            <w:pPr>
              <w:pStyle w:val="TableNAm"/>
              <w:rPr>
                <w:ins w:id="1776" w:author="Master Repository Process" w:date="2025-06-19T17:03:00Z"/>
              </w:rPr>
            </w:pPr>
            <w:ins w:id="1777" w:author="Master Repository Process" w:date="2025-06-19T17:03:00Z">
              <w:r>
                <w:t>6.</w:t>
              </w:r>
            </w:ins>
          </w:p>
        </w:tc>
        <w:tc>
          <w:tcPr>
            <w:tcW w:w="2325" w:type="dxa"/>
          </w:tcPr>
          <w:p>
            <w:pPr>
              <w:pStyle w:val="TableNAm"/>
              <w:rPr>
                <w:ins w:id="1778" w:author="Master Repository Process" w:date="2025-06-19T17:03:00Z"/>
              </w:rPr>
            </w:pPr>
            <w:ins w:id="1779" w:author="Master Repository Process" w:date="2025-06-19T17:03:00Z">
              <w:r>
                <w:t>21 March 2025 to 30 June 2026</w:t>
              </w:r>
            </w:ins>
          </w:p>
        </w:tc>
        <w:tc>
          <w:tcPr>
            <w:tcW w:w="1537" w:type="dxa"/>
          </w:tcPr>
          <w:p>
            <w:pPr>
              <w:pStyle w:val="TableNAm"/>
              <w:rPr>
                <w:ins w:id="1780" w:author="Master Repository Process" w:date="2025-06-19T17:03:00Z"/>
              </w:rPr>
            </w:pPr>
            <w:ins w:id="1781" w:author="Master Repository Process" w:date="2025-06-19T17:03:00Z">
              <w:r>
                <w:t>$850 000 or more</w:t>
              </w:r>
            </w:ins>
          </w:p>
        </w:tc>
        <w:tc>
          <w:tcPr>
            <w:tcW w:w="1814" w:type="dxa"/>
          </w:tcPr>
          <w:p>
            <w:pPr>
              <w:pStyle w:val="TableNAm"/>
              <w:rPr>
                <w:ins w:id="1782" w:author="Master Repository Process" w:date="2025-06-19T17:03:00Z"/>
              </w:rPr>
            </w:pPr>
            <w:ins w:id="1783" w:author="Master Repository Process" w:date="2025-06-19T17:03:00Z">
              <w:r>
                <w:t>37.5</w:t>
              </w:r>
            </w:ins>
          </w:p>
        </w:tc>
      </w:tr>
    </w:tbl>
    <w:p>
      <w:pPr>
        <w:pStyle w:val="Subsection"/>
      </w:pPr>
      <w:r>
        <w:tab/>
        <w:t>(5)</w:t>
      </w:r>
      <w:r>
        <w:tab/>
        <w:t xml:space="preserve">The calculation for the purposes of item 2 in the Table to subsection (4) is as follows — </w:t>
      </w:r>
    </w:p>
    <w:p>
      <w:pPr>
        <w:pStyle w:val="Equation"/>
        <w:keepNext/>
        <w:spacing w:before="120"/>
        <w:ind w:left="879"/>
        <w:rPr>
          <w:rFonts w:ascii="Cambria Math" w:hAnsi="Cambria Math"/>
        </w:rPr>
      </w:pPr>
      <m:oMathPara>
        <m:oMathParaPr>
          <m:jc m:val="left"/>
        </m:oMathParaPr>
        <m:oMath>
          <m:r>
            <w:del w:id="1784" w:author="Master Repository Process" w:date="2025-06-19T17:03:00Z">
              <m:rPr>
                <m:sty m:val="p"/>
              </m:rPr>
              <w:rPr>
                <w:rFonts w:ascii="Cambria Math" w:hAnsi="Cambria Math"/>
              </w:rPr>
              <m:t>Z</m:t>
            </w:del>
          </m:r>
          <m:r>
            <w:ins w:id="1785" w:author="Master Repository Process" w:date="2025-06-19T17:03:00Z">
              <m:rPr>
                <m:sty m:val="p"/>
              </m:rPr>
              <w:rPr>
                <w:rFonts w:ascii="Cambria Math" w:hAnsi="Cambria Math"/>
              </w:rPr>
              <m:t>A</m:t>
            </w:ins>
          </m:r>
          <m:r>
            <m:rPr>
              <m:sty m:val="p"/>
            </m:rPr>
            <w:rPr>
              <w:rFonts w:ascii="Cambria Math" w:hAnsi="Cambria Math"/>
            </w:rPr>
            <m:t xml:space="preserve">=75-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V-650 000</m:t>
                  </m:r>
                </m:num>
                <m:den>
                  <m:r>
                    <m:rPr>
                      <m:sty m:val="p"/>
                    </m:rPr>
                    <w:rPr>
                      <w:rFonts w:ascii="Cambria Math" w:hAnsi="Cambria Math"/>
                    </w:rPr>
                    <m:t>100</m:t>
                  </m:r>
                </m:den>
              </m:f>
              <m:r>
                <m:rPr>
                  <m:sty m:val="p"/>
                </m:rPr>
                <w:rPr>
                  <w:rFonts w:ascii="Cambria Math" w:hAnsi="Cambria Math"/>
                </w:rPr>
                <m:t>×0.0375</m:t>
              </m:r>
            </m:e>
          </m:d>
        </m:oMath>
      </m:oMathPara>
    </w:p>
    <w:p>
      <w:pPr>
        <w:pStyle w:val="MiscellaneousBody"/>
        <w:tabs>
          <w:tab w:val="left" w:pos="879"/>
          <w:tab w:val="left" w:pos="1418"/>
        </w:tabs>
        <w:rPr>
          <w:ins w:id="1786" w:author="Master Repository Process" w:date="2025-06-19T17:03:00Z"/>
        </w:rPr>
      </w:pPr>
      <w:ins w:id="1787" w:author="Master Repository Process" w:date="2025-06-19T17:03:00Z">
        <w:r>
          <w:tab/>
          <w:t xml:space="preserve">where — </w:t>
        </w:r>
      </w:ins>
    </w:p>
    <w:p>
      <w:pPr>
        <w:pStyle w:val="MiscellaneousBody"/>
        <w:tabs>
          <w:tab w:val="left" w:pos="879"/>
          <w:tab w:val="left" w:pos="1418"/>
        </w:tabs>
        <w:ind w:left="1276" w:hanging="1276"/>
        <w:rPr>
          <w:ins w:id="1788" w:author="Master Repository Process" w:date="2025-06-19T17:03:00Z"/>
        </w:rPr>
      </w:pPr>
      <w:ins w:id="1789" w:author="Master Repository Process" w:date="2025-06-19T17:03:00Z">
        <w:r>
          <w:tab/>
          <w:t>V</w:t>
        </w:r>
        <w:r>
          <w:tab/>
          <w:t>is the dutiable value of the concessional under construction agreement.</w:t>
        </w:r>
      </w:ins>
    </w:p>
    <w:p>
      <w:pPr>
        <w:pStyle w:val="Subsection"/>
        <w:rPr>
          <w:ins w:id="1790" w:author="Master Repository Process" w:date="2025-06-19T17:03:00Z"/>
        </w:rPr>
      </w:pPr>
      <w:ins w:id="1791" w:author="Master Repository Process" w:date="2025-06-19T17:03:00Z">
        <w:r>
          <w:tab/>
          <w:t>(6)</w:t>
        </w:r>
        <w:r>
          <w:tab/>
          <w:t xml:space="preserve">The calculation for the purposes of item 5 in the Table to subsection (4) is as follows — </w:t>
        </w:r>
      </w:ins>
    </w:p>
    <w:p>
      <w:pPr>
        <w:pStyle w:val="Equation"/>
        <w:keepNext/>
        <w:spacing w:before="120"/>
        <w:ind w:left="879"/>
        <w:rPr>
          <w:ins w:id="1792" w:author="Master Repository Process" w:date="2025-06-19T17:03:00Z"/>
          <w:rFonts w:ascii="Cambria Math" w:hAnsi="Cambria Math"/>
        </w:rPr>
      </w:pPr>
      <m:oMathPara>
        <m:oMathParaPr>
          <m:jc m:val="left"/>
        </m:oMathParaPr>
        <m:oMath>
          <m:r>
            <w:ins w:id="1793" w:author="Master Repository Process" w:date="2025-06-19T17:03:00Z">
              <m:rPr>
                <m:sty m:val="p"/>
              </m:rPr>
              <w:rPr>
                <w:rFonts w:ascii="Cambria Math" w:hAnsi="Cambria Math"/>
              </w:rPr>
              <m:t xml:space="preserve">B=75- </m:t>
            </w:ins>
          </m:r>
          <m:d>
            <m:dPr>
              <m:ctrlPr>
                <w:ins w:id="1794" w:author="Master Repository Process" w:date="2025-06-19T17:03:00Z">
                  <w:rPr>
                    <w:rFonts w:ascii="Cambria Math" w:hAnsi="Cambria Math"/>
                  </w:rPr>
                </w:ins>
              </m:ctrlPr>
            </m:dPr>
            <m:e>
              <m:f>
                <m:fPr>
                  <m:ctrlPr>
                    <w:ins w:id="1795" w:author="Master Repository Process" w:date="2025-06-19T17:03:00Z">
                      <w:rPr>
                        <w:rFonts w:ascii="Cambria Math" w:hAnsi="Cambria Math"/>
                      </w:rPr>
                    </w:ins>
                  </m:ctrlPr>
                </m:fPr>
                <m:num>
                  <m:r>
                    <w:ins w:id="1796" w:author="Master Repository Process" w:date="2025-06-19T17:03:00Z">
                      <m:rPr>
                        <m:sty m:val="p"/>
                      </m:rPr>
                      <w:rPr>
                        <w:rFonts w:ascii="Cambria Math" w:hAnsi="Cambria Math"/>
                      </w:rPr>
                      <m:t xml:space="preserve"> V-750 000</m:t>
                    </w:ins>
                  </m:r>
                </m:num>
                <m:den>
                  <m:r>
                    <w:ins w:id="1797" w:author="Master Repository Process" w:date="2025-06-19T17:03:00Z">
                      <m:rPr>
                        <m:sty m:val="p"/>
                      </m:rPr>
                      <w:rPr>
                        <w:rFonts w:ascii="Cambria Math" w:hAnsi="Cambria Math"/>
                      </w:rPr>
                      <m:t>100</m:t>
                    </w:ins>
                  </m:r>
                </m:den>
              </m:f>
              <m:r>
                <w:ins w:id="1798" w:author="Master Repository Process" w:date="2025-06-19T17:03:00Z">
                  <m:rPr>
                    <m:sty m:val="p"/>
                  </m:rPr>
                  <w:rPr>
                    <w:rFonts w:ascii="Cambria Math" w:hAnsi="Cambria Math"/>
                  </w:rPr>
                  <m:t>×0.0375</m:t>
                </w:ins>
              </m:r>
            </m:e>
          </m:d>
        </m:oMath>
      </m:oMathPara>
    </w:p>
    <w:p>
      <w:pPr>
        <w:pStyle w:val="MiscellaneousBody"/>
        <w:tabs>
          <w:tab w:val="left" w:pos="879"/>
          <w:tab w:val="left" w:pos="1418"/>
        </w:tabs>
      </w:pPr>
      <w:r>
        <w:tab/>
        <w:t xml:space="preserve">where — </w:t>
      </w:r>
    </w:p>
    <w:p>
      <w:pPr>
        <w:pStyle w:val="MiscellaneousBody"/>
        <w:tabs>
          <w:tab w:val="left" w:pos="879"/>
          <w:tab w:val="left" w:pos="1418"/>
        </w:tabs>
        <w:ind w:left="1276" w:hanging="1276"/>
      </w:pPr>
      <w:r>
        <w:tab/>
        <w:t>V</w:t>
      </w:r>
      <w:r>
        <w:tab/>
        <w:t>is the dutiable value of the concessional under construction agreement.</w:t>
      </w:r>
    </w:p>
    <w:p>
      <w:pPr>
        <w:pStyle w:val="Footnotesection"/>
      </w:pPr>
      <w:r>
        <w:tab/>
        <w:t>[Section 266L inserted: No. 29 of 2023 s. </w:t>
      </w:r>
      <w:del w:id="1799" w:author="Master Repository Process" w:date="2025-06-19T17:03:00Z">
        <w:r>
          <w:delText>8</w:delText>
        </w:r>
      </w:del>
      <w:ins w:id="1800" w:author="Master Repository Process" w:date="2025-06-19T17:03:00Z">
        <w:r>
          <w:t>8; amended: No. 5 of 2025 s. 11</w:t>
        </w:r>
      </w:ins>
      <w:r>
        <w:t>.]</w:t>
      </w:r>
    </w:p>
    <w:p>
      <w:pPr>
        <w:pStyle w:val="Heading5"/>
      </w:pPr>
      <w:bookmarkStart w:id="1801" w:name="_Toc201229364"/>
      <w:bookmarkStart w:id="1802" w:name="_Toc182410429"/>
      <w:r>
        <w:rPr>
          <w:rStyle w:val="CharSectno"/>
        </w:rPr>
        <w:t>266M</w:t>
      </w:r>
      <w:r>
        <w:t>.</w:t>
      </w:r>
      <w:r>
        <w:tab/>
        <w:t>Concession amount for concessional off</w:t>
      </w:r>
      <w:r>
        <w:noBreakHyphen/>
        <w:t>the</w:t>
      </w:r>
      <w:r>
        <w:noBreakHyphen/>
        <w:t>plan agreement relating to 2 or more properties</w:t>
      </w:r>
      <w:bookmarkEnd w:id="1801"/>
      <w:bookmarkEnd w:id="1802"/>
    </w:p>
    <w:p>
      <w:pPr>
        <w:pStyle w:val="Subsection"/>
      </w:pPr>
      <w:r>
        <w:tab/>
        <w:t>(1)</w:t>
      </w:r>
      <w:r>
        <w:tab/>
        <w:t>This section applies to a concessional off</w:t>
      </w:r>
      <w:r>
        <w:noBreakHyphen/>
        <w:t>the</w:t>
      </w:r>
      <w:r>
        <w:noBreakHyphen/>
        <w:t xml:space="preserve">plan agreement that is an agreement for the purchase of 2 or more lots (the </w:t>
      </w:r>
      <w:r>
        <w:rPr>
          <w:rStyle w:val="CharDefText"/>
        </w:rPr>
        <w:t>relevant properties</w:t>
      </w:r>
      <w:r>
        <w:t xml:space="preserve">) in </w:t>
      </w:r>
      <w:bookmarkStart w:id="1803" w:name="_Hlk201226123"/>
      <w:del w:id="1804" w:author="Master Repository Process" w:date="2025-06-19T17:03:00Z">
        <w:r>
          <w:delText>a multi</w:delText>
        </w:r>
        <w:r>
          <w:noBreakHyphen/>
          <w:delText>tiered</w:delText>
        </w:r>
      </w:del>
      <w:ins w:id="1805" w:author="Master Repository Process" w:date="2025-06-19T17:03:00Z">
        <w:r>
          <w:t>an eligible</w:t>
        </w:r>
      </w:ins>
      <w:bookmarkEnd w:id="1803"/>
      <w:r>
        <w:t xml:space="preserve"> scheme, on each of which there will be a new </w:t>
      </w:r>
      <w:del w:id="1806" w:author="Master Repository Process" w:date="2025-06-19T17:03:00Z">
        <w:r>
          <w:delText>residential unit or apartment</w:delText>
        </w:r>
      </w:del>
      <w:ins w:id="1807" w:author="Master Repository Process" w:date="2025-06-19T17:03:00Z">
        <w:r>
          <w:t>dwelling</w:t>
        </w:r>
      </w:ins>
      <w:r>
        <w:t>.</w:t>
      </w:r>
    </w:p>
    <w:p>
      <w:pPr>
        <w:pStyle w:val="Subsection"/>
      </w:pPr>
      <w:r>
        <w:tab/>
        <w:t>(2)</w:t>
      </w:r>
      <w:r>
        <w:tab/>
        <w:t>The concession amount for the concessional off</w:t>
      </w:r>
      <w:r>
        <w:noBreakHyphen/>
        <w:t>the</w:t>
      </w:r>
      <w:r>
        <w:noBreakHyphen/>
        <w:t>plan agreement is the total of the concession amounts for each of the relevant properties determined under subsection (3).</w:t>
      </w:r>
    </w:p>
    <w:p>
      <w:pPr>
        <w:pStyle w:val="Subsection"/>
      </w:pPr>
      <w:r>
        <w:tab/>
        <w:t>(3)</w:t>
      </w:r>
      <w:r>
        <w:tab/>
        <w:t xml:space="preserve">The concession amounts for the relevant properties are determined as follows — </w:t>
      </w:r>
    </w:p>
    <w:p>
      <w:pPr>
        <w:pStyle w:val="Indenta"/>
      </w:pPr>
      <w:r>
        <w:tab/>
        <w:t>(a)</w:t>
      </w:r>
      <w:r>
        <w:tab/>
        <w:t>first, apportion the dutiable value of the concessional off</w:t>
      </w:r>
      <w:r>
        <w:noBreakHyphen/>
        <w:t>the</w:t>
      </w:r>
      <w:r>
        <w:noBreakHyphen/>
        <w:t>plan agreement between each of the relevant properties as decided by the Commissioner;</w:t>
      </w:r>
    </w:p>
    <w:p>
      <w:pPr>
        <w:pStyle w:val="Indenta"/>
      </w:pPr>
      <w:r>
        <w:tab/>
        <w:t>(b)</w:t>
      </w:r>
      <w:r>
        <w:tab/>
        <w:t>second, apportion the unadjusted duty amount for the agreement between each of the relevant properties according to the proportion that the dutiable value apportioned to that relevant property under paragraph (a) bears to the dutiable value of the agreement;</w:t>
      </w:r>
    </w:p>
    <w:p>
      <w:pPr>
        <w:pStyle w:val="Indenta"/>
        <w:keepNext/>
      </w:pPr>
      <w:r>
        <w:tab/>
        <w:t>(c)</w:t>
      </w:r>
      <w:r>
        <w:tab/>
        <w:t xml:space="preserve">third, determine a concession amount for each of the relevant properties under section 266L as if — </w:t>
      </w:r>
    </w:p>
    <w:p>
      <w:pPr>
        <w:pStyle w:val="Indenti"/>
      </w:pPr>
      <w:r>
        <w:tab/>
        <w:t>(i)</w:t>
      </w:r>
      <w:r>
        <w:tab/>
        <w:t>that relevant property were the subject of a separate concessional pre</w:t>
      </w:r>
      <w:r>
        <w:noBreakHyphen/>
        <w:t>construction agreement or concessional under construction agreement (whichever is relevant); and</w:t>
      </w:r>
    </w:p>
    <w:p>
      <w:pPr>
        <w:pStyle w:val="Indenti"/>
      </w:pPr>
      <w:r>
        <w:tab/>
        <w:t>(ii)</w:t>
      </w:r>
      <w:r>
        <w:tab/>
        <w:t>the dutiable value of that agreement were the amount apportioned to that relevant property under paragraph (a); and</w:t>
      </w:r>
    </w:p>
    <w:p>
      <w:pPr>
        <w:pStyle w:val="Indenti"/>
      </w:pPr>
      <w:r>
        <w:tab/>
        <w:t>(iii)</w:t>
      </w:r>
      <w:r>
        <w:tab/>
        <w:t>the unadjusted duty amount for that agreement were the amount apportioned to that relevant property under paragraph (b).</w:t>
      </w:r>
    </w:p>
    <w:p>
      <w:pPr>
        <w:pStyle w:val="Footnotesection"/>
      </w:pPr>
      <w:r>
        <w:tab/>
        <w:t>[Section 266M inserted: No. 29 of 2023 s. </w:t>
      </w:r>
      <w:del w:id="1808" w:author="Master Repository Process" w:date="2025-06-19T17:03:00Z">
        <w:r>
          <w:delText>8</w:delText>
        </w:r>
      </w:del>
      <w:ins w:id="1809" w:author="Master Repository Process" w:date="2025-06-19T17:03:00Z">
        <w:r>
          <w:t>8; amended: No. 5 of 2025 s. 15</w:t>
        </w:r>
      </w:ins>
      <w:r>
        <w:t>.]</w:t>
      </w:r>
    </w:p>
    <w:p>
      <w:pPr>
        <w:pStyle w:val="Heading5"/>
      </w:pPr>
      <w:bookmarkStart w:id="1810" w:name="_Toc201229365"/>
      <w:bookmarkStart w:id="1811" w:name="_Toc182410430"/>
      <w:r>
        <w:rPr>
          <w:rStyle w:val="CharSectno"/>
        </w:rPr>
        <w:t>266N</w:t>
      </w:r>
      <w:r>
        <w:t>.</w:t>
      </w:r>
      <w:r>
        <w:tab/>
        <w:t>Aggregation of transactions</w:t>
      </w:r>
      <w:bookmarkEnd w:id="1810"/>
      <w:bookmarkEnd w:id="1811"/>
    </w:p>
    <w:p>
      <w:pPr>
        <w:pStyle w:val="Subsection"/>
        <w:keepNext/>
      </w:pPr>
      <w:r>
        <w:tab/>
        <w:t>(1)</w:t>
      </w:r>
      <w:r>
        <w:tab/>
        <w:t xml:space="preserve">Subsection (2) applies if under section 37 — </w:t>
      </w:r>
    </w:p>
    <w:p>
      <w:pPr>
        <w:pStyle w:val="Indenta"/>
      </w:pPr>
      <w:r>
        <w:tab/>
        <w:t>(a)</w:t>
      </w:r>
      <w:r>
        <w:tab/>
        <w:t>2 or more concessional off</w:t>
      </w:r>
      <w:r>
        <w:noBreakHyphen/>
        <w:t>the</w:t>
      </w:r>
      <w:r>
        <w:noBreakHyphen/>
        <w:t>plan agreements are aggregated and treated as a single dutiable transaction; or</w:t>
      </w:r>
    </w:p>
    <w:p>
      <w:pPr>
        <w:pStyle w:val="Indenta"/>
      </w:pPr>
      <w:r>
        <w:tab/>
        <w:t>(b)</w:t>
      </w:r>
      <w:r>
        <w:tab/>
        <w:t>1 or more concessional off</w:t>
      </w:r>
      <w:r>
        <w:noBreakHyphen/>
        <w:t>the</w:t>
      </w:r>
      <w:r>
        <w:noBreakHyphen/>
        <w:t>plan agreements and 1 or more other dutiable transactions are aggregated and treated as a single dutiable transaction.</w:t>
      </w:r>
    </w:p>
    <w:p>
      <w:pPr>
        <w:pStyle w:val="Subsection"/>
      </w:pPr>
      <w:r>
        <w:tab/>
        <w:t>(2)</w:t>
      </w:r>
      <w:r>
        <w:tab/>
        <w:t xml:space="preserve">In determining the duty payable on the aggregated transactions — </w:t>
      </w:r>
    </w:p>
    <w:p>
      <w:pPr>
        <w:pStyle w:val="Indenta"/>
      </w:pPr>
      <w:r>
        <w:tab/>
        <w:t>(a)</w:t>
      </w:r>
      <w:r>
        <w:tab/>
        <w:t>first, under section 37, determine and apportion between the aggregated transactions the amount of transfer duty that would be payable on the aggregated transactions if none of the transactions were a concessional off</w:t>
      </w:r>
      <w:r>
        <w:noBreakHyphen/>
        <w:t>the</w:t>
      </w:r>
      <w:r>
        <w:noBreakHyphen/>
        <w:t>plan agreement;</w:t>
      </w:r>
    </w:p>
    <w:p>
      <w:pPr>
        <w:pStyle w:val="Indenta"/>
      </w:pPr>
      <w:r>
        <w:tab/>
        <w:t>(b)</w:t>
      </w:r>
      <w:r>
        <w:tab/>
        <w:t>second, determine a concession amount under section 266L (or, if applicable, sections 266L and 266M) for each of the concessional off</w:t>
      </w:r>
      <w:r>
        <w:noBreakHyphen/>
        <w:t>the</w:t>
      </w:r>
      <w:r>
        <w:noBreakHyphen/>
        <w:t xml:space="preserve">plan agreements, treated as a separate transaction, as if the unadjusted duty amount for the agreement were — </w:t>
      </w:r>
    </w:p>
    <w:p>
      <w:pPr>
        <w:pStyle w:val="Indenti"/>
      </w:pPr>
      <w:r>
        <w:tab/>
        <w:t>(i)</w:t>
      </w:r>
      <w:r>
        <w:tab/>
        <w:t xml:space="preserve">if foreign transfer duty is not payable on the agreement — the amount (the </w:t>
      </w:r>
      <w:r>
        <w:rPr>
          <w:rStyle w:val="CharDefText"/>
        </w:rPr>
        <w:t>apportioned transfer duty amount</w:t>
      </w:r>
      <w:r>
        <w:t>) of transfer duty apportioned to the agreement as referred to in paragraph (a); or</w:t>
      </w:r>
    </w:p>
    <w:p>
      <w:pPr>
        <w:pStyle w:val="Indenti"/>
      </w:pPr>
      <w:r>
        <w:tab/>
        <w:t>(ii)</w:t>
      </w:r>
      <w:r>
        <w:tab/>
        <w:t>if foreign transfer duty is payable on the agreement — the total of the apportioned transfer duty amount and the amount of foreign transfer duty that would be payable on the agreement if it were not a concessional off</w:t>
      </w:r>
      <w:r>
        <w:noBreakHyphen/>
        <w:t>the</w:t>
      </w:r>
      <w:r>
        <w:noBreakHyphen/>
        <w:t>plan agreement;</w:t>
      </w:r>
    </w:p>
    <w:p>
      <w:pPr>
        <w:pStyle w:val="Indenta"/>
      </w:pPr>
      <w:r>
        <w:tab/>
        <w:t>(c)</w:t>
      </w:r>
      <w:r>
        <w:tab/>
        <w:t>third, for each of the concessional off</w:t>
      </w:r>
      <w:r>
        <w:noBreakHyphen/>
        <w:t>the</w:t>
      </w:r>
      <w:r>
        <w:noBreakHyphen/>
        <w:t>plan agreements, reduce in accordance with section 266K the amount of transfer duty and (if applicable) foreign transfer duty payable by the concession amount for that agreement determined under paragraph (b), as if the amount of transfer duty payable on the agreement were the apportioned transfer duty amount.</w:t>
      </w:r>
    </w:p>
    <w:p>
      <w:pPr>
        <w:pStyle w:val="Subsection"/>
      </w:pPr>
      <w:r>
        <w:tab/>
        <w:t>(3)</w:t>
      </w:r>
      <w:r>
        <w:tab/>
        <w:t>A concessional off</w:t>
      </w:r>
      <w:r>
        <w:noBreakHyphen/>
        <w:t>the</w:t>
      </w:r>
      <w:r>
        <w:noBreakHyphen/>
        <w:t>plan agreement is not an exempt transaction for the purposes of section 37(3)(c) solely because the transfer duty payable on the agreement is reduced to zero under this Chapter.</w:t>
      </w:r>
    </w:p>
    <w:p>
      <w:pPr>
        <w:pStyle w:val="Footnotesection"/>
      </w:pPr>
      <w:r>
        <w:tab/>
        <w:t>[Section 266N inserted: No. 29 of 2023 s. 8.]</w:t>
      </w:r>
    </w:p>
    <w:p>
      <w:pPr>
        <w:pStyle w:val="Heading5"/>
      </w:pPr>
      <w:bookmarkStart w:id="1812" w:name="_Toc201229366"/>
      <w:bookmarkStart w:id="1813" w:name="_Toc182410431"/>
      <w:r>
        <w:rPr>
          <w:rStyle w:val="CharSectno"/>
        </w:rPr>
        <w:t>266O</w:t>
      </w:r>
      <w:r>
        <w:t>.</w:t>
      </w:r>
      <w:r>
        <w:tab/>
        <w:t>Application for off</w:t>
      </w:r>
      <w:r>
        <w:noBreakHyphen/>
        <w:t>the</w:t>
      </w:r>
      <w:r>
        <w:noBreakHyphen/>
        <w:t>plan concession</w:t>
      </w:r>
      <w:bookmarkEnd w:id="1812"/>
      <w:bookmarkEnd w:id="1813"/>
    </w:p>
    <w:p>
      <w:pPr>
        <w:pStyle w:val="Subsection"/>
      </w:pPr>
      <w:r>
        <w:tab/>
        <w:t>(1)</w:t>
      </w:r>
      <w:r>
        <w:tab/>
        <w:t>An application for assessment or reassessment of the liability to duty of a concessional off</w:t>
      </w:r>
      <w:r>
        <w:noBreakHyphen/>
        <w:t>the</w:t>
      </w:r>
      <w:r>
        <w:noBreakHyphen/>
        <w:t>plan agreement under this Chapter must be made in the approved form no later than 12 months after the day on which the agreement is completed.</w:t>
      </w:r>
    </w:p>
    <w:p>
      <w:pPr>
        <w:pStyle w:val="Subsection"/>
        <w:keepNext/>
      </w:pPr>
      <w:r>
        <w:tab/>
        <w:t>(2)</w:t>
      </w:r>
      <w:r>
        <w:tab/>
        <w:t xml:space="preserve">For the purposes of this Chapter, the Taxation Administration Act section 17 applies as if — </w:t>
      </w:r>
    </w:p>
    <w:p>
      <w:pPr>
        <w:pStyle w:val="Indenta"/>
      </w:pPr>
      <w:r>
        <w:tab/>
        <w:t>(a)</w:t>
      </w:r>
      <w:r>
        <w:tab/>
        <w:t>despite subsection (1) of that section, a taxpayer is not entitled to apply for a reassessment of the liability to duty of a concessional off</w:t>
      </w:r>
      <w:r>
        <w:noBreakHyphen/>
        <w:t>the</w:t>
      </w:r>
      <w:r>
        <w:noBreakHyphen/>
        <w:t>plan agreement under this Chapter more than 12 months after the day on which the agreement is completed; and</w:t>
      </w:r>
    </w:p>
    <w:p>
      <w:pPr>
        <w:pStyle w:val="Indenta"/>
      </w:pPr>
      <w:r>
        <w:tab/>
        <w:t>(b)</w:t>
      </w:r>
      <w:r>
        <w:tab/>
        <w:t>despite subsection (4) of that section, the Commissioner can make a reassessment of the liability to duty of a concessional off</w:t>
      </w:r>
      <w:r>
        <w:noBreakHyphen/>
        <w:t>the</w:t>
      </w:r>
      <w:r>
        <w:noBreakHyphen/>
        <w:t>plan agreement under this Chapter on an application by a taxpayer only if the application was made within that time.</w:t>
      </w:r>
    </w:p>
    <w:p>
      <w:pPr>
        <w:pStyle w:val="Subsection"/>
        <w:rPr>
          <w:ins w:id="1814" w:author="Master Repository Process" w:date="2025-06-19T17:03:00Z"/>
        </w:rPr>
      </w:pPr>
      <w:ins w:id="1815" w:author="Master Repository Process" w:date="2025-06-19T17:03:00Z">
        <w:r>
          <w:tab/>
          <w:t>(3)</w:t>
        </w:r>
        <w:r>
          <w:tab/>
          <w:t>For the purposes of this section, a concessional off</w:t>
        </w:r>
        <w:r>
          <w:noBreakHyphen/>
          <w:t>the</w:t>
        </w:r>
        <w:r>
          <w:noBreakHyphen/>
          <w:t xml:space="preserve">plan agreement is completed on the day on which the purchaser of the lot the subject of the agreement becomes the owner (as defined in the </w:t>
        </w:r>
        <w:r>
          <w:rPr>
            <w:i/>
          </w:rPr>
          <w:t>Strata Titles Act 1985</w:t>
        </w:r>
        <w:r>
          <w:t xml:space="preserve"> section 3(1) or the </w:t>
        </w:r>
        <w:r>
          <w:rPr>
            <w:i/>
          </w:rPr>
          <w:t>Community Titles Act 2018</w:t>
        </w:r>
        <w:r>
          <w:t xml:space="preserve"> section 3(1), as the case requires) of the lot.</w:t>
        </w:r>
      </w:ins>
    </w:p>
    <w:p>
      <w:pPr>
        <w:pStyle w:val="Footnotesection"/>
      </w:pPr>
      <w:r>
        <w:tab/>
        <w:t>[Section 266O inserted: No. 29 of 2023 s. </w:t>
      </w:r>
      <w:del w:id="1816" w:author="Master Repository Process" w:date="2025-06-19T17:03:00Z">
        <w:r>
          <w:delText>8</w:delText>
        </w:r>
      </w:del>
      <w:ins w:id="1817" w:author="Master Repository Process" w:date="2025-06-19T17:03:00Z">
        <w:r>
          <w:t>8; amended: No. 5 of 2025 s. 12</w:t>
        </w:r>
      </w:ins>
      <w:r>
        <w:t>.]</w:t>
      </w:r>
    </w:p>
    <w:p>
      <w:pPr>
        <w:pStyle w:val="Heading2"/>
        <w:spacing w:before="120"/>
        <w:rPr>
          <w:sz w:val="32"/>
        </w:rPr>
      </w:pPr>
      <w:bookmarkStart w:id="1818" w:name="_Toc201218296"/>
      <w:bookmarkStart w:id="1819" w:name="_Toc201224669"/>
      <w:bookmarkStart w:id="1820" w:name="_Toc201229367"/>
      <w:bookmarkStart w:id="1821" w:name="_Toc182388972"/>
      <w:bookmarkStart w:id="1822" w:name="_Toc182389634"/>
      <w:bookmarkStart w:id="1823" w:name="_Toc182410432"/>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1818"/>
      <w:bookmarkEnd w:id="1819"/>
      <w:bookmarkEnd w:id="1820"/>
      <w:bookmarkEnd w:id="1821"/>
      <w:bookmarkEnd w:id="1822"/>
      <w:bookmarkEnd w:id="1823"/>
    </w:p>
    <w:p>
      <w:pPr>
        <w:pStyle w:val="Heading5"/>
        <w:spacing w:before="180"/>
      </w:pPr>
      <w:bookmarkStart w:id="1824" w:name="_Toc201229368"/>
      <w:bookmarkStart w:id="1825" w:name="_Toc182410433"/>
      <w:r>
        <w:rPr>
          <w:rStyle w:val="CharSectno"/>
        </w:rPr>
        <w:t>267</w:t>
      </w:r>
      <w:r>
        <w:t>.</w:t>
      </w:r>
      <w:r>
        <w:tab/>
        <w:t>Term used: scheme</w:t>
      </w:r>
      <w:bookmarkEnd w:id="1824"/>
      <w:bookmarkEnd w:id="1825"/>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1826" w:name="_Toc201229369"/>
      <w:bookmarkStart w:id="1827" w:name="_Toc182410434"/>
      <w:r>
        <w:rPr>
          <w:rStyle w:val="CharSectno"/>
        </w:rPr>
        <w:t>268</w:t>
      </w:r>
      <w:r>
        <w:t>.</w:t>
      </w:r>
      <w:r>
        <w:tab/>
        <w:t>Tax avoidance scheme</w:t>
      </w:r>
      <w:r>
        <w:rPr>
          <w:vertAlign w:val="superscript"/>
        </w:rPr>
        <w:t> 1M, 1MC</w:t>
      </w:r>
      <w:bookmarkEnd w:id="1826"/>
      <w:bookmarkEnd w:id="1827"/>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Footnotesection"/>
      </w:pPr>
      <w:r>
        <w:tab/>
        <w:t>[Modification, to section 268, to have effect under the Commonwealth Places (Mirror Taxes Administration) Act 1999 s. 7, see Commonwealth Places (Mirror Taxes Administration) Regulations 2007 r. 9 and endnote 1M.]</w:t>
      </w:r>
    </w:p>
    <w:p>
      <w:pPr>
        <w:pStyle w:val="Footnotesection"/>
      </w:pPr>
      <w:r>
        <w:tab/>
        <w:t>[Modification, to section 268, to have effect under the Commonwealth Places (Mirror Taxes) Act 1998 (Commonwealth) s. 8, see Commonwealth Places (Mirror Taxes) (Modification of Applied Laws (WA)) Notice 2007 cl. 10 and endnote 1MC.]</w:t>
      </w:r>
    </w:p>
    <w:p>
      <w:pPr>
        <w:pStyle w:val="Heading5"/>
      </w:pPr>
      <w:bookmarkStart w:id="1828" w:name="_Toc201229370"/>
      <w:bookmarkStart w:id="1829" w:name="_Toc182410435"/>
      <w:r>
        <w:rPr>
          <w:rStyle w:val="CharSectno"/>
        </w:rPr>
        <w:t>269</w:t>
      </w:r>
      <w:r>
        <w:t>.</w:t>
      </w:r>
      <w:r>
        <w:tab/>
        <w:t>Deciding whether proposed scheme would be disregarded under s. 270</w:t>
      </w:r>
      <w:bookmarkEnd w:id="1828"/>
      <w:bookmarkEnd w:id="1829"/>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keepNex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1830" w:name="_Toc201229371"/>
      <w:bookmarkStart w:id="1831" w:name="_Toc182410436"/>
      <w:r>
        <w:rPr>
          <w:rStyle w:val="CharSectno"/>
        </w:rPr>
        <w:t>270</w:t>
      </w:r>
      <w:r>
        <w:t>.</w:t>
      </w:r>
      <w:r>
        <w:tab/>
        <w:t>Certain tax avoidance schemes, Commissioner may disregard</w:t>
      </w:r>
      <w:bookmarkEnd w:id="1830"/>
      <w:bookmarkEnd w:id="1831"/>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No. 10 of 2013 s. 7.]</w:t>
      </w:r>
    </w:p>
    <w:p>
      <w:pPr>
        <w:pStyle w:val="Heading5"/>
      </w:pPr>
      <w:bookmarkStart w:id="1832" w:name="_Toc201229372"/>
      <w:bookmarkStart w:id="1833" w:name="_Toc182410437"/>
      <w:r>
        <w:rPr>
          <w:rStyle w:val="CharSectno"/>
        </w:rPr>
        <w:t>271</w:t>
      </w:r>
      <w:r>
        <w:t>.</w:t>
      </w:r>
      <w:r>
        <w:tab/>
        <w:t>Statement in relation to determination</w:t>
      </w:r>
      <w:bookmarkEnd w:id="1832"/>
      <w:bookmarkEnd w:id="1833"/>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834" w:name="_Toc201218302"/>
      <w:bookmarkStart w:id="1835" w:name="_Toc201224675"/>
      <w:bookmarkStart w:id="1836" w:name="_Toc201229373"/>
      <w:bookmarkStart w:id="1837" w:name="_Toc182388978"/>
      <w:bookmarkStart w:id="1838" w:name="_Toc182389640"/>
      <w:bookmarkStart w:id="1839" w:name="_Toc182410438"/>
      <w:r>
        <w:rPr>
          <w:rStyle w:val="CharPartNo"/>
          <w:sz w:val="32"/>
        </w:rPr>
        <w:t>Chapter 8</w:t>
      </w:r>
      <w:r>
        <w:rPr>
          <w:sz w:val="32"/>
        </w:rPr>
        <w:t> — </w:t>
      </w:r>
      <w:r>
        <w:rPr>
          <w:rStyle w:val="CharPartText"/>
          <w:sz w:val="32"/>
        </w:rPr>
        <w:t>Other general provisions</w:t>
      </w:r>
      <w:bookmarkEnd w:id="1834"/>
      <w:bookmarkEnd w:id="1835"/>
      <w:bookmarkEnd w:id="1836"/>
      <w:bookmarkEnd w:id="1837"/>
      <w:bookmarkEnd w:id="1838"/>
      <w:bookmarkEnd w:id="1839"/>
    </w:p>
    <w:p>
      <w:pPr>
        <w:pStyle w:val="Heading3"/>
        <w:rPr>
          <w:sz w:val="28"/>
        </w:rPr>
      </w:pPr>
      <w:bookmarkStart w:id="1840" w:name="_Toc201218303"/>
      <w:bookmarkStart w:id="1841" w:name="_Toc201224676"/>
      <w:bookmarkStart w:id="1842" w:name="_Toc201229374"/>
      <w:bookmarkStart w:id="1843" w:name="_Toc182388979"/>
      <w:bookmarkStart w:id="1844" w:name="_Toc182389641"/>
      <w:bookmarkStart w:id="1845" w:name="_Toc182410439"/>
      <w:r>
        <w:rPr>
          <w:rStyle w:val="CharDivNo"/>
          <w:sz w:val="28"/>
        </w:rPr>
        <w:t>Part 1</w:t>
      </w:r>
      <w:r>
        <w:rPr>
          <w:sz w:val="28"/>
        </w:rPr>
        <w:t> — </w:t>
      </w:r>
      <w:r>
        <w:rPr>
          <w:rStyle w:val="CharDivText"/>
          <w:sz w:val="28"/>
        </w:rPr>
        <w:t>Duty endorsement</w:t>
      </w:r>
      <w:bookmarkEnd w:id="1840"/>
      <w:bookmarkEnd w:id="1841"/>
      <w:bookmarkEnd w:id="1842"/>
      <w:bookmarkEnd w:id="1843"/>
      <w:bookmarkEnd w:id="1844"/>
      <w:bookmarkEnd w:id="1845"/>
    </w:p>
    <w:p>
      <w:pPr>
        <w:pStyle w:val="Heading5"/>
        <w:spacing w:before="180"/>
      </w:pPr>
      <w:bookmarkStart w:id="1846" w:name="_Toc201229375"/>
      <w:bookmarkStart w:id="1847" w:name="_Toc182410440"/>
      <w:r>
        <w:rPr>
          <w:rStyle w:val="CharSectno"/>
        </w:rPr>
        <w:t>272</w:t>
      </w:r>
      <w:r>
        <w:t>.</w:t>
      </w:r>
      <w:r>
        <w:tab/>
        <w:t>Duty endorsed</w:t>
      </w:r>
      <w:bookmarkEnd w:id="1846"/>
      <w:bookmarkEnd w:id="1847"/>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 xml:space="preserve">endorsed by the Commissioner — </w:t>
      </w:r>
    </w:p>
    <w:p>
      <w:pPr>
        <w:pStyle w:val="Indenti"/>
      </w:pPr>
      <w:r>
        <w:tab/>
        <w:t>(i)</w:t>
      </w:r>
      <w:r>
        <w:tab/>
        <w:t>under section 273(2), (3) or (4) or 274(2); and</w:t>
      </w:r>
    </w:p>
    <w:p>
      <w:pPr>
        <w:pStyle w:val="Indenti"/>
      </w:pPr>
      <w:r>
        <w:tab/>
        <w:t>(ii)</w:t>
      </w:r>
      <w:r>
        <w:tab/>
        <w:t>if the transaction is a foreign dutiable transaction — under section 273(2A);</w:t>
      </w:r>
    </w:p>
    <w:p>
      <w:pPr>
        <w:pStyle w:val="Indenta"/>
      </w:pPr>
      <w:r>
        <w:tab/>
      </w:r>
      <w:r>
        <w:tab/>
        <w:t>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Footnotesection"/>
      </w:pPr>
      <w:r>
        <w:tab/>
        <w:t>[Section 272 amended: No. 24 of 2018 s. 11.]</w:t>
      </w:r>
    </w:p>
    <w:p>
      <w:pPr>
        <w:pStyle w:val="Heading5"/>
      </w:pPr>
      <w:bookmarkStart w:id="1848" w:name="_Toc201229376"/>
      <w:bookmarkStart w:id="1849" w:name="_Toc182410441"/>
      <w:r>
        <w:rPr>
          <w:rStyle w:val="CharSectno"/>
        </w:rPr>
        <w:t>273A</w:t>
      </w:r>
      <w:r>
        <w:t>.</w:t>
      </w:r>
      <w:r>
        <w:tab/>
        <w:t>Duty endorsement: electronic conveyancing instruments</w:t>
      </w:r>
      <w:bookmarkEnd w:id="1848"/>
      <w:bookmarkEnd w:id="1849"/>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No. 2 of 2014 s. 54.]</w:t>
      </w:r>
    </w:p>
    <w:p>
      <w:pPr>
        <w:pStyle w:val="Heading5"/>
      </w:pPr>
      <w:bookmarkStart w:id="1850" w:name="_Toc201229377"/>
      <w:bookmarkStart w:id="1851" w:name="_Toc182410442"/>
      <w:r>
        <w:rPr>
          <w:rStyle w:val="CharSectno"/>
        </w:rPr>
        <w:t>273</w:t>
      </w:r>
      <w:r>
        <w:t>.</w:t>
      </w:r>
      <w:r>
        <w:tab/>
        <w:t>Endorsing transaction records as to duty paid etc.</w:t>
      </w:r>
      <w:bookmarkEnd w:id="1850"/>
      <w:bookmarkEnd w:id="1851"/>
    </w:p>
    <w:p>
      <w:pPr>
        <w:pStyle w:val="Subsection"/>
        <w:keepNext/>
      </w:pPr>
      <w:r>
        <w:rPr>
          <w:b/>
        </w:rPr>
        <w:tab/>
      </w:r>
      <w:r>
        <w:t>(1)</w:t>
      </w:r>
      <w:r>
        <w:tab/>
        <w:t>In this section —</w:t>
      </w:r>
    </w:p>
    <w:p>
      <w:pPr>
        <w:pStyle w:val="Defstart"/>
        <w:keepNext/>
      </w:pPr>
      <w:r>
        <w:rPr>
          <w:b/>
        </w:rPr>
        <w:tab/>
      </w:r>
      <w:r>
        <w:rPr>
          <w:rStyle w:val="CharDefText"/>
        </w:rPr>
        <w:t>required duty</w:t>
      </w:r>
      <w:r>
        <w:t xml:space="preserve"> means — </w:t>
      </w:r>
    </w:p>
    <w:p>
      <w:pPr>
        <w:pStyle w:val="Defpara"/>
      </w:pPr>
      <w:r>
        <w:tab/>
        <w:t>(a)</w:t>
      </w:r>
      <w:r>
        <w:tab/>
        <w:t>the transfer duty and foreign transfer duty (if any)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and any required duty is paid in full, the Commissioner must — </w:t>
      </w:r>
    </w:p>
    <w:p>
      <w:pPr>
        <w:pStyle w:val="Indenta"/>
      </w:pPr>
      <w:r>
        <w:tab/>
        <w:t>(a)</w:t>
      </w:r>
      <w:r>
        <w:tab/>
        <w:t>if transfer duty is chargeable on the dutiable transaction — endorse the transaction record to indicate the amount of transfer duty paid; or</w:t>
      </w:r>
    </w:p>
    <w:p>
      <w:pPr>
        <w:pStyle w:val="Indenta"/>
      </w:pPr>
      <w:r>
        <w:tab/>
        <w:t>(b)</w:t>
      </w:r>
      <w:r>
        <w:tab/>
        <w:t>if transfer duty is not chargeable on the dutiable transaction because of an exemption under this Act or another written law — endorse the transaction record to indicate that transfer duty is not chargeable because of the exemption; or</w:t>
      </w:r>
    </w:p>
    <w:p>
      <w:pPr>
        <w:pStyle w:val="Indenta"/>
      </w:pPr>
      <w:r>
        <w:tab/>
        <w:t>(c)</w:t>
      </w:r>
      <w:r>
        <w:tab/>
        <w:t>if transfer duty is not chargeable on the dutiable transaction other than because of an exemption under this Act or another written law — endorse the transaction record to indicate that transfer duty is not chargeable.</w:t>
      </w:r>
    </w:p>
    <w:p>
      <w:pPr>
        <w:pStyle w:val="Subsection"/>
      </w:pPr>
      <w:r>
        <w:tab/>
        <w:t>(2A)</w:t>
      </w:r>
      <w:r>
        <w:tab/>
        <w:t xml:space="preserve">If a transaction record for a foreign dutiable transaction is lodged for duty endorsement and any required duty is paid in full, the Commissioner must — </w:t>
      </w:r>
    </w:p>
    <w:p>
      <w:pPr>
        <w:pStyle w:val="Indenta"/>
      </w:pPr>
      <w:r>
        <w:tab/>
        <w:t>(a)</w:t>
      </w:r>
      <w:r>
        <w:tab/>
        <w:t>if foreign transfer duty is chargeable on the foreign dutiable transaction — endorse the transaction record to indicate the amount of foreign transfer duty paid; or</w:t>
      </w:r>
    </w:p>
    <w:p>
      <w:pPr>
        <w:pStyle w:val="Indenta"/>
      </w:pPr>
      <w:r>
        <w:tab/>
        <w:t>(b)</w:t>
      </w:r>
      <w:r>
        <w:tab/>
        <w:t>if foreign transfer duty is not chargeable on the foreign dutiable transaction because of an exemption under this Act or another written law — endorse the transaction record to indicate that foreign transfer duty is not chargeable because of the exemption; or</w:t>
      </w:r>
    </w:p>
    <w:p>
      <w:pPr>
        <w:pStyle w:val="Indenta"/>
      </w:pPr>
      <w:r>
        <w:tab/>
        <w:t>(c)</w:t>
      </w:r>
      <w:r>
        <w:tab/>
        <w:t>if foreign transfer duty is not chargeable on the foreign dutiable transaction other than because of an exemption under this Act or another written law — endorse the transaction record to indicate that foreign transfer duty is not chargeable.</w:t>
      </w:r>
    </w:p>
    <w:p>
      <w:pPr>
        <w:pStyle w:val="Subsection"/>
      </w:pPr>
      <w:r>
        <w:tab/>
        <w:t>(3A)</w:t>
      </w:r>
      <w:r>
        <w:tab/>
        <w:t>Despite subsections (2) and (2A),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No. 10 of 2013 s. 8; No. 24 of 2018 s. 12.]</w:t>
      </w:r>
    </w:p>
    <w:p>
      <w:pPr>
        <w:pStyle w:val="Heading5"/>
        <w:keepNext w:val="0"/>
        <w:keepLines w:val="0"/>
        <w:spacing w:before="180"/>
      </w:pPr>
      <w:bookmarkStart w:id="1852" w:name="_Toc201229378"/>
      <w:bookmarkStart w:id="1853" w:name="_Toc182410443"/>
      <w:r>
        <w:rPr>
          <w:rStyle w:val="CharSectno"/>
        </w:rPr>
        <w:t>274</w:t>
      </w:r>
      <w:r>
        <w:t>.</w:t>
      </w:r>
      <w:r>
        <w:tab/>
        <w:t>Endorsement of duty that depends on duty paid on another transaction</w:t>
      </w:r>
      <w:bookmarkEnd w:id="1852"/>
      <w:bookmarkEnd w:id="1853"/>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keepNext/>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1854" w:name="_Toc201229379"/>
      <w:bookmarkStart w:id="1855" w:name="_Toc182410444"/>
      <w:r>
        <w:rPr>
          <w:rStyle w:val="CharSectno"/>
        </w:rPr>
        <w:t>275</w:t>
      </w:r>
      <w:r>
        <w:t>.</w:t>
      </w:r>
      <w:r>
        <w:tab/>
        <w:t>Duty endorsement is evidence of certain matters</w:t>
      </w:r>
      <w:bookmarkEnd w:id="1854"/>
      <w:bookmarkEnd w:id="1855"/>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and foreign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Footnotesection"/>
      </w:pPr>
      <w:r>
        <w:tab/>
        <w:t>[Section 275 amended: No. 24 of 2018 s. 13.]</w:t>
      </w:r>
    </w:p>
    <w:p>
      <w:pPr>
        <w:pStyle w:val="Heading3"/>
        <w:rPr>
          <w:sz w:val="28"/>
        </w:rPr>
      </w:pPr>
      <w:bookmarkStart w:id="1856" w:name="_Toc201218309"/>
      <w:bookmarkStart w:id="1857" w:name="_Toc201224682"/>
      <w:bookmarkStart w:id="1858" w:name="_Toc201229380"/>
      <w:bookmarkStart w:id="1859" w:name="_Toc182388985"/>
      <w:bookmarkStart w:id="1860" w:name="_Toc182389647"/>
      <w:bookmarkStart w:id="1861" w:name="_Toc182410445"/>
      <w:r>
        <w:rPr>
          <w:rStyle w:val="CharDivNo"/>
          <w:sz w:val="28"/>
        </w:rPr>
        <w:t>Part 2</w:t>
      </w:r>
      <w:r>
        <w:rPr>
          <w:sz w:val="28"/>
        </w:rPr>
        <w:t> — </w:t>
      </w:r>
      <w:r>
        <w:rPr>
          <w:rStyle w:val="CharDivText"/>
          <w:sz w:val="28"/>
        </w:rPr>
        <w:t>Enforcement</w:t>
      </w:r>
      <w:bookmarkEnd w:id="1856"/>
      <w:bookmarkEnd w:id="1857"/>
      <w:bookmarkEnd w:id="1858"/>
      <w:bookmarkEnd w:id="1859"/>
      <w:bookmarkEnd w:id="1860"/>
      <w:bookmarkEnd w:id="1861"/>
    </w:p>
    <w:p>
      <w:pPr>
        <w:pStyle w:val="Heading5"/>
      </w:pPr>
      <w:bookmarkStart w:id="1862" w:name="_Toc201229381"/>
      <w:bookmarkStart w:id="1863" w:name="_Toc182410446"/>
      <w:r>
        <w:rPr>
          <w:rStyle w:val="CharSectno"/>
        </w:rPr>
        <w:t>276</w:t>
      </w:r>
      <w:r>
        <w:t>.</w:t>
      </w:r>
      <w:r>
        <w:tab/>
        <w:t>Dutiable transactions etc. not to be registered etc. unless duty endorsed</w:t>
      </w:r>
      <w:bookmarkEnd w:id="1862"/>
      <w:bookmarkEnd w:id="1863"/>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1864" w:name="_Toc201229382"/>
      <w:bookmarkStart w:id="1865" w:name="_Toc182410447"/>
      <w:r>
        <w:rPr>
          <w:rStyle w:val="CharSectno"/>
        </w:rPr>
        <w:t>277</w:t>
      </w:r>
      <w:r>
        <w:t>.</w:t>
      </w:r>
      <w:r>
        <w:tab/>
        <w:t>Business licences not to be registered etc. unless duty endorsed or instrument lodged</w:t>
      </w:r>
      <w:bookmarkEnd w:id="1864"/>
      <w:bookmarkEnd w:id="1865"/>
    </w:p>
    <w:p>
      <w:pPr>
        <w:pStyle w:val="Subsection"/>
      </w:pPr>
      <w:r>
        <w:tab/>
        <w:t>(1)</w:t>
      </w:r>
      <w:r>
        <w:tab/>
        <w:t xml:space="preserve">In this section — </w:t>
      </w:r>
    </w:p>
    <w:p>
      <w:pPr>
        <w:pStyle w:val="Defstart"/>
      </w:pPr>
      <w:r>
        <w:tab/>
      </w:r>
      <w:r>
        <w:rPr>
          <w:rStyle w:val="CharDefText"/>
        </w:rPr>
        <w:t>relevant licence</w:t>
      </w:r>
      <w:r>
        <w:t xml:space="preserve"> means — </w:t>
      </w:r>
    </w:p>
    <w:p>
      <w:pPr>
        <w:pStyle w:val="Defpara"/>
      </w:pPr>
      <w:r>
        <w:tab/>
        <w:t>(a)</w:t>
      </w:r>
      <w:r>
        <w:tab/>
        <w:t>a business licence (as defined in section 79) that is issued, granted or given under a law of Western Australia; or</w:t>
      </w:r>
    </w:p>
    <w:p>
      <w:pPr>
        <w:pStyle w:val="Defpara"/>
      </w:pPr>
      <w:r>
        <w:tab/>
        <w:t>(b)</w:t>
      </w:r>
      <w:r>
        <w:tab/>
        <w:t xml:space="preserve">a fixed infrastructure statutory licence that is issued, granted or given under a law of Western Australia. </w:t>
      </w:r>
    </w:p>
    <w:p>
      <w:pPr>
        <w:pStyle w:val="Subsection"/>
      </w:pPr>
      <w:r>
        <w:tab/>
        <w:t>(2)</w:t>
      </w:r>
      <w:r>
        <w:tab/>
        <w:t xml:space="preserve">If a relevant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in any register of relevant licences,</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keepNext/>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relevant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Footnotesection"/>
        <w:keepLines w:val="0"/>
        <w:spacing w:before="80"/>
        <w:ind w:left="890" w:hanging="890"/>
      </w:pPr>
      <w:r>
        <w:tab/>
        <w:t>[Section 277 amended: No. 12 of 2019 s. 129.]</w:t>
      </w:r>
    </w:p>
    <w:p>
      <w:pPr>
        <w:pStyle w:val="Heading5"/>
      </w:pPr>
      <w:bookmarkStart w:id="1866" w:name="_Toc201229383"/>
      <w:bookmarkStart w:id="1867" w:name="_Toc182410448"/>
      <w:r>
        <w:rPr>
          <w:rStyle w:val="CharSectno"/>
        </w:rPr>
        <w:t>278</w:t>
      </w:r>
      <w:r>
        <w:t>.</w:t>
      </w:r>
      <w:r>
        <w:tab/>
        <w:t>Caveat as to dutiable transaction not to be registered unless transaction is duty endorsed or lodged</w:t>
      </w:r>
      <w:bookmarkEnd w:id="1866"/>
      <w:bookmarkEnd w:id="1867"/>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keepNext/>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No. 2 of 2014 s. 55.]</w:t>
      </w:r>
    </w:p>
    <w:p>
      <w:pPr>
        <w:pStyle w:val="Heading5"/>
      </w:pPr>
      <w:bookmarkStart w:id="1868" w:name="_Toc201229384"/>
      <w:bookmarkStart w:id="1869" w:name="_Toc182410449"/>
      <w:r>
        <w:rPr>
          <w:rStyle w:val="CharSectno"/>
        </w:rPr>
        <w:t>279</w:t>
      </w:r>
      <w:r>
        <w:t>.</w:t>
      </w:r>
      <w:r>
        <w:tab/>
        <w:t>Use of transaction records in civil proceedings</w:t>
      </w:r>
      <w:bookmarkEnd w:id="1868"/>
      <w:bookmarkEnd w:id="1869"/>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keepNext/>
        <w:spacing w:before="180"/>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No. 29 of 2012 s. 8.]</w:t>
      </w:r>
    </w:p>
    <w:p>
      <w:pPr>
        <w:pStyle w:val="Heading5"/>
        <w:spacing w:before="240"/>
      </w:pPr>
      <w:bookmarkStart w:id="1870" w:name="_Toc201229385"/>
      <w:bookmarkStart w:id="1871" w:name="_Toc182410450"/>
      <w:r>
        <w:rPr>
          <w:rStyle w:val="CharSectno"/>
        </w:rPr>
        <w:t>280</w:t>
      </w:r>
      <w:r>
        <w:t>.</w:t>
      </w:r>
      <w:r>
        <w:tab/>
        <w:t>Unlodged instruments, duty of non</w:t>
      </w:r>
      <w:r>
        <w:noBreakHyphen/>
        <w:t>party to lodge</w:t>
      </w:r>
      <w:bookmarkEnd w:id="1870"/>
      <w:bookmarkEnd w:id="1871"/>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872" w:name="_Toc201218315"/>
      <w:bookmarkStart w:id="1873" w:name="_Toc201224688"/>
      <w:bookmarkStart w:id="1874" w:name="_Toc201229386"/>
      <w:bookmarkStart w:id="1875" w:name="_Toc182388991"/>
      <w:bookmarkStart w:id="1876" w:name="_Toc182389653"/>
      <w:bookmarkStart w:id="1877" w:name="_Toc182410451"/>
      <w:r>
        <w:rPr>
          <w:rStyle w:val="CharDivNo"/>
          <w:sz w:val="28"/>
        </w:rPr>
        <w:t>Part 3</w:t>
      </w:r>
      <w:r>
        <w:rPr>
          <w:sz w:val="28"/>
        </w:rPr>
        <w:t> — </w:t>
      </w:r>
      <w:r>
        <w:rPr>
          <w:rStyle w:val="CharDivText"/>
          <w:sz w:val="28"/>
        </w:rPr>
        <w:t>Miscellaneous</w:t>
      </w:r>
      <w:bookmarkEnd w:id="1872"/>
      <w:bookmarkEnd w:id="1873"/>
      <w:bookmarkEnd w:id="1874"/>
      <w:bookmarkEnd w:id="1875"/>
      <w:bookmarkEnd w:id="1876"/>
      <w:bookmarkEnd w:id="1877"/>
    </w:p>
    <w:p>
      <w:pPr>
        <w:pStyle w:val="Heading5"/>
      </w:pPr>
      <w:bookmarkStart w:id="1878" w:name="_Toc201229387"/>
      <w:bookmarkStart w:id="1879" w:name="_Toc182410452"/>
      <w:r>
        <w:rPr>
          <w:rStyle w:val="CharSectno"/>
        </w:rPr>
        <w:t>281</w:t>
      </w:r>
      <w:r>
        <w:t>.</w:t>
      </w:r>
      <w:r>
        <w:tab/>
        <w:t>Transaction records etc., Commissioner’s power to destroy</w:t>
      </w:r>
      <w:bookmarkEnd w:id="1878"/>
      <w:bookmarkEnd w:id="1879"/>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1880" w:name="_Toc201229388"/>
      <w:bookmarkStart w:id="1881" w:name="_Toc182410453"/>
      <w:r>
        <w:rPr>
          <w:rStyle w:val="CharSectno"/>
        </w:rPr>
        <w:t>282</w:t>
      </w:r>
      <w:r>
        <w:t>.</w:t>
      </w:r>
      <w:r>
        <w:tab/>
        <w:t>Correction of errors</w:t>
      </w:r>
      <w:bookmarkEnd w:id="1880"/>
      <w:bookmarkEnd w:id="1881"/>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1882" w:name="_Toc201229389"/>
      <w:bookmarkStart w:id="1883" w:name="_Toc182410454"/>
      <w:r>
        <w:rPr>
          <w:rStyle w:val="CharSectno"/>
        </w:rPr>
        <w:t>283</w:t>
      </w:r>
      <w:r>
        <w:t>.</w:t>
      </w:r>
      <w:r>
        <w:tab/>
      </w:r>
      <w:r>
        <w:rPr>
          <w:snapToGrid w:val="0"/>
        </w:rPr>
        <w:t>Amounts expressed in foreign currency</w:t>
      </w:r>
      <w:bookmarkEnd w:id="1882"/>
      <w:bookmarkEnd w:id="1883"/>
    </w:p>
    <w:p>
      <w:pPr>
        <w:pStyle w:val="Subsection"/>
        <w:keepNext/>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if the rate is not obtainable for Australia on that day — the last earlier day on which the rate was obtainable for Australia.</w:t>
      </w:r>
    </w:p>
    <w:p>
      <w:pPr>
        <w:pStyle w:val="Heading5"/>
        <w:spacing w:before="180"/>
      </w:pPr>
      <w:bookmarkStart w:id="1884" w:name="_Toc201229390"/>
      <w:bookmarkStart w:id="1885" w:name="_Toc182410455"/>
      <w:r>
        <w:rPr>
          <w:rStyle w:val="CharSectno"/>
        </w:rPr>
        <w:t>284</w:t>
      </w:r>
      <w:r>
        <w:t>.</w:t>
      </w:r>
      <w:r>
        <w:tab/>
        <w:t>Application of Corporations Act s. 1070A(1)(a) limited</w:t>
      </w:r>
      <w:bookmarkEnd w:id="1884"/>
      <w:bookmarkEnd w:id="1885"/>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1886" w:name="_Toc201229391"/>
      <w:bookmarkStart w:id="1887" w:name="_Toc182410456"/>
      <w:r>
        <w:rPr>
          <w:rStyle w:val="CharSectno"/>
        </w:rPr>
        <w:t>285</w:t>
      </w:r>
      <w:r>
        <w:t>.</w:t>
      </w:r>
      <w:r>
        <w:tab/>
        <w:t>Regulations</w:t>
      </w:r>
      <w:bookmarkEnd w:id="1886"/>
      <w:bookmarkEnd w:id="1887"/>
    </w:p>
    <w:p>
      <w:pPr>
        <w:pStyle w:val="Subsection"/>
        <w:keepNext/>
        <w:keepLines/>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888" w:name="_Toc201229392"/>
      <w:bookmarkStart w:id="1889" w:name="_Toc182410457"/>
      <w:r>
        <w:rPr>
          <w:rStyle w:val="CharSectno"/>
        </w:rPr>
        <w:t>286</w:t>
      </w:r>
      <w:r>
        <w:t>.</w:t>
      </w:r>
      <w:r>
        <w:tab/>
        <w:t>Transitional provisions (Sch. 3)</w:t>
      </w:r>
      <w:bookmarkEnd w:id="1888"/>
      <w:bookmarkEnd w:id="1889"/>
    </w:p>
    <w:p>
      <w:pPr>
        <w:pStyle w:val="Subsection"/>
      </w:pPr>
      <w:r>
        <w:tab/>
      </w:r>
      <w:r>
        <w:tab/>
        <w:t>Schedule 3 sets out transitional provisions.</w:t>
      </w:r>
    </w:p>
    <w:p>
      <w:pPr>
        <w:pStyle w:val="Subsection"/>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7" w:h="16840" w:code="9"/>
          <w:pgMar w:top="2381" w:right="2410" w:bottom="3544" w:left="2410" w:header="720" w:footer="3544" w:gutter="0"/>
          <w:pgNumType w:start="1"/>
          <w:cols w:space="720"/>
          <w:titlePg/>
          <w:docGrid w:linePitch="326"/>
        </w:sectPr>
      </w:pPr>
    </w:p>
    <w:p>
      <w:pPr>
        <w:pStyle w:val="yScheduleHeading"/>
      </w:pPr>
      <w:bookmarkStart w:id="1890" w:name="_Toc201218322"/>
      <w:bookmarkStart w:id="1891" w:name="_Toc201224695"/>
      <w:bookmarkStart w:id="1892" w:name="_Toc201229393"/>
      <w:bookmarkStart w:id="1893" w:name="_Toc182388998"/>
      <w:bookmarkStart w:id="1894" w:name="_Toc182389660"/>
      <w:bookmarkStart w:id="1895" w:name="_Toc182410458"/>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890"/>
      <w:bookmarkEnd w:id="1891"/>
      <w:bookmarkEnd w:id="1892"/>
      <w:bookmarkEnd w:id="1893"/>
      <w:bookmarkEnd w:id="1894"/>
      <w:bookmarkEnd w:id="1895"/>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74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45"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54"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74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744" w:type="dxa"/>
            <w:tcBorders>
              <w:top w:val="nil"/>
              <w:left w:val="nil"/>
              <w:bottom w:val="nil"/>
              <w:right w:val="nil"/>
            </w:tcBorders>
          </w:tcPr>
          <w:p>
            <w:pPr>
              <w:pStyle w:val="yTableNAm"/>
            </w:pPr>
            <w:r>
              <w:t>s. 11(1)(a)</w:t>
            </w:r>
          </w:p>
        </w:tc>
        <w:tc>
          <w:tcPr>
            <w:tcW w:w="1745" w:type="dxa"/>
            <w:tcBorders>
              <w:top w:val="nil"/>
              <w:left w:val="nil"/>
              <w:bottom w:val="nil"/>
              <w:right w:val="nil"/>
            </w:tcBorders>
          </w:tcPr>
          <w:p>
            <w:pPr>
              <w:pStyle w:val="yTableNAm"/>
            </w:pPr>
            <w:r>
              <w:t>Transfer</w:t>
            </w:r>
          </w:p>
        </w:tc>
        <w:tc>
          <w:tcPr>
            <w:tcW w:w="1854" w:type="dxa"/>
            <w:tcBorders>
              <w:top w:val="nil"/>
              <w:left w:val="nil"/>
              <w:bottom w:val="nil"/>
              <w:right w:val="nil"/>
            </w:tcBorders>
          </w:tcPr>
          <w:p>
            <w:pPr>
              <w:pStyle w:val="yTableNAm"/>
            </w:pPr>
            <w:r>
              <w:t xml:space="preserve">When the property is transferred </w:t>
            </w:r>
          </w:p>
        </w:tc>
        <w:tc>
          <w:tcPr>
            <w:tcW w:w="1745" w:type="dxa"/>
            <w:tcBorders>
              <w:top w:val="nil"/>
              <w:left w:val="nil"/>
              <w:bottom w:val="nil"/>
              <w:right w:val="nil"/>
            </w:tcBorders>
          </w:tcPr>
          <w:p>
            <w:pPr>
              <w:pStyle w:val="yTableNAm"/>
            </w:pPr>
            <w:r>
              <w:t>Transferee</w:t>
            </w:r>
          </w:p>
        </w:tc>
      </w:tr>
      <w:tr>
        <w:trPr>
          <w:cantSplit/>
        </w:trPr>
        <w:tc>
          <w:tcPr>
            <w:tcW w:w="1744" w:type="dxa"/>
            <w:tcBorders>
              <w:top w:val="nil"/>
              <w:left w:val="nil"/>
              <w:bottom w:val="nil"/>
              <w:right w:val="nil"/>
            </w:tcBorders>
          </w:tcPr>
          <w:p>
            <w:pPr>
              <w:pStyle w:val="yTableNAm"/>
            </w:pPr>
            <w:r>
              <w:t>s. 11(1)(b)</w:t>
            </w:r>
          </w:p>
        </w:tc>
        <w:tc>
          <w:tcPr>
            <w:tcW w:w="1745" w:type="dxa"/>
            <w:tcBorders>
              <w:top w:val="nil"/>
              <w:left w:val="nil"/>
              <w:bottom w:val="nil"/>
              <w:right w:val="nil"/>
            </w:tcBorders>
          </w:tcPr>
          <w:p>
            <w:pPr>
              <w:pStyle w:val="yTableNAm"/>
            </w:pPr>
            <w:r>
              <w:t>Agreement for transfer</w:t>
            </w:r>
          </w:p>
        </w:tc>
        <w:tc>
          <w:tcPr>
            <w:tcW w:w="1854" w:type="dxa"/>
            <w:tcBorders>
              <w:top w:val="nil"/>
              <w:left w:val="nil"/>
              <w:bottom w:val="nil"/>
              <w:right w:val="nil"/>
            </w:tcBorders>
          </w:tcPr>
          <w:p>
            <w:pPr>
              <w:pStyle w:val="yTableNAm"/>
            </w:pPr>
            <w:r>
              <w:t>When the agreement is made</w:t>
            </w:r>
          </w:p>
        </w:tc>
        <w:tc>
          <w:tcPr>
            <w:tcW w:w="1745" w:type="dxa"/>
            <w:tcBorders>
              <w:top w:val="nil"/>
              <w:left w:val="nil"/>
              <w:bottom w:val="nil"/>
              <w:right w:val="nil"/>
            </w:tcBorders>
          </w:tcPr>
          <w:p>
            <w:pPr>
              <w:pStyle w:val="yTableNAm"/>
            </w:pPr>
            <w:r>
              <w:t>Purchaser or transferee</w:t>
            </w:r>
          </w:p>
        </w:tc>
      </w:tr>
      <w:tr>
        <w:trPr>
          <w:cantSplit/>
        </w:trPr>
        <w:tc>
          <w:tcPr>
            <w:tcW w:w="1744" w:type="dxa"/>
            <w:tcBorders>
              <w:top w:val="nil"/>
              <w:left w:val="nil"/>
              <w:bottom w:val="nil"/>
              <w:right w:val="nil"/>
            </w:tcBorders>
          </w:tcPr>
          <w:p>
            <w:pPr>
              <w:pStyle w:val="yTableNAm"/>
            </w:pPr>
            <w:r>
              <w:t>s. 11(1)(c)</w:t>
            </w:r>
          </w:p>
        </w:tc>
        <w:tc>
          <w:tcPr>
            <w:tcW w:w="1745" w:type="dxa"/>
            <w:tcBorders>
              <w:top w:val="nil"/>
              <w:left w:val="nil"/>
              <w:bottom w:val="nil"/>
              <w:right w:val="nil"/>
            </w:tcBorders>
          </w:tcPr>
          <w:p>
            <w:pPr>
              <w:pStyle w:val="yTableNAm"/>
            </w:pPr>
            <w:r>
              <w:t>Declaration of trust</w:t>
            </w:r>
          </w:p>
        </w:tc>
        <w:tc>
          <w:tcPr>
            <w:tcW w:w="1854" w:type="dxa"/>
            <w:tcBorders>
              <w:top w:val="nil"/>
              <w:left w:val="nil"/>
              <w:bottom w:val="nil"/>
              <w:right w:val="nil"/>
            </w:tcBorders>
          </w:tcPr>
          <w:p>
            <w:pPr>
              <w:pStyle w:val="yTableNAm"/>
            </w:pPr>
            <w:r>
              <w:t>When the declaration is made</w:t>
            </w:r>
          </w:p>
        </w:tc>
        <w:tc>
          <w:tcPr>
            <w:tcW w:w="1745" w:type="dxa"/>
            <w:tcBorders>
              <w:top w:val="nil"/>
              <w:left w:val="nil"/>
              <w:bottom w:val="nil"/>
              <w:right w:val="nil"/>
            </w:tcBorders>
          </w:tcPr>
          <w:p>
            <w:pPr>
              <w:pStyle w:val="yTableNAm"/>
            </w:pPr>
            <w:r>
              <w:t>Person making the declaration</w:t>
            </w:r>
          </w:p>
        </w:tc>
      </w:tr>
      <w:tr>
        <w:trPr>
          <w:cantSplit/>
        </w:trPr>
        <w:tc>
          <w:tcPr>
            <w:tcW w:w="1744" w:type="dxa"/>
            <w:tcBorders>
              <w:top w:val="nil"/>
              <w:left w:val="nil"/>
              <w:bottom w:val="nil"/>
              <w:right w:val="nil"/>
            </w:tcBorders>
          </w:tcPr>
          <w:p>
            <w:pPr>
              <w:pStyle w:val="yTableNAm"/>
            </w:pPr>
            <w:r>
              <w:t>s. 11(1)(d)(i)</w:t>
            </w:r>
          </w:p>
        </w:tc>
        <w:tc>
          <w:tcPr>
            <w:tcW w:w="1745" w:type="dxa"/>
            <w:tcBorders>
              <w:top w:val="nil"/>
              <w:left w:val="nil"/>
              <w:bottom w:val="nil"/>
              <w:right w:val="nil"/>
            </w:tcBorders>
          </w:tcPr>
          <w:p>
            <w:pPr>
              <w:pStyle w:val="yTableNAm"/>
            </w:pPr>
            <w:r>
              <w:t>Vesting by statute law</w:t>
            </w:r>
          </w:p>
        </w:tc>
        <w:tc>
          <w:tcPr>
            <w:tcW w:w="1854" w:type="dxa"/>
            <w:tcBorders>
              <w:top w:val="nil"/>
              <w:left w:val="nil"/>
              <w:bottom w:val="nil"/>
              <w:right w:val="nil"/>
            </w:tcBorders>
          </w:tcPr>
          <w:p>
            <w:pPr>
              <w:pStyle w:val="yTableNAm"/>
            </w:pPr>
            <w:r>
              <w:t>When the vesting takes place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11(1)(d)(ii)</w:t>
            </w:r>
          </w:p>
        </w:tc>
        <w:tc>
          <w:tcPr>
            <w:tcW w:w="1745" w:type="dxa"/>
            <w:tcBorders>
              <w:top w:val="nil"/>
              <w:left w:val="nil"/>
              <w:bottom w:val="nil"/>
              <w:right w:val="nil"/>
            </w:tcBorders>
          </w:tcPr>
          <w:p>
            <w:pPr>
              <w:pStyle w:val="yTableNAm"/>
            </w:pPr>
            <w:r>
              <w:t>Vesting by court order</w:t>
            </w:r>
          </w:p>
        </w:tc>
        <w:tc>
          <w:tcPr>
            <w:tcW w:w="1854" w:type="dxa"/>
            <w:tcBorders>
              <w:top w:val="nil"/>
              <w:left w:val="nil"/>
              <w:bottom w:val="nil"/>
              <w:right w:val="nil"/>
            </w:tcBorders>
          </w:tcPr>
          <w:p>
            <w:pPr>
              <w:pStyle w:val="yTableNAm"/>
            </w:pPr>
            <w:r>
              <w:t>When the order is made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11(1)(e)</w:t>
            </w:r>
          </w:p>
        </w:tc>
        <w:tc>
          <w:tcPr>
            <w:tcW w:w="1745" w:type="dxa"/>
            <w:tcBorders>
              <w:top w:val="nil"/>
              <w:left w:val="nil"/>
              <w:bottom w:val="nil"/>
              <w:right w:val="nil"/>
            </w:tcBorders>
          </w:tcPr>
          <w:p>
            <w:pPr>
              <w:pStyle w:val="yTableNAm"/>
            </w:pPr>
            <w:r>
              <w:t>Foreclosure of mortgage</w:t>
            </w:r>
          </w:p>
        </w:tc>
        <w:tc>
          <w:tcPr>
            <w:tcW w:w="1854" w:type="dxa"/>
            <w:tcBorders>
              <w:top w:val="nil"/>
              <w:left w:val="nil"/>
              <w:bottom w:val="nil"/>
              <w:right w:val="nil"/>
            </w:tcBorders>
          </w:tcPr>
          <w:p>
            <w:pPr>
              <w:pStyle w:val="yTableNAm"/>
            </w:pPr>
            <w:r>
              <w:t>When the foreclosure order is made</w:t>
            </w:r>
          </w:p>
        </w:tc>
        <w:tc>
          <w:tcPr>
            <w:tcW w:w="1745" w:type="dxa"/>
            <w:tcBorders>
              <w:top w:val="nil"/>
              <w:left w:val="nil"/>
              <w:bottom w:val="nil"/>
              <w:right w:val="nil"/>
            </w:tcBorders>
          </w:tcPr>
          <w:p>
            <w:pPr>
              <w:pStyle w:val="yTableNAm"/>
            </w:pPr>
            <w:r>
              <w:t>Mortgagee</w:t>
            </w:r>
          </w:p>
        </w:tc>
      </w:tr>
      <w:tr>
        <w:trPr>
          <w:cantSplit/>
          <w:trHeight w:val="1508"/>
        </w:trPr>
        <w:tc>
          <w:tcPr>
            <w:tcW w:w="1744" w:type="dxa"/>
            <w:tcBorders>
              <w:top w:val="nil"/>
              <w:left w:val="nil"/>
              <w:bottom w:val="nil"/>
              <w:right w:val="nil"/>
            </w:tcBorders>
          </w:tcPr>
          <w:p>
            <w:pPr>
              <w:pStyle w:val="yTableNAm"/>
            </w:pPr>
            <w:r>
              <w:t>s. 11(1)(f)</w:t>
            </w:r>
          </w:p>
        </w:tc>
        <w:tc>
          <w:tcPr>
            <w:tcW w:w="1745" w:type="dxa"/>
            <w:tcBorders>
              <w:top w:val="nil"/>
              <w:left w:val="nil"/>
              <w:bottom w:val="nil"/>
              <w:right w:val="nil"/>
            </w:tcBorders>
          </w:tcPr>
          <w:p>
            <w:pPr>
              <w:pStyle w:val="yTableNAm"/>
            </w:pPr>
            <w:r>
              <w:t>Acquisition of new dutiable property</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745" w:type="dxa"/>
            <w:tcBorders>
              <w:top w:val="nil"/>
              <w:left w:val="nil"/>
              <w:bottom w:val="nil"/>
              <w:right w:val="nil"/>
            </w:tcBorders>
          </w:tcPr>
          <w:p>
            <w:pPr>
              <w:pStyle w:val="yTableNAm"/>
            </w:pPr>
            <w:r>
              <w:t>Person that acquires the property</w:t>
            </w:r>
          </w:p>
        </w:tc>
      </w:tr>
      <w:tr>
        <w:trPr>
          <w:cantSplit/>
          <w:trHeight w:val="1869"/>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p>
        </w:tc>
      </w:tr>
      <w:tr>
        <w:trPr>
          <w:cantSplit/>
        </w:trPr>
        <w:tc>
          <w:tcPr>
            <w:tcW w:w="1744" w:type="dxa"/>
            <w:tcBorders>
              <w:top w:val="nil"/>
              <w:left w:val="nil"/>
              <w:bottom w:val="nil"/>
              <w:right w:val="nil"/>
            </w:tcBorders>
          </w:tcPr>
          <w:p>
            <w:pPr>
              <w:pStyle w:val="yTableNAm"/>
            </w:pPr>
            <w:r>
              <w:t>s. 11(1)(g)</w:t>
            </w:r>
          </w:p>
        </w:tc>
        <w:tc>
          <w:tcPr>
            <w:tcW w:w="1745" w:type="dxa"/>
            <w:tcBorders>
              <w:top w:val="nil"/>
              <w:left w:val="nil"/>
              <w:bottom w:val="nil"/>
              <w:right w:val="nil"/>
            </w:tcBorders>
          </w:tcPr>
          <w:p>
            <w:pPr>
              <w:pStyle w:val="yTableNAm"/>
            </w:pPr>
            <w:r>
              <w:t>Surrender of special dutiable property</w:t>
            </w:r>
          </w:p>
        </w:tc>
        <w:tc>
          <w:tcPr>
            <w:tcW w:w="1854" w:type="dxa"/>
            <w:tcBorders>
              <w:top w:val="nil"/>
              <w:left w:val="nil"/>
              <w:bottom w:val="nil"/>
              <w:right w:val="nil"/>
            </w:tcBorders>
          </w:tcPr>
          <w:p>
            <w:pPr>
              <w:pStyle w:val="yTableNAm"/>
            </w:pPr>
            <w:r>
              <w:t>When the surrender takes place</w:t>
            </w:r>
          </w:p>
        </w:tc>
        <w:tc>
          <w:tcPr>
            <w:tcW w:w="1745" w:type="dxa"/>
            <w:tcBorders>
              <w:top w:val="nil"/>
              <w:left w:val="nil"/>
              <w:bottom w:val="nil"/>
              <w:right w:val="nil"/>
            </w:tcBorders>
          </w:tcPr>
          <w:p>
            <w:pPr>
              <w:pStyle w:val="yTableNAm"/>
            </w:pPr>
            <w:r>
              <w:t>Person to whom the interest is surrendered;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18(caa), the person to whom the new lease is, or is to be, granted in accordance with the agreement, arrangement or understanding; or</w:t>
            </w:r>
          </w:p>
        </w:tc>
      </w:tr>
      <w:t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18(g), (ga), (gb) or (gc), the person that paid the consideration for the surrender</w:t>
            </w:r>
          </w:p>
        </w:tc>
      </w:tr>
      <w:tr>
        <w:trPr>
          <w:cantSplit/>
        </w:trPr>
        <w:tc>
          <w:tcPr>
            <w:tcW w:w="1744" w:type="dxa"/>
            <w:tcBorders>
              <w:top w:val="nil"/>
              <w:left w:val="nil"/>
              <w:bottom w:val="nil"/>
              <w:right w:val="nil"/>
            </w:tcBorders>
          </w:tcPr>
          <w:p>
            <w:pPr>
              <w:pStyle w:val="yTableNAm"/>
            </w:pPr>
            <w:r>
              <w:t xml:space="preserve">s. 11(1)(h) </w:t>
            </w:r>
          </w:p>
        </w:tc>
        <w:tc>
          <w:tcPr>
            <w:tcW w:w="1745" w:type="dxa"/>
            <w:tcBorders>
              <w:top w:val="nil"/>
              <w:left w:val="nil"/>
              <w:bottom w:val="nil"/>
              <w:right w:val="nil"/>
            </w:tcBorders>
          </w:tcPr>
          <w:p>
            <w:pPr>
              <w:pStyle w:val="yTableNAm"/>
            </w:pPr>
            <w:r>
              <w:t xml:space="preserve">A trust acquisition or trust surrender </w:t>
            </w:r>
          </w:p>
        </w:tc>
        <w:tc>
          <w:tcPr>
            <w:tcW w:w="1854" w:type="dxa"/>
            <w:tcBorders>
              <w:top w:val="nil"/>
              <w:left w:val="nil"/>
              <w:bottom w:val="nil"/>
              <w:right w:val="nil"/>
            </w:tcBorders>
          </w:tcPr>
          <w:p>
            <w:pPr>
              <w:pStyle w:val="yTableNAm"/>
            </w:pPr>
            <w:r>
              <w:t>When the interest in the trust is acquired or surrendered</w:t>
            </w:r>
          </w:p>
        </w:tc>
        <w:tc>
          <w:tcPr>
            <w:tcW w:w="1745" w:type="dxa"/>
            <w:tcBorders>
              <w:top w:val="nil"/>
              <w:left w:val="nil"/>
              <w:bottom w:val="nil"/>
              <w:right w:val="nil"/>
            </w:tcBorders>
          </w:tcPr>
          <w:p>
            <w:pPr>
              <w:pStyle w:val="yTableNAm"/>
            </w:pPr>
            <w:r>
              <w:t>Person that is the trustee of the discretionary trust</w:t>
            </w:r>
          </w:p>
        </w:tc>
      </w:tr>
      <w:tr>
        <w:trPr>
          <w:cantSplit/>
        </w:trPr>
        <w:tc>
          <w:tcPr>
            <w:tcW w:w="1744" w:type="dxa"/>
            <w:tcBorders>
              <w:top w:val="nil"/>
              <w:left w:val="nil"/>
              <w:bottom w:val="nil"/>
              <w:right w:val="nil"/>
            </w:tcBorders>
          </w:tcPr>
          <w:p>
            <w:pPr>
              <w:pStyle w:val="yTableNAm"/>
            </w:pPr>
            <w:r>
              <w:t>s. 11(1)(i)</w:t>
            </w:r>
          </w:p>
        </w:tc>
        <w:tc>
          <w:tcPr>
            <w:tcW w:w="1745" w:type="dxa"/>
            <w:tcBorders>
              <w:top w:val="nil"/>
              <w:left w:val="nil"/>
              <w:bottom w:val="nil"/>
              <w:right w:val="nil"/>
            </w:tcBorders>
          </w:tcPr>
          <w:p>
            <w:pPr>
              <w:pStyle w:val="yTableNAm"/>
            </w:pPr>
            <w:r>
              <w:t>A partnership acquisition</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r>
              <w:t>Person that acquires the partnership interest</w:t>
            </w:r>
          </w:p>
        </w:tc>
      </w:tr>
      <w:tr>
        <w:trPr>
          <w:cantSplit/>
        </w:trPr>
        <w:tc>
          <w:tcPr>
            <w:tcW w:w="1744" w:type="dxa"/>
            <w:tcBorders>
              <w:top w:val="nil"/>
              <w:left w:val="nil"/>
              <w:bottom w:val="single" w:sz="4" w:space="0" w:color="auto"/>
              <w:right w:val="nil"/>
            </w:tcBorders>
          </w:tcPr>
          <w:p>
            <w:pPr>
              <w:pStyle w:val="yTableNAm"/>
            </w:pPr>
            <w:r>
              <w:t>s. 11(1)(j)</w:t>
            </w:r>
          </w:p>
        </w:tc>
        <w:tc>
          <w:tcPr>
            <w:tcW w:w="1745" w:type="dxa"/>
            <w:tcBorders>
              <w:top w:val="nil"/>
              <w:left w:val="nil"/>
              <w:bottom w:val="single" w:sz="4" w:space="0" w:color="auto"/>
              <w:right w:val="nil"/>
            </w:tcBorders>
          </w:tcPr>
          <w:p>
            <w:pPr>
              <w:pStyle w:val="yTableNAm"/>
            </w:pPr>
            <w:r>
              <w:rPr>
                <w:szCs w:val="22"/>
              </w:rPr>
              <w:t>A concessional farm</w:t>
            </w:r>
            <w:r>
              <w:rPr>
                <w:szCs w:val="22"/>
              </w:rPr>
              <w:noBreakHyphen/>
              <w:t>in transaction</w:t>
            </w:r>
          </w:p>
        </w:tc>
        <w:tc>
          <w:tcPr>
            <w:tcW w:w="1854" w:type="dxa"/>
            <w:tcBorders>
              <w:top w:val="nil"/>
              <w:left w:val="nil"/>
              <w:bottom w:val="single" w:sz="4" w:space="0" w:color="auto"/>
              <w:right w:val="nil"/>
            </w:tcBorders>
          </w:tcPr>
          <w:p>
            <w:pPr>
              <w:pStyle w:val="yTableNAm"/>
            </w:pPr>
            <w:r>
              <w:rPr>
                <w:szCs w:val="22"/>
              </w:rPr>
              <w:t>When the concessional farm</w:t>
            </w:r>
            <w:r>
              <w:rPr>
                <w:szCs w:val="22"/>
              </w:rPr>
              <w:noBreakHyphen/>
              <w:t>in transaction is made</w:t>
            </w:r>
          </w:p>
        </w:tc>
        <w:tc>
          <w:tcPr>
            <w:tcW w:w="1745" w:type="dxa"/>
            <w:tcBorders>
              <w:top w:val="nil"/>
              <w:left w:val="nil"/>
              <w:bottom w:val="single" w:sz="4" w:space="0" w:color="auto"/>
              <w:right w:val="nil"/>
            </w:tcBorders>
          </w:tcPr>
          <w:p>
            <w:pPr>
              <w:pStyle w:val="yTableNAm"/>
            </w:pPr>
            <w:r>
              <w:rPr>
                <w:szCs w:val="22"/>
              </w:rPr>
              <w:t>The farmee</w:t>
            </w:r>
          </w:p>
        </w:tc>
      </w:tr>
    </w:tbl>
    <w:p>
      <w:pPr>
        <w:pStyle w:val="yFootnotesection"/>
      </w:pPr>
      <w:r>
        <w:tab/>
        <w:t>[Schedule 1 amended: No. 12 of 2019 s. 130; No. 37 of 2022 s. 13; No. 4 of 2023 s. 119.]</w:t>
      </w:r>
    </w:p>
    <w:p>
      <w:pPr>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yScheduleHeading"/>
      </w:pPr>
      <w:bookmarkStart w:id="1897" w:name="_Toc201218323"/>
      <w:bookmarkStart w:id="1898" w:name="_Toc201224696"/>
      <w:bookmarkStart w:id="1899" w:name="_Toc201229394"/>
      <w:bookmarkStart w:id="1900" w:name="_Toc182388999"/>
      <w:bookmarkStart w:id="1901" w:name="_Toc182389661"/>
      <w:bookmarkStart w:id="1902" w:name="_Toc182410459"/>
      <w:r>
        <w:rPr>
          <w:rStyle w:val="CharSchNo"/>
        </w:rPr>
        <w:t>Schedule 2</w:t>
      </w:r>
      <w:r>
        <w:t> — </w:t>
      </w:r>
      <w:r>
        <w:rPr>
          <w:rStyle w:val="CharSchText"/>
        </w:rPr>
        <w:t>Rates of transfer duty</w:t>
      </w:r>
      <w:bookmarkEnd w:id="1897"/>
      <w:bookmarkEnd w:id="1898"/>
      <w:bookmarkEnd w:id="1899"/>
      <w:bookmarkEnd w:id="1900"/>
      <w:bookmarkEnd w:id="1901"/>
      <w:bookmarkEnd w:id="1902"/>
    </w:p>
    <w:p>
      <w:pPr>
        <w:pStyle w:val="yShoulderClause"/>
        <w:rPr>
          <w:b/>
        </w:rPr>
      </w:pPr>
      <w:r>
        <w:t>[s. 3, 9, 26 and 184]</w:t>
      </w:r>
    </w:p>
    <w:p>
      <w:pPr>
        <w:pStyle w:val="yFootnoteheading"/>
      </w:pPr>
      <w:r>
        <w:tab/>
        <w:t>[Heading amended: No. 16 of 2022 s. 24(1).]</w:t>
      </w:r>
    </w:p>
    <w:p>
      <w:pPr>
        <w:pStyle w:val="yHeading3"/>
      </w:pPr>
      <w:bookmarkStart w:id="1903" w:name="_Toc201218324"/>
      <w:bookmarkStart w:id="1904" w:name="_Toc201224697"/>
      <w:bookmarkStart w:id="1905" w:name="_Toc201229395"/>
      <w:bookmarkStart w:id="1906" w:name="_Toc182389000"/>
      <w:bookmarkStart w:id="1907" w:name="_Toc182389662"/>
      <w:bookmarkStart w:id="1908" w:name="_Toc182410460"/>
      <w:r>
        <w:rPr>
          <w:rStyle w:val="CharSDivNo"/>
        </w:rPr>
        <w:t>Division 1</w:t>
      </w:r>
      <w:r>
        <w:t> — </w:t>
      </w:r>
      <w:r>
        <w:rPr>
          <w:rStyle w:val="CharSDivText"/>
        </w:rPr>
        <w:t>General rate</w:t>
      </w:r>
      <w:bookmarkEnd w:id="1903"/>
      <w:bookmarkEnd w:id="1904"/>
      <w:bookmarkEnd w:id="1905"/>
      <w:bookmarkEnd w:id="1906"/>
      <w:bookmarkEnd w:id="1907"/>
      <w:bookmarkEnd w:id="1908"/>
    </w:p>
    <w:p>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3"/>
        <w:gridCol w:w="3826"/>
      </w:tblGrid>
      <w:tr>
        <w:trPr>
          <w:tblHeader/>
        </w:trPr>
        <w:tc>
          <w:tcPr>
            <w:tcW w:w="3153" w:type="dxa"/>
            <w:tcBorders>
              <w:top w:val="single" w:sz="4" w:space="0" w:color="auto"/>
              <w:left w:val="nil"/>
              <w:bottom w:val="single" w:sz="4" w:space="0" w:color="auto"/>
              <w:right w:val="nil"/>
            </w:tcBorders>
            <w:noWrap/>
            <w:hideMark/>
          </w:tcPr>
          <w:p>
            <w:pPr>
              <w:pStyle w:val="yTableNAm"/>
            </w:pPr>
            <w:r>
              <w:rPr>
                <w:b/>
              </w:rPr>
              <w:t>Dutiable value</w:t>
            </w:r>
            <w:r>
              <w:t xml:space="preserve"> </w:t>
            </w:r>
            <w:r>
              <w:rPr>
                <w:i/>
              </w:rPr>
              <w:t>(rounded down to nearest whole dollar)</w:t>
            </w:r>
          </w:p>
        </w:tc>
        <w:tc>
          <w:tcPr>
            <w:tcW w:w="3826" w:type="dxa"/>
            <w:tcBorders>
              <w:top w:val="single" w:sz="4" w:space="0" w:color="auto"/>
              <w:left w:val="nil"/>
              <w:bottom w:val="single" w:sz="4" w:space="0" w:color="auto"/>
              <w:right w:val="nil"/>
            </w:tcBorders>
            <w:noWrap/>
            <w:hideMark/>
          </w:tcPr>
          <w:p>
            <w:pPr>
              <w:pStyle w:val="yTableNAm"/>
            </w:pPr>
            <w:r>
              <w:rPr>
                <w:b/>
              </w:rPr>
              <w:t>General rate of duty</w:t>
            </w:r>
          </w:p>
        </w:tc>
      </w:tr>
      <w:tr>
        <w:tc>
          <w:tcPr>
            <w:tcW w:w="3153" w:type="dxa"/>
            <w:tcBorders>
              <w:top w:val="single" w:sz="4" w:space="0" w:color="auto"/>
              <w:left w:val="nil"/>
              <w:bottom w:val="nil"/>
              <w:right w:val="nil"/>
            </w:tcBorders>
            <w:noWrap/>
            <w:hideMark/>
          </w:tcPr>
          <w:p>
            <w:pPr>
              <w:pStyle w:val="yTableNAm"/>
            </w:pPr>
            <w:r>
              <w:t>$0 — $120 000</w:t>
            </w:r>
          </w:p>
        </w:tc>
        <w:tc>
          <w:tcPr>
            <w:tcW w:w="3826" w:type="dxa"/>
            <w:tcBorders>
              <w:top w:val="single" w:sz="4" w:space="0" w:color="auto"/>
              <w:left w:val="nil"/>
              <w:bottom w:val="nil"/>
              <w:right w:val="nil"/>
            </w:tcBorders>
            <w:noWrap/>
            <w:hideMark/>
          </w:tcPr>
          <w:p>
            <w:pPr>
              <w:pStyle w:val="yTableNAm"/>
            </w:pPr>
            <w:r>
              <w:t>$1.90 per $100 or part of $100</w:t>
            </w:r>
          </w:p>
        </w:tc>
      </w:tr>
      <w:tr>
        <w:tc>
          <w:tcPr>
            <w:tcW w:w="3153" w:type="dxa"/>
            <w:tcBorders>
              <w:top w:val="single" w:sz="4" w:space="0" w:color="auto"/>
              <w:left w:val="nil"/>
              <w:bottom w:val="nil"/>
              <w:right w:val="nil"/>
            </w:tcBorders>
            <w:noWrap/>
          </w:tcPr>
          <w:p>
            <w:pPr>
              <w:pStyle w:val="yTableNAm"/>
            </w:pPr>
            <w:r>
              <w:t>$120 001 — $150 000</w:t>
            </w:r>
          </w:p>
        </w:tc>
        <w:tc>
          <w:tcPr>
            <w:tcW w:w="3826" w:type="dxa"/>
            <w:tcBorders>
              <w:top w:val="single" w:sz="4" w:space="0" w:color="auto"/>
              <w:left w:val="nil"/>
              <w:bottom w:val="nil"/>
              <w:right w:val="nil"/>
            </w:tcBorders>
            <w:noWrap/>
          </w:tcPr>
          <w:p>
            <w:pPr>
              <w:pStyle w:val="yTableNAm"/>
            </w:pPr>
            <w:r>
              <w:t>$2 280 + $2.85 per $100 or part of $100 above $120 000</w:t>
            </w:r>
          </w:p>
        </w:tc>
      </w:tr>
      <w:tr>
        <w:tc>
          <w:tcPr>
            <w:tcW w:w="3153" w:type="dxa"/>
            <w:tcBorders>
              <w:top w:val="single" w:sz="4" w:space="0" w:color="auto"/>
              <w:left w:val="nil"/>
              <w:bottom w:val="nil"/>
              <w:right w:val="nil"/>
            </w:tcBorders>
            <w:noWrap/>
          </w:tcPr>
          <w:p>
            <w:pPr>
              <w:pStyle w:val="yTableNAm"/>
            </w:pPr>
            <w:r>
              <w:t>$150 001 — $360 000</w:t>
            </w:r>
          </w:p>
        </w:tc>
        <w:tc>
          <w:tcPr>
            <w:tcW w:w="3826" w:type="dxa"/>
            <w:tcBorders>
              <w:top w:val="single" w:sz="4" w:space="0" w:color="auto"/>
              <w:left w:val="nil"/>
              <w:bottom w:val="nil"/>
              <w:right w:val="nil"/>
            </w:tcBorders>
            <w:noWrap/>
          </w:tcPr>
          <w:p>
            <w:pPr>
              <w:pStyle w:val="yTableNAm"/>
            </w:pPr>
            <w:r>
              <w:t>$3 135 + $3.80 per $100 or part of $100 above $150 000</w:t>
            </w:r>
          </w:p>
        </w:tc>
      </w:tr>
      <w:tr>
        <w:tc>
          <w:tcPr>
            <w:tcW w:w="3153" w:type="dxa"/>
            <w:tcBorders>
              <w:top w:val="single" w:sz="4" w:space="0" w:color="auto"/>
              <w:left w:val="nil"/>
              <w:bottom w:val="single" w:sz="4" w:space="0" w:color="auto"/>
              <w:right w:val="nil"/>
            </w:tcBorders>
            <w:noWrap/>
          </w:tcPr>
          <w:p>
            <w:pPr>
              <w:pStyle w:val="yTableNAm"/>
            </w:pPr>
            <w:r>
              <w:t>$360 001 — $725 000</w:t>
            </w:r>
          </w:p>
        </w:tc>
        <w:tc>
          <w:tcPr>
            <w:tcW w:w="3826" w:type="dxa"/>
            <w:tcBorders>
              <w:top w:val="single" w:sz="4" w:space="0" w:color="auto"/>
              <w:left w:val="nil"/>
              <w:bottom w:val="single" w:sz="4" w:space="0" w:color="auto"/>
              <w:right w:val="nil"/>
            </w:tcBorders>
            <w:noWrap/>
          </w:tcPr>
          <w:p>
            <w:pPr>
              <w:pStyle w:val="yTableNAm"/>
            </w:pPr>
            <w:r>
              <w:t>$11 115 + $4.75 per $100 or part of $100 above $360 000</w:t>
            </w:r>
          </w:p>
        </w:tc>
      </w:tr>
      <w:tr>
        <w:tc>
          <w:tcPr>
            <w:tcW w:w="3153" w:type="dxa"/>
            <w:tcBorders>
              <w:top w:val="single" w:sz="4" w:space="0" w:color="auto"/>
              <w:left w:val="nil"/>
              <w:bottom w:val="single" w:sz="4" w:space="0" w:color="auto"/>
              <w:right w:val="nil"/>
            </w:tcBorders>
            <w:noWrap/>
          </w:tcPr>
          <w:p>
            <w:pPr>
              <w:pStyle w:val="yTableNAm"/>
            </w:pPr>
            <w:r>
              <w:t>$725 001 and upwards</w:t>
            </w:r>
          </w:p>
        </w:tc>
        <w:tc>
          <w:tcPr>
            <w:tcW w:w="3826" w:type="dxa"/>
            <w:tcBorders>
              <w:top w:val="single" w:sz="4" w:space="0" w:color="auto"/>
              <w:left w:val="nil"/>
              <w:bottom w:val="single" w:sz="4" w:space="0" w:color="auto"/>
              <w:right w:val="nil"/>
            </w:tcBorders>
            <w:noWrap/>
          </w:tcPr>
          <w:p>
            <w:pPr>
              <w:pStyle w:val="yTableNAm"/>
            </w:pPr>
            <w:r>
              <w:t>$28 453 + $5.15 per $100 or part of $100 above $725 000</w:t>
            </w:r>
          </w:p>
        </w:tc>
      </w:tr>
    </w:tbl>
    <w:p>
      <w:pPr>
        <w:pStyle w:val="yFootnotesection"/>
      </w:pPr>
      <w:r>
        <w:tab/>
        <w:t>[Division 1 inserted: No. 16 of 2022 s. 24(2).]</w:t>
      </w:r>
    </w:p>
    <w:p>
      <w:pPr>
        <w:pStyle w:val="yHeading3"/>
      </w:pPr>
      <w:bookmarkStart w:id="1909" w:name="_Toc201218325"/>
      <w:bookmarkStart w:id="1910" w:name="_Toc201224698"/>
      <w:bookmarkStart w:id="1911" w:name="_Toc201229396"/>
      <w:bookmarkStart w:id="1912" w:name="_Toc182389001"/>
      <w:bookmarkStart w:id="1913" w:name="_Toc182389663"/>
      <w:bookmarkStart w:id="1914" w:name="_Toc182410461"/>
      <w:r>
        <w:rPr>
          <w:rStyle w:val="CharSDivNo"/>
        </w:rPr>
        <w:t>Division 2</w:t>
      </w:r>
      <w:r>
        <w:t> — </w:t>
      </w:r>
      <w:r>
        <w:rPr>
          <w:rStyle w:val="CharSDivText"/>
        </w:rPr>
        <w:t>Concessional rates</w:t>
      </w:r>
      <w:bookmarkEnd w:id="1909"/>
      <w:bookmarkEnd w:id="1910"/>
      <w:bookmarkEnd w:id="1911"/>
      <w:bookmarkEnd w:id="1912"/>
      <w:bookmarkEnd w:id="1913"/>
      <w:bookmarkEnd w:id="1914"/>
    </w:p>
    <w:p>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5"/>
        <w:gridCol w:w="2977"/>
        <w:gridCol w:w="2267"/>
      </w:tblGrid>
      <w:tr>
        <w:trPr>
          <w:cantSplit/>
          <w:tblHeader/>
        </w:trPr>
        <w:tc>
          <w:tcPr>
            <w:tcW w:w="1735" w:type="dxa"/>
            <w:tcBorders>
              <w:top w:val="single" w:sz="4" w:space="0" w:color="auto"/>
              <w:left w:val="nil"/>
              <w:bottom w:val="single" w:sz="4" w:space="0" w:color="auto"/>
              <w:right w:val="nil"/>
            </w:tcBorders>
            <w:noWrap/>
            <w:hideMark/>
          </w:tcPr>
          <w:p>
            <w:pPr>
              <w:pStyle w:val="yTableNAm"/>
            </w:pPr>
            <w:r>
              <w:rPr>
                <w:b/>
              </w:rPr>
              <w:t>Concessional transaction</w:t>
            </w:r>
          </w:p>
        </w:tc>
        <w:tc>
          <w:tcPr>
            <w:tcW w:w="2977" w:type="dxa"/>
            <w:tcBorders>
              <w:top w:val="single" w:sz="4" w:space="0" w:color="auto"/>
              <w:left w:val="nil"/>
              <w:bottom w:val="single" w:sz="4" w:space="0" w:color="auto"/>
              <w:right w:val="nil"/>
            </w:tcBorders>
            <w:noWrap/>
            <w:hideMark/>
          </w:tcPr>
          <w:p>
            <w:pPr>
              <w:pStyle w:val="yTableNAm"/>
            </w:pPr>
            <w:r>
              <w:rPr>
                <w:b/>
              </w:rPr>
              <w:t>Dutiable value</w:t>
            </w:r>
            <w:r>
              <w:rPr>
                <w:i/>
              </w:rPr>
              <w:t xml:space="preserve"> (rounded down to nearest whole dollar)</w:t>
            </w:r>
          </w:p>
        </w:tc>
        <w:tc>
          <w:tcPr>
            <w:tcW w:w="2267" w:type="dxa"/>
            <w:tcBorders>
              <w:top w:val="single" w:sz="4" w:space="0" w:color="auto"/>
              <w:left w:val="nil"/>
              <w:bottom w:val="single" w:sz="4" w:space="0" w:color="auto"/>
              <w:right w:val="nil"/>
            </w:tcBorders>
            <w:noWrap/>
            <w:hideMark/>
          </w:tcPr>
          <w:p>
            <w:pPr>
              <w:pStyle w:val="yTableNAm"/>
            </w:pPr>
            <w:r>
              <w:rPr>
                <w:b/>
              </w:rPr>
              <w:t>Concessional rate of duty</w:t>
            </w:r>
          </w:p>
        </w:tc>
      </w:tr>
      <w:tr>
        <w:trPr>
          <w:cantSplit/>
        </w:trPr>
        <w:tc>
          <w:tcPr>
            <w:tcW w:w="1735" w:type="dxa"/>
            <w:tcBorders>
              <w:top w:val="nil"/>
              <w:left w:val="nil"/>
              <w:bottom w:val="nil"/>
              <w:right w:val="nil"/>
            </w:tcBorders>
            <w:noWrap/>
            <w:hideMark/>
          </w:tcPr>
          <w:p>
            <w:pPr>
              <w:pStyle w:val="yTableNAm"/>
            </w:pPr>
            <w:r>
              <w:t>s. 143</w:t>
            </w:r>
            <w:r>
              <w:br/>
              <w:t>First home owners</w:t>
            </w:r>
          </w:p>
        </w:tc>
        <w:tc>
          <w:tcPr>
            <w:tcW w:w="2977" w:type="dxa"/>
            <w:tcBorders>
              <w:top w:val="nil"/>
              <w:left w:val="nil"/>
              <w:bottom w:val="nil"/>
              <w:right w:val="nil"/>
            </w:tcBorders>
            <w:noWrap/>
          </w:tcPr>
          <w:p>
            <w:pPr>
              <w:pStyle w:val="zyTableNAm"/>
            </w:pPr>
          </w:p>
        </w:tc>
        <w:tc>
          <w:tcPr>
            <w:tcW w:w="2267" w:type="dxa"/>
            <w:tcBorders>
              <w:top w:val="nil"/>
              <w:left w:val="nil"/>
              <w:bottom w:val="nil"/>
              <w:right w:val="nil"/>
            </w:tcBorders>
            <w:noWrap/>
          </w:tcPr>
          <w:p>
            <w:pPr>
              <w:pStyle w:val="yTableNAm"/>
            </w:pPr>
          </w:p>
        </w:tc>
      </w:tr>
      <w:tr>
        <w:trPr>
          <w:cantSplit/>
          <w:del w:id="1915" w:author="Master Repository Process" w:date="2025-06-19T17:03:00Z"/>
        </w:trPr>
        <w:tc>
          <w:tcPr>
            <w:tcW w:w="1735" w:type="dxa"/>
            <w:tcBorders>
              <w:top w:val="nil"/>
              <w:left w:val="nil"/>
              <w:bottom w:val="nil"/>
              <w:right w:val="nil"/>
            </w:tcBorders>
            <w:noWrap/>
          </w:tcPr>
          <w:p>
            <w:pPr>
              <w:pStyle w:val="zyTableNAm"/>
              <w:rPr>
                <w:del w:id="1916" w:author="Master Repository Process" w:date="2025-06-19T17:03:00Z"/>
              </w:rPr>
            </w:pPr>
            <w:del w:id="1917" w:author="Master Repository Process" w:date="2025-06-19T17:03:00Z">
              <w:r>
                <w:delText>If the property includes a home</w:delText>
              </w:r>
            </w:del>
          </w:p>
        </w:tc>
        <w:tc>
          <w:tcPr>
            <w:tcW w:w="2977" w:type="dxa"/>
            <w:tcBorders>
              <w:top w:val="nil"/>
              <w:left w:val="nil"/>
              <w:bottom w:val="nil"/>
              <w:right w:val="nil"/>
            </w:tcBorders>
            <w:noWrap/>
          </w:tcPr>
          <w:p>
            <w:pPr>
              <w:pStyle w:val="yTableNAm"/>
              <w:rPr>
                <w:del w:id="1918" w:author="Master Repository Process" w:date="2025-06-19T17:03:00Z"/>
              </w:rPr>
            </w:pPr>
            <w:del w:id="1919" w:author="Master Repository Process" w:date="2025-06-19T17:03:00Z">
              <w:r>
                <w:delText>$0 — $450 000</w:delText>
              </w:r>
            </w:del>
          </w:p>
        </w:tc>
        <w:tc>
          <w:tcPr>
            <w:tcW w:w="2267" w:type="dxa"/>
            <w:tcBorders>
              <w:top w:val="nil"/>
              <w:left w:val="nil"/>
              <w:bottom w:val="nil"/>
              <w:right w:val="nil"/>
            </w:tcBorders>
            <w:noWrap/>
          </w:tcPr>
          <w:p>
            <w:pPr>
              <w:pStyle w:val="yTableNAm"/>
              <w:rPr>
                <w:del w:id="1920" w:author="Master Repository Process" w:date="2025-06-19T17:03:00Z"/>
              </w:rPr>
            </w:pPr>
            <w:del w:id="1921" w:author="Master Repository Process" w:date="2025-06-19T17:03:00Z">
              <w:r>
                <w:delText>Nil</w:delText>
              </w:r>
            </w:del>
          </w:p>
        </w:tc>
      </w:tr>
      <w:tr>
        <w:trPr>
          <w:cantSplit/>
        </w:trPr>
        <w:tc>
          <w:tcPr>
            <w:tcW w:w="1735" w:type="dxa"/>
            <w:tcBorders>
              <w:top w:val="nil"/>
              <w:left w:val="nil"/>
              <w:bottom w:val="nil"/>
              <w:right w:val="nil"/>
            </w:tcBorders>
            <w:noWrap/>
          </w:tcPr>
          <w:p>
            <w:pPr>
              <w:pStyle w:val="yTableNAm"/>
            </w:pPr>
            <w:ins w:id="1922" w:author="Master Repository Process" w:date="2025-06-19T17:03:00Z">
              <w:r>
                <w:t>If the property does not include a home</w:t>
              </w:r>
            </w:ins>
          </w:p>
        </w:tc>
        <w:tc>
          <w:tcPr>
            <w:tcW w:w="2977" w:type="dxa"/>
            <w:tcBorders>
              <w:top w:val="nil"/>
              <w:left w:val="nil"/>
              <w:bottom w:val="nil"/>
              <w:right w:val="nil"/>
            </w:tcBorders>
            <w:noWrap/>
          </w:tcPr>
          <w:p>
            <w:pPr>
              <w:pStyle w:val="yTableNAm"/>
              <w:rPr>
                <w:ins w:id="1923" w:author="Master Repository Process" w:date="2025-06-19T17:03:00Z"/>
              </w:rPr>
            </w:pPr>
            <w:r>
              <w:t>$</w:t>
            </w:r>
            <w:del w:id="1924" w:author="Master Repository Process" w:date="2025-06-19T17:03:00Z">
              <w:r>
                <w:delText>450</w:delText>
              </w:r>
            </w:del>
            <w:ins w:id="1925" w:author="Master Repository Process" w:date="2025-06-19T17:03:00Z">
              <w:r>
                <w:t>0 — $350 000</w:t>
              </w:r>
            </w:ins>
          </w:p>
          <w:p>
            <w:pPr>
              <w:pStyle w:val="yTableNAm"/>
              <w:rPr>
                <w:ins w:id="1926" w:author="Master Repository Process" w:date="2025-06-19T17:03:00Z"/>
              </w:rPr>
            </w:pPr>
          </w:p>
          <w:p>
            <w:pPr>
              <w:pStyle w:val="zyTableNAm"/>
            </w:pPr>
            <w:ins w:id="1927" w:author="Master Repository Process" w:date="2025-06-19T17:03:00Z">
              <w:r>
                <w:t>$350</w:t>
              </w:r>
            </w:ins>
            <w:r>
              <w:t> 001 — $</w:t>
            </w:r>
            <w:del w:id="1928" w:author="Master Repository Process" w:date="2025-06-19T17:03:00Z">
              <w:r>
                <w:delText>600</w:delText>
              </w:r>
            </w:del>
            <w:ins w:id="1929" w:author="Master Repository Process" w:date="2025-06-19T17:03:00Z">
              <w:r>
                <w:t>450</w:t>
              </w:r>
            </w:ins>
            <w:r>
              <w:t> 000</w:t>
            </w:r>
          </w:p>
        </w:tc>
        <w:tc>
          <w:tcPr>
            <w:tcW w:w="2267" w:type="dxa"/>
            <w:tcBorders>
              <w:top w:val="nil"/>
              <w:left w:val="nil"/>
              <w:bottom w:val="nil"/>
              <w:right w:val="nil"/>
            </w:tcBorders>
            <w:noWrap/>
          </w:tcPr>
          <w:p>
            <w:pPr>
              <w:pStyle w:val="yTableNAm"/>
              <w:rPr>
                <w:ins w:id="1930" w:author="Master Repository Process" w:date="2025-06-19T17:03:00Z"/>
              </w:rPr>
            </w:pPr>
            <w:ins w:id="1931" w:author="Master Repository Process" w:date="2025-06-19T17:03:00Z">
              <w:r>
                <w:t>Nil</w:t>
              </w:r>
            </w:ins>
          </w:p>
          <w:p>
            <w:pPr>
              <w:pStyle w:val="yTableNAm"/>
              <w:rPr>
                <w:ins w:id="1932" w:author="Master Repository Process" w:date="2025-06-19T17:03:00Z"/>
              </w:rPr>
            </w:pPr>
          </w:p>
          <w:p>
            <w:pPr>
              <w:pStyle w:val="yTableNAm"/>
            </w:pPr>
            <w:r>
              <w:t>$15.</w:t>
            </w:r>
            <w:del w:id="1933" w:author="Master Repository Process" w:date="2025-06-19T17:03:00Z">
              <w:r>
                <w:delText>01</w:delText>
              </w:r>
            </w:del>
            <w:ins w:id="1934" w:author="Master Repository Process" w:date="2025-06-19T17:03:00Z">
              <w:r>
                <w:t>39</w:t>
              </w:r>
            </w:ins>
            <w:r>
              <w:t xml:space="preserve"> per $100 or part of $100 above $</w:t>
            </w:r>
            <w:del w:id="1935" w:author="Master Repository Process" w:date="2025-06-19T17:03:00Z">
              <w:r>
                <w:delText>450</w:delText>
              </w:r>
            </w:del>
            <w:ins w:id="1936" w:author="Master Repository Process" w:date="2025-06-19T17:03:00Z">
              <w:r>
                <w:t>350</w:t>
              </w:r>
            </w:ins>
            <w:r>
              <w:t> 000</w:t>
            </w:r>
          </w:p>
        </w:tc>
      </w:tr>
      <w:tr>
        <w:trPr>
          <w:cantSplit/>
        </w:trPr>
        <w:tc>
          <w:tcPr>
            <w:tcW w:w="1735" w:type="dxa"/>
            <w:tcBorders>
              <w:top w:val="nil"/>
              <w:left w:val="nil"/>
              <w:bottom w:val="nil"/>
              <w:right w:val="nil"/>
            </w:tcBorders>
            <w:noWrap/>
          </w:tcPr>
          <w:p>
            <w:pPr>
              <w:pStyle w:val="zyTableNAm"/>
            </w:pPr>
            <w:r>
              <w:t xml:space="preserve">If the property </w:t>
            </w:r>
            <w:del w:id="1937" w:author="Master Repository Process" w:date="2025-06-19T17:03:00Z">
              <w:r>
                <w:delText>does not include</w:delText>
              </w:r>
            </w:del>
            <w:ins w:id="1938" w:author="Master Repository Process" w:date="2025-06-19T17:03:00Z">
              <w:r>
                <w:t>is in the metropolitan region or the Peel region and includes</w:t>
              </w:r>
            </w:ins>
            <w:r>
              <w:t xml:space="preserve"> a home</w:t>
            </w:r>
          </w:p>
        </w:tc>
        <w:tc>
          <w:tcPr>
            <w:tcW w:w="2977" w:type="dxa"/>
            <w:tcBorders>
              <w:top w:val="nil"/>
              <w:left w:val="nil"/>
              <w:bottom w:val="nil"/>
              <w:right w:val="nil"/>
            </w:tcBorders>
            <w:noWrap/>
          </w:tcPr>
          <w:p>
            <w:pPr>
              <w:pStyle w:val="yTableNAm"/>
              <w:rPr>
                <w:ins w:id="1939" w:author="Master Repository Process" w:date="2025-06-19T17:03:00Z"/>
              </w:rPr>
            </w:pPr>
            <w:r>
              <w:t>$0 — $</w:t>
            </w:r>
            <w:del w:id="1940" w:author="Master Repository Process" w:date="2025-06-19T17:03:00Z">
              <w:r>
                <w:delText>300</w:delText>
              </w:r>
            </w:del>
            <w:ins w:id="1941" w:author="Master Repository Process" w:date="2025-06-19T17:03:00Z">
              <w:r>
                <w:t>500 000</w:t>
              </w:r>
            </w:ins>
          </w:p>
          <w:p>
            <w:pPr>
              <w:pStyle w:val="yTableNAm"/>
              <w:rPr>
                <w:ins w:id="1942" w:author="Master Repository Process" w:date="2025-06-19T17:03:00Z"/>
              </w:rPr>
            </w:pPr>
          </w:p>
          <w:p>
            <w:pPr>
              <w:pStyle w:val="yTableNAm"/>
            </w:pPr>
            <w:ins w:id="1943" w:author="Master Repository Process" w:date="2025-06-19T17:03:00Z">
              <w:r>
                <w:t>$500 001 — $700</w:t>
              </w:r>
            </w:ins>
            <w:r>
              <w:t> 000</w:t>
            </w:r>
          </w:p>
        </w:tc>
        <w:tc>
          <w:tcPr>
            <w:tcW w:w="2267" w:type="dxa"/>
            <w:tcBorders>
              <w:top w:val="nil"/>
              <w:left w:val="nil"/>
              <w:bottom w:val="nil"/>
              <w:right w:val="nil"/>
            </w:tcBorders>
            <w:noWrap/>
          </w:tcPr>
          <w:p>
            <w:pPr>
              <w:pStyle w:val="yTableNAm"/>
              <w:rPr>
                <w:ins w:id="1944" w:author="Master Repository Process" w:date="2025-06-19T17:03:00Z"/>
              </w:rPr>
            </w:pPr>
            <w:r>
              <w:t>Nil</w:t>
            </w:r>
          </w:p>
          <w:p>
            <w:pPr>
              <w:pStyle w:val="yTableNAm"/>
              <w:rPr>
                <w:ins w:id="1945" w:author="Master Repository Process" w:date="2025-06-19T17:03:00Z"/>
              </w:rPr>
            </w:pPr>
          </w:p>
          <w:p>
            <w:pPr>
              <w:pStyle w:val="yTableNAm"/>
            </w:pPr>
            <w:ins w:id="1946" w:author="Master Repository Process" w:date="2025-06-19T17:03:00Z">
              <w:r>
                <w:t>$13.63 per $100 or part of $100 above $500 000</w:t>
              </w:r>
            </w:ins>
          </w:p>
        </w:tc>
      </w:tr>
      <w:tr>
        <w:trPr>
          <w:cantSplit/>
        </w:trPr>
        <w:tc>
          <w:tcPr>
            <w:tcW w:w="1735" w:type="dxa"/>
            <w:tcBorders>
              <w:top w:val="nil"/>
              <w:left w:val="nil"/>
              <w:bottom w:val="nil"/>
              <w:right w:val="nil"/>
            </w:tcBorders>
            <w:noWrap/>
          </w:tcPr>
          <w:p>
            <w:pPr>
              <w:pStyle w:val="zyTableNAm"/>
            </w:pPr>
            <w:ins w:id="1947" w:author="Master Repository Process" w:date="2025-06-19T17:03:00Z">
              <w:r>
                <w:t>If the property is outside the metropolitan region and the Peel region and includes a home</w:t>
              </w:r>
            </w:ins>
          </w:p>
        </w:tc>
        <w:tc>
          <w:tcPr>
            <w:tcW w:w="2977" w:type="dxa"/>
            <w:tcBorders>
              <w:top w:val="nil"/>
              <w:left w:val="nil"/>
              <w:bottom w:val="nil"/>
              <w:right w:val="nil"/>
            </w:tcBorders>
            <w:noWrap/>
          </w:tcPr>
          <w:p>
            <w:pPr>
              <w:pStyle w:val="yTableNAm"/>
              <w:rPr>
                <w:ins w:id="1948" w:author="Master Repository Process" w:date="2025-06-19T17:03:00Z"/>
              </w:rPr>
            </w:pPr>
            <w:r>
              <w:t>$</w:t>
            </w:r>
            <w:del w:id="1949" w:author="Master Repository Process" w:date="2025-06-19T17:03:00Z">
              <w:r>
                <w:delText>300</w:delText>
              </w:r>
            </w:del>
            <w:ins w:id="1950" w:author="Master Repository Process" w:date="2025-06-19T17:03:00Z">
              <w:r>
                <w:t>0 — $500 000</w:t>
              </w:r>
            </w:ins>
          </w:p>
          <w:p>
            <w:pPr>
              <w:pStyle w:val="yTableNAm"/>
              <w:rPr>
                <w:ins w:id="1951" w:author="Master Repository Process" w:date="2025-06-19T17:03:00Z"/>
              </w:rPr>
            </w:pPr>
          </w:p>
          <w:p>
            <w:pPr>
              <w:pStyle w:val="yTableNAm"/>
            </w:pPr>
            <w:ins w:id="1952" w:author="Master Repository Process" w:date="2025-06-19T17:03:00Z">
              <w:r>
                <w:t>$500</w:t>
              </w:r>
            </w:ins>
            <w:r>
              <w:t> 001 — $</w:t>
            </w:r>
            <w:del w:id="1953" w:author="Master Repository Process" w:date="2025-06-19T17:03:00Z">
              <w:r>
                <w:delText>400</w:delText>
              </w:r>
            </w:del>
            <w:ins w:id="1954" w:author="Master Repository Process" w:date="2025-06-19T17:03:00Z">
              <w:r>
                <w:t>750</w:t>
              </w:r>
            </w:ins>
            <w:r>
              <w:t> 000</w:t>
            </w:r>
          </w:p>
        </w:tc>
        <w:tc>
          <w:tcPr>
            <w:tcW w:w="2267" w:type="dxa"/>
            <w:tcBorders>
              <w:top w:val="nil"/>
              <w:left w:val="nil"/>
              <w:bottom w:val="nil"/>
              <w:right w:val="nil"/>
            </w:tcBorders>
            <w:noWrap/>
          </w:tcPr>
          <w:p>
            <w:pPr>
              <w:pStyle w:val="yTableNAm"/>
              <w:rPr>
                <w:ins w:id="1955" w:author="Master Repository Process" w:date="2025-06-19T17:03:00Z"/>
              </w:rPr>
            </w:pPr>
            <w:del w:id="1956" w:author="Master Repository Process" w:date="2025-06-19T17:03:00Z">
              <w:r>
                <w:delText>$13.01</w:delText>
              </w:r>
            </w:del>
            <w:ins w:id="1957" w:author="Master Repository Process" w:date="2025-06-19T17:03:00Z">
              <w:r>
                <w:t>Nil</w:t>
              </w:r>
            </w:ins>
          </w:p>
          <w:p>
            <w:pPr>
              <w:pStyle w:val="yTableNAm"/>
              <w:rPr>
                <w:ins w:id="1958" w:author="Master Repository Process" w:date="2025-06-19T17:03:00Z"/>
              </w:rPr>
            </w:pPr>
          </w:p>
          <w:p>
            <w:pPr>
              <w:pStyle w:val="yTableNAm"/>
            </w:pPr>
            <w:ins w:id="1959" w:author="Master Repository Process" w:date="2025-06-19T17:03:00Z">
              <w:r>
                <w:rPr>
                  <w:szCs w:val="18"/>
                </w:rPr>
                <w:t>$11.89</w:t>
              </w:r>
            </w:ins>
            <w:r>
              <w:t xml:space="preserve"> per $100 or part of $100 above $</w:t>
            </w:r>
            <w:del w:id="1960" w:author="Master Repository Process" w:date="2025-06-19T17:03:00Z">
              <w:r>
                <w:delText>300</w:delText>
              </w:r>
            </w:del>
            <w:ins w:id="1961" w:author="Master Repository Process" w:date="2025-06-19T17:03:00Z">
              <w:r>
                <w:t>500</w:t>
              </w:r>
            </w:ins>
            <w:r>
              <w:t> 000</w:t>
            </w:r>
          </w:p>
        </w:tc>
      </w:tr>
      <w:tr>
        <w:trPr>
          <w:cantSplit/>
        </w:trPr>
        <w:tc>
          <w:tcPr>
            <w:tcW w:w="1735" w:type="dxa"/>
            <w:tcBorders>
              <w:top w:val="single" w:sz="4" w:space="0" w:color="auto"/>
              <w:left w:val="nil"/>
              <w:bottom w:val="nil"/>
              <w:right w:val="nil"/>
            </w:tcBorders>
            <w:noWrap/>
          </w:tcPr>
          <w:p>
            <w:pPr>
              <w:pStyle w:val="yTableNAm"/>
            </w:pPr>
            <w:r>
              <w:t>s. 147</w:t>
            </w:r>
            <w:r>
              <w:br/>
              <w:t>Residential or business property</w:t>
            </w:r>
          </w:p>
        </w:tc>
        <w:tc>
          <w:tcPr>
            <w:tcW w:w="2977" w:type="dxa"/>
            <w:tcBorders>
              <w:top w:val="single" w:sz="4" w:space="0" w:color="auto"/>
              <w:left w:val="nil"/>
              <w:bottom w:val="nil"/>
              <w:right w:val="nil"/>
            </w:tcBorders>
            <w:noWrap/>
          </w:tcPr>
          <w:p>
            <w:pPr>
              <w:pStyle w:val="yTableNAm"/>
            </w:pPr>
            <w:r>
              <w:t>$0 — $120 000</w:t>
            </w:r>
          </w:p>
        </w:tc>
        <w:tc>
          <w:tcPr>
            <w:tcW w:w="2267" w:type="dxa"/>
            <w:tcBorders>
              <w:top w:val="single" w:sz="4" w:space="0" w:color="auto"/>
              <w:left w:val="nil"/>
              <w:bottom w:val="nil"/>
              <w:right w:val="nil"/>
            </w:tcBorders>
            <w:noWrap/>
          </w:tcPr>
          <w:p>
            <w:pPr>
              <w:pStyle w:val="yTableNAm"/>
            </w:pPr>
            <w:r>
              <w:t>$1.50 per $100 or part of $100</w:t>
            </w:r>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yTableNAm"/>
            </w:pPr>
            <w:r>
              <w:t>$120 001 — $200 000</w:t>
            </w:r>
          </w:p>
        </w:tc>
        <w:tc>
          <w:tcPr>
            <w:tcW w:w="2267" w:type="dxa"/>
            <w:tcBorders>
              <w:top w:val="nil"/>
              <w:left w:val="nil"/>
              <w:bottom w:val="single" w:sz="4" w:space="0" w:color="auto"/>
              <w:right w:val="nil"/>
            </w:tcBorders>
            <w:noWrap/>
          </w:tcPr>
          <w:p>
            <w:pPr>
              <w:pStyle w:val="yTableNAm"/>
            </w:pPr>
            <w:r>
              <w:t>$1 800 + $4.04 per $100 or part of $100 above $120 000</w:t>
            </w:r>
          </w:p>
        </w:tc>
      </w:tr>
    </w:tbl>
    <w:p>
      <w:pPr>
        <w:pStyle w:val="yFootnotesection"/>
      </w:pPr>
      <w:r>
        <w:tab/>
        <w:t>[Division 2 inserted: No. 16 of 2022 s. 24(2); amended: No. 27 of 2024 s. </w:t>
      </w:r>
      <w:del w:id="1962" w:author="Master Repository Process" w:date="2025-06-19T17:03:00Z">
        <w:r>
          <w:delText>5</w:delText>
        </w:r>
      </w:del>
      <w:ins w:id="1963" w:author="Master Repository Process" w:date="2025-06-19T17:03:00Z">
        <w:r>
          <w:t>5; No. 5 of 2025 s. 13</w:t>
        </w:r>
      </w:ins>
      <w:r>
        <w:t>.]</w:t>
      </w:r>
    </w:p>
    <w:p>
      <w:pPr>
        <w:pStyle w:val="yHeading3"/>
      </w:pPr>
      <w:bookmarkStart w:id="1964" w:name="_Toc201218326"/>
      <w:bookmarkStart w:id="1965" w:name="_Toc201224699"/>
      <w:bookmarkStart w:id="1966" w:name="_Toc201229397"/>
      <w:bookmarkStart w:id="1967" w:name="_Toc182389002"/>
      <w:bookmarkStart w:id="1968" w:name="_Toc182389664"/>
      <w:bookmarkStart w:id="1969" w:name="_Toc182410462"/>
      <w:r>
        <w:rPr>
          <w:rStyle w:val="CharSDivNo"/>
        </w:rPr>
        <w:t>Division 3</w:t>
      </w:r>
      <w:r>
        <w:t> — </w:t>
      </w:r>
      <w:r>
        <w:rPr>
          <w:rStyle w:val="CharSDivText"/>
        </w:rPr>
        <w:t>Nominal duty</w:t>
      </w:r>
      <w:bookmarkEnd w:id="1964"/>
      <w:bookmarkEnd w:id="1965"/>
      <w:bookmarkEnd w:id="1966"/>
      <w:bookmarkEnd w:id="1967"/>
      <w:bookmarkEnd w:id="1968"/>
      <w:bookmarkEnd w:id="1969"/>
    </w:p>
    <w:p>
      <w:pPr>
        <w:pStyle w:val="ySubsection"/>
        <w:keepNext/>
      </w:pPr>
      <w:r>
        <w:tab/>
      </w:r>
      <w:r>
        <w:tab/>
        <w:t>The amount of nominal duty is $20.00.</w:t>
      </w:r>
    </w:p>
    <w:p>
      <w:pPr>
        <w:sectPr>
          <w:endnotePr>
            <w:numFmt w:val="decimal"/>
          </w:endnotePr>
          <w:pgSz w:w="11907" w:h="16840" w:code="9"/>
          <w:pgMar w:top="2381" w:right="2410" w:bottom="3544" w:left="2410" w:header="720" w:footer="3544" w:gutter="0"/>
          <w:cols w:space="720"/>
          <w:docGrid w:linePitch="326"/>
        </w:sectPr>
      </w:pPr>
    </w:p>
    <w:p>
      <w:pPr>
        <w:pStyle w:val="yScheduleHeading"/>
      </w:pPr>
      <w:bookmarkStart w:id="1970" w:name="_Toc201218327"/>
      <w:bookmarkStart w:id="1971" w:name="_Toc201224700"/>
      <w:bookmarkStart w:id="1972" w:name="_Toc201229398"/>
      <w:bookmarkStart w:id="1973" w:name="_Toc182389003"/>
      <w:bookmarkStart w:id="1974" w:name="_Toc182389665"/>
      <w:bookmarkStart w:id="1975" w:name="_Toc182410463"/>
      <w:r>
        <w:rPr>
          <w:rStyle w:val="CharSchNo"/>
        </w:rPr>
        <w:t>Schedule 3</w:t>
      </w:r>
      <w:r>
        <w:t> — </w:t>
      </w:r>
      <w:r>
        <w:rPr>
          <w:rStyle w:val="CharSchText"/>
        </w:rPr>
        <w:t>Transitional provisions</w:t>
      </w:r>
      <w:bookmarkEnd w:id="1970"/>
      <w:bookmarkEnd w:id="1971"/>
      <w:bookmarkEnd w:id="1972"/>
      <w:bookmarkEnd w:id="1973"/>
      <w:bookmarkEnd w:id="1974"/>
      <w:bookmarkEnd w:id="1975"/>
    </w:p>
    <w:p>
      <w:pPr>
        <w:pStyle w:val="yShoulderClause"/>
      </w:pPr>
      <w:r>
        <w:t>[s. 286]</w:t>
      </w:r>
    </w:p>
    <w:p>
      <w:pPr>
        <w:pStyle w:val="yHeading3"/>
      </w:pPr>
      <w:bookmarkStart w:id="1976" w:name="_Toc201218328"/>
      <w:bookmarkStart w:id="1977" w:name="_Toc201224701"/>
      <w:bookmarkStart w:id="1978" w:name="_Toc201229399"/>
      <w:bookmarkStart w:id="1979" w:name="_Toc182389004"/>
      <w:bookmarkStart w:id="1980" w:name="_Toc182389666"/>
      <w:bookmarkStart w:id="1981" w:name="_Toc182410464"/>
      <w:r>
        <w:rPr>
          <w:rStyle w:val="CharSDivNo"/>
        </w:rPr>
        <w:t>Division 1</w:t>
      </w:r>
      <w:r>
        <w:t> — </w:t>
      </w:r>
      <w:r>
        <w:rPr>
          <w:rStyle w:val="CharSDivText"/>
        </w:rPr>
        <w:t xml:space="preserve">Provisions for </w:t>
      </w:r>
      <w:r>
        <w:rPr>
          <w:rStyle w:val="CharSDivText"/>
          <w:i/>
          <w:iCs/>
        </w:rPr>
        <w:t>Duties Act 2008</w:t>
      </w:r>
      <w:bookmarkEnd w:id="1976"/>
      <w:bookmarkEnd w:id="1977"/>
      <w:bookmarkEnd w:id="1978"/>
      <w:bookmarkEnd w:id="1979"/>
      <w:bookmarkEnd w:id="1980"/>
      <w:bookmarkEnd w:id="1981"/>
    </w:p>
    <w:p>
      <w:pPr>
        <w:pStyle w:val="yHeading4"/>
      </w:pPr>
      <w:bookmarkStart w:id="1982" w:name="_Toc201218329"/>
      <w:bookmarkStart w:id="1983" w:name="_Toc201224702"/>
      <w:bookmarkStart w:id="1984" w:name="_Toc201229400"/>
      <w:bookmarkStart w:id="1985" w:name="_Toc182389005"/>
      <w:bookmarkStart w:id="1986" w:name="_Toc182389667"/>
      <w:bookmarkStart w:id="1987" w:name="_Toc182410465"/>
      <w:r>
        <w:t>Subdivision 1</w:t>
      </w:r>
      <w:r>
        <w:rPr>
          <w:b w:val="0"/>
        </w:rPr>
        <w:t> — </w:t>
      </w:r>
      <w:r>
        <w:t>Preliminary</w:t>
      </w:r>
      <w:bookmarkEnd w:id="1982"/>
      <w:bookmarkEnd w:id="1983"/>
      <w:bookmarkEnd w:id="1984"/>
      <w:bookmarkEnd w:id="1985"/>
      <w:bookmarkEnd w:id="1986"/>
      <w:bookmarkEnd w:id="1987"/>
    </w:p>
    <w:p>
      <w:pPr>
        <w:pStyle w:val="yHeading5"/>
      </w:pPr>
      <w:bookmarkStart w:id="1988" w:name="_Toc201229401"/>
      <w:bookmarkStart w:id="1989" w:name="_Toc182410466"/>
      <w:r>
        <w:rPr>
          <w:rStyle w:val="CharSClsNo"/>
        </w:rPr>
        <w:t>1</w:t>
      </w:r>
      <w:r>
        <w:t>.</w:t>
      </w:r>
      <w:r>
        <w:tab/>
        <w:t>Terms used</w:t>
      </w:r>
      <w:bookmarkEnd w:id="1988"/>
      <w:bookmarkEnd w:id="1989"/>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 148.</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Footnotesection"/>
      </w:pPr>
      <w:r>
        <w:tab/>
        <w:t>[Clause 1 amended: No. 12 of 2019 s. 131.]</w:t>
      </w:r>
    </w:p>
    <w:p>
      <w:pPr>
        <w:pStyle w:val="yHeading4"/>
      </w:pPr>
      <w:bookmarkStart w:id="1990" w:name="_Toc201218331"/>
      <w:bookmarkStart w:id="1991" w:name="_Toc201224704"/>
      <w:bookmarkStart w:id="1992" w:name="_Toc201229402"/>
      <w:bookmarkStart w:id="1993" w:name="_Toc182389007"/>
      <w:bookmarkStart w:id="1994" w:name="_Toc182389669"/>
      <w:bookmarkStart w:id="1995" w:name="_Toc182410467"/>
      <w:r>
        <w:t>Subdivision 2</w:t>
      </w:r>
      <w:r>
        <w:rPr>
          <w:b w:val="0"/>
        </w:rPr>
        <w:t> — </w:t>
      </w:r>
      <w:r>
        <w:t>Provisions for Chapter 2</w:t>
      </w:r>
      <w:bookmarkEnd w:id="1990"/>
      <w:bookmarkEnd w:id="1991"/>
      <w:bookmarkEnd w:id="1992"/>
      <w:bookmarkEnd w:id="1993"/>
      <w:bookmarkEnd w:id="1994"/>
      <w:bookmarkEnd w:id="1995"/>
    </w:p>
    <w:p>
      <w:pPr>
        <w:pStyle w:val="yHeading5"/>
      </w:pPr>
      <w:bookmarkStart w:id="1996" w:name="_Toc201229403"/>
      <w:bookmarkStart w:id="1997" w:name="_Toc182410468"/>
      <w:r>
        <w:rPr>
          <w:rStyle w:val="CharSClsNo"/>
        </w:rPr>
        <w:t>2</w:t>
      </w:r>
      <w:r>
        <w:t>.</w:t>
      </w:r>
      <w:r>
        <w:tab/>
        <w:t>When Ch. 2 starts to apply</w:t>
      </w:r>
      <w:bookmarkEnd w:id="1996"/>
      <w:bookmarkEnd w:id="1997"/>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998" w:name="_Toc201229404"/>
      <w:bookmarkStart w:id="1999" w:name="_Toc182410469"/>
      <w:r>
        <w:rPr>
          <w:rStyle w:val="CharSClsNo"/>
        </w:rPr>
        <w:t>3</w:t>
      </w:r>
      <w:r>
        <w:t>.</w:t>
      </w:r>
      <w:r>
        <w:tab/>
        <w:t>No double duty</w:t>
      </w:r>
      <w:bookmarkEnd w:id="1998"/>
      <w:bookmarkEnd w:id="1999"/>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2000" w:name="_Toc201229405"/>
      <w:bookmarkStart w:id="2001" w:name="_Toc182410470"/>
      <w:r>
        <w:rPr>
          <w:rStyle w:val="CharSClsNo"/>
        </w:rPr>
        <w:t>4</w:t>
      </w:r>
      <w:r>
        <w:t>.</w:t>
      </w:r>
      <w:r>
        <w:tab/>
        <w:t>Alteration of consideration (s. 31)</w:t>
      </w:r>
      <w:bookmarkEnd w:id="2000"/>
      <w:bookmarkEnd w:id="2001"/>
    </w:p>
    <w:p>
      <w:pPr>
        <w:pStyle w:val="ySubsection"/>
      </w:pPr>
      <w:r>
        <w:tab/>
      </w:r>
      <w:r>
        <w:tab/>
        <w:t xml:space="preserve">Section 31(1) and (3) do not apply if the liability to duty is under the </w:t>
      </w:r>
      <w:r>
        <w:rPr>
          <w:i/>
          <w:iCs/>
        </w:rPr>
        <w:t>Stamp Act 1921</w:t>
      </w:r>
      <w:r>
        <w:t>.</w:t>
      </w:r>
    </w:p>
    <w:p>
      <w:pPr>
        <w:pStyle w:val="yHeading5"/>
      </w:pPr>
      <w:bookmarkStart w:id="2002" w:name="_Toc201229406"/>
      <w:bookmarkStart w:id="2003" w:name="_Toc182410471"/>
      <w:r>
        <w:rPr>
          <w:rStyle w:val="CharSClsNo"/>
        </w:rPr>
        <w:t>5</w:t>
      </w:r>
      <w:r>
        <w:t>.</w:t>
      </w:r>
      <w:r>
        <w:tab/>
        <w:t>Aggregation (s. 37)</w:t>
      </w:r>
      <w:bookmarkEnd w:id="2002"/>
      <w:bookmarkEnd w:id="2003"/>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2004" w:name="_Toc201229407"/>
      <w:bookmarkStart w:id="2005" w:name="_Toc182410472"/>
      <w:r>
        <w:rPr>
          <w:rStyle w:val="CharSClsNo"/>
        </w:rPr>
        <w:t>6</w:t>
      </w:r>
      <w:r>
        <w:t>.</w:t>
      </w:r>
      <w:r>
        <w:tab/>
        <w:t>Exchanges (s. 40)</w:t>
      </w:r>
      <w:bookmarkEnd w:id="2004"/>
      <w:bookmarkEnd w:id="2005"/>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2006" w:name="_Toc201229408"/>
      <w:bookmarkStart w:id="2007" w:name="_Toc182410473"/>
      <w:r>
        <w:rPr>
          <w:rStyle w:val="CharSClsNo"/>
        </w:rPr>
        <w:t>7</w:t>
      </w:r>
      <w:r>
        <w:t>.</w:t>
      </w:r>
      <w:r>
        <w:tab/>
        <w:t>Exempt bodies (s. 92)</w:t>
      </w:r>
      <w:bookmarkEnd w:id="2006"/>
      <w:bookmarkEnd w:id="2007"/>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2008" w:name="_Toc201229409"/>
      <w:bookmarkStart w:id="2009" w:name="_Toc182410474"/>
      <w:r>
        <w:rPr>
          <w:rStyle w:val="CharSClsNo"/>
        </w:rPr>
        <w:t>8</w:t>
      </w:r>
      <w:r>
        <w:t>.</w:t>
      </w:r>
      <w:r>
        <w:tab/>
        <w:t>Family farm transactions (s. 104 and 105)</w:t>
      </w:r>
      <w:bookmarkEnd w:id="2008"/>
      <w:bookmarkEnd w:id="2009"/>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2010" w:name="_Toc201229410"/>
      <w:bookmarkStart w:id="2011" w:name="_Toc182410475"/>
      <w:r>
        <w:rPr>
          <w:rStyle w:val="CharSClsNo"/>
        </w:rPr>
        <w:t>9</w:t>
      </w:r>
      <w:r>
        <w:t>.</w:t>
      </w:r>
      <w:r>
        <w:tab/>
        <w:t>Matrimonial and de facto relationship instruments (s. 129, 130)</w:t>
      </w:r>
      <w:bookmarkEnd w:id="2010"/>
      <w:bookmarkEnd w:id="2011"/>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2012" w:name="_Toc201229411"/>
      <w:bookmarkStart w:id="2013" w:name="_Toc182410476"/>
      <w:r>
        <w:rPr>
          <w:rStyle w:val="CharSClsNo"/>
        </w:rPr>
        <w:t>10</w:t>
      </w:r>
      <w:r>
        <w:t>.</w:t>
      </w:r>
      <w:r>
        <w:tab/>
        <w:t>First home owners (Part 6 Div. 3)</w:t>
      </w:r>
      <w:bookmarkEnd w:id="2012"/>
      <w:bookmarkEnd w:id="2013"/>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 No. 27 of 2015 s. 15.]</w:t>
      </w:r>
    </w:p>
    <w:p>
      <w:pPr>
        <w:pStyle w:val="yEdnotesection"/>
      </w:pPr>
      <w:r>
        <w:t>[</w:t>
      </w:r>
      <w:r>
        <w:rPr>
          <w:b/>
        </w:rPr>
        <w:t>11A.</w:t>
      </w:r>
      <w:r>
        <w:tab/>
        <w:t>Deleted: No. 16 of 2022 s. 25.]</w:t>
      </w:r>
    </w:p>
    <w:p>
      <w:pPr>
        <w:pStyle w:val="yHeading4"/>
      </w:pPr>
      <w:bookmarkStart w:id="2014" w:name="_Toc201218341"/>
      <w:bookmarkStart w:id="2015" w:name="_Toc201224714"/>
      <w:bookmarkStart w:id="2016" w:name="_Toc201229412"/>
      <w:bookmarkStart w:id="2017" w:name="_Toc182389017"/>
      <w:bookmarkStart w:id="2018" w:name="_Toc182389679"/>
      <w:bookmarkStart w:id="2019" w:name="_Toc182410477"/>
      <w:r>
        <w:t>Subdivision 3</w:t>
      </w:r>
      <w:r>
        <w:rPr>
          <w:b w:val="0"/>
        </w:rPr>
        <w:t> — </w:t>
      </w:r>
      <w:r>
        <w:t>Provisions for Chapter 3</w:t>
      </w:r>
      <w:bookmarkEnd w:id="2014"/>
      <w:bookmarkEnd w:id="2015"/>
      <w:bookmarkEnd w:id="2016"/>
      <w:bookmarkEnd w:id="2017"/>
      <w:bookmarkEnd w:id="2018"/>
      <w:bookmarkEnd w:id="2019"/>
    </w:p>
    <w:p>
      <w:pPr>
        <w:pStyle w:val="yHeading5"/>
      </w:pPr>
      <w:bookmarkStart w:id="2020" w:name="_Toc201229413"/>
      <w:bookmarkStart w:id="2021" w:name="_Toc182410478"/>
      <w:r>
        <w:rPr>
          <w:rStyle w:val="CharSClsNo"/>
        </w:rPr>
        <w:t>11</w:t>
      </w:r>
      <w:r>
        <w:t>.</w:t>
      </w:r>
      <w:r>
        <w:tab/>
        <w:t>When Ch. 3 starts to apply</w:t>
      </w:r>
      <w:bookmarkEnd w:id="2020"/>
      <w:bookmarkEnd w:id="2021"/>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2022" w:name="_Toc201229414"/>
      <w:bookmarkStart w:id="2023" w:name="_Toc182410479"/>
      <w:r>
        <w:rPr>
          <w:rStyle w:val="CharSClsNo"/>
        </w:rPr>
        <w:t>12</w:t>
      </w:r>
      <w:r>
        <w:t>.</w:t>
      </w:r>
      <w:r>
        <w:tab/>
        <w:t>Acquisitions under an agreement made before 1 July 2008</w:t>
      </w:r>
      <w:bookmarkEnd w:id="2022"/>
      <w:bookmarkEnd w:id="2023"/>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No. 32 of 2012 s. 25.]</w:t>
      </w:r>
    </w:p>
    <w:p>
      <w:pPr>
        <w:pStyle w:val="yHeading4"/>
      </w:pPr>
      <w:bookmarkStart w:id="2024" w:name="_Toc201218344"/>
      <w:bookmarkStart w:id="2025" w:name="_Toc201224717"/>
      <w:bookmarkStart w:id="2026" w:name="_Toc201229415"/>
      <w:bookmarkStart w:id="2027" w:name="_Toc182389020"/>
      <w:bookmarkStart w:id="2028" w:name="_Toc182389682"/>
      <w:bookmarkStart w:id="2029" w:name="_Toc182410480"/>
      <w:r>
        <w:t>Subdivision 4</w:t>
      </w:r>
      <w:r>
        <w:rPr>
          <w:b w:val="0"/>
        </w:rPr>
        <w:t> — </w:t>
      </w:r>
      <w:r>
        <w:t>Provisions for Chapter 4</w:t>
      </w:r>
      <w:bookmarkEnd w:id="2024"/>
      <w:bookmarkEnd w:id="2025"/>
      <w:bookmarkEnd w:id="2026"/>
      <w:bookmarkEnd w:id="2027"/>
      <w:bookmarkEnd w:id="2028"/>
      <w:bookmarkEnd w:id="2029"/>
    </w:p>
    <w:p>
      <w:pPr>
        <w:pStyle w:val="yHeading5"/>
      </w:pPr>
      <w:bookmarkStart w:id="2030" w:name="_Toc201229416"/>
      <w:bookmarkStart w:id="2031" w:name="_Toc182410481"/>
      <w:r>
        <w:rPr>
          <w:rStyle w:val="CharSClsNo"/>
        </w:rPr>
        <w:t>14</w:t>
      </w:r>
      <w:r>
        <w:t>.</w:t>
      </w:r>
      <w:r>
        <w:tab/>
        <w:t>Terms used</w:t>
      </w:r>
      <w:bookmarkEnd w:id="2030"/>
      <w:bookmarkEnd w:id="2031"/>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2032" w:name="_Toc201229417"/>
      <w:bookmarkStart w:id="2033" w:name="_Toc182410482"/>
      <w:r>
        <w:rPr>
          <w:rStyle w:val="CharSClsNo"/>
        </w:rPr>
        <w:t>15</w:t>
      </w:r>
      <w:r>
        <w:t>.</w:t>
      </w:r>
      <w:r>
        <w:tab/>
        <w:t>When Ch. 4 starts to apply</w:t>
      </w:r>
      <w:bookmarkEnd w:id="2032"/>
      <w:bookmarkEnd w:id="2033"/>
    </w:p>
    <w:p>
      <w:pPr>
        <w:pStyle w:val="ySubsection"/>
        <w:keepNext/>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2034" w:name="_Toc201229418"/>
      <w:bookmarkStart w:id="2035" w:name="_Toc182410483"/>
      <w:r>
        <w:rPr>
          <w:rStyle w:val="CharSClsNo"/>
        </w:rPr>
        <w:t>16</w:t>
      </w:r>
      <w:r>
        <w:t>.</w:t>
      </w:r>
      <w:r>
        <w:tab/>
        <w:t>Registration</w:t>
      </w:r>
      <w:bookmarkEnd w:id="2034"/>
      <w:bookmarkEnd w:id="2035"/>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2036" w:name="_Toc201218348"/>
      <w:bookmarkStart w:id="2037" w:name="_Toc201224721"/>
      <w:bookmarkStart w:id="2038" w:name="_Toc201229419"/>
      <w:bookmarkStart w:id="2039" w:name="_Toc182389024"/>
      <w:bookmarkStart w:id="2040" w:name="_Toc182389686"/>
      <w:bookmarkStart w:id="2041" w:name="_Toc182410484"/>
      <w:r>
        <w:t>Subdivision 5</w:t>
      </w:r>
      <w:r>
        <w:rPr>
          <w:b w:val="0"/>
        </w:rPr>
        <w:t> — </w:t>
      </w:r>
      <w:r>
        <w:t>Provisions for Chapter 5</w:t>
      </w:r>
      <w:bookmarkEnd w:id="2036"/>
      <w:bookmarkEnd w:id="2037"/>
      <w:bookmarkEnd w:id="2038"/>
      <w:bookmarkEnd w:id="2039"/>
      <w:bookmarkEnd w:id="2040"/>
      <w:bookmarkEnd w:id="2041"/>
    </w:p>
    <w:p>
      <w:pPr>
        <w:pStyle w:val="yHeading5"/>
      </w:pPr>
      <w:bookmarkStart w:id="2042" w:name="_Toc201229420"/>
      <w:bookmarkStart w:id="2043" w:name="_Toc182410485"/>
      <w:r>
        <w:rPr>
          <w:rStyle w:val="CharSClsNo"/>
        </w:rPr>
        <w:t>17</w:t>
      </w:r>
      <w:r>
        <w:t>.</w:t>
      </w:r>
      <w:r>
        <w:tab/>
        <w:t>Terms used</w:t>
      </w:r>
      <w:bookmarkEnd w:id="2042"/>
      <w:bookmarkEnd w:id="2043"/>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2044" w:name="_Toc201229421"/>
      <w:bookmarkStart w:id="2045" w:name="_Toc182410486"/>
      <w:r>
        <w:rPr>
          <w:rStyle w:val="CharSClsNo"/>
        </w:rPr>
        <w:t>18</w:t>
      </w:r>
      <w:r>
        <w:t>.</w:t>
      </w:r>
      <w:r>
        <w:tab/>
        <w:t>When Ch. 5 starts to apply</w:t>
      </w:r>
      <w:bookmarkEnd w:id="2044"/>
      <w:bookmarkEnd w:id="2045"/>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2046" w:name="_Toc201229422"/>
      <w:bookmarkStart w:id="2047" w:name="_Toc182410487"/>
      <w:r>
        <w:rPr>
          <w:rStyle w:val="CharSClsNo"/>
        </w:rPr>
        <w:t>19</w:t>
      </w:r>
      <w:r>
        <w:t>.</w:t>
      </w:r>
      <w:r>
        <w:tab/>
        <w:t>New vehicles (s. 228)</w:t>
      </w:r>
      <w:bookmarkEnd w:id="2046"/>
      <w:bookmarkEnd w:id="2047"/>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2048" w:name="_Toc201229423"/>
      <w:bookmarkStart w:id="2049" w:name="_Toc182410488"/>
      <w:r>
        <w:rPr>
          <w:rStyle w:val="CharSClsNo"/>
        </w:rPr>
        <w:t>20</w:t>
      </w:r>
      <w:r>
        <w:t>.</w:t>
      </w:r>
      <w:r>
        <w:tab/>
        <w:t>Specialised vehicles (s. 239)</w:t>
      </w:r>
      <w:bookmarkEnd w:id="2048"/>
      <w:bookmarkEnd w:id="2049"/>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2050" w:name="_Toc201229424"/>
      <w:bookmarkStart w:id="2051" w:name="_Toc182410489"/>
      <w:r>
        <w:rPr>
          <w:rStyle w:val="CharSClsNo"/>
        </w:rPr>
        <w:t>21</w:t>
      </w:r>
      <w:r>
        <w:t>.</w:t>
      </w:r>
      <w:r>
        <w:tab/>
        <w:t>Approval of philanthropic purposes (s. 247)</w:t>
      </w:r>
      <w:bookmarkEnd w:id="2050"/>
      <w:bookmarkEnd w:id="2051"/>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2052" w:name="_Toc201229425"/>
      <w:bookmarkStart w:id="2053" w:name="_Toc182410490"/>
      <w:r>
        <w:rPr>
          <w:rStyle w:val="CharSClsNo"/>
        </w:rPr>
        <w:t>22</w:t>
      </w:r>
      <w:r>
        <w:t>.</w:t>
      </w:r>
      <w:r>
        <w:tab/>
        <w:t>Transfer of vehicles, nominal duty on (s. 250)</w:t>
      </w:r>
      <w:bookmarkEnd w:id="2052"/>
      <w:bookmarkEnd w:id="2053"/>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keepNext/>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2054" w:name="_Toc201229426"/>
      <w:bookmarkStart w:id="2055" w:name="_Toc182410491"/>
      <w:r>
        <w:rPr>
          <w:rStyle w:val="CharSClsNo"/>
        </w:rPr>
        <w:t>23</w:t>
      </w:r>
      <w:r>
        <w:t>.</w:t>
      </w:r>
      <w:r>
        <w:tab/>
        <w:t xml:space="preserve">Statements made under </w:t>
      </w:r>
      <w:r>
        <w:rPr>
          <w:i/>
          <w:iCs/>
        </w:rPr>
        <w:t>Stamp Act 1921</w:t>
      </w:r>
      <w:r>
        <w:t xml:space="preserve"> s. 76H (s. 252)</w:t>
      </w:r>
      <w:bookmarkEnd w:id="2054"/>
      <w:bookmarkEnd w:id="2055"/>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2056" w:name="_Toc201218356"/>
      <w:bookmarkStart w:id="2057" w:name="_Toc201224729"/>
      <w:bookmarkStart w:id="2058" w:name="_Toc201229427"/>
      <w:bookmarkStart w:id="2059" w:name="_Toc182389032"/>
      <w:bookmarkStart w:id="2060" w:name="_Toc182389694"/>
      <w:bookmarkStart w:id="2061" w:name="_Toc182410492"/>
      <w:r>
        <w:t>Subdivision 6</w:t>
      </w:r>
      <w:r>
        <w:rPr>
          <w:b w:val="0"/>
        </w:rPr>
        <w:t> — </w:t>
      </w:r>
      <w:r>
        <w:t>Provisions for Chapter 7</w:t>
      </w:r>
      <w:bookmarkEnd w:id="2056"/>
      <w:bookmarkEnd w:id="2057"/>
      <w:bookmarkEnd w:id="2058"/>
      <w:bookmarkEnd w:id="2059"/>
      <w:bookmarkEnd w:id="2060"/>
      <w:bookmarkEnd w:id="2061"/>
    </w:p>
    <w:p>
      <w:pPr>
        <w:pStyle w:val="yHeading5"/>
      </w:pPr>
      <w:bookmarkStart w:id="2062" w:name="_Toc201229428"/>
      <w:bookmarkStart w:id="2063" w:name="_Toc182410493"/>
      <w:r>
        <w:rPr>
          <w:rStyle w:val="CharSClsNo"/>
        </w:rPr>
        <w:t>24</w:t>
      </w:r>
      <w:r>
        <w:t>.</w:t>
      </w:r>
      <w:r>
        <w:tab/>
        <w:t>When Ch. 7 starts to apply</w:t>
      </w:r>
      <w:bookmarkEnd w:id="2062"/>
      <w:bookmarkEnd w:id="2063"/>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keepLines/>
      </w:pPr>
      <w:bookmarkStart w:id="2064" w:name="_Toc201218358"/>
      <w:bookmarkStart w:id="2065" w:name="_Toc201224731"/>
      <w:bookmarkStart w:id="2066" w:name="_Toc201229429"/>
      <w:bookmarkStart w:id="2067" w:name="_Toc182389034"/>
      <w:bookmarkStart w:id="2068" w:name="_Toc182389696"/>
      <w:bookmarkStart w:id="2069" w:name="_Toc182410494"/>
      <w:r>
        <w:t>Subdivision 7</w:t>
      </w:r>
      <w:r>
        <w:rPr>
          <w:b w:val="0"/>
        </w:rPr>
        <w:t> — </w:t>
      </w:r>
      <w:r>
        <w:t>General</w:t>
      </w:r>
      <w:bookmarkEnd w:id="2064"/>
      <w:bookmarkEnd w:id="2065"/>
      <w:bookmarkEnd w:id="2066"/>
      <w:bookmarkEnd w:id="2067"/>
      <w:bookmarkEnd w:id="2068"/>
      <w:bookmarkEnd w:id="2069"/>
    </w:p>
    <w:p>
      <w:pPr>
        <w:pStyle w:val="yHeading5"/>
      </w:pPr>
      <w:bookmarkStart w:id="2070" w:name="_Toc201229430"/>
      <w:bookmarkStart w:id="2071" w:name="_Toc182410495"/>
      <w:r>
        <w:rPr>
          <w:rStyle w:val="CharSClsNo"/>
        </w:rPr>
        <w:t>25</w:t>
      </w:r>
      <w:r>
        <w:t>.</w:t>
      </w:r>
      <w:r>
        <w:tab/>
        <w:t>Some references to duty include stamp duty</w:t>
      </w:r>
      <w:bookmarkEnd w:id="2070"/>
      <w:bookmarkEnd w:id="2071"/>
      <w:r>
        <w:t xml:space="preserve"> </w:t>
      </w:r>
    </w:p>
    <w:p>
      <w:pPr>
        <w:pStyle w:val="ySubsection"/>
        <w:keepNext/>
        <w:keepLines/>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2072" w:name="_Toc201229431"/>
      <w:bookmarkStart w:id="2073" w:name="_Toc182410496"/>
      <w:r>
        <w:rPr>
          <w:rStyle w:val="CharSClsNo"/>
        </w:rPr>
        <w:t>26</w:t>
      </w:r>
      <w:r>
        <w:t>.</w:t>
      </w:r>
      <w:r>
        <w:tab/>
        <w:t>Application of some Ch. 8 provisions</w:t>
      </w:r>
      <w:bookmarkEnd w:id="2072"/>
      <w:bookmarkEnd w:id="2073"/>
    </w:p>
    <w:p>
      <w:pPr>
        <w:pStyle w:val="ySubsection"/>
        <w:keepNext/>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2074" w:name="_Toc201229432"/>
      <w:bookmarkStart w:id="2075" w:name="_Toc182410497"/>
      <w:r>
        <w:rPr>
          <w:rStyle w:val="CharSClsNo"/>
        </w:rPr>
        <w:t>27</w:t>
      </w:r>
      <w:r>
        <w:t>.</w:t>
      </w:r>
      <w:r>
        <w:tab/>
        <w:t>Regulations</w:t>
      </w:r>
      <w:bookmarkEnd w:id="2074"/>
      <w:bookmarkEnd w:id="2075"/>
    </w:p>
    <w:p>
      <w:pPr>
        <w:pStyle w:val="ySubsection"/>
        <w:keepNext/>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2076" w:name="_Toc201229433"/>
      <w:bookmarkStart w:id="2077" w:name="_Toc182410498"/>
      <w:r>
        <w:rPr>
          <w:rStyle w:val="CharSClsNo"/>
        </w:rPr>
        <w:t>28</w:t>
      </w:r>
      <w:r>
        <w:t>.</w:t>
      </w:r>
      <w:r>
        <w:tab/>
      </w:r>
      <w:r>
        <w:rPr>
          <w:i/>
          <w:iCs/>
        </w:rPr>
        <w:t>Stamp Act 1921</w:t>
      </w:r>
      <w:r>
        <w:rPr>
          <w:iCs/>
        </w:rPr>
        <w:t>, references to</w:t>
      </w:r>
      <w:bookmarkEnd w:id="2076"/>
      <w:bookmarkEnd w:id="2077"/>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No. 30 of 2008 s. 4.]</w:t>
      </w:r>
    </w:p>
    <w:p>
      <w:pPr>
        <w:pStyle w:val="yEdnotedivision"/>
      </w:pPr>
      <w:r>
        <w:t>[Division 3 (cl. 30) deleted: No. 5 of 2013 s. 7.]</w:t>
      </w:r>
    </w:p>
    <w:p>
      <w:pPr>
        <w:pStyle w:val="yHeading3"/>
      </w:pPr>
      <w:bookmarkStart w:id="2078" w:name="_Toc201218363"/>
      <w:bookmarkStart w:id="2079" w:name="_Toc201224736"/>
      <w:bookmarkStart w:id="2080" w:name="_Toc201229434"/>
      <w:bookmarkStart w:id="2081" w:name="_Toc182389039"/>
      <w:bookmarkStart w:id="2082" w:name="_Toc182389701"/>
      <w:bookmarkStart w:id="2083" w:name="_Toc182410499"/>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2078"/>
      <w:bookmarkEnd w:id="2079"/>
      <w:bookmarkEnd w:id="2080"/>
      <w:bookmarkEnd w:id="2081"/>
      <w:bookmarkEnd w:id="2082"/>
      <w:bookmarkEnd w:id="2083"/>
    </w:p>
    <w:p>
      <w:pPr>
        <w:pStyle w:val="yFootnoteheading"/>
      </w:pPr>
      <w:r>
        <w:tab/>
        <w:t>[Heading inserted: No. 9 of 2010 s. 6.]</w:t>
      </w:r>
    </w:p>
    <w:p>
      <w:pPr>
        <w:pStyle w:val="yHeading5"/>
      </w:pPr>
      <w:bookmarkStart w:id="2084" w:name="_Toc201229435"/>
      <w:bookmarkStart w:id="2085" w:name="_Toc182410500"/>
      <w:r>
        <w:rPr>
          <w:rStyle w:val="CharSClsNo"/>
        </w:rPr>
        <w:t>31</w:t>
      </w:r>
      <w:r>
        <w:t>.</w:t>
      </w:r>
      <w:r>
        <w:rPr>
          <w:b w:val="0"/>
        </w:rPr>
        <w:tab/>
      </w:r>
      <w:r>
        <w:rPr>
          <w:bCs/>
        </w:rPr>
        <w:t>Terms used</w:t>
      </w:r>
      <w:bookmarkEnd w:id="2084"/>
      <w:bookmarkEnd w:id="2085"/>
    </w:p>
    <w:p>
      <w:pPr>
        <w:pStyle w:val="ySubsection"/>
      </w:pPr>
      <w:r>
        <w:tab/>
      </w:r>
      <w:r>
        <w:tab/>
        <w:t>When this Division uses a term that is used in Chapter 6, the term has the same meaning in this Division as it has in Chapter 6.</w:t>
      </w:r>
    </w:p>
    <w:p>
      <w:pPr>
        <w:pStyle w:val="yFootnotesection"/>
      </w:pPr>
      <w:r>
        <w:tab/>
        <w:t>[Clause 31 inserted: No. 9 of 2010 s. 6.]</w:t>
      </w:r>
    </w:p>
    <w:p>
      <w:pPr>
        <w:pStyle w:val="yHeading5"/>
      </w:pPr>
      <w:bookmarkStart w:id="2086" w:name="_Toc201229436"/>
      <w:bookmarkStart w:id="2087" w:name="_Toc182410501"/>
      <w:r>
        <w:rPr>
          <w:rStyle w:val="CharSClsNo"/>
        </w:rPr>
        <w:t>32</w:t>
      </w:r>
      <w:r>
        <w:t>.</w:t>
      </w:r>
      <w:r>
        <w:rPr>
          <w:b w:val="0"/>
        </w:rPr>
        <w:tab/>
      </w:r>
      <w:r>
        <w:rPr>
          <w:bCs/>
        </w:rPr>
        <w:t>Certain relevant reconstruction transactions</w:t>
      </w:r>
      <w:bookmarkEnd w:id="2086"/>
      <w:bookmarkEnd w:id="2087"/>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keepNext/>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No. 9 of 2010 s. 6.]</w:t>
      </w:r>
    </w:p>
    <w:p>
      <w:pPr>
        <w:pStyle w:val="yHeading3"/>
      </w:pPr>
      <w:bookmarkStart w:id="2088" w:name="_Toc201218366"/>
      <w:bookmarkStart w:id="2089" w:name="_Toc201224739"/>
      <w:bookmarkStart w:id="2090" w:name="_Toc201229437"/>
      <w:bookmarkStart w:id="2091" w:name="_Toc182389042"/>
      <w:bookmarkStart w:id="2092" w:name="_Toc182389704"/>
      <w:bookmarkStart w:id="2093" w:name="_Toc182410502"/>
      <w:r>
        <w:rPr>
          <w:rStyle w:val="CharSDivNo"/>
        </w:rPr>
        <w:t>Division 5</w:t>
      </w:r>
      <w:r>
        <w:rPr>
          <w:b w:val="0"/>
        </w:rPr>
        <w:t> — </w:t>
      </w:r>
      <w:r>
        <w:rPr>
          <w:rStyle w:val="CharSDivText"/>
        </w:rPr>
        <w:t xml:space="preserve">Provisions for </w:t>
      </w:r>
      <w:r>
        <w:rPr>
          <w:rStyle w:val="CharSDivText"/>
          <w:i/>
        </w:rPr>
        <w:t>Duties Amendment Act (No. 2) 2011</w:t>
      </w:r>
      <w:bookmarkEnd w:id="2088"/>
      <w:bookmarkEnd w:id="2089"/>
      <w:bookmarkEnd w:id="2090"/>
      <w:bookmarkEnd w:id="2091"/>
      <w:bookmarkEnd w:id="2092"/>
      <w:bookmarkEnd w:id="2093"/>
    </w:p>
    <w:p>
      <w:pPr>
        <w:pStyle w:val="yFootnoteheading"/>
      </w:pPr>
      <w:r>
        <w:tab/>
        <w:t>[Heading inserted: No. 33 of 2011 s. 6.]</w:t>
      </w:r>
    </w:p>
    <w:p>
      <w:pPr>
        <w:pStyle w:val="yHeading5"/>
      </w:pPr>
      <w:bookmarkStart w:id="2094" w:name="_Toc201229438"/>
      <w:bookmarkStart w:id="2095" w:name="_Toc182410503"/>
      <w:r>
        <w:rPr>
          <w:rStyle w:val="CharSClsNo"/>
        </w:rPr>
        <w:t>33</w:t>
      </w:r>
      <w:r>
        <w:t>.</w:t>
      </w:r>
      <w:r>
        <w:rPr>
          <w:b w:val="0"/>
        </w:rPr>
        <w:tab/>
      </w:r>
      <w:r>
        <w:t>Term used: relevant period</w:t>
      </w:r>
      <w:bookmarkEnd w:id="2094"/>
      <w:bookmarkEnd w:id="2095"/>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No. 33 of 2011 s. 6.]</w:t>
      </w:r>
    </w:p>
    <w:p>
      <w:pPr>
        <w:pStyle w:val="yHeading5"/>
      </w:pPr>
      <w:bookmarkStart w:id="2096" w:name="_Toc201229439"/>
      <w:bookmarkStart w:id="2097" w:name="_Toc182410504"/>
      <w:r>
        <w:rPr>
          <w:rStyle w:val="CharSClsNo"/>
        </w:rPr>
        <w:t>34</w:t>
      </w:r>
      <w:r>
        <w:t>.</w:t>
      </w:r>
      <w:r>
        <w:rPr>
          <w:b w:val="0"/>
        </w:rPr>
        <w:tab/>
      </w:r>
      <w:r>
        <w:t>When transfer duty deemed to arise in certain cases</w:t>
      </w:r>
      <w:bookmarkEnd w:id="2096"/>
      <w:bookmarkEnd w:id="2097"/>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No. 33 of 2011 s. 6.]</w:t>
      </w:r>
    </w:p>
    <w:p>
      <w:pPr>
        <w:pStyle w:val="yHeading5"/>
        <w:spacing w:before="180"/>
      </w:pPr>
      <w:bookmarkStart w:id="2098" w:name="_Toc201229440"/>
      <w:bookmarkStart w:id="2099" w:name="_Toc182410505"/>
      <w:r>
        <w:rPr>
          <w:rStyle w:val="CharSClsNo"/>
        </w:rPr>
        <w:t>35</w:t>
      </w:r>
      <w:r>
        <w:t>.</w:t>
      </w:r>
      <w:r>
        <w:rPr>
          <w:b w:val="0"/>
        </w:rPr>
        <w:tab/>
      </w:r>
      <w:r>
        <w:t>When landholder duty deemed to arise in certain cases</w:t>
      </w:r>
      <w:bookmarkEnd w:id="2098"/>
      <w:bookmarkEnd w:id="2099"/>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No. 33 of 2011 s. 6.]</w:t>
      </w:r>
    </w:p>
    <w:p>
      <w:pPr>
        <w:pStyle w:val="yHeading3"/>
      </w:pPr>
      <w:bookmarkStart w:id="2100" w:name="_Toc201218370"/>
      <w:bookmarkStart w:id="2101" w:name="_Toc201224743"/>
      <w:bookmarkStart w:id="2102" w:name="_Toc201229441"/>
      <w:bookmarkStart w:id="2103" w:name="_Toc182389046"/>
      <w:bookmarkStart w:id="2104" w:name="_Toc182389708"/>
      <w:bookmarkStart w:id="2105" w:name="_Toc182410506"/>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2100"/>
      <w:bookmarkEnd w:id="2101"/>
      <w:bookmarkEnd w:id="2102"/>
      <w:bookmarkEnd w:id="2103"/>
      <w:bookmarkEnd w:id="2104"/>
      <w:bookmarkEnd w:id="2105"/>
    </w:p>
    <w:p>
      <w:pPr>
        <w:pStyle w:val="yFootnoteheading"/>
      </w:pPr>
      <w:r>
        <w:tab/>
        <w:t>[Heading inserted: No. 10 of 2013 s. 9.]</w:t>
      </w:r>
    </w:p>
    <w:p>
      <w:pPr>
        <w:pStyle w:val="yHeading5"/>
      </w:pPr>
      <w:bookmarkStart w:id="2106" w:name="_Toc201229442"/>
      <w:bookmarkStart w:id="2107" w:name="_Toc182410507"/>
      <w:r>
        <w:rPr>
          <w:rStyle w:val="CharSClsNo"/>
        </w:rPr>
        <w:t>36</w:t>
      </w:r>
      <w:r>
        <w:t>.</w:t>
      </w:r>
      <w:r>
        <w:tab/>
        <w:t>Interim assessments</w:t>
      </w:r>
      <w:bookmarkEnd w:id="2106"/>
      <w:bookmarkEnd w:id="2107"/>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No. 10 of 2013 s. 9.]</w:t>
      </w:r>
    </w:p>
    <w:p>
      <w:pPr>
        <w:pStyle w:val="yHeading3"/>
        <w:rPr>
          <w:i/>
        </w:rPr>
      </w:pPr>
      <w:bookmarkStart w:id="2108" w:name="_Toc201218372"/>
      <w:bookmarkStart w:id="2109" w:name="_Toc201224745"/>
      <w:bookmarkStart w:id="2110" w:name="_Toc201229443"/>
      <w:bookmarkStart w:id="2111" w:name="_Toc182389048"/>
      <w:bookmarkStart w:id="2112" w:name="_Toc182389710"/>
      <w:bookmarkStart w:id="2113" w:name="_Toc182410508"/>
      <w:r>
        <w:rPr>
          <w:rStyle w:val="CharSDivNo"/>
        </w:rPr>
        <w:t>Division 7</w:t>
      </w:r>
      <w:r>
        <w:t> — </w:t>
      </w:r>
      <w:r>
        <w:rPr>
          <w:rStyle w:val="CharSDivText"/>
        </w:rPr>
        <w:t xml:space="preserve">Provisions for </w:t>
      </w:r>
      <w:r>
        <w:rPr>
          <w:rStyle w:val="CharSDivText"/>
          <w:i/>
        </w:rPr>
        <w:t>Taxation Legislation Amendment Act 2015</w:t>
      </w:r>
      <w:bookmarkEnd w:id="2108"/>
      <w:bookmarkEnd w:id="2109"/>
      <w:bookmarkEnd w:id="2110"/>
      <w:bookmarkEnd w:id="2111"/>
      <w:bookmarkEnd w:id="2112"/>
      <w:bookmarkEnd w:id="2113"/>
    </w:p>
    <w:p>
      <w:pPr>
        <w:pStyle w:val="yFootnoteheading"/>
        <w:keepNext/>
      </w:pPr>
      <w:r>
        <w:tab/>
        <w:t>[Heading inserted: No. 1 of 2015 s. 28.]</w:t>
      </w:r>
    </w:p>
    <w:p>
      <w:pPr>
        <w:pStyle w:val="yHeading5"/>
      </w:pPr>
      <w:bookmarkStart w:id="2114" w:name="_Toc201229444"/>
      <w:bookmarkStart w:id="2115" w:name="_Toc182410509"/>
      <w:r>
        <w:rPr>
          <w:rStyle w:val="CharSClsNo"/>
        </w:rPr>
        <w:t>37</w:t>
      </w:r>
      <w:r>
        <w:t>.</w:t>
      </w:r>
      <w:r>
        <w:tab/>
        <w:t>Terms used</w:t>
      </w:r>
      <w:bookmarkEnd w:id="2114"/>
      <w:bookmarkEnd w:id="2115"/>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r>
        <w:tab/>
        <w:t>[Clause 37 inserted: No. 1 of 2015 s. 28.]</w:t>
      </w:r>
    </w:p>
    <w:p>
      <w:pPr>
        <w:pStyle w:val="yHeading5"/>
      </w:pPr>
      <w:bookmarkStart w:id="2116" w:name="_Toc201229445"/>
      <w:bookmarkStart w:id="2117" w:name="_Toc182410510"/>
      <w:r>
        <w:rPr>
          <w:rStyle w:val="CharSClsNo"/>
        </w:rPr>
        <w:t>38</w:t>
      </w:r>
      <w:r>
        <w:t>.</w:t>
      </w:r>
      <w:r>
        <w:tab/>
        <w:t>Duty on certain relevant acquisitions</w:t>
      </w:r>
      <w:bookmarkEnd w:id="2116"/>
      <w:bookmarkEnd w:id="2117"/>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No. 1 of 2015 s. 28.]</w:t>
      </w:r>
    </w:p>
    <w:p>
      <w:pPr>
        <w:pStyle w:val="yHeading3"/>
      </w:pPr>
      <w:bookmarkStart w:id="2118" w:name="_Toc201218375"/>
      <w:bookmarkStart w:id="2119" w:name="_Toc201224748"/>
      <w:bookmarkStart w:id="2120" w:name="_Toc201229446"/>
      <w:bookmarkStart w:id="2121" w:name="_Toc182389051"/>
      <w:bookmarkStart w:id="2122" w:name="_Toc182389713"/>
      <w:bookmarkStart w:id="2123" w:name="_Toc182410511"/>
      <w:r>
        <w:rPr>
          <w:rStyle w:val="CharSDivNo"/>
        </w:rPr>
        <w:t>Division 8</w:t>
      </w:r>
      <w:r>
        <w:rPr>
          <w:sz w:val="26"/>
          <w:szCs w:val="26"/>
        </w:rPr>
        <w:t> — </w:t>
      </w:r>
      <w:r>
        <w:rPr>
          <w:rStyle w:val="CharSDivText"/>
        </w:rPr>
        <w:t xml:space="preserve">Provisions for </w:t>
      </w:r>
      <w:r>
        <w:rPr>
          <w:rStyle w:val="CharSDivText"/>
          <w:i/>
        </w:rPr>
        <w:t>Duties Amendment (Additional Duty for Foreign Persons) Act 2018</w:t>
      </w:r>
      <w:bookmarkEnd w:id="2118"/>
      <w:bookmarkEnd w:id="2119"/>
      <w:bookmarkEnd w:id="2120"/>
      <w:bookmarkEnd w:id="2121"/>
      <w:bookmarkEnd w:id="2122"/>
      <w:bookmarkEnd w:id="2123"/>
    </w:p>
    <w:p>
      <w:pPr>
        <w:pStyle w:val="Footnoteheading"/>
        <w:keepNext/>
      </w:pPr>
      <w:r>
        <w:tab/>
        <w:t>[Heading inserted: No. 24 of 2018 s. 15.]</w:t>
      </w:r>
    </w:p>
    <w:p>
      <w:pPr>
        <w:pStyle w:val="yHeading5"/>
      </w:pPr>
      <w:bookmarkStart w:id="2124" w:name="_Toc201229447"/>
      <w:bookmarkStart w:id="2125" w:name="_Toc182410512"/>
      <w:r>
        <w:rPr>
          <w:rStyle w:val="CharSClsNo"/>
        </w:rPr>
        <w:t>39</w:t>
      </w:r>
      <w:r>
        <w:t>.</w:t>
      </w:r>
      <w:r>
        <w:rPr>
          <w:b w:val="0"/>
        </w:rPr>
        <w:tab/>
      </w:r>
      <w:r>
        <w:t>Terms used</w:t>
      </w:r>
      <w:bookmarkEnd w:id="2124"/>
      <w:bookmarkEnd w:id="2125"/>
    </w:p>
    <w:p>
      <w:pPr>
        <w:pStyle w:val="ySubsection"/>
        <w:spacing w:before="200"/>
      </w:pPr>
      <w:r>
        <w:tab/>
      </w:r>
      <w:r>
        <w:tab/>
        <w:t>When this Division uses a term that is used in Chapter 3A, the term has the same meaning in this Division as it has in Chapter 3A.</w:t>
      </w:r>
    </w:p>
    <w:p>
      <w:pPr>
        <w:pStyle w:val="yFootnotesection"/>
      </w:pPr>
      <w:r>
        <w:tab/>
        <w:t>[Clause 39 inserted: No. 24 of 2018 s. 15.]</w:t>
      </w:r>
    </w:p>
    <w:p>
      <w:pPr>
        <w:pStyle w:val="yHeading5"/>
      </w:pPr>
      <w:bookmarkStart w:id="2126" w:name="_Toc201229448"/>
      <w:bookmarkStart w:id="2127" w:name="_Toc182410513"/>
      <w:r>
        <w:rPr>
          <w:rStyle w:val="CharSClsNo"/>
        </w:rPr>
        <w:t>40</w:t>
      </w:r>
      <w:r>
        <w:t>.</w:t>
      </w:r>
      <w:r>
        <w:tab/>
        <w:t>When Ch. 3A Pt. 2 starts to apply</w:t>
      </w:r>
      <w:bookmarkEnd w:id="2126"/>
      <w:bookmarkEnd w:id="2127"/>
    </w:p>
    <w:p>
      <w:pPr>
        <w:pStyle w:val="ySubsection"/>
        <w:spacing w:before="200"/>
      </w:pPr>
      <w:r>
        <w:tab/>
      </w:r>
      <w:r>
        <w:tab/>
        <w:t>Chapter 3A Part 2 applies in relation to the imposition of foreign transfer duty on a foreign dutiable transaction only if that transaction takes place on or after 1 January 2019.</w:t>
      </w:r>
    </w:p>
    <w:p>
      <w:pPr>
        <w:pStyle w:val="yFootnotesection"/>
      </w:pPr>
      <w:r>
        <w:tab/>
        <w:t>[Clause 40 inserted: No. 24 of 2018 s. 15.]</w:t>
      </w:r>
    </w:p>
    <w:p>
      <w:pPr>
        <w:pStyle w:val="yHeading5"/>
      </w:pPr>
      <w:bookmarkStart w:id="2128" w:name="_Toc201229449"/>
      <w:bookmarkStart w:id="2129" w:name="_Toc182410514"/>
      <w:r>
        <w:rPr>
          <w:rStyle w:val="CharSClsNo"/>
        </w:rPr>
        <w:t>41</w:t>
      </w:r>
      <w:r>
        <w:t>.</w:t>
      </w:r>
      <w:r>
        <w:tab/>
        <w:t>Agreements entered into before 1 January 2019</w:t>
      </w:r>
      <w:bookmarkEnd w:id="2128"/>
      <w:bookmarkEnd w:id="2129"/>
    </w:p>
    <w:p>
      <w:pPr>
        <w:pStyle w:val="ySubsection"/>
        <w:spacing w:before="200"/>
      </w:pPr>
      <w:r>
        <w:tab/>
        <w:t>(1)</w:t>
      </w:r>
      <w:r>
        <w:tab/>
        <w:t>Foreign transfer duty is not chargeable on a transfer of residential property to a transferee in conformity with an agreement for the transfer of residential property if the agreement is entered into before 1 January 2019.</w:t>
      </w:r>
    </w:p>
    <w:p>
      <w:pPr>
        <w:pStyle w:val="ySubsection"/>
        <w:spacing w:before="200"/>
      </w:pPr>
      <w:r>
        <w:tab/>
        <w:t>(2)</w:t>
      </w:r>
      <w:r>
        <w:tab/>
        <w:t>If an agreement for the transfer of residential property is entered into before 1 January 2019, foreign transfer duty is not chargeable on the subsequent transfer of the property if, when liability for transfer duty on the agreement arose, the person named in the instrument effecting, or evidencing, the agreement as the purchaser was acting as the agent of the transferee of the subsequent transfer.</w:t>
      </w:r>
    </w:p>
    <w:p>
      <w:pPr>
        <w:pStyle w:val="yFootnotesection"/>
      </w:pPr>
      <w:r>
        <w:tab/>
        <w:t>[Clause 41 inserted: No. 24 of 2018 s. 15.]</w:t>
      </w:r>
    </w:p>
    <w:p>
      <w:pPr>
        <w:pStyle w:val="yHeading5"/>
      </w:pPr>
      <w:bookmarkStart w:id="2130" w:name="_Toc201229450"/>
      <w:bookmarkStart w:id="2131" w:name="_Toc182410515"/>
      <w:r>
        <w:rPr>
          <w:rStyle w:val="CharSClsNo"/>
        </w:rPr>
        <w:t>42</w:t>
      </w:r>
      <w:r>
        <w:t>.</w:t>
      </w:r>
      <w:r>
        <w:tab/>
        <w:t>Declaration of trusts made before 1 January 2019</w:t>
      </w:r>
      <w:bookmarkEnd w:id="2130"/>
      <w:bookmarkEnd w:id="2131"/>
    </w:p>
    <w:p>
      <w:pPr>
        <w:pStyle w:val="ySubsection"/>
      </w:pPr>
      <w:r>
        <w:tab/>
        <w:t>(1)</w:t>
      </w:r>
      <w:r>
        <w:tab/>
        <w:t>Foreign transfer duty is not chargeable on a transfer to a trustee of residential property subject to a declaration of trust in respect of the same residential property if the declaration of trust was made before 1 January 2019.</w:t>
      </w:r>
    </w:p>
    <w:p>
      <w:pPr>
        <w:pStyle w:val="ySubsection"/>
      </w:pPr>
      <w:r>
        <w:tab/>
        <w:t>(2)</w:t>
      </w:r>
      <w:r>
        <w:tab/>
        <w:t>Foreign transfer duty is not chargeable on a declaration of trust that declares the same trusts as those upon and subject to which the same residential property was transferred, or agreed to be transferred, to the person declaring the trust if the transfer, or agreement, was made before 1 January 2019.</w:t>
      </w:r>
    </w:p>
    <w:p>
      <w:pPr>
        <w:pStyle w:val="ySubsection"/>
      </w:pPr>
      <w:r>
        <w:tab/>
        <w:t>(3)</w:t>
      </w:r>
      <w:r>
        <w:tab/>
        <w:t xml:space="preserve">Foreign transfer duty is not chargeable on a declaration of trust if — </w:t>
      </w:r>
    </w:p>
    <w:p>
      <w:pPr>
        <w:pStyle w:val="yIndenta"/>
      </w:pPr>
      <w:r>
        <w:tab/>
        <w:t>(a)</w:t>
      </w:r>
      <w:r>
        <w:tab/>
        <w:t>the declaration of trust supersedes another declaration of trust which was made before 1 January 2019 and declares the same trusts as were declared under the superseded declaration of trust; and</w:t>
      </w:r>
    </w:p>
    <w:p>
      <w:pPr>
        <w:pStyle w:val="yIndenta"/>
      </w:pPr>
      <w:r>
        <w:tab/>
        <w:t>(b)</w:t>
      </w:r>
      <w:r>
        <w:tab/>
        <w:t>the beneficiary under the declaration of trust is the same as under the superseded declaration of trust; and</w:t>
      </w:r>
    </w:p>
    <w:p>
      <w:pPr>
        <w:pStyle w:val="yIndenta"/>
      </w:pPr>
      <w:r>
        <w:tab/>
        <w:t>(c)</w:t>
      </w:r>
      <w:r>
        <w:tab/>
        <w:t xml:space="preserve">the residential property subject to the declaration of trust — </w:t>
      </w:r>
    </w:p>
    <w:p>
      <w:pPr>
        <w:pStyle w:val="yIndenti0"/>
      </w:pPr>
      <w:r>
        <w:tab/>
        <w:t>(i)</w:t>
      </w:r>
      <w:r>
        <w:tab/>
        <w:t>is wholly or substantially the same as the property that was the subject of the superseded declaration of trust at the time of the declaration of the superseded declaration of trust; or</w:t>
      </w:r>
    </w:p>
    <w:p>
      <w:pPr>
        <w:pStyle w:val="yIndenti0"/>
      </w:pPr>
      <w:r>
        <w:tab/>
        <w:t>(ii)</w:t>
      </w:r>
      <w:r>
        <w:tab/>
        <w:t>represents the proceeds of re</w:t>
      </w:r>
      <w:r>
        <w:noBreakHyphen/>
        <w:t>investment of property that was the subject of the superseded declaration of trust at the time of the declaration of the superseded declaration of trust; or</w:t>
      </w:r>
    </w:p>
    <w:p>
      <w:pPr>
        <w:pStyle w:val="yIndenti0"/>
      </w:pPr>
      <w:r>
        <w:tab/>
        <w:t>(iii)</w:t>
      </w:r>
      <w:r>
        <w:tab/>
        <w:t>is property to which both subparagraphs (i) and (ii) apply.</w:t>
      </w:r>
    </w:p>
    <w:p>
      <w:pPr>
        <w:pStyle w:val="yFootnotesection"/>
      </w:pPr>
      <w:r>
        <w:tab/>
        <w:t>[Clause 42 inserted: No. 24 of 2018 s. 15.]</w:t>
      </w:r>
    </w:p>
    <w:p>
      <w:pPr>
        <w:pStyle w:val="yHeading5"/>
      </w:pPr>
      <w:bookmarkStart w:id="2132" w:name="_Toc201229451"/>
      <w:bookmarkStart w:id="2133" w:name="_Toc182410516"/>
      <w:r>
        <w:rPr>
          <w:rStyle w:val="CharSClsNo"/>
        </w:rPr>
        <w:t>43</w:t>
      </w:r>
      <w:r>
        <w:t>.</w:t>
      </w:r>
      <w:r>
        <w:tab/>
        <w:t>Other transactions before 1 January 2019</w:t>
      </w:r>
      <w:bookmarkEnd w:id="2132"/>
      <w:bookmarkEnd w:id="2133"/>
    </w:p>
    <w:p>
      <w:pPr>
        <w:pStyle w:val="ySubsection"/>
      </w:pPr>
      <w:r>
        <w:tab/>
        <w:t>(1)</w:t>
      </w:r>
      <w:r>
        <w:tab/>
        <w:t>Foreign transfer duty is not chargeable on a transfer of residential property resulting from a foreign dutiable transaction referred to in section 205H(1)(d) if the vesting of the residential property was made before 1 January 2019.</w:t>
      </w:r>
    </w:p>
    <w:p>
      <w:pPr>
        <w:pStyle w:val="ySubsection"/>
      </w:pPr>
      <w:r>
        <w:tab/>
        <w:t>(2)</w:t>
      </w:r>
      <w:r>
        <w:tab/>
        <w:t>Foreign transfer duty is not chargeable on a transfer of residential property in accordance with a foreclosure order if the foreclosure order was made before 1 January 2019.</w:t>
      </w:r>
    </w:p>
    <w:p>
      <w:pPr>
        <w:pStyle w:val="ySubsection"/>
      </w:pPr>
      <w:r>
        <w:tab/>
        <w:t>(3)</w:t>
      </w:r>
      <w:r>
        <w:tab/>
        <w:t>Foreign transfer duty is not chargeable on a transfer of residential property in accordance with a residential partnership acquisition if the residential partnership acquisition was made before 1 January 2019.</w:t>
      </w:r>
    </w:p>
    <w:p>
      <w:pPr>
        <w:pStyle w:val="ySubsection"/>
      </w:pPr>
      <w:r>
        <w:tab/>
        <w:t>(4)</w:t>
      </w:r>
      <w:r>
        <w:tab/>
        <w:t xml:space="preserve">Foreign transfer duty is not chargeable on a foreign dutiable transaction if — </w:t>
      </w:r>
    </w:p>
    <w:p>
      <w:pPr>
        <w:pStyle w:val="yIndenta"/>
      </w:pPr>
      <w:r>
        <w:tab/>
        <w:t>(a)</w:t>
      </w:r>
      <w:r>
        <w:tab/>
        <w:t>section 97 applies to the transaction and the person from whom the property is transferred or agreed to be transferred acquired the property before 1 January 2019; or</w:t>
      </w:r>
    </w:p>
    <w:p>
      <w:pPr>
        <w:pStyle w:val="yIndenta"/>
      </w:pPr>
      <w:r>
        <w:tab/>
        <w:t>(b)</w:t>
      </w:r>
      <w:r>
        <w:tab/>
        <w:t>section 114, 115 or 116 applies to the transaction and the trustee acquired the property before 1 January 2019; or</w:t>
      </w:r>
    </w:p>
    <w:p>
      <w:pPr>
        <w:pStyle w:val="yIndenta"/>
      </w:pPr>
      <w:r>
        <w:tab/>
        <w:t>(c)</w:t>
      </w:r>
      <w:r>
        <w:tab/>
        <w:t>section 117(1)(a) or (b) applies to the transaction and the apparent purchaser acquired the property before 1 January 2019.</w:t>
      </w:r>
    </w:p>
    <w:p>
      <w:pPr>
        <w:pStyle w:val="yFootnotesection"/>
      </w:pPr>
      <w:r>
        <w:tab/>
        <w:t>[Clause 43 inserted: No. 24 of 2018 s. 15.]</w:t>
      </w:r>
    </w:p>
    <w:p>
      <w:pPr>
        <w:pStyle w:val="yHeading5"/>
      </w:pPr>
      <w:bookmarkStart w:id="2134" w:name="_Toc201229452"/>
      <w:bookmarkStart w:id="2135" w:name="_Toc182410517"/>
      <w:r>
        <w:rPr>
          <w:rStyle w:val="CharSClsNo"/>
        </w:rPr>
        <w:t>44</w:t>
      </w:r>
      <w:r>
        <w:t>.</w:t>
      </w:r>
      <w:r>
        <w:tab/>
        <w:t>When Ch. 3A Pt. 3 starts to apply</w:t>
      </w:r>
      <w:bookmarkEnd w:id="2134"/>
      <w:bookmarkEnd w:id="2135"/>
    </w:p>
    <w:p>
      <w:pPr>
        <w:pStyle w:val="ySubsection"/>
      </w:pPr>
      <w:r>
        <w:tab/>
        <w:t>(1)</w:t>
      </w:r>
      <w:r>
        <w:tab/>
        <w:t>Chapter 3A Part 3 applies in relation to the imposition of foreign landholder duty on a foreign landholder acquisition only if that acquisition occurs on or after 1 January 2019.</w:t>
      </w:r>
    </w:p>
    <w:p>
      <w:pPr>
        <w:pStyle w:val="ySubsection"/>
      </w:pPr>
      <w:r>
        <w:tab/>
        <w:t>(2)</w:t>
      </w:r>
      <w:r>
        <w:tab/>
        <w:t>For the purposes of subsection (1), when an acquisition of an interest in a residential landholder occurs is to be determined under section 176 as applied by section 205ZE(1).</w:t>
      </w:r>
    </w:p>
    <w:p>
      <w:pPr>
        <w:pStyle w:val="yFootnotesection"/>
        <w:keepLines w:val="0"/>
      </w:pPr>
      <w:r>
        <w:tab/>
        <w:t>[Clause 44 inserted: No. 24 of 2018 s. 15.]</w:t>
      </w:r>
    </w:p>
    <w:p>
      <w:pPr>
        <w:pStyle w:val="yHeading5"/>
      </w:pPr>
      <w:bookmarkStart w:id="2136" w:name="_Toc201229453"/>
      <w:bookmarkStart w:id="2137" w:name="_Toc182410518"/>
      <w:r>
        <w:rPr>
          <w:rStyle w:val="CharSClsNo"/>
        </w:rPr>
        <w:t>45</w:t>
      </w:r>
      <w:r>
        <w:t>.</w:t>
      </w:r>
      <w:r>
        <w:tab/>
        <w:t>Application of some Ch. 8 provisions</w:t>
      </w:r>
      <w:bookmarkEnd w:id="2136"/>
      <w:bookmarkEnd w:id="2137"/>
    </w:p>
    <w:p>
      <w:pPr>
        <w:pStyle w:val="ySubsection"/>
        <w:keepNext/>
        <w:keepLines/>
      </w:pPr>
      <w:r>
        <w:tab/>
        <w:t>(1)</w:t>
      </w:r>
      <w:r>
        <w:tab/>
        <w:t xml:space="preserve">Sections 272(2) and 273 as in force before the commencement of the </w:t>
      </w:r>
      <w:r>
        <w:rPr>
          <w:i/>
        </w:rPr>
        <w:t>Duties Amendment (Additional Duty for Foreign Persons) Act 2018</w:t>
      </w:r>
      <w:r>
        <w:t xml:space="preserve"> section 15 apply in relation to a dutiable transaction that takes place before 1 January 2019.</w:t>
      </w:r>
    </w:p>
    <w:p>
      <w:pPr>
        <w:pStyle w:val="ySubsection"/>
      </w:pPr>
      <w:r>
        <w:tab/>
        <w:t>(2)</w:t>
      </w:r>
      <w:r>
        <w:tab/>
        <w:t>Section 273(2A) applies in relation to a foreign dutiable transaction only if that transaction takes place on or after 1 January 2019.</w:t>
      </w:r>
    </w:p>
    <w:p>
      <w:pPr>
        <w:pStyle w:val="yFootnotesection"/>
      </w:pPr>
      <w:r>
        <w:tab/>
        <w:t>[Clause 45 inserted: No. 24 of 2018 s. 15.]</w:t>
      </w:r>
    </w:p>
    <w:p>
      <w:pPr>
        <w:pStyle w:val="yHeading3"/>
      </w:pPr>
      <w:bookmarkStart w:id="2138" w:name="_Toc201218383"/>
      <w:bookmarkStart w:id="2139" w:name="_Toc201224756"/>
      <w:bookmarkStart w:id="2140" w:name="_Toc201229454"/>
      <w:bookmarkStart w:id="2141" w:name="_Toc182389059"/>
      <w:bookmarkStart w:id="2142" w:name="_Toc182389721"/>
      <w:bookmarkStart w:id="2143" w:name="_Toc182410519"/>
      <w:r>
        <w:rPr>
          <w:rStyle w:val="CharSDivNo"/>
        </w:rPr>
        <w:t>Division 9</w:t>
      </w:r>
      <w:r>
        <w:t> — </w:t>
      </w:r>
      <w:r>
        <w:rPr>
          <w:rStyle w:val="CharSDivText"/>
        </w:rPr>
        <w:t xml:space="preserve">Provisions for </w:t>
      </w:r>
      <w:r>
        <w:rPr>
          <w:rStyle w:val="CharSDivText"/>
          <w:i/>
        </w:rPr>
        <w:t>Revenue Laws Amendment Act 2019</w:t>
      </w:r>
      <w:bookmarkEnd w:id="2138"/>
      <w:bookmarkEnd w:id="2139"/>
      <w:bookmarkEnd w:id="2140"/>
      <w:bookmarkEnd w:id="2141"/>
      <w:bookmarkEnd w:id="2142"/>
      <w:bookmarkEnd w:id="2143"/>
    </w:p>
    <w:p>
      <w:pPr>
        <w:pStyle w:val="Footnoteheading"/>
      </w:pPr>
      <w:r>
        <w:tab/>
        <w:t>[Heading inserted: No. 12 of 2019 s. 132.]</w:t>
      </w:r>
    </w:p>
    <w:p>
      <w:pPr>
        <w:pStyle w:val="yHeading5"/>
      </w:pPr>
      <w:bookmarkStart w:id="2144" w:name="_Toc201229455"/>
      <w:bookmarkStart w:id="2145" w:name="_Toc182410520"/>
      <w:r>
        <w:rPr>
          <w:rStyle w:val="CharSClsNo"/>
        </w:rPr>
        <w:t>46</w:t>
      </w:r>
      <w:r>
        <w:t>.</w:t>
      </w:r>
      <w:r>
        <w:tab/>
        <w:t>Terms used</w:t>
      </w:r>
      <w:bookmarkEnd w:id="2144"/>
      <w:bookmarkEnd w:id="2145"/>
    </w:p>
    <w:p>
      <w:pPr>
        <w:pStyle w:val="ySubsection"/>
      </w:pPr>
      <w:r>
        <w:tab/>
        <w:t>(1)</w:t>
      </w:r>
      <w:r>
        <w:tab/>
        <w:t xml:space="preserve">In this Division — </w:t>
      </w:r>
    </w:p>
    <w:p>
      <w:pPr>
        <w:pStyle w:val="yDefstart"/>
      </w:pPr>
      <w:r>
        <w:tab/>
      </w:r>
      <w:r>
        <w:rPr>
          <w:rStyle w:val="CharDefText"/>
        </w:rPr>
        <w:t>commencement day</w:t>
      </w:r>
      <w:r>
        <w:t xml:space="preserve"> means the day on which the </w:t>
      </w:r>
      <w:r>
        <w:rPr>
          <w:i/>
        </w:rPr>
        <w:t>Revenue Laws Amendment Act 2019</w:t>
      </w:r>
      <w:r>
        <w:t xml:space="preserve"> Part 2 comes into operation;</w:t>
      </w:r>
    </w:p>
    <w:p>
      <w:pPr>
        <w:pStyle w:val="yDefstart"/>
      </w:pPr>
      <w:r>
        <w:tab/>
      </w:r>
      <w:r>
        <w:rPr>
          <w:rStyle w:val="CharDefText"/>
        </w:rPr>
        <w:t>transaction</w:t>
      </w:r>
      <w:r>
        <w:t xml:space="preserve"> means any transaction, transfer, acquisition or other matter of a kind on which duty is or may be chargeable under this Act and includes the following — </w:t>
      </w:r>
    </w:p>
    <w:p>
      <w:pPr>
        <w:pStyle w:val="yDefpara"/>
      </w:pPr>
      <w:r>
        <w:tab/>
        <w:t>(a)</w:t>
      </w:r>
      <w:r>
        <w:tab/>
        <w:t>a transaction of a kind referred to in section 11 (including a transaction that would be a dutiable transaction if it related to dutiable property, new dutiable property or special dutiable property);</w:t>
      </w:r>
    </w:p>
    <w:p>
      <w:pPr>
        <w:pStyle w:val="yDefpara"/>
      </w:pPr>
      <w:r>
        <w:tab/>
        <w:t>(b)</w:t>
      </w:r>
      <w:r>
        <w:tab/>
        <w:t>an acquisition of an interest in an entity for the purposes of Chapter 3 or Chapter 3A Part 3;</w:t>
      </w:r>
    </w:p>
    <w:p>
      <w:pPr>
        <w:pStyle w:val="yDefpara"/>
      </w:pPr>
      <w:r>
        <w:tab/>
        <w:t>(c)</w:t>
      </w:r>
      <w:r>
        <w:tab/>
        <w:t>a transaction of a kind referred to in section 205H (including a transaction that would be a foreign dutiable transaction if it related to residential property, special residential property or new residential property);</w:t>
      </w:r>
    </w:p>
    <w:p>
      <w:pPr>
        <w:pStyle w:val="yDefpara"/>
      </w:pPr>
      <w:r>
        <w:tab/>
        <w:t>(d)</w:t>
      </w:r>
      <w:r>
        <w:tab/>
        <w:t>the grant or transfer of a licence for a vehicle for the purposes of Chapter 5.</w:t>
      </w:r>
    </w:p>
    <w:p>
      <w:pPr>
        <w:pStyle w:val="ySubsection"/>
      </w:pPr>
      <w:r>
        <w:tab/>
        <w:t>(2)</w:t>
      </w:r>
      <w:r>
        <w:tab/>
        <w:t>In this Division a reference to doing anything includes omitting to do anything.</w:t>
      </w:r>
    </w:p>
    <w:p>
      <w:pPr>
        <w:pStyle w:val="ySubsection"/>
        <w:keepNext/>
      </w:pPr>
      <w:r>
        <w:tab/>
        <w:t>(3)</w:t>
      </w:r>
      <w:r>
        <w:tab/>
        <w:t xml:space="preserve">For the purposes of this Division — </w:t>
      </w:r>
    </w:p>
    <w:p>
      <w:pPr>
        <w:pStyle w:val="yIndenta"/>
      </w:pPr>
      <w:r>
        <w:tab/>
        <w:t>(a)</w:t>
      </w:r>
      <w:r>
        <w:tab/>
        <w:t>when an acquisition of an interest in an entity for the purposes of Chapter 3 occurs is to be determined under section 176; and</w:t>
      </w:r>
    </w:p>
    <w:p>
      <w:pPr>
        <w:pStyle w:val="yIndenta"/>
      </w:pPr>
      <w:r>
        <w:tab/>
        <w:t>(b)</w:t>
      </w:r>
      <w:r>
        <w:tab/>
        <w:t>when an acquisition of an interest in an entity for the purposes of Chapter 3A Part 3 occurs is to be determined under section 176 as applied by section 205ZE(1).</w:t>
      </w:r>
    </w:p>
    <w:p>
      <w:pPr>
        <w:pStyle w:val="yFootnotesection"/>
      </w:pPr>
      <w:r>
        <w:tab/>
        <w:t>[Clause 46 inserted: No. 12 of 2019 s. 132.]</w:t>
      </w:r>
    </w:p>
    <w:p>
      <w:pPr>
        <w:pStyle w:val="yHeading5"/>
      </w:pPr>
      <w:bookmarkStart w:id="2146" w:name="_Toc201229456"/>
      <w:bookmarkStart w:id="2147" w:name="_Toc182410521"/>
      <w:r>
        <w:rPr>
          <w:rStyle w:val="CharSClsNo"/>
        </w:rPr>
        <w:t>47</w:t>
      </w:r>
      <w:r>
        <w:t>.</w:t>
      </w:r>
      <w:r>
        <w:tab/>
        <w:t xml:space="preserve">Application of amendments made by </w:t>
      </w:r>
      <w:r>
        <w:rPr>
          <w:i/>
        </w:rPr>
        <w:t>Revenue Laws Amendment Act 2019</w:t>
      </w:r>
      <w:bookmarkEnd w:id="2146"/>
      <w:bookmarkEnd w:id="2147"/>
    </w:p>
    <w:p>
      <w:pPr>
        <w:pStyle w:val="ySubsection"/>
      </w:pPr>
      <w:r>
        <w:tab/>
        <w:t>(1)</w:t>
      </w:r>
      <w:r>
        <w:tab/>
        <w:t xml:space="preserve">The amendments made by the </w:t>
      </w:r>
      <w:r>
        <w:rPr>
          <w:i/>
        </w:rPr>
        <w:t>Revenue Laws Amendment Act 2019</w:t>
      </w:r>
      <w:r>
        <w:t xml:space="preserve"> apply in relation to the imposition of duty on transactions that occur on or after commencement day.</w:t>
      </w:r>
    </w:p>
    <w:p>
      <w:pPr>
        <w:pStyle w:val="ySubsection"/>
      </w:pPr>
      <w:r>
        <w:tab/>
        <w:t>(2)</w:t>
      </w:r>
      <w:r>
        <w:tab/>
        <w:t>Sections 155(4), 156A, 204D(2)(d) and 204F (including sections 156A and 204F as applied by section 205ZE(1)) do not apply in relation to acquisitions that together form, evidence, give effect to or arise from what is, substantially one arrangement unless each of those acquisitions occurs on or after commencement day.</w:t>
      </w:r>
    </w:p>
    <w:p>
      <w:pPr>
        <w:pStyle w:val="ySubsection"/>
      </w:pPr>
      <w:r>
        <w:tab/>
        <w:t>(3)</w:t>
      </w:r>
      <w:r>
        <w:tab/>
        <w:t>Section 91C(3) does not apply in relation to transactions that together form, evidence, give effect to, or arise from what is, substantially one arrangement unless each of those transactions occurs on or after commencement day.</w:t>
      </w:r>
    </w:p>
    <w:p>
      <w:pPr>
        <w:pStyle w:val="ySubsection"/>
      </w:pPr>
      <w:r>
        <w:tab/>
        <w:t>(4)</w:t>
      </w:r>
      <w:r>
        <w:tab/>
        <w:t xml:space="preserve">Sections 14(3) and 91C(4) do not apply in relation to a transaction and an acquisition or agreement that together form, evidence, give effect to, or arise from what is, substantially one arrangement unless each of the transaction and the acquisition or agreement occurs on or after commencement day. </w:t>
      </w:r>
    </w:p>
    <w:p>
      <w:pPr>
        <w:pStyle w:val="ySubsection"/>
      </w:pPr>
      <w:r>
        <w:tab/>
        <w:t>(5)</w:t>
      </w:r>
      <w:r>
        <w:tab/>
        <w:t>This clause has effect subject to the other provisions of this Division.</w:t>
      </w:r>
    </w:p>
    <w:p>
      <w:pPr>
        <w:pStyle w:val="yFootnotesection"/>
      </w:pPr>
      <w:r>
        <w:tab/>
        <w:t>[Clause 47 inserted: No. 12 of 2019 s. 132.]</w:t>
      </w:r>
    </w:p>
    <w:p>
      <w:pPr>
        <w:pStyle w:val="yHeading5"/>
      </w:pPr>
      <w:bookmarkStart w:id="2148" w:name="_Toc201229457"/>
      <w:bookmarkStart w:id="2149" w:name="_Toc182410522"/>
      <w:r>
        <w:rPr>
          <w:rStyle w:val="CharSClsNo"/>
        </w:rPr>
        <w:t>48</w:t>
      </w:r>
      <w:r>
        <w:t>.</w:t>
      </w:r>
      <w:r>
        <w:tab/>
        <w:t xml:space="preserve">Definition of </w:t>
      </w:r>
      <w:r>
        <w:rPr>
          <w:i/>
        </w:rPr>
        <w:t>land</w:t>
      </w:r>
      <w:r>
        <w:t xml:space="preserve"> taken always to have included pastoral leases</w:t>
      </w:r>
      <w:bookmarkEnd w:id="2148"/>
      <w:bookmarkEnd w:id="2149"/>
    </w:p>
    <w:p>
      <w:pPr>
        <w:pStyle w:val="ySubsection"/>
        <w:keepNext/>
        <w:keepLines/>
      </w:pPr>
      <w:r>
        <w:tab/>
        <w:t>(1)</w:t>
      </w:r>
      <w:r>
        <w:tab/>
        <w:t xml:space="preserve">In this clause — </w:t>
      </w:r>
    </w:p>
    <w:p>
      <w:pPr>
        <w:pStyle w:val="yDefstart"/>
      </w:pPr>
      <w:r>
        <w:tab/>
      </w:r>
      <w:r>
        <w:rPr>
          <w:rStyle w:val="CharDefText"/>
        </w:rPr>
        <w:t>pre</w:t>
      </w:r>
      <w:r>
        <w:rPr>
          <w:rStyle w:val="CharDefText"/>
        </w:rPr>
        <w:noBreakHyphen/>
        <w:t>commencement period</w:t>
      </w:r>
      <w:r>
        <w:t xml:space="preserve"> means the period beginning on 1 July 2008 and ending immediately before commencement day.</w:t>
      </w:r>
    </w:p>
    <w:p>
      <w:pPr>
        <w:pStyle w:val="ySubsection"/>
      </w:pPr>
      <w:r>
        <w:tab/>
        <w:t>(2)</w:t>
      </w:r>
      <w:r>
        <w:tab/>
        <w:t>This Act is taken, for all purposes, to have applied during the pre</w:t>
      </w:r>
      <w:r>
        <w:noBreakHyphen/>
        <w:t xml:space="preserve">commencement period as if the definition of </w:t>
      </w:r>
      <w:r>
        <w:rPr>
          <w:rStyle w:val="CharDefText"/>
        </w:rPr>
        <w:t>land</w:t>
      </w:r>
      <w:r>
        <w:t xml:space="preserve"> in force for the purposes of this Act had, at all times during the pre</w:t>
      </w:r>
      <w:r>
        <w:noBreakHyphen/>
        <w:t xml:space="preserve">commencement period, included an express statement that </w:t>
      </w:r>
      <w:r>
        <w:rPr>
          <w:rStyle w:val="CharDefText"/>
        </w:rPr>
        <w:t>land</w:t>
      </w:r>
      <w:r>
        <w:t xml:space="preserve"> includes a pastoral lease and an interest of a pastoral lessee under a pastoral lease.</w:t>
      </w:r>
    </w:p>
    <w:p>
      <w:pPr>
        <w:pStyle w:val="ySubsection"/>
      </w:pPr>
      <w:r>
        <w:tab/>
        <w:t>(3)</w:t>
      </w:r>
      <w:r>
        <w:tab/>
        <w:t>Without limiting subclause (2), an assessment of duty chargeable under this Act made, or purported to be made, in the pre</w:t>
      </w:r>
      <w:r>
        <w:noBreakHyphen/>
        <w:t xml:space="preserve">commencement period is, and is taken to have always been, as valid and effective as it would have been if, when the liability for duty arose, the definition of </w:t>
      </w:r>
      <w:r>
        <w:rPr>
          <w:rStyle w:val="CharDefText"/>
        </w:rPr>
        <w:t>land</w:t>
      </w:r>
      <w:r>
        <w:rPr>
          <w:b/>
        </w:rPr>
        <w:t xml:space="preserve"> </w:t>
      </w:r>
      <w:r>
        <w:t>in force for the purposes of this Act had included the statement referred to in subclause (2).</w:t>
      </w:r>
    </w:p>
    <w:p>
      <w:pPr>
        <w:pStyle w:val="ySubsection"/>
      </w:pPr>
      <w:r>
        <w:tab/>
        <w:t>(4)</w:t>
      </w:r>
      <w:r>
        <w:tab/>
        <w:t>Without limiting subclause (2), if a transaction occurred during the pre</w:t>
      </w:r>
      <w:r>
        <w:noBreakHyphen/>
        <w:t xml:space="preserve">commencement period, but an assessment of duty in relation to the transaction was not made before commencement day, an assessment of duty made on or after commencement day in relation to the transaction is to be made as if, when the transaction occurred, the definition of </w:t>
      </w:r>
      <w:r>
        <w:rPr>
          <w:rStyle w:val="CharDefText"/>
        </w:rPr>
        <w:t>land</w:t>
      </w:r>
      <w:r>
        <w:rPr>
          <w:b/>
        </w:rPr>
        <w:t xml:space="preserve"> </w:t>
      </w:r>
      <w:r>
        <w:t>in force for the purposes of this Act had included the statement referred to in subclause (2).</w:t>
      </w:r>
    </w:p>
    <w:p>
      <w:pPr>
        <w:pStyle w:val="yFootnotesection"/>
      </w:pPr>
      <w:r>
        <w:tab/>
        <w:t>[Clause 48 inserted: No. 12 of 2019 s. 132.]</w:t>
      </w:r>
    </w:p>
    <w:p>
      <w:pPr>
        <w:pStyle w:val="yHeading5"/>
      </w:pPr>
      <w:bookmarkStart w:id="2150" w:name="_Toc201229458"/>
      <w:bookmarkStart w:id="2151" w:name="_Toc182410523"/>
      <w:r>
        <w:rPr>
          <w:rStyle w:val="CharSClsNo"/>
        </w:rPr>
        <w:t>49</w:t>
      </w:r>
      <w:r>
        <w:t>.</w:t>
      </w:r>
      <w:r>
        <w:tab/>
        <w:t>Validation of administration agreements entered into before commencement day</w:t>
      </w:r>
      <w:bookmarkEnd w:id="2150"/>
      <w:bookmarkEnd w:id="2151"/>
    </w:p>
    <w:p>
      <w:pPr>
        <w:pStyle w:val="ySubsection"/>
        <w:keepNext/>
      </w:pPr>
      <w:r>
        <w:tab/>
        <w:t>(1)</w:t>
      </w:r>
      <w:r>
        <w:tab/>
        <w:t xml:space="preserve">In this clause — </w:t>
      </w:r>
    </w:p>
    <w:p>
      <w:pPr>
        <w:pStyle w:val="yDefstart"/>
      </w:pPr>
      <w:r>
        <w:tab/>
      </w:r>
      <w:r>
        <w:rPr>
          <w:rStyle w:val="CharDefText"/>
        </w:rPr>
        <w:t>previous administration agreement</w:t>
      </w:r>
      <w:r>
        <w:t xml:space="preserve"> means an administration agreement entered into under the </w:t>
      </w:r>
      <w:r>
        <w:rPr>
          <w:i/>
        </w:rPr>
        <w:t>First Home Owner Grant Act 2000</w:t>
      </w:r>
      <w:r>
        <w:t xml:space="preserve"> section 37 on or after 3 October 2015 and before commencement day.</w:t>
      </w:r>
    </w:p>
    <w:p>
      <w:pPr>
        <w:pStyle w:val="ySubsection"/>
        <w:keepNext/>
      </w:pPr>
      <w:r>
        <w:tab/>
        <w:t>(2)</w:t>
      </w:r>
      <w:r>
        <w:tab/>
        <w:t xml:space="preserve">A previous administration agreement entered into, or purported to be entered into, is, and is taken to have always been, as valid and effective as it would have been if the amendment made by the </w:t>
      </w:r>
      <w:r>
        <w:rPr>
          <w:i/>
        </w:rPr>
        <w:t>Revenue Laws Amendment Act 2019</w:t>
      </w:r>
      <w:r>
        <w:t> section 52 had been in force when the agreement was entered into.</w:t>
      </w:r>
    </w:p>
    <w:p>
      <w:pPr>
        <w:pStyle w:val="yFootnotesection"/>
      </w:pPr>
      <w:r>
        <w:tab/>
        <w:t>[Clause 49 inserted: No. 12 of 2019 s. 132.]</w:t>
      </w:r>
    </w:p>
    <w:p>
      <w:pPr>
        <w:pStyle w:val="yHeading5"/>
      </w:pPr>
      <w:bookmarkStart w:id="2152" w:name="_Toc201229459"/>
      <w:bookmarkStart w:id="2153" w:name="_Toc182410524"/>
      <w:r>
        <w:rPr>
          <w:rStyle w:val="CharSClsNo"/>
        </w:rPr>
        <w:t>50</w:t>
      </w:r>
      <w:r>
        <w:t>.</w:t>
      </w:r>
      <w:r>
        <w:tab/>
        <w:t>Transfers of vehicle licences between spouses between 1 July 2014 and commencement day</w:t>
      </w:r>
      <w:bookmarkEnd w:id="2152"/>
      <w:bookmarkEnd w:id="2153"/>
    </w:p>
    <w:p>
      <w:pPr>
        <w:pStyle w:val="ySubsection"/>
        <w:keepNext/>
      </w:pPr>
      <w:r>
        <w:tab/>
        <w:t>(1)</w:t>
      </w:r>
      <w:r>
        <w:tab/>
        <w:t xml:space="preserve">In this clause — </w:t>
      </w:r>
    </w:p>
    <w:p>
      <w:pPr>
        <w:pStyle w:val="yDefstart"/>
      </w:pPr>
      <w:r>
        <w:tab/>
      </w:r>
      <w:r>
        <w:rPr>
          <w:rStyle w:val="CharDefText"/>
        </w:rPr>
        <w:t>amended section 244A</w:t>
      </w:r>
      <w:r>
        <w:t xml:space="preserve"> means section 244A as in force immediately after the coming into operation of the </w:t>
      </w:r>
      <w:r>
        <w:rPr>
          <w:i/>
        </w:rPr>
        <w:t>Revenue Laws Amendment Act 2019</w:t>
      </w:r>
      <w:r>
        <w:t xml:space="preserve"> section 117;</w:t>
      </w:r>
    </w:p>
    <w:p>
      <w:pPr>
        <w:pStyle w:val="yDefstart"/>
        <w:keepNext/>
      </w:pPr>
      <w:r>
        <w:tab/>
      </w:r>
      <w:r>
        <w:rPr>
          <w:rStyle w:val="CharDefText"/>
        </w:rPr>
        <w:t>relevant vehicle licence transfer</w:t>
      </w:r>
      <w:r>
        <w:t xml:space="preserve"> means the transfer of a licence for a vehicle if — </w:t>
      </w:r>
    </w:p>
    <w:p>
      <w:pPr>
        <w:pStyle w:val="yDefpara"/>
      </w:pPr>
      <w:r>
        <w:tab/>
        <w:t>(a)</w:t>
      </w:r>
      <w:r>
        <w:tab/>
        <w:t>the transfer occurred during the period beginning on 1 July 2014 and ending immediately before commencement day; and</w:t>
      </w:r>
    </w:p>
    <w:p>
      <w:pPr>
        <w:pStyle w:val="yDefpara"/>
      </w:pPr>
      <w:r>
        <w:tab/>
        <w:t>(b)</w:t>
      </w:r>
      <w:r>
        <w:tab/>
        <w:t>the person from whom, and the person to whom, the licence was transferred were married to each other or de facto partners of 2 years when the transfer occurred.</w:t>
      </w:r>
    </w:p>
    <w:p>
      <w:pPr>
        <w:pStyle w:val="ySubsection"/>
      </w:pPr>
      <w:r>
        <w:tab/>
        <w:t>(2)</w:t>
      </w:r>
      <w:r>
        <w:tab/>
        <w:t>When this clause uses a term that is used in Chapter 5, the term has the same meaning in this clause as it has in that Chapter.</w:t>
      </w:r>
    </w:p>
    <w:p>
      <w:pPr>
        <w:pStyle w:val="ySubsection"/>
      </w:pPr>
      <w:r>
        <w:tab/>
        <w:t>(3)</w:t>
      </w:r>
      <w:r>
        <w:tab/>
        <w:t>An assessment made, or purported to be made, before commencement day that no duty was chargeable on a relevant vehicle licence transfer is, and is taken to have always been, as valid and effective as it would have been if amended section 244A had been in force when the transfer occurred.</w:t>
      </w:r>
    </w:p>
    <w:p>
      <w:pPr>
        <w:pStyle w:val="ySubsection"/>
      </w:pPr>
      <w:r>
        <w:tab/>
        <w:t>(4)</w:t>
      </w:r>
      <w:r>
        <w:tab/>
        <w:t>If no assessment of vehicle licence duty on a relevant vehicle licence transfer was made before commencement day, an assessment of vehicle licence duty on the transfer made after commencement day must be made as if amended section 244A had been in force when the transfer occurred.</w:t>
      </w:r>
    </w:p>
    <w:p>
      <w:pPr>
        <w:pStyle w:val="ySubsection"/>
        <w:keepNext/>
        <w:keepLines/>
      </w:pPr>
      <w:r>
        <w:tab/>
        <w:t>(5)</w:t>
      </w:r>
      <w:r>
        <w:tab/>
        <w:t>If an assessment that vehicle licence duty was chargeable on a relevant vehicle licence transfer was made before commencement day, and vehicle licence duty would not have been chargeable on the transfer if amended section 244A had been in force when the transfer occurred, the Commissioner must, on application by the transferee, make a reassessment of the liability for vehicle licence duty as if amended section 244A had been in force at that time.</w:t>
      </w:r>
    </w:p>
    <w:p>
      <w:pPr>
        <w:pStyle w:val="ySubsection"/>
      </w:pPr>
      <w:r>
        <w:tab/>
        <w:t>(6)</w:t>
      </w:r>
      <w:r>
        <w:tab/>
        <w:t xml:space="preserve">The limitations as to time in the Taxation Administration Act section 17 do not apply in respect of a reassessment under subclause (5), but an application for reassessment under that subclause must be made on or before the later of — </w:t>
      </w:r>
    </w:p>
    <w:p>
      <w:pPr>
        <w:pStyle w:val="yIndenta"/>
      </w:pPr>
      <w:r>
        <w:tab/>
        <w:t>(a)</w:t>
      </w:r>
      <w:r>
        <w:tab/>
        <w:t>the day that is 5 years after the day on which the original assessment was made; or</w:t>
      </w:r>
    </w:p>
    <w:p>
      <w:pPr>
        <w:pStyle w:val="yIndenta"/>
      </w:pPr>
      <w:r>
        <w:tab/>
        <w:t>(b)</w:t>
      </w:r>
      <w:r>
        <w:tab/>
        <w:t>the day that is 12 months after commencement day.</w:t>
      </w:r>
    </w:p>
    <w:p>
      <w:pPr>
        <w:pStyle w:val="yFootnotesection"/>
      </w:pPr>
      <w:r>
        <w:tab/>
        <w:t>[Clause 50 inserted: No. 12 of 2019 s. 132.]</w:t>
      </w:r>
    </w:p>
    <w:p>
      <w:pPr>
        <w:pStyle w:val="yHeading5"/>
      </w:pPr>
      <w:bookmarkStart w:id="2154" w:name="_Toc201229460"/>
      <w:bookmarkStart w:id="2155" w:name="_Toc182410525"/>
      <w:r>
        <w:rPr>
          <w:rStyle w:val="CharSClsNo"/>
        </w:rPr>
        <w:t>51</w:t>
      </w:r>
      <w:r>
        <w:t>.</w:t>
      </w:r>
      <w:r>
        <w:tab/>
        <w:t>Provisions relating to exemptions for connected entities</w:t>
      </w:r>
      <w:bookmarkEnd w:id="2154"/>
      <w:bookmarkEnd w:id="2155"/>
    </w:p>
    <w:p>
      <w:pPr>
        <w:pStyle w:val="ySubsection"/>
      </w:pPr>
      <w:r>
        <w:tab/>
        <w:t>(1)</w:t>
      </w:r>
      <w:r>
        <w:tab/>
        <w:t xml:space="preserve">The amendments to Chapter 6 made by the </w:t>
      </w:r>
      <w:r>
        <w:rPr>
          <w:i/>
        </w:rPr>
        <w:t xml:space="preserve">Revenue Laws Amendment Act 2019 </w:t>
      </w:r>
      <w:r>
        <w:t>sections 118 to 128 apply in relation to an exemption if the application for the exemption is made on or after commencement day, whether the transaction occurred before or after commencement day.</w:t>
      </w:r>
    </w:p>
    <w:p>
      <w:pPr>
        <w:pStyle w:val="ySubsection"/>
      </w:pPr>
      <w:r>
        <w:tab/>
        <w:t>(2)</w:t>
      </w:r>
      <w:r>
        <w:tab/>
        <w:t>Despite subclause (1), section 263(4)(a) and (b) (as in force on commencement day), section 264A and sections 266A to 266D do not apply in relation to a relevant transaction that occurred before commencement day.</w:t>
      </w:r>
    </w:p>
    <w:p>
      <w:pPr>
        <w:pStyle w:val="ySubsection"/>
      </w:pPr>
      <w:r>
        <w:tab/>
        <w:t>(3)</w:t>
      </w:r>
      <w:r>
        <w:tab/>
        <w:t xml:space="preserve">Subclause (4) applies if — </w:t>
      </w:r>
    </w:p>
    <w:p>
      <w:pPr>
        <w:pStyle w:val="yIndenta"/>
      </w:pPr>
      <w:r>
        <w:tab/>
        <w:t>(a)</w:t>
      </w:r>
      <w:r>
        <w:tab/>
        <w:t>before commencement day, the Commissioner makes a decision under section 261 on a pre</w:t>
      </w:r>
      <w:r>
        <w:noBreakHyphen/>
        <w:t>transaction decision request made under section 261(2) or (3) (as in force immediately before commencement day) in relation to a proposed relevant transaction; and</w:t>
      </w:r>
    </w:p>
    <w:p>
      <w:pPr>
        <w:pStyle w:val="yIndenta"/>
      </w:pPr>
      <w:r>
        <w:tab/>
        <w:t>(b)</w:t>
      </w:r>
      <w:r>
        <w:tab/>
        <w:t xml:space="preserve">the decision is — </w:t>
      </w:r>
    </w:p>
    <w:p>
      <w:pPr>
        <w:pStyle w:val="yIndenti0"/>
      </w:pPr>
      <w:r>
        <w:tab/>
        <w:t>(i)</w:t>
      </w:r>
      <w:r>
        <w:tab/>
        <w:t>in relation to a request made under section 261(2) — that if the transaction were entered into it would be exempted; or</w:t>
      </w:r>
    </w:p>
    <w:p>
      <w:pPr>
        <w:pStyle w:val="yIndenti0"/>
      </w:pPr>
      <w:r>
        <w:tab/>
        <w:t>(ii)</w:t>
      </w:r>
      <w:r>
        <w:tab/>
        <w:t>in relation to a request made under section 261(3) — that if the transaction were entered into and exempted, the exemption would not be revoked under section 265;</w:t>
      </w:r>
    </w:p>
    <w:p>
      <w:pPr>
        <w:pStyle w:val="yIndenta"/>
      </w:pPr>
      <w:r>
        <w:tab/>
      </w:r>
      <w:r>
        <w:tab/>
        <w:t>and</w:t>
      </w:r>
    </w:p>
    <w:p>
      <w:pPr>
        <w:pStyle w:val="yIndenta"/>
      </w:pPr>
      <w:r>
        <w:tab/>
        <w:t>(c)</w:t>
      </w:r>
      <w:r>
        <w:tab/>
        <w:t>the transaction is not entered into before commencement day.</w:t>
      </w:r>
    </w:p>
    <w:p>
      <w:pPr>
        <w:pStyle w:val="ySubsection"/>
      </w:pPr>
      <w:r>
        <w:tab/>
        <w:t>(4)</w:t>
      </w:r>
      <w:r>
        <w:tab/>
        <w:t>Despite section 261(10), the Commissioner is not bound by the pre</w:t>
      </w:r>
      <w:r>
        <w:noBreakHyphen/>
        <w:t xml:space="preserve">transaction decision request if the Commissioner would have made a different decision on the request if the amendments made by the </w:t>
      </w:r>
      <w:r>
        <w:rPr>
          <w:i/>
        </w:rPr>
        <w:t>Revenue Laws Amendment Act 2019</w:t>
      </w:r>
      <w:r>
        <w:t xml:space="preserve"> sections 123 to 126 had been in force when the decision was made.</w:t>
      </w:r>
    </w:p>
    <w:p>
      <w:pPr>
        <w:pStyle w:val="ySubsection"/>
      </w:pPr>
      <w:r>
        <w:tab/>
        <w:t>(5)</w:t>
      </w:r>
      <w:r>
        <w:tab/>
        <w:t>Section 261(7)(b) does not apply to a pre</w:t>
      </w:r>
      <w:r>
        <w:noBreakHyphen/>
        <w:t>transaction decision request if the pre</w:t>
      </w:r>
      <w:r>
        <w:noBreakHyphen/>
        <w:t>transaction decision request that was made previously referred to in that section was made before commencement day.</w:t>
      </w:r>
    </w:p>
    <w:p>
      <w:pPr>
        <w:pStyle w:val="yFootnotesection"/>
      </w:pPr>
      <w:r>
        <w:tab/>
        <w:t>[Clause 51 inserted: No. 12 of 2019 s. 132.]</w:t>
      </w:r>
    </w:p>
    <w:p>
      <w:pPr>
        <w:pStyle w:val="yHeading5"/>
      </w:pPr>
      <w:bookmarkStart w:id="2156" w:name="_Toc201229461"/>
      <w:bookmarkStart w:id="2157" w:name="_Toc182410526"/>
      <w:r>
        <w:rPr>
          <w:rStyle w:val="CharSClsNo"/>
        </w:rPr>
        <w:t>52</w:t>
      </w:r>
      <w:r>
        <w:t>.</w:t>
      </w:r>
      <w:r>
        <w:tab/>
        <w:t>Provisions about validated assessments</w:t>
      </w:r>
      <w:bookmarkEnd w:id="2156"/>
      <w:bookmarkEnd w:id="2157"/>
    </w:p>
    <w:p>
      <w:pPr>
        <w:pStyle w:val="ySubsection"/>
      </w:pPr>
      <w:r>
        <w:tab/>
        <w:t>(1)</w:t>
      </w:r>
      <w:r>
        <w:tab/>
        <w:t xml:space="preserve">In this clause — </w:t>
      </w:r>
    </w:p>
    <w:p>
      <w:pPr>
        <w:pStyle w:val="yDefstart"/>
      </w:pPr>
      <w:r>
        <w:tab/>
      </w:r>
      <w:r>
        <w:rPr>
          <w:rStyle w:val="CharDefText"/>
        </w:rPr>
        <w:t>previous assessment</w:t>
      </w:r>
      <w:r>
        <w:t xml:space="preserve"> means an assessment to which clause 48(3) or 50(3) applies.</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before commencement day is as valid and effective, and is to be taken to have always been as valid and effective, as it would have been if a previous assessment had been validly made.</w:t>
      </w:r>
    </w:p>
    <w:p>
      <w:pPr>
        <w:pStyle w:val="yFootnotesection"/>
      </w:pPr>
      <w:r>
        <w:tab/>
        <w:t>[Clause 52 inserted: No. 12 of 2019 s. 132.]</w:t>
      </w:r>
    </w:p>
    <w:p>
      <w:pPr>
        <w:pStyle w:val="yHeading5"/>
      </w:pPr>
      <w:bookmarkStart w:id="2158" w:name="_Toc201229462"/>
      <w:bookmarkStart w:id="2159" w:name="_Toc182410527"/>
      <w:r>
        <w:rPr>
          <w:rStyle w:val="CharSClsNo"/>
        </w:rPr>
        <w:t>53</w:t>
      </w:r>
      <w:r>
        <w:t>.</w:t>
      </w:r>
      <w:r>
        <w:tab/>
        <w:t>Application of s. 195B and 195 to acquisitions before commencement day</w:t>
      </w:r>
      <w:bookmarkEnd w:id="2158"/>
      <w:bookmarkEnd w:id="2159"/>
    </w:p>
    <w:p>
      <w:pPr>
        <w:pStyle w:val="ySubsection"/>
      </w:pPr>
      <w:r>
        <w:tab/>
      </w:r>
      <w:r>
        <w:tab/>
        <w:t xml:space="preserve">Section 195B applies in relation to a main acquisition referred to in section 195B(1) or (3) that occurred before commencement day, and section 195 applies in relation to a relevant acquisition referred to in section 195(1) or (3) that occurred before commencement day, as if — </w:t>
      </w:r>
    </w:p>
    <w:p>
      <w:pPr>
        <w:pStyle w:val="yIndenta"/>
      </w:pPr>
      <w:r>
        <w:tab/>
        <w:t>(a)</w:t>
      </w:r>
      <w:r>
        <w:tab/>
        <w:t>a reference to section 154B(a) included a reference to section 156(8)(a) as in force immediately before commencement day; and</w:t>
      </w:r>
    </w:p>
    <w:p>
      <w:pPr>
        <w:pStyle w:val="yIndenta"/>
      </w:pPr>
      <w:r>
        <w:tab/>
        <w:t>(b)</w:t>
      </w:r>
      <w:r>
        <w:tab/>
        <w:t>a reference to section 154B(b) included a reference to section 156(8)(b) as in force immediately before commencement day.</w:t>
      </w:r>
    </w:p>
    <w:p>
      <w:pPr>
        <w:pStyle w:val="yFootnotesection"/>
      </w:pPr>
      <w:r>
        <w:tab/>
        <w:t>[Clause 53 inserted: No. 12 of 2019 s. 132.]</w:t>
      </w:r>
    </w:p>
    <w:p>
      <w:pPr>
        <w:pStyle w:val="yHeading5"/>
      </w:pPr>
      <w:bookmarkStart w:id="2160" w:name="_Toc201229463"/>
      <w:bookmarkStart w:id="2161" w:name="_Toc182410528"/>
      <w:r>
        <w:rPr>
          <w:rStyle w:val="CharSClsNo"/>
        </w:rPr>
        <w:t>54</w:t>
      </w:r>
      <w:r>
        <w:t>.</w:t>
      </w:r>
      <w:r>
        <w:tab/>
        <w:t>Provisions about derivative mining rights</w:t>
      </w:r>
      <w:bookmarkEnd w:id="2160"/>
      <w:bookmarkEnd w:id="2161"/>
    </w:p>
    <w:p>
      <w:pPr>
        <w:pStyle w:val="ySubsection"/>
      </w:pPr>
      <w:r>
        <w:tab/>
        <w:t>(1)</w:t>
      </w:r>
      <w:r>
        <w:tab/>
        <w:t xml:space="preserve">The exemption from duty in section 91F(3) applies despite the acquisition of the previous right not being duty endorsed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(2)</w:t>
      </w:r>
      <w:r>
        <w:tab/>
        <w:t xml:space="preserve">Section 91G(2) or (3) applies for the purpose of determining the dutiable value of a transfer or agreement referred to in section 91G(1)(c) despite the acquisition of the previous right not being duty endorsed as required by section 91G(1)(b)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(3)</w:t>
      </w:r>
      <w:r>
        <w:tab/>
        <w:t xml:space="preserve">The exemption from duty in section 91H(1) applies despite the acquisition of the derivative mining right in relation to the prospecting licence or exploration licence not being duty endorsed as required by section 91H(1)(d) (as in force on commencement day) if that acquisition — </w:t>
      </w:r>
    </w:p>
    <w:p>
      <w:pPr>
        <w:pStyle w:val="yIndenta"/>
      </w:pPr>
      <w:r>
        <w:tab/>
        <w:t>(a)</w:t>
      </w:r>
      <w:r>
        <w:tab/>
        <w:t>occurred before commencement day; and</w:t>
      </w:r>
    </w:p>
    <w:p>
      <w:pPr>
        <w:pStyle w:val="yIndenta"/>
      </w:pPr>
      <w:r>
        <w:tab/>
        <w:t>(b)</w:t>
      </w:r>
      <w:r>
        <w:tab/>
        <w:t>was not a dutiable transaction.</w:t>
      </w:r>
    </w:p>
    <w:p>
      <w:pPr>
        <w:pStyle w:val="ySubsection"/>
        <w:keepNext/>
      </w:pPr>
      <w:r>
        <w:tab/>
        <w:t>(4)</w:t>
      </w:r>
      <w:r>
        <w:tab/>
        <w:t xml:space="preserve">Section 204E(2) applies for the purpose of determining the unencumbered value of a mining tenement despite the acquisition of the derivative mining right not being duty endorsed as required by that section (as in force on commencement day) if that acquisition — </w:t>
      </w:r>
    </w:p>
    <w:p>
      <w:pPr>
        <w:pStyle w:val="yIndenta"/>
      </w:pPr>
      <w:r>
        <w:tab/>
        <w:t>(a)</w:t>
      </w:r>
      <w:r>
        <w:tab/>
        <w:t>occurred before commencement day; and</w:t>
      </w:r>
    </w:p>
    <w:p>
      <w:pPr>
        <w:pStyle w:val="yIndenta"/>
        <w:keepNext/>
      </w:pPr>
      <w:r>
        <w:tab/>
        <w:t>(b)</w:t>
      </w:r>
      <w:r>
        <w:tab/>
        <w:t>was not a dutiable transaction.</w:t>
      </w:r>
    </w:p>
    <w:p>
      <w:pPr>
        <w:pStyle w:val="yFootnotesection"/>
      </w:pPr>
      <w:r>
        <w:tab/>
        <w:t>[Clause 54 inserted: No. 16 of 2022 s. 27 </w:t>
      </w:r>
      <w:r>
        <w:rPr>
          <w:vertAlign w:val="superscript"/>
        </w:rPr>
        <w:t>7</w:t>
      </w:r>
      <w:r>
        <w:t>.]</w:t>
      </w:r>
    </w:p>
    <w:p>
      <w:pPr>
        <w:pStyle w:val="yHeading3"/>
        <w:rPr>
          <w:i/>
        </w:rPr>
      </w:pPr>
      <w:bookmarkStart w:id="2162" w:name="_Toc201218393"/>
      <w:bookmarkStart w:id="2163" w:name="_Toc201224766"/>
      <w:bookmarkStart w:id="2164" w:name="_Toc201229464"/>
      <w:bookmarkStart w:id="2165" w:name="_Toc182389069"/>
      <w:bookmarkStart w:id="2166" w:name="_Toc182389731"/>
      <w:bookmarkStart w:id="2167" w:name="_Toc182410529"/>
      <w:r>
        <w:rPr>
          <w:rStyle w:val="CharSDivNo"/>
        </w:rPr>
        <w:t>Division 10</w:t>
      </w:r>
      <w:r>
        <w:t> — </w:t>
      </w:r>
      <w:r>
        <w:rPr>
          <w:rStyle w:val="CharSDivText"/>
        </w:rPr>
        <w:t xml:space="preserve">Provisions relating to </w:t>
      </w:r>
      <w:r>
        <w:rPr>
          <w:rStyle w:val="CharSDivText"/>
          <w:i/>
        </w:rPr>
        <w:t>Duties Amendment Act 2022</w:t>
      </w:r>
      <w:bookmarkEnd w:id="2162"/>
      <w:bookmarkEnd w:id="2163"/>
      <w:bookmarkEnd w:id="2164"/>
      <w:bookmarkEnd w:id="2165"/>
      <w:bookmarkEnd w:id="2166"/>
      <w:bookmarkEnd w:id="2167"/>
    </w:p>
    <w:p>
      <w:pPr>
        <w:pStyle w:val="yFootnoteheading"/>
        <w:keepNext/>
      </w:pPr>
      <w:r>
        <w:tab/>
        <w:t>[Heading inserted: No. 16 of 2022 s. 18.]</w:t>
      </w:r>
    </w:p>
    <w:p>
      <w:pPr>
        <w:pStyle w:val="yHeading5"/>
      </w:pPr>
      <w:bookmarkStart w:id="2168" w:name="_Toc201229465"/>
      <w:bookmarkStart w:id="2169" w:name="_Toc182410530"/>
      <w:r>
        <w:rPr>
          <w:rStyle w:val="CharSClsNo"/>
        </w:rPr>
        <w:t>55</w:t>
      </w:r>
      <w:r>
        <w:t>.</w:t>
      </w:r>
      <w:r>
        <w:tab/>
        <w:t>Terms used</w:t>
      </w:r>
      <w:bookmarkEnd w:id="2168"/>
      <w:bookmarkEnd w:id="2169"/>
    </w:p>
    <w:p>
      <w:pPr>
        <w:pStyle w:val="ySubsection"/>
        <w:keepNext/>
      </w:pPr>
      <w:r>
        <w:tab/>
        <w:t>(1)</w:t>
      </w:r>
      <w:r>
        <w:tab/>
        <w:t xml:space="preserve">In this Division — </w:t>
      </w:r>
    </w:p>
    <w:p>
      <w:pPr>
        <w:pStyle w:val="yDefstart"/>
      </w:pPr>
      <w:r>
        <w:tab/>
      </w:r>
      <w:r>
        <w:rPr>
          <w:rStyle w:val="CharDefText"/>
        </w:rPr>
        <w:t>commencement day</w:t>
      </w:r>
      <w:r>
        <w:t xml:space="preserve"> means the day on which the </w:t>
      </w:r>
      <w:r>
        <w:rPr>
          <w:i/>
        </w:rPr>
        <w:t>Duties Amendment Act 2022</w:t>
      </w:r>
      <w:r>
        <w:t xml:space="preserve"> Part 2 comes into operation.</w:t>
      </w:r>
    </w:p>
    <w:p>
      <w:pPr>
        <w:pStyle w:val="ySubsection"/>
        <w:keepNext/>
      </w:pPr>
      <w:r>
        <w:tab/>
        <w:t>(2)</w:t>
      </w:r>
      <w:r>
        <w:tab/>
        <w:t>A term used in clause 56(1)(b) or (2) or 57 has the same meaning as it has in Chapter 5.</w:t>
      </w:r>
    </w:p>
    <w:p>
      <w:pPr>
        <w:pStyle w:val="yFootnotesection"/>
      </w:pPr>
      <w:r>
        <w:tab/>
        <w:t>[Clause 55 inserted: No. 16 of 2022 s. 18.]</w:t>
      </w:r>
    </w:p>
    <w:p>
      <w:pPr>
        <w:pStyle w:val="yHeading5"/>
      </w:pPr>
      <w:bookmarkStart w:id="2170" w:name="_Toc201229466"/>
      <w:bookmarkStart w:id="2171" w:name="_Toc182410531"/>
      <w:r>
        <w:rPr>
          <w:rStyle w:val="CharSClsNo"/>
        </w:rPr>
        <w:t>56</w:t>
      </w:r>
      <w:r>
        <w:t>.</w:t>
      </w:r>
      <w:r>
        <w:tab/>
        <w:t xml:space="preserve">Application of amendments made by </w:t>
      </w:r>
      <w:r>
        <w:rPr>
          <w:i/>
        </w:rPr>
        <w:t>Duties Amendment Act 2022</w:t>
      </w:r>
      <w:r>
        <w:t xml:space="preserve"> Part 2</w:t>
      </w:r>
      <w:bookmarkEnd w:id="2170"/>
      <w:bookmarkEnd w:id="2171"/>
    </w:p>
    <w:p>
      <w:pPr>
        <w:pStyle w:val="ySubsection"/>
        <w:keepNext/>
      </w:pPr>
      <w:r>
        <w:tab/>
        <w:t>(1)</w:t>
      </w:r>
      <w:r>
        <w:tab/>
        <w:t xml:space="preserve">The amendments made by the </w:t>
      </w:r>
      <w:r>
        <w:rPr>
          <w:i/>
        </w:rPr>
        <w:t xml:space="preserve">Duties Amendment Act 2022 </w:t>
      </w:r>
      <w:r>
        <w:t xml:space="preserve">Part 2 apply in relation to the imposition of duty on — </w:t>
      </w:r>
    </w:p>
    <w:p>
      <w:pPr>
        <w:pStyle w:val="yIndenta"/>
      </w:pPr>
      <w:r>
        <w:tab/>
        <w:t>(a)</w:t>
      </w:r>
      <w:r>
        <w:tab/>
        <w:t>transactions that occur on or after commencement day; and</w:t>
      </w:r>
    </w:p>
    <w:p>
      <w:pPr>
        <w:pStyle w:val="yIndenta"/>
      </w:pPr>
      <w:r>
        <w:tab/>
        <w:t>(b)</w:t>
      </w:r>
      <w:r>
        <w:tab/>
        <w:t>grants or transfers of licences for vehicles that occur on or after commencement day.</w:t>
      </w:r>
    </w:p>
    <w:p>
      <w:pPr>
        <w:pStyle w:val="ySubsection"/>
        <w:keepNext/>
      </w:pPr>
      <w:r>
        <w:tab/>
        <w:t>(2)</w:t>
      </w:r>
      <w:r>
        <w:tab/>
        <w:t>Despite subclause (1), section 244B applies in relation to the imposition of duty on the grant or transfer of a licence for a vehicle that occurs before commencement day if the relevant event referred to in section 244B(1)(b)(i) or (ii), whichever is applicable, occurs on or after commencement day.</w:t>
      </w:r>
    </w:p>
    <w:p>
      <w:pPr>
        <w:pStyle w:val="yFootnotesection"/>
      </w:pPr>
      <w:r>
        <w:tab/>
        <w:t>[Clause 56 inserted: No. 16 of 2022 s. 18.]</w:t>
      </w:r>
    </w:p>
    <w:p>
      <w:pPr>
        <w:pStyle w:val="yHeading5"/>
      </w:pPr>
      <w:bookmarkStart w:id="2172" w:name="_Toc201229467"/>
      <w:bookmarkStart w:id="2173" w:name="_Toc182410532"/>
      <w:r>
        <w:rPr>
          <w:rStyle w:val="CharSClsNo"/>
        </w:rPr>
        <w:t>57</w:t>
      </w:r>
      <w:r>
        <w:t>.</w:t>
      </w:r>
      <w:r>
        <w:tab/>
        <w:t>Validation of certain reassessments and refunds of vehicle licence duty by CEO before commencement day</w:t>
      </w:r>
      <w:bookmarkEnd w:id="2172"/>
      <w:bookmarkEnd w:id="2173"/>
    </w:p>
    <w:p>
      <w:pPr>
        <w:pStyle w:val="ySubsection"/>
        <w:keepNext/>
      </w:pPr>
      <w:r>
        <w:tab/>
        <w:t>(1)</w:t>
      </w:r>
      <w:r>
        <w:tab/>
        <w:t xml:space="preserve">This clause applies if — </w:t>
      </w:r>
    </w:p>
    <w:p>
      <w:pPr>
        <w:pStyle w:val="yIndenta"/>
      </w:pPr>
      <w:r>
        <w:tab/>
        <w:t>(a)</w:t>
      </w:r>
      <w:r>
        <w:tab/>
        <w:t>in the period beginning on 1 July 2008 and ending immediately before commencement day, the CEO made a reassessment determining that no duty was payable on the grant or transfer of a licence for a vehicle; and</w:t>
      </w:r>
    </w:p>
    <w:p>
      <w:pPr>
        <w:pStyle w:val="yIndenta"/>
      </w:pPr>
      <w:r>
        <w:tab/>
        <w:t>(b)</w:t>
      </w:r>
      <w:r>
        <w:tab/>
        <w:t>the application for the grant or transfer was the result of an agreement to purchase the vehicle from a dealer and was made by the dealer on behalf of the purchaser; and</w:t>
      </w:r>
    </w:p>
    <w:p>
      <w:pPr>
        <w:pStyle w:val="yIndenta"/>
      </w:pPr>
      <w:r>
        <w:tab/>
        <w:t>(c)</w:t>
      </w:r>
      <w:r>
        <w:tab/>
        <w:t>the agreement was rescinded, annulled or otherwise terminated before the purchaser took possession of the vehicle.</w:t>
      </w:r>
    </w:p>
    <w:p>
      <w:pPr>
        <w:pStyle w:val="ySubsection"/>
      </w:pPr>
      <w:r>
        <w:tab/>
        <w:t>(2)</w:t>
      </w:r>
      <w:r>
        <w:tab/>
        <w:t>The reassessment is, and is taken to have always been, validly made.</w:t>
      </w:r>
    </w:p>
    <w:p>
      <w:pPr>
        <w:pStyle w:val="ySubsection"/>
      </w:pPr>
      <w:r>
        <w:tab/>
        <w:t>(3)</w:t>
      </w:r>
      <w:r>
        <w:tab/>
        <w:t>If, as a result of the reassessment, the CEO refunded an amount of duty paid on the grant or transfer of the licence for the vehicle, the refund is, and is taken to have always been, validly made.</w:t>
      </w:r>
    </w:p>
    <w:p>
      <w:pPr>
        <w:pStyle w:val="ySubsection"/>
      </w:pPr>
      <w:r>
        <w:tab/>
        <w:t>(4)</w:t>
      </w:r>
      <w:r>
        <w:tab/>
        <w:t>The rights, obligations and liabilities of all persons are taken to be, and to have always been, the same as if the reassessment had been validly made.</w:t>
      </w:r>
    </w:p>
    <w:p>
      <w:pPr>
        <w:pStyle w:val="ySubsection"/>
        <w:keepNext/>
      </w:pPr>
      <w:r>
        <w:tab/>
        <w:t>(5)</w:t>
      </w:r>
      <w:r>
        <w:tab/>
        <w:t>Anything done, or purportedly done, before commencement day is as valid and effective, and is taken to have always been as valid and effective, as it would have been if the reassessment had been validly made.</w:t>
      </w:r>
    </w:p>
    <w:p>
      <w:pPr>
        <w:pStyle w:val="yFootnotesection"/>
      </w:pPr>
      <w:r>
        <w:tab/>
        <w:t>[Clause 57 inserted: No. 16 of 2022 s. 18.]</w:t>
      </w:r>
    </w:p>
    <w:p>
      <w:pPr>
        <w:pStyle w:val="yHeading5"/>
      </w:pPr>
      <w:bookmarkStart w:id="2174" w:name="_Toc201229468"/>
      <w:bookmarkStart w:id="2175" w:name="_Toc182410533"/>
      <w:r>
        <w:rPr>
          <w:rStyle w:val="CharSClsNo"/>
        </w:rPr>
        <w:t>58</w:t>
      </w:r>
      <w:r>
        <w:t>.</w:t>
      </w:r>
      <w:r>
        <w:tab/>
        <w:t xml:space="preserve">Application of amendments made by </w:t>
      </w:r>
      <w:r>
        <w:rPr>
          <w:i/>
        </w:rPr>
        <w:t>Duties Amendment Act 2022</w:t>
      </w:r>
      <w:r>
        <w:t xml:space="preserve"> Part 3</w:t>
      </w:r>
      <w:bookmarkEnd w:id="2174"/>
      <w:bookmarkEnd w:id="2175"/>
    </w:p>
    <w:p>
      <w:pPr>
        <w:pStyle w:val="ySubsection"/>
      </w:pPr>
      <w:r>
        <w:tab/>
        <w:t>(1)</w:t>
      </w:r>
      <w:r>
        <w:tab/>
        <w:t xml:space="preserve">The amendments made by the </w:t>
      </w:r>
      <w:r>
        <w:rPr>
          <w:i/>
        </w:rPr>
        <w:t>Duties Amendment Act 2022</w:t>
      </w:r>
      <w:r>
        <w:t xml:space="preserve"> Part 3 apply in relation to the imposition of duty on transactions or acquisitions that occur on or after 1 July 2022.</w:t>
      </w:r>
    </w:p>
    <w:p>
      <w:pPr>
        <w:pStyle w:val="ySubsection"/>
      </w:pPr>
      <w:r>
        <w:tab/>
        <w:t>(2)</w:t>
      </w:r>
      <w:r>
        <w:tab/>
        <w:t xml:space="preserve">Without limiting subclause (1) — </w:t>
      </w:r>
    </w:p>
    <w:p>
      <w:pPr>
        <w:pStyle w:val="yIndenta"/>
      </w:pPr>
      <w:r>
        <w:tab/>
        <w:t>(a)</w:t>
      </w:r>
      <w:r>
        <w:tab/>
        <w:t>section 91DA(2) applies in relation to the imposition of duty on a transaction referred to in section 91DA(1) that occurs on or after 1 July 2022, whether the other transaction referred to in section 91DA(2) occurs before, on or after that day; and</w:t>
      </w:r>
    </w:p>
    <w:p>
      <w:pPr>
        <w:pStyle w:val="yIndenta"/>
      </w:pPr>
      <w:r>
        <w:tab/>
        <w:t>(b)</w:t>
      </w:r>
      <w:r>
        <w:tab/>
        <w:t>section 91DA(3) applies in relation to the imposition of duty on a transaction referred to in section 91DA(1) that occurs on or after 1 July 2022, whether the acquisition or agreement referred to in section 91DA(3) occurs before, on or after 1 July 2022.</w:t>
      </w:r>
    </w:p>
    <w:p>
      <w:pPr>
        <w:pStyle w:val="yFootnotesection"/>
      </w:pPr>
      <w:r>
        <w:tab/>
        <w:t>[Clause 58 inserted: No. 16 of 2022 s. 26.]</w:t>
      </w:r>
    </w:p>
    <w:p>
      <w:pPr>
        <w:pStyle w:val="yHeading5"/>
      </w:pPr>
      <w:bookmarkStart w:id="2176" w:name="_Toc201229469"/>
      <w:bookmarkStart w:id="2177" w:name="_Toc182410534"/>
      <w:r>
        <w:rPr>
          <w:rStyle w:val="CharSClsNo"/>
        </w:rPr>
        <w:t>59</w:t>
      </w:r>
      <w:r>
        <w:t>.</w:t>
      </w:r>
      <w:r>
        <w:tab/>
        <w:t>Provisions relating to residential concession</w:t>
      </w:r>
      <w:bookmarkEnd w:id="2176"/>
      <w:bookmarkEnd w:id="2177"/>
    </w:p>
    <w:p>
      <w:pPr>
        <w:pStyle w:val="ySubsection"/>
        <w:keepNext/>
      </w:pPr>
      <w:r>
        <w:tab/>
        <w:t>(1)</w:t>
      </w:r>
      <w:r>
        <w:tab/>
        <w:t xml:space="preserve">In this clause — </w:t>
      </w:r>
    </w:p>
    <w:p>
      <w:pPr>
        <w:pStyle w:val="yDefstart"/>
      </w:pPr>
      <w:r>
        <w:tab/>
      </w:r>
      <w:r>
        <w:rPr>
          <w:rStyle w:val="CharDefText"/>
        </w:rPr>
        <w:t>former Chapter 2 Part 6 Division 4A</w:t>
      </w:r>
      <w:r>
        <w:t xml:space="preserve"> means Chapter 2 Part 6 Division 4A as in force before its repeal by the </w:t>
      </w:r>
      <w:r>
        <w:rPr>
          <w:i/>
        </w:rPr>
        <w:t xml:space="preserve">Duties Amendment Act 2022 </w:t>
      </w:r>
      <w:r>
        <w:t>section 21.</w:t>
      </w:r>
    </w:p>
    <w:p>
      <w:pPr>
        <w:pStyle w:val="ySubsection"/>
      </w:pPr>
      <w:r>
        <w:tab/>
        <w:t>(2)</w:t>
      </w:r>
      <w:r>
        <w:tab/>
        <w:t xml:space="preserve">Despite the repeal of former Chapter 2 Part 6 Division 4A by the </w:t>
      </w:r>
      <w:r>
        <w:rPr>
          <w:i/>
        </w:rPr>
        <w:t xml:space="preserve">Duties Amendment Act 2022 </w:t>
      </w:r>
      <w:r>
        <w:t xml:space="preserve">section 21 — </w:t>
      </w:r>
    </w:p>
    <w:p>
      <w:pPr>
        <w:pStyle w:val="yIndenta"/>
      </w:pPr>
      <w:r>
        <w:tab/>
        <w:t>(a)</w:t>
      </w:r>
      <w:r>
        <w:tab/>
        <w:t xml:space="preserve">sections 147F and 147G, as in force immediately before 1 July 2022, continue to apply on and after 1 July 2022 to a dutiable transaction that — </w:t>
      </w:r>
    </w:p>
    <w:p>
      <w:pPr>
        <w:pStyle w:val="yIndenti0"/>
      </w:pPr>
      <w:r>
        <w:tab/>
        <w:t>(i)</w:t>
      </w:r>
      <w:r>
        <w:tab/>
        <w:t>occurred before 1 July 2022; and</w:t>
      </w:r>
    </w:p>
    <w:p>
      <w:pPr>
        <w:pStyle w:val="yIndenti0"/>
      </w:pPr>
      <w:r>
        <w:tab/>
        <w:t>(ii)</w:t>
      </w:r>
      <w:r>
        <w:tab/>
        <w:t>was an eligible transaction for the purposes of former Chapter 2 Part 6 Division 4A;</w:t>
      </w:r>
    </w:p>
    <w:p>
      <w:pPr>
        <w:pStyle w:val="yIndenta"/>
      </w:pPr>
      <w:r>
        <w:tab/>
      </w:r>
      <w:r>
        <w:tab/>
        <w:t>and</w:t>
      </w:r>
    </w:p>
    <w:p>
      <w:pPr>
        <w:pStyle w:val="yIndenta"/>
      </w:pPr>
      <w:r>
        <w:tab/>
        <w:t>(b)</w:t>
      </w:r>
      <w:r>
        <w:tab/>
        <w:t>any reassessment made under section 147F, as it applies under paragraph (a), must be made at the applicable concessional rate of duty that applied when the transaction occurred.</w:t>
      </w:r>
    </w:p>
    <w:p>
      <w:pPr>
        <w:pStyle w:val="ySubsection"/>
      </w:pPr>
      <w:r>
        <w:tab/>
        <w:t>(3)</w:t>
      </w:r>
      <w:r>
        <w:tab/>
        <w:t xml:space="preserve">If, immediately before 1 July 2022, a transaction that occurred before that day was both a concessional transaction for the purposes of section 147 and a concessional transaction for the purposes of former Chapter 2 Part 6 Division 4A, then on and after that day — </w:t>
      </w:r>
    </w:p>
    <w:p>
      <w:pPr>
        <w:pStyle w:val="yIndenta"/>
      </w:pPr>
      <w:r>
        <w:tab/>
        <w:t>(a)</w:t>
      </w:r>
      <w:r>
        <w:tab/>
        <w:t>the taxpayer may elect for the transaction to be assessed or reassessed under Chapter 2 Part 6 Division 4 or former Chapter 2 Part 6 Division 4A; and</w:t>
      </w:r>
    </w:p>
    <w:p>
      <w:pPr>
        <w:pStyle w:val="yIndenta"/>
      </w:pPr>
      <w:r>
        <w:tab/>
        <w:t>(b)</w:t>
      </w:r>
      <w:r>
        <w:tab/>
        <w:t>the Commissioner may, with the consent or at the request of the taxpayer, treat an application for assessment or reassessment under one of those Divisions as an application for assessment or reassessment under the other Division.</w:t>
      </w:r>
    </w:p>
    <w:p>
      <w:pPr>
        <w:pStyle w:val="ySubsection"/>
      </w:pPr>
      <w:r>
        <w:tab/>
        <w:t>(4)</w:t>
      </w:r>
      <w:r>
        <w:tab/>
        <w:t xml:space="preserve">Subclauses (2) and (3) do not limit the effect of clause 58(1) or the </w:t>
      </w:r>
      <w:r>
        <w:rPr>
          <w:i/>
        </w:rPr>
        <w:t>Interpretation Act 1984</w:t>
      </w:r>
      <w:r>
        <w:t xml:space="preserve"> section 37.</w:t>
      </w:r>
    </w:p>
    <w:p>
      <w:pPr>
        <w:pStyle w:val="yFootnotesection"/>
      </w:pPr>
      <w:r>
        <w:tab/>
        <w:t>[Clause 59 inserted: No. 16 of 2022 s. 26.]</w:t>
      </w:r>
    </w:p>
    <w:p>
      <w:pPr>
        <w:pStyle w:val="yHeading3"/>
      </w:pPr>
      <w:bookmarkStart w:id="2178" w:name="_Toc201218399"/>
      <w:bookmarkStart w:id="2179" w:name="_Toc201224772"/>
      <w:bookmarkStart w:id="2180" w:name="_Toc201229470"/>
      <w:bookmarkStart w:id="2181" w:name="_Toc182389075"/>
      <w:bookmarkStart w:id="2182" w:name="_Toc182389737"/>
      <w:bookmarkStart w:id="2183" w:name="_Toc182410535"/>
      <w:r>
        <w:rPr>
          <w:rStyle w:val="CharSDivNo"/>
        </w:rPr>
        <w:t>Division 11</w:t>
      </w:r>
      <w:r>
        <w:rPr>
          <w:b w:val="0"/>
        </w:rPr>
        <w:t> — </w:t>
      </w:r>
      <w:r>
        <w:rPr>
          <w:rStyle w:val="CharSDivText"/>
        </w:rPr>
        <w:t xml:space="preserve">Provisions for </w:t>
      </w:r>
      <w:r>
        <w:rPr>
          <w:rStyle w:val="CharSDivText"/>
          <w:i/>
        </w:rPr>
        <w:t>Duties Amendment (Farm in Agreements) Act 2022</w:t>
      </w:r>
      <w:bookmarkEnd w:id="2178"/>
      <w:bookmarkEnd w:id="2179"/>
      <w:bookmarkEnd w:id="2180"/>
      <w:bookmarkEnd w:id="2181"/>
      <w:bookmarkEnd w:id="2182"/>
      <w:bookmarkEnd w:id="2183"/>
    </w:p>
    <w:p>
      <w:pPr>
        <w:pStyle w:val="yFootnoteheading"/>
        <w:keepNext/>
      </w:pPr>
      <w:r>
        <w:tab/>
        <w:t>[Heading inserted: No. 37 of 2022 s. 14.]</w:t>
      </w:r>
    </w:p>
    <w:p>
      <w:pPr>
        <w:pStyle w:val="yHeading4"/>
      </w:pPr>
      <w:bookmarkStart w:id="2184" w:name="_Toc201218400"/>
      <w:bookmarkStart w:id="2185" w:name="_Toc201224773"/>
      <w:bookmarkStart w:id="2186" w:name="_Toc201229471"/>
      <w:bookmarkStart w:id="2187" w:name="_Toc182389076"/>
      <w:bookmarkStart w:id="2188" w:name="_Toc182389738"/>
      <w:bookmarkStart w:id="2189" w:name="_Toc182410536"/>
      <w:r>
        <w:t>Subdivision 1</w:t>
      </w:r>
      <w:r>
        <w:rPr>
          <w:b w:val="0"/>
        </w:rPr>
        <w:t> — </w:t>
      </w:r>
      <w:r>
        <w:t>Preliminary</w:t>
      </w:r>
      <w:bookmarkEnd w:id="2184"/>
      <w:bookmarkEnd w:id="2185"/>
      <w:bookmarkEnd w:id="2186"/>
      <w:bookmarkEnd w:id="2187"/>
      <w:bookmarkEnd w:id="2188"/>
      <w:bookmarkEnd w:id="2189"/>
    </w:p>
    <w:p>
      <w:pPr>
        <w:pStyle w:val="yFootnoteheading"/>
        <w:keepNext/>
      </w:pPr>
      <w:r>
        <w:tab/>
        <w:t>[Heading inserted: No. 37 of 2022 s. 14.]</w:t>
      </w:r>
    </w:p>
    <w:p>
      <w:pPr>
        <w:pStyle w:val="yHeading5"/>
      </w:pPr>
      <w:bookmarkStart w:id="2190" w:name="_Toc201229472"/>
      <w:bookmarkStart w:id="2191" w:name="_Toc182410537"/>
      <w:r>
        <w:rPr>
          <w:rStyle w:val="CharSClsNo"/>
        </w:rPr>
        <w:t>60</w:t>
      </w:r>
      <w:r>
        <w:t>.</w:t>
      </w:r>
      <w:r>
        <w:tab/>
        <w:t>Terms used</w:t>
      </w:r>
      <w:bookmarkEnd w:id="2190"/>
      <w:bookmarkEnd w:id="2191"/>
    </w:p>
    <w:p>
      <w:pPr>
        <w:pStyle w:val="ySubsection"/>
      </w:pPr>
      <w:r>
        <w:tab/>
        <w:t>(1)</w:t>
      </w:r>
      <w:r>
        <w:tab/>
        <w:t xml:space="preserve">In this Division — </w:t>
      </w:r>
    </w:p>
    <w:p>
      <w:pPr>
        <w:pStyle w:val="yDefstart"/>
      </w:pPr>
      <w:r>
        <w:tab/>
      </w:r>
      <w:r>
        <w:rPr>
          <w:rStyle w:val="CharDefText"/>
        </w:rPr>
        <w:t>actual section 13 farm</w:t>
      </w:r>
      <w:r>
        <w:rPr>
          <w:rStyle w:val="CharDefText"/>
        </w:rPr>
        <w:noBreakHyphen/>
        <w:t>in agreement</w:t>
      </w:r>
      <w:r>
        <w:t xml:space="preserve"> means an agreement made during the first pre</w:t>
      </w:r>
      <w:r>
        <w:noBreakHyphen/>
        <w:t>amendment period that is, apart from clause 64(2), a farm</w:t>
      </w:r>
      <w:r>
        <w:noBreakHyphen/>
        <w:t>in agreement under section 13;</w:t>
      </w:r>
    </w:p>
    <w:p>
      <w:pPr>
        <w:pStyle w:val="yDefstart"/>
      </w:pPr>
      <w:r>
        <w:tab/>
      </w:r>
      <w:r>
        <w:rPr>
          <w:rStyle w:val="CharDefText"/>
        </w:rPr>
        <w:t>amending Act</w:t>
      </w:r>
      <w:r>
        <w:t xml:space="preserve"> means the </w:t>
      </w:r>
      <w:r>
        <w:rPr>
          <w:i/>
        </w:rPr>
        <w:t>Duties Amendment (Farm</w:t>
      </w:r>
      <w:r>
        <w:rPr>
          <w:i/>
        </w:rPr>
        <w:noBreakHyphen/>
        <w:t>in Agreements) Act 2022</w:t>
      </w:r>
      <w:r>
        <w:t>;</w:t>
      </w:r>
    </w:p>
    <w:p>
      <w:pPr>
        <w:pStyle w:val="yDefstart"/>
      </w:pPr>
      <w:r>
        <w:tab/>
      </w:r>
      <w:r>
        <w:rPr>
          <w:rStyle w:val="CharDefText"/>
        </w:rPr>
        <w:t>amendment day</w:t>
      </w:r>
      <w:r>
        <w:t xml:space="preserve"> means the day on which section 14 of the amending Act comes into operation;</w:t>
      </w:r>
    </w:p>
    <w:p>
      <w:pPr>
        <w:pStyle w:val="yDefstart"/>
      </w:pPr>
      <w:r>
        <w:tab/>
      </w:r>
      <w:r>
        <w:rPr>
          <w:rStyle w:val="CharDefText"/>
        </w:rPr>
        <w:t>deemed section 13 farm</w:t>
      </w:r>
      <w:r>
        <w:rPr>
          <w:rStyle w:val="CharDefText"/>
        </w:rPr>
        <w:noBreakHyphen/>
        <w:t>in agreement</w:t>
      </w:r>
      <w:r>
        <w:t xml:space="preserve">, subject to clause 65(7) and (8), means an agreement — </w:t>
      </w:r>
    </w:p>
    <w:p>
      <w:pPr>
        <w:pStyle w:val="yDefpara"/>
      </w:pPr>
      <w:r>
        <w:tab/>
        <w:t>(a)</w:t>
      </w:r>
      <w:r>
        <w:tab/>
        <w:t>that is taken under clause 64(2) to be a farm</w:t>
      </w:r>
      <w:r>
        <w:noBreakHyphen/>
        <w:t>in agreement under section 13; or</w:t>
      </w:r>
    </w:p>
    <w:p>
      <w:pPr>
        <w:pStyle w:val="yDefpara"/>
      </w:pPr>
      <w:r>
        <w:tab/>
        <w:t>(b)</w:t>
      </w:r>
      <w:r>
        <w:tab/>
        <w:t>that is a deemed section 13 farm</w:t>
      </w:r>
      <w:r>
        <w:noBreakHyphen/>
        <w:t>in agreement under clause 65(2)(b);</w:t>
      </w:r>
    </w:p>
    <w:p>
      <w:pPr>
        <w:pStyle w:val="yDefstart"/>
      </w:pPr>
      <w:r>
        <w:tab/>
      </w:r>
      <w:r>
        <w:rPr>
          <w:rStyle w:val="CharDefText"/>
        </w:rPr>
        <w:t>first pre</w:t>
      </w:r>
      <w:r>
        <w:rPr>
          <w:rStyle w:val="CharDefText"/>
        </w:rPr>
        <w:noBreakHyphen/>
        <w:t>amendment period</w:t>
      </w:r>
      <w:r>
        <w:t xml:space="preserve"> means the period beginning on 1 July 2008 and ending on the day before amendment day;</w:t>
      </w:r>
    </w:p>
    <w:p>
      <w:pPr>
        <w:pStyle w:val="yDefstart"/>
      </w:pPr>
      <w:r>
        <w:tab/>
      </w:r>
      <w:r>
        <w:rPr>
          <w:rStyle w:val="CharDefText"/>
        </w:rPr>
        <w:t>second pre</w:t>
      </w:r>
      <w:r>
        <w:rPr>
          <w:rStyle w:val="CharDefText"/>
        </w:rPr>
        <w:noBreakHyphen/>
        <w:t>amendment period</w:t>
      </w:r>
      <w:r>
        <w:t xml:space="preserve"> means the period beginning on 28 November 2018 and ending on the day before amendment day;</w:t>
      </w:r>
    </w:p>
    <w:p>
      <w:pPr>
        <w:pStyle w:val="yDefstart"/>
      </w:pPr>
      <w:r>
        <w:tab/>
      </w:r>
      <w:r>
        <w:rPr>
          <w:rStyle w:val="CharDefText"/>
        </w:rPr>
        <w:t>section 13</w:t>
      </w:r>
      <w:r>
        <w:t xml:space="preserve"> means section 13 as in force from time to time before amendment day and as modified under Subdivision 5;</w:t>
      </w:r>
    </w:p>
    <w:p>
      <w:pPr>
        <w:pStyle w:val="yDefstart"/>
      </w:pPr>
      <w:r>
        <w:tab/>
      </w:r>
      <w:r>
        <w:rPr>
          <w:rStyle w:val="CharDefText"/>
        </w:rPr>
        <w:t>section 13 exploration amount</w:t>
      </w:r>
      <w:r>
        <w:t xml:space="preserve"> — </w:t>
      </w:r>
    </w:p>
    <w:p>
      <w:pPr>
        <w:pStyle w:val="yDefpara"/>
      </w:pPr>
      <w:r>
        <w:tab/>
        <w:t>(a)</w:t>
      </w:r>
      <w:r>
        <w:tab/>
        <w:t>in relation to an actual section 13 farm</w:t>
      </w:r>
      <w:r>
        <w:noBreakHyphen/>
        <w:t>in agreement, means the exploration amount for the agreement as defined in subsection (2) of section 13; and</w:t>
      </w:r>
    </w:p>
    <w:p>
      <w:pPr>
        <w:pStyle w:val="yDefpara"/>
        <w:keepNext/>
      </w:pPr>
      <w:r>
        <w:tab/>
        <w:t>(b)</w:t>
      </w:r>
      <w:r>
        <w:tab/>
        <w:t>in relation to a deemed section 13 farm</w:t>
      </w:r>
      <w:r>
        <w:noBreakHyphen/>
        <w:t>in agreement, means the exploration amount for the agreement as defined in section 91N(5), subject to section 91N(6);</w:t>
      </w:r>
    </w:p>
    <w:p>
      <w:pPr>
        <w:pStyle w:val="yDefstart"/>
      </w:pPr>
      <w:r>
        <w:tab/>
      </w:r>
      <w:r>
        <w:rPr>
          <w:rStyle w:val="CharDefText"/>
        </w:rPr>
        <w:t>section 13 exploration requirement</w:t>
      </w:r>
      <w:r>
        <w:t xml:space="preserve"> — </w:t>
      </w:r>
    </w:p>
    <w:p>
      <w:pPr>
        <w:pStyle w:val="yDefpara"/>
      </w:pPr>
      <w:r>
        <w:tab/>
        <w:t>(a)</w:t>
      </w:r>
      <w:r>
        <w:tab/>
        <w:t>in relation to an actual section 13 farm</w:t>
      </w:r>
      <w:r>
        <w:noBreakHyphen/>
        <w:t>in agreement, means the requirement to expend the section 13 exploration amount; and</w:t>
      </w:r>
    </w:p>
    <w:p>
      <w:pPr>
        <w:pStyle w:val="yDefpara"/>
      </w:pPr>
      <w:r>
        <w:tab/>
        <w:t>(b)</w:t>
      </w:r>
      <w:r>
        <w:tab/>
        <w:t>in relation to a deemed section 13 farm</w:t>
      </w:r>
      <w:r>
        <w:noBreakHyphen/>
        <w:t>in agreement, means the exploration requirement for the agreement as defined in section 91N(1) to (4), subject to section 91N(6);</w:t>
      </w:r>
    </w:p>
    <w:p>
      <w:pPr>
        <w:pStyle w:val="yDefstart"/>
      </w:pPr>
      <w:r>
        <w:tab/>
      </w:r>
      <w:r>
        <w:rPr>
          <w:rStyle w:val="CharDefText"/>
        </w:rPr>
        <w:t>section 13 farm</w:t>
      </w:r>
      <w:r>
        <w:rPr>
          <w:rStyle w:val="CharDefText"/>
        </w:rPr>
        <w:noBreakHyphen/>
        <w:t>in agreement</w:t>
      </w:r>
      <w:r>
        <w:t xml:space="preserve"> means an actual section 13 farm</w:t>
      </w:r>
      <w:r>
        <w:noBreakHyphen/>
        <w:t>in agreement or a deemed section 13 farm</w:t>
      </w:r>
      <w:r>
        <w:noBreakHyphen/>
        <w:t>in agreement;</w:t>
      </w:r>
    </w:p>
    <w:p>
      <w:pPr>
        <w:pStyle w:val="yDefstart"/>
      </w:pPr>
      <w:r>
        <w:tab/>
      </w:r>
      <w:r>
        <w:rPr>
          <w:rStyle w:val="CharDefText"/>
        </w:rPr>
        <w:t>section 42(15)</w:t>
      </w:r>
      <w:r>
        <w:t xml:space="preserve"> means section 42(15) as in force from time to time before amendment day.</w:t>
      </w:r>
    </w:p>
    <w:p>
      <w:pPr>
        <w:pStyle w:val="ySubsection"/>
      </w:pPr>
      <w:r>
        <w:tab/>
        <w:t>(2)</w:t>
      </w:r>
      <w:r>
        <w:tab/>
        <w:t>If a term used in this Division is given a meaning in section 91K, it has the same meaning in this Division (unless otherwise indicated).</w:t>
      </w:r>
    </w:p>
    <w:p>
      <w:pPr>
        <w:pStyle w:val="ySubsection"/>
      </w:pPr>
      <w:r>
        <w:tab/>
        <w:t>(3)</w:t>
      </w:r>
      <w:r>
        <w:tab/>
        <w:t>If a provision of this Division listed in subclause (4) refers to a provision of Chapter 2 Part 5 Division 9, the provision of Chapter 2 Part 5 Division 9 applies, for the purposes of the provision of this Division, in relation to a deemed section 13 farm</w:t>
      </w:r>
      <w:r>
        <w:noBreakHyphen/>
        <w:t xml:space="preserve">in agreement — </w:t>
      </w:r>
    </w:p>
    <w:p>
      <w:pPr>
        <w:pStyle w:val="yIndenta"/>
      </w:pPr>
      <w:r>
        <w:tab/>
        <w:t>(a)</w:t>
      </w:r>
      <w:r>
        <w:tab/>
        <w:t>as it applies in relation to a farm</w:t>
      </w:r>
      <w:r>
        <w:noBreakHyphen/>
        <w:t>in transaction; and</w:t>
      </w:r>
    </w:p>
    <w:p>
      <w:pPr>
        <w:pStyle w:val="yIndenta"/>
      </w:pPr>
      <w:r>
        <w:tab/>
        <w:t>(b)</w:t>
      </w:r>
      <w:r>
        <w:tab/>
        <w:t>with any necessary modifications.</w:t>
      </w:r>
    </w:p>
    <w:p>
      <w:pPr>
        <w:pStyle w:val="ySubsection"/>
      </w:pPr>
      <w:r>
        <w:tab/>
        <w:t>(4)</w:t>
      </w:r>
      <w:r>
        <w:tab/>
        <w:t xml:space="preserve">The provisions of this Division are as follows — </w:t>
      </w:r>
    </w:p>
    <w:p>
      <w:pPr>
        <w:pStyle w:val="yIndenta"/>
      </w:pPr>
      <w:r>
        <w:tab/>
        <w:t>(a)</w:t>
      </w:r>
      <w:r>
        <w:tab/>
        <w:t xml:space="preserve">paragraph (b) of the definition of </w:t>
      </w:r>
      <w:r>
        <w:rPr>
          <w:b/>
          <w:i/>
        </w:rPr>
        <w:t>section 13 exploration amount</w:t>
      </w:r>
      <w:r>
        <w:t xml:space="preserve"> in subclause (1);</w:t>
      </w:r>
    </w:p>
    <w:p>
      <w:pPr>
        <w:pStyle w:val="yIndenta"/>
      </w:pPr>
      <w:r>
        <w:tab/>
        <w:t>(b)</w:t>
      </w:r>
      <w:r>
        <w:tab/>
        <w:t xml:space="preserve">paragraph (b) of the definition of </w:t>
      </w:r>
      <w:r>
        <w:rPr>
          <w:b/>
          <w:i/>
        </w:rPr>
        <w:t>section 13 exploration requirement</w:t>
      </w:r>
      <w:r>
        <w:t xml:space="preserve"> in subclause (1);</w:t>
      </w:r>
    </w:p>
    <w:p>
      <w:pPr>
        <w:pStyle w:val="yIndenta"/>
      </w:pPr>
      <w:r>
        <w:tab/>
        <w:t>(c)</w:t>
      </w:r>
      <w:r>
        <w:tab/>
        <w:t>clause 62(a);</w:t>
      </w:r>
    </w:p>
    <w:p>
      <w:pPr>
        <w:pStyle w:val="yIndenta"/>
      </w:pPr>
      <w:r>
        <w:tab/>
        <w:t>(d)</w:t>
      </w:r>
      <w:r>
        <w:tab/>
        <w:t>clause 69;</w:t>
      </w:r>
    </w:p>
    <w:p>
      <w:pPr>
        <w:pStyle w:val="yIndenta"/>
      </w:pPr>
      <w:r>
        <w:tab/>
        <w:t>(e)</w:t>
      </w:r>
      <w:r>
        <w:tab/>
        <w:t>clause 71(4)(b);</w:t>
      </w:r>
    </w:p>
    <w:p>
      <w:pPr>
        <w:pStyle w:val="yIndenta"/>
      </w:pPr>
      <w:r>
        <w:tab/>
        <w:t>(f)</w:t>
      </w:r>
      <w:r>
        <w:tab/>
        <w:t xml:space="preserve">paragraph (b) of the definition of </w:t>
      </w:r>
      <w:r>
        <w:rPr>
          <w:b/>
          <w:i/>
        </w:rPr>
        <w:t>replacement mining tenement</w:t>
      </w:r>
      <w:r>
        <w:t xml:space="preserve"> in clause 73(1);</w:t>
      </w:r>
    </w:p>
    <w:p>
      <w:pPr>
        <w:pStyle w:val="yIndenta"/>
        <w:keepNext/>
      </w:pPr>
      <w:r>
        <w:tab/>
        <w:t>(g)</w:t>
      </w:r>
      <w:r>
        <w:tab/>
        <w:t xml:space="preserve">paragraph (b) of the definition of </w:t>
      </w:r>
      <w:r>
        <w:rPr>
          <w:b/>
          <w:i/>
        </w:rPr>
        <w:t>replacement derivative mining right</w:t>
      </w:r>
      <w:r>
        <w:t xml:space="preserve"> in clause 74(1).</w:t>
      </w:r>
    </w:p>
    <w:p>
      <w:pPr>
        <w:pStyle w:val="yFootnotesection"/>
      </w:pPr>
      <w:r>
        <w:tab/>
        <w:t>[Clause 60 inserted: No. 37 of 2022 s. 14.]</w:t>
      </w:r>
    </w:p>
    <w:p>
      <w:pPr>
        <w:pStyle w:val="yHeading5"/>
      </w:pPr>
      <w:bookmarkStart w:id="2192" w:name="_Toc201229473"/>
      <w:bookmarkStart w:id="2193" w:name="_Toc182410538"/>
      <w:r>
        <w:rPr>
          <w:rStyle w:val="CharSClsNo"/>
        </w:rPr>
        <w:t>61</w:t>
      </w:r>
      <w:r>
        <w:t>.</w:t>
      </w:r>
      <w:r>
        <w:tab/>
        <w:t>Assessments</w:t>
      </w:r>
      <w:bookmarkEnd w:id="2192"/>
      <w:bookmarkEnd w:id="2193"/>
    </w:p>
    <w:p>
      <w:pPr>
        <w:pStyle w:val="ySubsection"/>
      </w:pPr>
      <w:r>
        <w:tab/>
        <w:t>(1)</w:t>
      </w:r>
      <w:r>
        <w:tab/>
        <w:t xml:space="preserve">In this clause — </w:t>
      </w:r>
    </w:p>
    <w:p>
      <w:pPr>
        <w:pStyle w:val="yDefstart"/>
      </w:pPr>
      <w:r>
        <w:tab/>
      </w:r>
      <w:r>
        <w:rPr>
          <w:rStyle w:val="CharDefText"/>
        </w:rPr>
        <w:t>made</w:t>
      </w:r>
      <w:r>
        <w:t>, in relation to an assessment, includes purportedly made;</w:t>
      </w:r>
    </w:p>
    <w:p>
      <w:pPr>
        <w:pStyle w:val="yDefstart"/>
      </w:pPr>
      <w:r>
        <w:tab/>
      </w:r>
      <w:r>
        <w:rPr>
          <w:rStyle w:val="CharDefText"/>
        </w:rPr>
        <w:t>relevant provision</w:t>
      </w:r>
      <w:r>
        <w:t xml:space="preserve"> means clause 64(2), 67(1), 68(1), 69, 70(2), 71(2), 72(1), 73(2) or (5) or 74(3).</w:t>
      </w:r>
    </w:p>
    <w:p>
      <w:pPr>
        <w:pStyle w:val="ySubsection"/>
      </w:pPr>
      <w:r>
        <w:tab/>
        <w:t>(2)</w:t>
      </w:r>
      <w:r>
        <w:tab/>
        <w:t xml:space="preserve">Subclause (3) applies to an assessment of duty chargeable under this Act that — </w:t>
      </w:r>
    </w:p>
    <w:p>
      <w:pPr>
        <w:pStyle w:val="yIndenta"/>
      </w:pPr>
      <w:r>
        <w:tab/>
        <w:t>(a)</w:t>
      </w:r>
      <w:r>
        <w:tab/>
        <w:t>is made before amendment day; and</w:t>
      </w:r>
    </w:p>
    <w:p>
      <w:pPr>
        <w:pStyle w:val="yIndenta"/>
      </w:pPr>
      <w:r>
        <w:tab/>
        <w:t>(b)</w:t>
      </w:r>
      <w:r>
        <w:tab/>
        <w:t>accords with a relevant provision.</w:t>
      </w:r>
    </w:p>
    <w:p>
      <w:pPr>
        <w:pStyle w:val="ySubsection"/>
      </w:pPr>
      <w:r>
        <w:tab/>
        <w:t>(3)</w:t>
      </w:r>
      <w:r>
        <w:tab/>
        <w:t>Without limiting the relevant provision, the assessment is, and is taken always to have been, valid and effective so far as it accords with the relevant provision.</w:t>
      </w:r>
    </w:p>
    <w:p>
      <w:pPr>
        <w:pStyle w:val="ySubsection"/>
      </w:pPr>
      <w:r>
        <w:tab/>
        <w:t>(4)</w:t>
      </w:r>
      <w:r>
        <w:tab/>
        <w:t xml:space="preserve">Subclause (5) applies in relation to an assessment of duty chargeable under this Act that — </w:t>
      </w:r>
    </w:p>
    <w:p>
      <w:pPr>
        <w:pStyle w:val="yIndenta"/>
      </w:pPr>
      <w:r>
        <w:tab/>
        <w:t>(a)</w:t>
      </w:r>
      <w:r>
        <w:tab/>
        <w:t>is made before amendment day; and</w:t>
      </w:r>
    </w:p>
    <w:p>
      <w:pPr>
        <w:pStyle w:val="yIndenta"/>
      </w:pPr>
      <w:r>
        <w:tab/>
        <w:t>(b)</w:t>
      </w:r>
      <w:r>
        <w:tab/>
        <w:t>does not accord with a relevant provision.</w:t>
      </w:r>
    </w:p>
    <w:p>
      <w:pPr>
        <w:pStyle w:val="ySubsection"/>
      </w:pPr>
      <w:r>
        <w:tab/>
        <w:t>(5)</w:t>
      </w:r>
      <w:r>
        <w:tab/>
        <w:t xml:space="preserve">In order to give effect to the relevant provision, the Commissioner may make a reassessment of the duty chargeable — </w:t>
      </w:r>
    </w:p>
    <w:p>
      <w:pPr>
        <w:pStyle w:val="yIndenta"/>
      </w:pPr>
      <w:r>
        <w:tab/>
        <w:t>(a)</w:t>
      </w:r>
      <w:r>
        <w:tab/>
        <w:t xml:space="preserve">on the Commissioner’s own initiative; or </w:t>
      </w:r>
    </w:p>
    <w:p>
      <w:pPr>
        <w:pStyle w:val="yIndenta"/>
      </w:pPr>
      <w:r>
        <w:tab/>
        <w:t>(b)</w:t>
      </w:r>
      <w:r>
        <w:tab/>
        <w:t>on the application of the taxpayer.</w:t>
      </w:r>
    </w:p>
    <w:p>
      <w:pPr>
        <w:pStyle w:val="ySubsection"/>
      </w:pPr>
      <w:r>
        <w:tab/>
        <w:t>(6)</w:t>
      </w:r>
      <w:r>
        <w:tab/>
        <w:t xml:space="preserve">For the purposes of a reassessment under subclause (5), the Taxation Administration Act section 17 applies as if — </w:t>
      </w:r>
    </w:p>
    <w:p>
      <w:pPr>
        <w:pStyle w:val="yIndenta"/>
      </w:pPr>
      <w:r>
        <w:tab/>
        <w:t>(a)</w:t>
      </w:r>
      <w:r>
        <w:tab/>
        <w:t xml:space="preserve">in subsection (1) of that section, the reference to 5 years after the original assessment was made were to the later of the following — </w:t>
      </w:r>
    </w:p>
    <w:p>
      <w:pPr>
        <w:pStyle w:val="yIndenti0"/>
      </w:pPr>
      <w:r>
        <w:tab/>
        <w:t>(i)</w:t>
      </w:r>
      <w:r>
        <w:tab/>
        <w:t>5 years after the day on which the original assessment was made;</w:t>
      </w:r>
    </w:p>
    <w:p>
      <w:pPr>
        <w:pStyle w:val="yIndenti0"/>
        <w:keepNext/>
      </w:pPr>
      <w:r>
        <w:tab/>
        <w:t>(ii)</w:t>
      </w:r>
      <w:r>
        <w:tab/>
        <w:t>12 months after amendment day;</w:t>
      </w:r>
    </w:p>
    <w:p>
      <w:pPr>
        <w:pStyle w:val="yIndenta"/>
        <w:keepNext/>
      </w:pPr>
      <w:r>
        <w:tab/>
      </w:r>
      <w:r>
        <w:tab/>
        <w:t>and</w:t>
      </w:r>
    </w:p>
    <w:p>
      <w:pPr>
        <w:pStyle w:val="yIndenta"/>
        <w:keepNext/>
      </w:pPr>
      <w:r>
        <w:tab/>
        <w:t>(b)</w:t>
      </w:r>
      <w:r>
        <w:tab/>
        <w:t xml:space="preserve">in subsection (4) of that section, references to 5 years after the date of the original assessment were to the later of the following — </w:t>
      </w:r>
    </w:p>
    <w:p>
      <w:pPr>
        <w:pStyle w:val="yIndenti0"/>
      </w:pPr>
      <w:r>
        <w:tab/>
        <w:t>(i)</w:t>
      </w:r>
      <w:r>
        <w:tab/>
        <w:t>5 years after the day on which the original assessment was made;</w:t>
      </w:r>
    </w:p>
    <w:p>
      <w:pPr>
        <w:pStyle w:val="yIndenti0"/>
      </w:pPr>
      <w:r>
        <w:tab/>
        <w:t>(ii)</w:t>
      </w:r>
      <w:r>
        <w:tab/>
        <w:t>12 months after amendment day.</w:t>
      </w:r>
    </w:p>
    <w:p>
      <w:pPr>
        <w:pStyle w:val="yFootnotesection"/>
      </w:pPr>
      <w:r>
        <w:tab/>
        <w:t>[Clause 61 inserted: No. 37 of 2022 s. 14.]</w:t>
      </w:r>
    </w:p>
    <w:p>
      <w:pPr>
        <w:pStyle w:val="yHeading4"/>
      </w:pPr>
      <w:bookmarkStart w:id="2194" w:name="_Toc201218403"/>
      <w:bookmarkStart w:id="2195" w:name="_Toc201224776"/>
      <w:bookmarkStart w:id="2196" w:name="_Toc201229474"/>
      <w:bookmarkStart w:id="2197" w:name="_Toc182389079"/>
      <w:bookmarkStart w:id="2198" w:name="_Toc182389741"/>
      <w:bookmarkStart w:id="2199" w:name="_Toc182410539"/>
      <w:r>
        <w:t>Subdivision 2</w:t>
      </w:r>
      <w:r>
        <w:rPr>
          <w:b w:val="0"/>
        </w:rPr>
        <w:t> — </w:t>
      </w:r>
      <w:r>
        <w:t>Provisions relating to Chapter 2 Part 5 Division 9</w:t>
      </w:r>
      <w:bookmarkEnd w:id="2194"/>
      <w:bookmarkEnd w:id="2195"/>
      <w:bookmarkEnd w:id="2196"/>
      <w:bookmarkEnd w:id="2197"/>
      <w:bookmarkEnd w:id="2198"/>
      <w:bookmarkEnd w:id="2199"/>
    </w:p>
    <w:p>
      <w:pPr>
        <w:pStyle w:val="yFootnoteheading"/>
        <w:keepNext/>
      </w:pPr>
      <w:r>
        <w:tab/>
        <w:t>[Heading inserted: No. 37 of 2022 s. 14.]</w:t>
      </w:r>
    </w:p>
    <w:p>
      <w:pPr>
        <w:pStyle w:val="yHeading5"/>
      </w:pPr>
      <w:bookmarkStart w:id="2200" w:name="_Toc201229475"/>
      <w:bookmarkStart w:id="2201" w:name="_Toc182410540"/>
      <w:r>
        <w:rPr>
          <w:rStyle w:val="CharSClsNo"/>
        </w:rPr>
        <w:t>62</w:t>
      </w:r>
      <w:r>
        <w:t>.</w:t>
      </w:r>
      <w:r>
        <w:tab/>
        <w:t>Application of section 91K(2)</w:t>
      </w:r>
      <w:bookmarkEnd w:id="2200"/>
      <w:bookmarkEnd w:id="2201"/>
    </w:p>
    <w:p>
      <w:pPr>
        <w:pStyle w:val="ySubsection"/>
      </w:pPr>
      <w:r>
        <w:tab/>
      </w:r>
      <w:r>
        <w:tab/>
        <w:t xml:space="preserve">For the purposes of paragraph (b)(iv) of the definition of </w:t>
      </w:r>
      <w:r>
        <w:rPr>
          <w:b/>
          <w:i/>
        </w:rPr>
        <w:t>primary farmor</w:t>
      </w:r>
      <w:r>
        <w:t xml:space="preserve"> in section 91K(1), section 91K(2) also applies to a transfer if the transfer is made to the transferee — </w:t>
      </w:r>
    </w:p>
    <w:p>
      <w:pPr>
        <w:pStyle w:val="yIndenta"/>
      </w:pPr>
      <w:r>
        <w:tab/>
        <w:t>(a)</w:t>
      </w:r>
      <w:r>
        <w:tab/>
        <w:t>under an actual section 13 farm</w:t>
      </w:r>
      <w:r>
        <w:noBreakHyphen/>
        <w:t>in agreement as contemplated in subsection (1)(c) and (d) of section 13 or under a deemed section 13 farm</w:t>
      </w:r>
      <w:r>
        <w:noBreakHyphen/>
        <w:t>in agreement as contemplated in section 91M(1)(c)(i); and</w:t>
      </w:r>
    </w:p>
    <w:p>
      <w:pPr>
        <w:pStyle w:val="yIndenta"/>
      </w:pPr>
      <w:r>
        <w:tab/>
        <w:t>(b)</w:t>
      </w:r>
      <w:r>
        <w:tab/>
        <w:t>without limiting paragraph (a), after the transferee has fulfilled the section 13 exploration requirement.</w:t>
      </w:r>
    </w:p>
    <w:p>
      <w:pPr>
        <w:pStyle w:val="yFootnotesection"/>
      </w:pPr>
      <w:r>
        <w:tab/>
        <w:t>[Clause 62 inserted: No. 37 of 2022 s. 14.]</w:t>
      </w:r>
    </w:p>
    <w:p>
      <w:pPr>
        <w:pStyle w:val="yHeading5"/>
      </w:pPr>
      <w:bookmarkStart w:id="2202" w:name="_Toc201229476"/>
      <w:bookmarkStart w:id="2203" w:name="_Toc182410541"/>
      <w:r>
        <w:rPr>
          <w:rStyle w:val="CharSClsNo"/>
        </w:rPr>
        <w:t>63</w:t>
      </w:r>
      <w:r>
        <w:t>.</w:t>
      </w:r>
      <w:r>
        <w:tab/>
        <w:t>Application of Chapter 2 Part 5 Division 9</w:t>
      </w:r>
      <w:bookmarkEnd w:id="2202"/>
      <w:bookmarkEnd w:id="2203"/>
    </w:p>
    <w:p>
      <w:pPr>
        <w:pStyle w:val="ySubsection"/>
      </w:pPr>
      <w:r>
        <w:tab/>
      </w:r>
      <w:r>
        <w:tab/>
        <w:t>An agreement can be a farm</w:t>
      </w:r>
      <w:r>
        <w:noBreakHyphen/>
        <w:t>in agreement or farm</w:t>
      </w:r>
      <w:r>
        <w:noBreakHyphen/>
        <w:t>in transaction under Chapter 2 Part 5 Division 9 only if the agreement is made on or after amendment day.</w:t>
      </w:r>
    </w:p>
    <w:p>
      <w:pPr>
        <w:pStyle w:val="yFootnotesection"/>
      </w:pPr>
      <w:r>
        <w:tab/>
        <w:t>[Clause 63 inserted: No. 37 of 2022 s. 14.]</w:t>
      </w:r>
    </w:p>
    <w:p>
      <w:pPr>
        <w:pStyle w:val="yHeading4"/>
      </w:pPr>
      <w:bookmarkStart w:id="2204" w:name="_Toc201218406"/>
      <w:bookmarkStart w:id="2205" w:name="_Toc201224779"/>
      <w:bookmarkStart w:id="2206" w:name="_Toc201229477"/>
      <w:bookmarkStart w:id="2207" w:name="_Toc182389082"/>
      <w:bookmarkStart w:id="2208" w:name="_Toc182389744"/>
      <w:bookmarkStart w:id="2209" w:name="_Toc182410542"/>
      <w:r>
        <w:t>Subdivision 3</w:t>
      </w:r>
      <w:r>
        <w:rPr>
          <w:b w:val="0"/>
        </w:rPr>
        <w:t> — </w:t>
      </w:r>
      <w:r>
        <w:t>Deemed section 13 farm</w:t>
      </w:r>
      <w:r>
        <w:noBreakHyphen/>
        <w:t>in agreements</w:t>
      </w:r>
      <w:bookmarkEnd w:id="2204"/>
      <w:bookmarkEnd w:id="2205"/>
      <w:bookmarkEnd w:id="2206"/>
      <w:bookmarkEnd w:id="2207"/>
      <w:bookmarkEnd w:id="2208"/>
      <w:bookmarkEnd w:id="2209"/>
    </w:p>
    <w:p>
      <w:pPr>
        <w:pStyle w:val="yFootnoteheading"/>
        <w:keepNext/>
      </w:pPr>
      <w:r>
        <w:tab/>
        <w:t>[Heading inserted: No. 37 of 2022 s. 14.]</w:t>
      </w:r>
    </w:p>
    <w:p>
      <w:pPr>
        <w:pStyle w:val="yHeading5"/>
      </w:pPr>
      <w:bookmarkStart w:id="2210" w:name="_Toc201229478"/>
      <w:bookmarkStart w:id="2211" w:name="_Toc182410543"/>
      <w:r>
        <w:rPr>
          <w:rStyle w:val="CharSClsNo"/>
        </w:rPr>
        <w:t>64</w:t>
      </w:r>
      <w:r>
        <w:t>.</w:t>
      </w:r>
      <w:r>
        <w:tab/>
        <w:t>Certain agreements taken to be farm</w:t>
      </w:r>
      <w:r>
        <w:noBreakHyphen/>
        <w:t>in agreements under section 13</w:t>
      </w:r>
      <w:bookmarkEnd w:id="2210"/>
      <w:bookmarkEnd w:id="2211"/>
    </w:p>
    <w:p>
      <w:pPr>
        <w:pStyle w:val="ySubsection"/>
      </w:pPr>
      <w:r>
        <w:tab/>
        <w:t>(1)</w:t>
      </w:r>
      <w:r>
        <w:tab/>
        <w:t>Subclause (2) applies to an agreement made during the first pre</w:t>
      </w:r>
      <w:r>
        <w:noBreakHyphen/>
        <w:t xml:space="preserve">amendment period if — </w:t>
      </w:r>
    </w:p>
    <w:p>
      <w:pPr>
        <w:pStyle w:val="yIndenta"/>
      </w:pPr>
      <w:r>
        <w:tab/>
        <w:t>(a)</w:t>
      </w:r>
      <w:r>
        <w:tab/>
        <w:t>the agreement is not an actual section 13 farm</w:t>
      </w:r>
      <w:r>
        <w:noBreakHyphen/>
        <w:t>in agreement; and</w:t>
      </w:r>
    </w:p>
    <w:p>
      <w:pPr>
        <w:pStyle w:val="yIndenta"/>
      </w:pPr>
      <w:r>
        <w:tab/>
        <w:t>(b)</w:t>
      </w:r>
      <w:r>
        <w:tab/>
        <w:t>if Chapter 2 Part 5 Division 9 applied to agreements made during the first pre</w:t>
      </w:r>
      <w:r>
        <w:noBreakHyphen/>
        <w:t>amendment period — the agreement would, under that Division, be a concessional farm</w:t>
      </w:r>
      <w:r>
        <w:noBreakHyphen/>
        <w:t>in transaction.</w:t>
      </w:r>
    </w:p>
    <w:p>
      <w:pPr>
        <w:pStyle w:val="ySubsection"/>
      </w:pPr>
      <w:r>
        <w:tab/>
        <w:t>(2)</w:t>
      </w:r>
      <w:r>
        <w:tab/>
        <w:t>For the purposes of this Act, the agreement is taken to be, and to have always been, a farm</w:t>
      </w:r>
      <w:r>
        <w:noBreakHyphen/>
        <w:t>in agreement under section 13.</w:t>
      </w:r>
    </w:p>
    <w:p>
      <w:pPr>
        <w:pStyle w:val="ySubsection"/>
      </w:pPr>
      <w:r>
        <w:tab/>
        <w:t>(3)</w:t>
      </w:r>
      <w:r>
        <w:tab/>
        <w:t>For the purposes of the application of this Division to agreements made during the first pre</w:t>
      </w:r>
      <w:r>
        <w:noBreakHyphen/>
        <w:t>amendment period, Chapter 2 Part 5 Division 9 is taken to be modified in accordance with subclauses (4) to (8).</w:t>
      </w:r>
    </w:p>
    <w:p>
      <w:pPr>
        <w:pStyle w:val="ySubsection"/>
      </w:pPr>
      <w:r>
        <w:tab/>
        <w:t>(4)</w:t>
      </w:r>
      <w:r>
        <w:tab/>
        <w:t>In relation to an agreement made before 13 June 2019, references to a derivative mining right are to a right to exploit a mining tenement.</w:t>
      </w:r>
    </w:p>
    <w:p>
      <w:pPr>
        <w:pStyle w:val="ySubsection"/>
      </w:pPr>
      <w:r>
        <w:tab/>
        <w:t>(5)</w:t>
      </w:r>
      <w:r>
        <w:tab/>
        <w:t xml:space="preserve">In relation to an agreement made before 28 November 2018, the definition of </w:t>
      </w:r>
      <w:r>
        <w:rPr>
          <w:b/>
          <w:i/>
        </w:rPr>
        <w:t>exploration</w:t>
      </w:r>
      <w:r>
        <w:t xml:space="preserve"> in section 91K(1) is replaced with:</w:t>
      </w:r>
    </w:p>
    <w:p>
      <w:pPr>
        <w:pStyle w:val="BlankOpen"/>
      </w:pPr>
    </w:p>
    <w:p>
      <w:pPr>
        <w:pStyle w:val="yDefstart"/>
      </w:pPr>
      <w:r>
        <w:tab/>
      </w:r>
      <w:r>
        <w:rPr>
          <w:rStyle w:val="CharDefText"/>
        </w:rPr>
        <w:t>exploration</w:t>
      </w:r>
      <w:r>
        <w:t xml:space="preserve"> includes development;</w:t>
      </w:r>
    </w:p>
    <w:p>
      <w:pPr>
        <w:pStyle w:val="BlankClose"/>
      </w:pPr>
    </w:p>
    <w:p>
      <w:pPr>
        <w:pStyle w:val="ySubsection"/>
      </w:pPr>
      <w:r>
        <w:tab/>
        <w:t>(6)</w:t>
      </w:r>
      <w:r>
        <w:tab/>
        <w:t xml:space="preserve">In section 91N(2) — </w:t>
      </w:r>
    </w:p>
    <w:p>
      <w:pPr>
        <w:pStyle w:val="yIndenta"/>
      </w:pPr>
      <w:r>
        <w:tab/>
        <w:t>(a)</w:t>
      </w:r>
      <w:r>
        <w:tab/>
        <w:t>in paragraph (a)(ii) and (iii), references to exploration of each relevant derivative mining right are to exploration of each mining tenement to which a relevant derivative mining right relates; and</w:t>
      </w:r>
    </w:p>
    <w:p>
      <w:pPr>
        <w:pStyle w:val="yIndenta"/>
      </w:pPr>
      <w:r>
        <w:tab/>
        <w:t>(b)</w:t>
      </w:r>
      <w:r>
        <w:tab/>
        <w:t>paragraph (b) is deleted.</w:t>
      </w:r>
    </w:p>
    <w:p>
      <w:pPr>
        <w:pStyle w:val="ySubsection"/>
        <w:keepNext/>
      </w:pPr>
      <w:r>
        <w:tab/>
        <w:t>(7)</w:t>
      </w:r>
      <w:r>
        <w:tab/>
        <w:t>Subdivision 4 is deleted.</w:t>
      </w:r>
    </w:p>
    <w:p>
      <w:pPr>
        <w:pStyle w:val="ySubsection"/>
      </w:pPr>
      <w:r>
        <w:tab/>
        <w:t>(8)</w:t>
      </w:r>
      <w:r>
        <w:tab/>
        <w:t>Section 91U is deleted.</w:t>
      </w:r>
    </w:p>
    <w:p>
      <w:pPr>
        <w:pStyle w:val="ySubsection"/>
      </w:pPr>
      <w:r>
        <w:tab/>
        <w:t>(9)</w:t>
      </w:r>
      <w:r>
        <w:tab/>
        <w:t>This clause is subject to clause 65.</w:t>
      </w:r>
    </w:p>
    <w:p>
      <w:pPr>
        <w:pStyle w:val="yFootnotesection"/>
      </w:pPr>
      <w:r>
        <w:tab/>
        <w:t>[Clause 64 inserted: No. 37 of 2022 s. 14.]</w:t>
      </w:r>
    </w:p>
    <w:p>
      <w:pPr>
        <w:pStyle w:val="yHeading5"/>
      </w:pPr>
      <w:bookmarkStart w:id="2212" w:name="_Toc201229479"/>
      <w:bookmarkStart w:id="2213" w:name="_Toc182410544"/>
      <w:r>
        <w:rPr>
          <w:rStyle w:val="CharSClsNo"/>
        </w:rPr>
        <w:t>65</w:t>
      </w:r>
      <w:r>
        <w:t>.</w:t>
      </w:r>
      <w:r>
        <w:tab/>
        <w:t>Variations and other events affecting section 13 farm</w:t>
      </w:r>
      <w:r>
        <w:noBreakHyphen/>
        <w:t>in agreements</w:t>
      </w:r>
      <w:bookmarkEnd w:id="2212"/>
      <w:bookmarkEnd w:id="2213"/>
    </w:p>
    <w:p>
      <w:pPr>
        <w:pStyle w:val="ySubsection"/>
      </w:pPr>
      <w:r>
        <w:tab/>
        <w:t>(1)</w:t>
      </w:r>
      <w:r>
        <w:tab/>
        <w:t xml:space="preserve">Subclauses (2) to (6) apply if, on or after amendment day, an agreement (the </w:t>
      </w:r>
      <w:r>
        <w:rPr>
          <w:rStyle w:val="CharDefText"/>
        </w:rPr>
        <w:t>additional agreement</w:t>
      </w:r>
      <w:r>
        <w:t xml:space="preserve">) is added to an agreement (the </w:t>
      </w:r>
      <w:r>
        <w:rPr>
          <w:rStyle w:val="CharDefText"/>
        </w:rPr>
        <w:t>existing agreement</w:t>
      </w:r>
      <w:r>
        <w:t>) that contains 1 or more section 13 farm</w:t>
      </w:r>
      <w:r>
        <w:noBreakHyphen/>
        <w:t>in agreements.</w:t>
      </w:r>
    </w:p>
    <w:p>
      <w:pPr>
        <w:pStyle w:val="ySubsection"/>
      </w:pPr>
      <w:r>
        <w:tab/>
        <w:t>(2)</w:t>
      </w:r>
      <w:r>
        <w:tab/>
        <w:t xml:space="preserve">The additional agreement — </w:t>
      </w:r>
    </w:p>
    <w:p>
      <w:pPr>
        <w:pStyle w:val="yIndenta"/>
      </w:pPr>
      <w:r>
        <w:tab/>
        <w:t>(a)</w:t>
      </w:r>
      <w:r>
        <w:tab/>
        <w:t>cannot be a concessional farm</w:t>
      </w:r>
      <w:r>
        <w:noBreakHyphen/>
        <w:t>in transaction; but</w:t>
      </w:r>
    </w:p>
    <w:p>
      <w:pPr>
        <w:pStyle w:val="yIndenta"/>
      </w:pPr>
      <w:r>
        <w:tab/>
        <w:t>(b)</w:t>
      </w:r>
      <w:r>
        <w:tab/>
        <w:t>is a deemed section 13 farm</w:t>
      </w:r>
      <w:r>
        <w:noBreakHyphen/>
        <w:t>in agreement if, apart from paragraph (a), the additional agreement would be a concessional farm</w:t>
      </w:r>
      <w:r>
        <w:noBreakHyphen/>
        <w:t xml:space="preserve">in transaction — </w:t>
      </w:r>
    </w:p>
    <w:p>
      <w:pPr>
        <w:pStyle w:val="yIndenti0"/>
      </w:pPr>
      <w:r>
        <w:tab/>
        <w:t>(i)</w:t>
      </w:r>
      <w:r>
        <w:tab/>
        <w:t>under section 91S(3) or (4) and, if both section 91M(1)(a)(i) and (ii) apply, under both section 91S(3) and (4); or</w:t>
      </w:r>
    </w:p>
    <w:p>
      <w:pPr>
        <w:pStyle w:val="yIndenti0"/>
      </w:pPr>
      <w:r>
        <w:tab/>
        <w:t>(ii)</w:t>
      </w:r>
      <w:r>
        <w:tab/>
        <w:t>under any regulations made for the purposes of section 91S(2)(b).</w:t>
      </w:r>
    </w:p>
    <w:p>
      <w:pPr>
        <w:pStyle w:val="ySubsection"/>
      </w:pPr>
      <w:r>
        <w:tab/>
        <w:t>(3)</w:t>
      </w:r>
      <w:r>
        <w:tab/>
        <w:t xml:space="preserve">For the purposes of subclause (2)(b), section 91S(3) and (4), and any regulations made for the purposes of section 91S(2)(b), apply, with any necessary modifications, as if — </w:t>
      </w:r>
    </w:p>
    <w:p>
      <w:pPr>
        <w:pStyle w:val="yIndenta"/>
      </w:pPr>
      <w:r>
        <w:tab/>
        <w:t>(a)</w:t>
      </w:r>
      <w:r>
        <w:tab/>
        <w:t>the existing agreement were a farm</w:t>
      </w:r>
      <w:r>
        <w:noBreakHyphen/>
        <w:t>in agreement; and</w:t>
      </w:r>
    </w:p>
    <w:p>
      <w:pPr>
        <w:pStyle w:val="yIndenta"/>
      </w:pPr>
      <w:r>
        <w:tab/>
        <w:t>(b)</w:t>
      </w:r>
      <w:r>
        <w:tab/>
        <w:t>any section 13 farm</w:t>
      </w:r>
      <w:r>
        <w:noBreakHyphen/>
        <w:t>in agreement contained in the existing agreement were a concessional farm</w:t>
      </w:r>
      <w:r>
        <w:noBreakHyphen/>
        <w:t>in transaction.</w:t>
      </w:r>
    </w:p>
    <w:p>
      <w:pPr>
        <w:pStyle w:val="ySubsection"/>
      </w:pPr>
      <w:r>
        <w:tab/>
        <w:t>(4)</w:t>
      </w:r>
      <w:r>
        <w:tab/>
        <w:t>If the additional agreement is a deemed section 13 farm</w:t>
      </w:r>
      <w:r>
        <w:noBreakHyphen/>
        <w:t>in agreement under subclause (2)(b), the Commissioner may, for the purpose of applying clause 70(5), (6) or (7), reassess the duty chargeable on any other section 13 farm</w:t>
      </w:r>
      <w:r>
        <w:noBreakHyphen/>
        <w:t xml:space="preserve">in agreement contained in the existing agreement — </w:t>
      </w:r>
    </w:p>
    <w:p>
      <w:pPr>
        <w:pStyle w:val="yIndenta"/>
      </w:pPr>
      <w:r>
        <w:tab/>
        <w:t>(a)</w:t>
      </w:r>
      <w:r>
        <w:tab/>
        <w:t>on the Commissioner’s own initiative; or</w:t>
      </w:r>
    </w:p>
    <w:p>
      <w:pPr>
        <w:pStyle w:val="yIndenta"/>
        <w:keepNext/>
      </w:pPr>
      <w:r>
        <w:tab/>
        <w:t>(b)</w:t>
      </w:r>
      <w:r>
        <w:tab/>
        <w:t>on the application of the taxpayer.</w:t>
      </w:r>
    </w:p>
    <w:p>
      <w:pPr>
        <w:pStyle w:val="ySubsection"/>
      </w:pPr>
      <w:r>
        <w:tab/>
        <w:t>(5)</w:t>
      </w:r>
      <w:r>
        <w:tab/>
        <w:t>For the purposes of a reassessment under subclause (4) of the duty chargeable on a section 13 farm</w:t>
      </w:r>
      <w:r>
        <w:noBreakHyphen/>
        <w:t>in agreement, the section 13 farm</w:t>
      </w:r>
      <w:r>
        <w:noBreakHyphen/>
        <w:t>in agreement is to be taken to have been made when the additional agreement is added to the existing agreement.</w:t>
      </w:r>
    </w:p>
    <w:p>
      <w:pPr>
        <w:pStyle w:val="ySubsection"/>
      </w:pPr>
      <w:r>
        <w:tab/>
        <w:t>(6)</w:t>
      </w:r>
      <w:r>
        <w:tab/>
        <w:t xml:space="preserve">For the purposes of a reassessment under subclause (4), the Taxation Administration Act section 17 applies as if — </w:t>
      </w:r>
    </w:p>
    <w:p>
      <w:pPr>
        <w:pStyle w:val="yIndenta"/>
      </w:pPr>
      <w:r>
        <w:tab/>
        <w:t>(a)</w:t>
      </w:r>
      <w:r>
        <w:tab/>
        <w:t xml:space="preserve">in subsection (1) of that section, the reference to 5 years after the original assessment was made were to the later of the following — </w:t>
      </w:r>
    </w:p>
    <w:p>
      <w:pPr>
        <w:pStyle w:val="yIndenti0"/>
      </w:pPr>
      <w:r>
        <w:tab/>
        <w:t>(i)</w:t>
      </w:r>
      <w:r>
        <w:tab/>
        <w:t>5 years after the day on which the original assessment was made;</w:t>
      </w:r>
    </w:p>
    <w:p>
      <w:pPr>
        <w:pStyle w:val="yIndenti0"/>
        <w:keepNext/>
      </w:pPr>
      <w:r>
        <w:tab/>
        <w:t>(ii)</w:t>
      </w:r>
      <w:r>
        <w:tab/>
        <w:t>12 months after the day on which the additional agreement is added to the existing agreement;</w:t>
      </w:r>
    </w:p>
    <w:p>
      <w:pPr>
        <w:pStyle w:val="yIndenta"/>
      </w:pPr>
      <w:r>
        <w:tab/>
      </w:r>
      <w:r>
        <w:tab/>
        <w:t>and</w:t>
      </w:r>
    </w:p>
    <w:p>
      <w:pPr>
        <w:pStyle w:val="yIndenta"/>
      </w:pPr>
      <w:r>
        <w:tab/>
        <w:t>(b)</w:t>
      </w:r>
      <w:r>
        <w:tab/>
        <w:t xml:space="preserve">in subsection (4) of that section, references to 5 years after the date of the original assessment were to the later of the following — </w:t>
      </w:r>
    </w:p>
    <w:p>
      <w:pPr>
        <w:pStyle w:val="yIndenti0"/>
      </w:pPr>
      <w:r>
        <w:tab/>
        <w:t>(i)</w:t>
      </w:r>
      <w:r>
        <w:tab/>
        <w:t>5 years after the day on which the original assessment was made;</w:t>
      </w:r>
    </w:p>
    <w:p>
      <w:pPr>
        <w:pStyle w:val="yIndenti0"/>
      </w:pPr>
      <w:r>
        <w:tab/>
        <w:t>(ii)</w:t>
      </w:r>
      <w:r>
        <w:tab/>
        <w:t>12 months after the day on which the additional agreement is added to the existing agreement.</w:t>
      </w:r>
    </w:p>
    <w:p>
      <w:pPr>
        <w:pStyle w:val="ySubsection"/>
      </w:pPr>
      <w:r>
        <w:tab/>
        <w:t>(7)</w:t>
      </w:r>
      <w:r>
        <w:tab/>
        <w:t>If, on or after amendment day, an agreement that is a deemed section 13 farm</w:t>
      </w:r>
      <w:r>
        <w:noBreakHyphen/>
        <w:t>in agreement ceases to meet the requirements for a farm</w:t>
      </w:r>
      <w:r>
        <w:noBreakHyphen/>
        <w:t>in transaction set out in section 91M(1) to (5), the agreement ceases to be a deemed section 13 farm</w:t>
      </w:r>
      <w:r>
        <w:noBreakHyphen/>
        <w:t>in agreement accordingly.</w:t>
      </w:r>
    </w:p>
    <w:p>
      <w:pPr>
        <w:pStyle w:val="ySubsection"/>
      </w:pPr>
      <w:r>
        <w:tab/>
        <w:t>(8)</w:t>
      </w:r>
      <w:r>
        <w:tab/>
        <w:t>If, on or after amendment day in a case in which subclause (7) does not apply, an agreement that is a deemed section 13 farm</w:t>
      </w:r>
      <w:r>
        <w:noBreakHyphen/>
        <w:t xml:space="preserve">in agreement is varied, section 91T(2) to (4), and any regulations made for the purposes of section 91T(2)(c), (3)(c) or (5), apply for the purpose of determining whether, as a result of the variation — </w:t>
      </w:r>
    </w:p>
    <w:p>
      <w:pPr>
        <w:pStyle w:val="yIndenta"/>
      </w:pPr>
      <w:r>
        <w:tab/>
        <w:t>(a)</w:t>
      </w:r>
      <w:r>
        <w:tab/>
        <w:t>the agreement ceases to be a deemed section 13 farm</w:t>
      </w:r>
      <w:r>
        <w:noBreakHyphen/>
        <w:t>in agreement; or</w:t>
      </w:r>
    </w:p>
    <w:p>
      <w:pPr>
        <w:pStyle w:val="yIndenta"/>
        <w:keepNext/>
      </w:pPr>
      <w:r>
        <w:tab/>
        <w:t>(b)</w:t>
      </w:r>
      <w:r>
        <w:tab/>
        <w:t>the agreement is taken not to be a deemed section 13 farm</w:t>
      </w:r>
      <w:r>
        <w:noBreakHyphen/>
        <w:t>in agreement to an extent.</w:t>
      </w:r>
    </w:p>
    <w:p>
      <w:pPr>
        <w:pStyle w:val="ySubsection"/>
      </w:pPr>
      <w:r>
        <w:tab/>
        <w:t>(9)</w:t>
      </w:r>
      <w:r>
        <w:tab/>
        <w:t>For the purposes of subclause (8), section 91T(2) to (4), and any regulations made for the purposes of section 91T(2)(c), (3)(c) or (5), apply, with any necessary modifications, as if the agreement were a concessional farm</w:t>
      </w:r>
      <w:r>
        <w:noBreakHyphen/>
        <w:t>in transaction.</w:t>
      </w:r>
    </w:p>
    <w:p>
      <w:pPr>
        <w:pStyle w:val="ySubsection"/>
      </w:pPr>
      <w:r>
        <w:tab/>
        <w:t>(10)</w:t>
      </w:r>
      <w:r>
        <w:tab/>
        <w:t>If an agreement ceases to be, or is taken not to be to an extent, a deemed section 13 farm</w:t>
      </w:r>
      <w:r>
        <w:noBreakHyphen/>
        <w:t>in agreement under subclause (7) or (8), section 91T(7) to (10) apply, with any necessary modifications, in relation to the agreement as they apply in relation to an agreement referred to in section 91T(6).</w:t>
      </w:r>
    </w:p>
    <w:p>
      <w:pPr>
        <w:pStyle w:val="yFootnotesection"/>
      </w:pPr>
      <w:r>
        <w:tab/>
        <w:t>[Clause 65 inserted: No. 37 of 2022 s. 14.]</w:t>
      </w:r>
    </w:p>
    <w:p>
      <w:pPr>
        <w:pStyle w:val="yHeading4"/>
      </w:pPr>
      <w:bookmarkStart w:id="2214" w:name="_Toc201218409"/>
      <w:bookmarkStart w:id="2215" w:name="_Toc201224782"/>
      <w:bookmarkStart w:id="2216" w:name="_Toc201229480"/>
      <w:bookmarkStart w:id="2217" w:name="_Toc182389085"/>
      <w:bookmarkStart w:id="2218" w:name="_Toc182389747"/>
      <w:bookmarkStart w:id="2219" w:name="_Toc182410545"/>
      <w:r>
        <w:t>Subdivision 4 — Ongoing application of Act in relation to section 13 farm</w:t>
      </w:r>
      <w:r>
        <w:noBreakHyphen/>
        <w:t>in agreements</w:t>
      </w:r>
      <w:bookmarkEnd w:id="2214"/>
      <w:bookmarkEnd w:id="2215"/>
      <w:bookmarkEnd w:id="2216"/>
      <w:bookmarkEnd w:id="2217"/>
      <w:bookmarkEnd w:id="2218"/>
      <w:bookmarkEnd w:id="2219"/>
    </w:p>
    <w:p>
      <w:pPr>
        <w:pStyle w:val="yFootnoteheading"/>
        <w:keepNext/>
      </w:pPr>
      <w:r>
        <w:tab/>
        <w:t>[Heading inserted: No. 37 of 2022 s. 14.]</w:t>
      </w:r>
    </w:p>
    <w:p>
      <w:pPr>
        <w:pStyle w:val="yHeading5"/>
      </w:pPr>
      <w:bookmarkStart w:id="2220" w:name="_Toc201229481"/>
      <w:bookmarkStart w:id="2221" w:name="_Toc182410546"/>
      <w:r>
        <w:rPr>
          <w:rStyle w:val="CharSClsNo"/>
        </w:rPr>
        <w:t>66</w:t>
      </w:r>
      <w:r>
        <w:t>.</w:t>
      </w:r>
      <w:r>
        <w:tab/>
        <w:t>Act to apply in relation to section 13 farm</w:t>
      </w:r>
      <w:r>
        <w:noBreakHyphen/>
        <w:t>in agreements as if sections 4 to 13 of amending Act not enacted</w:t>
      </w:r>
      <w:bookmarkEnd w:id="2220"/>
      <w:bookmarkEnd w:id="2221"/>
    </w:p>
    <w:p>
      <w:pPr>
        <w:pStyle w:val="ySubsection"/>
      </w:pPr>
      <w:r>
        <w:tab/>
      </w:r>
      <w:r>
        <w:tab/>
        <w:t>On and after amendment day, this Act applies to section 13 farm</w:t>
      </w:r>
      <w:r>
        <w:noBreakHyphen/>
        <w:t>in agreements, and dutiable transactions under section 13 farm</w:t>
      </w:r>
      <w:r>
        <w:noBreakHyphen/>
        <w:t>in agreements, as if sections 4 to 13 of the amending Act had not been enacted (subject to the other provisions of this Division where relevant).</w:t>
      </w:r>
    </w:p>
    <w:p>
      <w:pPr>
        <w:pStyle w:val="yFootnotesection"/>
      </w:pPr>
      <w:r>
        <w:tab/>
        <w:t>[Clause 66 inserted: No. 37 of 2022 s. 14.]</w:t>
      </w:r>
    </w:p>
    <w:p>
      <w:pPr>
        <w:pStyle w:val="yHeading4"/>
      </w:pPr>
      <w:bookmarkStart w:id="2222" w:name="_Toc201218411"/>
      <w:bookmarkStart w:id="2223" w:name="_Toc201224784"/>
      <w:bookmarkStart w:id="2224" w:name="_Toc201229482"/>
      <w:bookmarkStart w:id="2225" w:name="_Toc182389087"/>
      <w:bookmarkStart w:id="2226" w:name="_Toc182389749"/>
      <w:bookmarkStart w:id="2227" w:name="_Toc182410547"/>
      <w:r>
        <w:t>Subdivision 5</w:t>
      </w:r>
      <w:r>
        <w:rPr>
          <w:b w:val="0"/>
        </w:rPr>
        <w:t> — </w:t>
      </w:r>
      <w:r>
        <w:t>Modifications of section 13</w:t>
      </w:r>
      <w:bookmarkEnd w:id="2222"/>
      <w:bookmarkEnd w:id="2223"/>
      <w:bookmarkEnd w:id="2224"/>
      <w:bookmarkEnd w:id="2225"/>
      <w:bookmarkEnd w:id="2226"/>
      <w:bookmarkEnd w:id="2227"/>
    </w:p>
    <w:p>
      <w:pPr>
        <w:pStyle w:val="yFootnoteheading"/>
        <w:keepNext/>
      </w:pPr>
      <w:r>
        <w:tab/>
        <w:t>[Heading inserted: No. 37 of 2022 s. 14.]</w:t>
      </w:r>
    </w:p>
    <w:p>
      <w:pPr>
        <w:pStyle w:val="yHeading5"/>
      </w:pPr>
      <w:bookmarkStart w:id="2228" w:name="_Toc201229483"/>
      <w:bookmarkStart w:id="2229" w:name="_Toc182410548"/>
      <w:r>
        <w:rPr>
          <w:rStyle w:val="CharSClsNo"/>
        </w:rPr>
        <w:t>67</w:t>
      </w:r>
      <w:r>
        <w:t>.</w:t>
      </w:r>
      <w:r>
        <w:tab/>
        <w:t>Restriction on activities regarded as exploration or development for purposes of section 13(2)</w:t>
      </w:r>
      <w:bookmarkEnd w:id="2228"/>
      <w:bookmarkEnd w:id="2229"/>
    </w:p>
    <w:p>
      <w:pPr>
        <w:pStyle w:val="ySubsection"/>
      </w:pPr>
      <w:r>
        <w:tab/>
        <w:t>(1)</w:t>
      </w:r>
      <w:r>
        <w:tab/>
        <w:t>For the purposes of this Act, subsection (2) of section 13 is taken to have applied during the second pre</w:t>
      </w:r>
      <w:r>
        <w:noBreakHyphen/>
        <w:t>amendment period, and applies on and after amendment day under clause 66, subject to subclause (2).</w:t>
      </w:r>
    </w:p>
    <w:p>
      <w:pPr>
        <w:pStyle w:val="ySubsection"/>
        <w:keepNext/>
        <w:keepLines/>
      </w:pPr>
      <w:r>
        <w:tab/>
        <w:t>(2)</w:t>
      </w:r>
      <w:r>
        <w:tab/>
        <w:t>In subsection (2) of section 13, in relation to an agreement made during the second pre</w:t>
      </w:r>
      <w:r>
        <w:noBreakHyphen/>
        <w:t xml:space="preserve">amendment period, the reference to exploration or development only includes development to the extent that it is carried out solely — </w:t>
      </w:r>
    </w:p>
    <w:p>
      <w:pPr>
        <w:pStyle w:val="yIndenta"/>
      </w:pPr>
      <w:r>
        <w:tab/>
        <w:t>(a)</w:t>
      </w:r>
      <w:r>
        <w:tab/>
        <w:t>for the purpose of facilitating exploration; or</w:t>
      </w:r>
    </w:p>
    <w:p>
      <w:pPr>
        <w:pStyle w:val="yIndenta"/>
      </w:pPr>
      <w:r>
        <w:tab/>
        <w:t>(b)</w:t>
      </w:r>
      <w:r>
        <w:tab/>
        <w:t>otherwise incidentally to exploration.</w:t>
      </w:r>
    </w:p>
    <w:p>
      <w:pPr>
        <w:pStyle w:val="yFootnotesection"/>
      </w:pPr>
      <w:r>
        <w:tab/>
        <w:t>[Clause 67 inserted: No. 37 of 2022 s. 14.]</w:t>
      </w:r>
    </w:p>
    <w:p>
      <w:pPr>
        <w:pStyle w:val="yHeading5"/>
      </w:pPr>
      <w:bookmarkStart w:id="2230" w:name="_Toc201229484"/>
      <w:bookmarkStart w:id="2231" w:name="_Toc182410549"/>
      <w:r>
        <w:rPr>
          <w:rStyle w:val="CharSClsNo"/>
        </w:rPr>
        <w:t>68</w:t>
      </w:r>
      <w:r>
        <w:t>.</w:t>
      </w:r>
      <w:r>
        <w:tab/>
        <w:t>Commissioner may allow expenditure on administrative costs to be regarded as expenditure on exploration or development for purposes of section 13(2)</w:t>
      </w:r>
      <w:bookmarkEnd w:id="2230"/>
      <w:bookmarkEnd w:id="2231"/>
    </w:p>
    <w:p>
      <w:pPr>
        <w:pStyle w:val="ySubsection"/>
      </w:pPr>
      <w:r>
        <w:tab/>
        <w:t>(1)</w:t>
      </w:r>
      <w:r>
        <w:tab/>
        <w:t>For the purposes of this Act, subsection (2) of section 13 is taken to have applied during the first pre</w:t>
      </w:r>
      <w:r>
        <w:noBreakHyphen/>
        <w:t>amendment period, and applies on and after amendment day under clause 66, subject to subclause (2).</w:t>
      </w:r>
    </w:p>
    <w:p>
      <w:pPr>
        <w:pStyle w:val="ySubsection"/>
      </w:pPr>
      <w:r>
        <w:tab/>
        <w:t>(2)</w:t>
      </w:r>
      <w:r>
        <w:tab/>
        <w:t>The Commissioner may, in relation to an agreement made during the first pre</w:t>
      </w:r>
      <w:r>
        <w:noBreakHyphen/>
        <w:t>amendment period, allow expenditure on administrative costs that would not otherwise be regarded as expenditure on exploration or development for the purposes of subsection (2) of section 13 to be so regarded, subject to any limits or other conditions imposed by the Commissioner.</w:t>
      </w:r>
    </w:p>
    <w:p>
      <w:pPr>
        <w:pStyle w:val="yFootnotesection"/>
      </w:pPr>
      <w:r>
        <w:tab/>
        <w:t>[Clause 68 inserted: No. 37 of 2022 s. 14.]</w:t>
      </w:r>
    </w:p>
    <w:p>
      <w:pPr>
        <w:pStyle w:val="yHeading4"/>
      </w:pPr>
      <w:bookmarkStart w:id="2232" w:name="_Toc201218414"/>
      <w:bookmarkStart w:id="2233" w:name="_Toc201224787"/>
      <w:bookmarkStart w:id="2234" w:name="_Toc201229485"/>
      <w:bookmarkStart w:id="2235" w:name="_Toc182389090"/>
      <w:bookmarkStart w:id="2236" w:name="_Toc182389752"/>
      <w:bookmarkStart w:id="2237" w:name="_Toc182410550"/>
      <w:r>
        <w:t>Subdivision 6</w:t>
      </w:r>
      <w:r>
        <w:rPr>
          <w:b w:val="0"/>
        </w:rPr>
        <w:t> — </w:t>
      </w:r>
      <w:r>
        <w:t>Duty chargeable in relation to section 13 farm</w:t>
      </w:r>
      <w:r>
        <w:noBreakHyphen/>
        <w:t>in agreements</w:t>
      </w:r>
      <w:bookmarkEnd w:id="2232"/>
      <w:bookmarkEnd w:id="2233"/>
      <w:bookmarkEnd w:id="2234"/>
      <w:bookmarkEnd w:id="2235"/>
      <w:bookmarkEnd w:id="2236"/>
      <w:bookmarkEnd w:id="2237"/>
    </w:p>
    <w:p>
      <w:pPr>
        <w:pStyle w:val="yFootnoteheading"/>
        <w:keepNext/>
      </w:pPr>
      <w:r>
        <w:tab/>
        <w:t>[Heading inserted: No. 37 of 2022 s. 14.]</w:t>
      </w:r>
    </w:p>
    <w:p>
      <w:pPr>
        <w:pStyle w:val="yHeading5"/>
      </w:pPr>
      <w:bookmarkStart w:id="2238" w:name="_Toc201229486"/>
      <w:bookmarkStart w:id="2239" w:name="_Toc182410551"/>
      <w:r>
        <w:rPr>
          <w:rStyle w:val="CharSClsNo"/>
        </w:rPr>
        <w:t>69</w:t>
      </w:r>
      <w:r>
        <w:t>.</w:t>
      </w:r>
      <w:r>
        <w:tab/>
        <w:t>Application of Schedule 1 to deemed section 13 farm</w:t>
      </w:r>
      <w:r>
        <w:noBreakHyphen/>
        <w:t>in agreements</w:t>
      </w:r>
      <w:bookmarkEnd w:id="2238"/>
      <w:bookmarkEnd w:id="2239"/>
    </w:p>
    <w:p>
      <w:pPr>
        <w:pStyle w:val="ySubsection"/>
      </w:pPr>
      <w:r>
        <w:tab/>
      </w:r>
      <w:r>
        <w:tab/>
        <w:t>For the purposes of this Act, in relation to a deemed section 13 farm</w:t>
      </w:r>
      <w:r>
        <w:noBreakHyphen/>
        <w:t>in agreement, Schedule 1 is taken to have applied during the first pre</w:t>
      </w:r>
      <w:r>
        <w:noBreakHyphen/>
        <w:t>amendment period, and applies on and after amendment day under clause 66, as if, in the item for section 11(1)(j) column 4, the reference to the person referred to in section 13(1)(b) were to the farmee as defined in section 91L(1)(b).</w:t>
      </w:r>
    </w:p>
    <w:p>
      <w:pPr>
        <w:pStyle w:val="yFootnotesection"/>
      </w:pPr>
      <w:r>
        <w:tab/>
        <w:t>[Clause 69 inserted: No. 37 of 2022 s. 14.]</w:t>
      </w:r>
    </w:p>
    <w:p>
      <w:pPr>
        <w:pStyle w:val="yHeading5"/>
      </w:pPr>
      <w:bookmarkStart w:id="2240" w:name="_Toc201229487"/>
      <w:bookmarkStart w:id="2241" w:name="_Toc182410552"/>
      <w:r>
        <w:rPr>
          <w:rStyle w:val="CharSClsNo"/>
        </w:rPr>
        <w:t>70</w:t>
      </w:r>
      <w:r>
        <w:t>.</w:t>
      </w:r>
      <w:r>
        <w:tab/>
        <w:t>Section 13 farm</w:t>
      </w:r>
      <w:r>
        <w:noBreakHyphen/>
        <w:t>in agreements: modified rules relating to charging of duty</w:t>
      </w:r>
      <w:bookmarkEnd w:id="2240"/>
      <w:bookmarkEnd w:id="2241"/>
    </w:p>
    <w:p>
      <w:pPr>
        <w:pStyle w:val="ySubsection"/>
        <w:keepNext/>
      </w:pPr>
      <w:r>
        <w:tab/>
        <w:t>(1)</w:t>
      </w:r>
      <w:r>
        <w:tab/>
        <w:t xml:space="preserve">In this clause — </w:t>
      </w:r>
    </w:p>
    <w:p>
      <w:pPr>
        <w:pStyle w:val="yDefstart"/>
      </w:pPr>
      <w:r>
        <w:tab/>
      </w:r>
      <w:r>
        <w:rPr>
          <w:rStyle w:val="CharDefText"/>
        </w:rPr>
        <w:t>section 135</w:t>
      </w:r>
      <w:r>
        <w:t xml:space="preserve"> means section 135 as in force from time to time before amendment day.</w:t>
      </w:r>
    </w:p>
    <w:p>
      <w:pPr>
        <w:pStyle w:val="ySubsection"/>
      </w:pPr>
      <w:r>
        <w:tab/>
        <w:t>(2)</w:t>
      </w:r>
      <w:r>
        <w:tab/>
        <w:t>For the purposes of this Act, in relation to section 13 farm</w:t>
      </w:r>
      <w:r>
        <w:noBreakHyphen/>
        <w:t>in agreements, section 135 is taken to have applied during the first pre</w:t>
      </w:r>
      <w:r>
        <w:noBreakHyphen/>
        <w:t>amendment period, and applies on and after amendment day under clause 66, subject to subclauses (3) to (9).</w:t>
      </w:r>
    </w:p>
    <w:p>
      <w:pPr>
        <w:pStyle w:val="ySubsection"/>
      </w:pPr>
      <w:r>
        <w:tab/>
        <w:t>(3)</w:t>
      </w:r>
      <w:r>
        <w:tab/>
        <w:t>For the purposes of subsection (3) of section 135, the exploration amount is the section 13 exploration amount.</w:t>
      </w:r>
    </w:p>
    <w:p>
      <w:pPr>
        <w:pStyle w:val="ySubsection"/>
        <w:keepNext/>
      </w:pPr>
      <w:r>
        <w:tab/>
        <w:t>(4)</w:t>
      </w:r>
      <w:r>
        <w:tab/>
        <w:t xml:space="preserve">Subclause (5) applies if — </w:t>
      </w:r>
    </w:p>
    <w:p>
      <w:pPr>
        <w:pStyle w:val="yIndenta"/>
      </w:pPr>
      <w:r>
        <w:tab/>
        <w:t>(a)</w:t>
      </w:r>
      <w:r>
        <w:tab/>
        <w:t>an agreement contains 2 or more section 13 farm</w:t>
      </w:r>
      <w:r>
        <w:noBreakHyphen/>
        <w:t>in agreements that are dutiable transactions; and</w:t>
      </w:r>
    </w:p>
    <w:p>
      <w:pPr>
        <w:pStyle w:val="yIndenta"/>
      </w:pPr>
      <w:r>
        <w:tab/>
        <w:t>(b)</w:t>
      </w:r>
      <w:r>
        <w:tab/>
        <w:t>apart from subclause (5), nominal duty would be chargeable on all of the section 13 farm</w:t>
      </w:r>
      <w:r>
        <w:noBreakHyphen/>
        <w:t>in agreements contained in the agreement that are dutiable transactions.</w:t>
      </w:r>
    </w:p>
    <w:p>
      <w:pPr>
        <w:pStyle w:val="ySubsection"/>
      </w:pPr>
      <w:r>
        <w:tab/>
        <w:t>(5)</w:t>
      </w:r>
      <w:r>
        <w:tab/>
        <w:t>Nominal duty is chargeable on all of the section 13 farm</w:t>
      </w:r>
      <w:r>
        <w:noBreakHyphen/>
        <w:t>in agreements taken together as if they were a single dutiable transaction.</w:t>
      </w:r>
    </w:p>
    <w:p>
      <w:pPr>
        <w:pStyle w:val="ySubsection"/>
      </w:pPr>
      <w:r>
        <w:tab/>
        <w:t>(6)</w:t>
      </w:r>
      <w:r>
        <w:tab/>
        <w:t>Duty is not chargeable on a section 13 farm</w:t>
      </w:r>
      <w:r>
        <w:noBreakHyphen/>
        <w:t xml:space="preserve">in agreement if — </w:t>
      </w:r>
    </w:p>
    <w:p>
      <w:pPr>
        <w:pStyle w:val="yIndenta"/>
      </w:pPr>
      <w:r>
        <w:tab/>
        <w:t>(a)</w:t>
      </w:r>
      <w:r>
        <w:tab/>
        <w:t>apart from this subclause, the section 13 farm</w:t>
      </w:r>
      <w:r>
        <w:noBreakHyphen/>
        <w:t>in agreement would be chargeable with nominal duty; and</w:t>
      </w:r>
    </w:p>
    <w:p>
      <w:pPr>
        <w:pStyle w:val="yIndenta"/>
      </w:pPr>
      <w:r>
        <w:tab/>
        <w:t>(b)</w:t>
      </w:r>
      <w:r>
        <w:tab/>
        <w:t>the section 13 farm</w:t>
      </w:r>
      <w:r>
        <w:noBreakHyphen/>
        <w:t>in agreement is contained in an agreement that also contains 1 or more other section 13 farm</w:t>
      </w:r>
      <w:r>
        <w:noBreakHyphen/>
        <w:t>in agreements on which duty is chargeable at the general rate of duty.</w:t>
      </w:r>
    </w:p>
    <w:p>
      <w:pPr>
        <w:pStyle w:val="ySubsection"/>
      </w:pPr>
      <w:r>
        <w:tab/>
        <w:t>(7)</w:t>
      </w:r>
      <w:r>
        <w:tab/>
        <w:t>If an agreement contains 2 or more section 13 farm</w:t>
      </w:r>
      <w:r>
        <w:noBreakHyphen/>
        <w:t>in agreements on which duty is chargeable at the general rate of duty, the amount of duty chargeable on each of those section 13 farm</w:t>
      </w:r>
      <w:r>
        <w:noBreakHyphen/>
        <w:t xml:space="preserve">in agreements must be determined as follows — </w:t>
      </w:r>
    </w:p>
    <w:p>
      <w:pPr>
        <w:pStyle w:val="yIndenta"/>
      </w:pPr>
      <w:r>
        <w:tab/>
        <w:t>(a)</w:t>
      </w:r>
      <w:r>
        <w:tab/>
        <w:t>first, aggregate the dutiable values of the section 13 farm</w:t>
      </w:r>
      <w:r>
        <w:noBreakHyphen/>
        <w:t>in agreements;</w:t>
      </w:r>
    </w:p>
    <w:p>
      <w:pPr>
        <w:pStyle w:val="yIndenta"/>
      </w:pPr>
      <w:r>
        <w:tab/>
        <w:t>(b)</w:t>
      </w:r>
      <w:r>
        <w:tab/>
        <w:t>second, apply the general rate of duty to the aggregate dutiable value;</w:t>
      </w:r>
    </w:p>
    <w:p>
      <w:pPr>
        <w:pStyle w:val="yIndenta"/>
      </w:pPr>
      <w:r>
        <w:tab/>
        <w:t>(c)</w:t>
      </w:r>
      <w:r>
        <w:tab/>
        <w:t>third, apportion the resulting amount of duty between the section 13 farm</w:t>
      </w:r>
      <w:r>
        <w:noBreakHyphen/>
        <w:t>in agreements in the way determined by the Commissioner.</w:t>
      </w:r>
    </w:p>
    <w:p>
      <w:pPr>
        <w:pStyle w:val="ySubsection"/>
      </w:pPr>
      <w:r>
        <w:tab/>
        <w:t>(8)</w:t>
      </w:r>
      <w:r>
        <w:tab/>
        <w:t>If an agreement contains 2 or more section 13 farm</w:t>
      </w:r>
      <w:r>
        <w:noBreakHyphen/>
        <w:t>in agreements and the Commissioner is, at any time, reassessing the duty chargeable on any of the section 13 farm</w:t>
      </w:r>
      <w:r>
        <w:noBreakHyphen/>
        <w:t>in agreements, the Commissioner must also reassess the duty chargeable on any of the other section 13 farm</w:t>
      </w:r>
      <w:r>
        <w:noBreakHyphen/>
        <w:t>in agreements as necessary for the purpose of applying subclause (5), (6) or (7).</w:t>
      </w:r>
    </w:p>
    <w:p>
      <w:pPr>
        <w:pStyle w:val="ySubsection"/>
      </w:pPr>
      <w:r>
        <w:tab/>
        <w:t>(9)</w:t>
      </w:r>
      <w:r>
        <w:tab/>
        <w:t>The limitations as to time in the Taxation Administration Act section 17 do not apply in respect of a reassessment under subclause (8).</w:t>
      </w:r>
    </w:p>
    <w:p>
      <w:pPr>
        <w:pStyle w:val="yFootnotesection"/>
      </w:pPr>
      <w:r>
        <w:tab/>
        <w:t>[Clause 70 inserted: No. 37 of 2022 s. 14.]</w:t>
      </w:r>
    </w:p>
    <w:p>
      <w:pPr>
        <w:pStyle w:val="yHeading5"/>
      </w:pPr>
      <w:bookmarkStart w:id="2242" w:name="_Toc201229488"/>
      <w:bookmarkStart w:id="2243" w:name="_Toc182410553"/>
      <w:r>
        <w:rPr>
          <w:rStyle w:val="CharSClsNo"/>
        </w:rPr>
        <w:t>71</w:t>
      </w:r>
      <w:r>
        <w:t>.</w:t>
      </w:r>
      <w:r>
        <w:tab/>
        <w:t>Changes to consideration</w:t>
      </w:r>
      <w:bookmarkEnd w:id="2242"/>
      <w:bookmarkEnd w:id="2243"/>
    </w:p>
    <w:p>
      <w:pPr>
        <w:pStyle w:val="ySubsection"/>
      </w:pPr>
      <w:r>
        <w:tab/>
        <w:t>(1)</w:t>
      </w:r>
      <w:r>
        <w:tab/>
        <w:t xml:space="preserve">In this clause — </w:t>
      </w:r>
    </w:p>
    <w:p>
      <w:pPr>
        <w:pStyle w:val="yDefstart"/>
      </w:pPr>
      <w:r>
        <w:tab/>
      </w:r>
      <w:r>
        <w:rPr>
          <w:rStyle w:val="CharDefText"/>
        </w:rPr>
        <w:t>consideration</w:t>
      </w:r>
      <w:r>
        <w:t xml:space="preserve"> does not include the section 13 exploration amount;</w:t>
      </w:r>
    </w:p>
    <w:p>
      <w:pPr>
        <w:pStyle w:val="yDefstart"/>
      </w:pPr>
      <w:r>
        <w:tab/>
      </w:r>
      <w:r>
        <w:rPr>
          <w:rStyle w:val="CharDefText"/>
        </w:rPr>
        <w:t>derivative mining right</w:t>
      </w:r>
      <w:r>
        <w:t>, in relation to a section 13 farm</w:t>
      </w:r>
      <w:r>
        <w:noBreakHyphen/>
        <w:t>in agreement made before 13 June 2019, means a right to exploit a mining tenement.</w:t>
      </w:r>
    </w:p>
    <w:p>
      <w:pPr>
        <w:pStyle w:val="ySubsection"/>
      </w:pPr>
      <w:r>
        <w:tab/>
        <w:t>(2)</w:t>
      </w:r>
      <w:r>
        <w:tab/>
        <w:t>In relation to section 13 farm</w:t>
      </w:r>
      <w:r>
        <w:noBreakHyphen/>
        <w:t>in agreements that are made during the second pre</w:t>
      </w:r>
      <w:r>
        <w:noBreakHyphen/>
        <w:t>amendment period or that are deemed section 13 farm</w:t>
      </w:r>
      <w:r>
        <w:noBreakHyphen/>
        <w:t>in agreements under clause 65(2)(b), this Act is taken to have applied during the second pre</w:t>
      </w:r>
      <w:r>
        <w:noBreakHyphen/>
        <w:t>amendment period, and applies on and after amendment day under clause 66, subject to subclauses (3) to (11).</w:t>
      </w:r>
    </w:p>
    <w:p>
      <w:pPr>
        <w:pStyle w:val="ySubsection"/>
      </w:pPr>
      <w:r>
        <w:tab/>
        <w:t>(3)</w:t>
      </w:r>
      <w:r>
        <w:tab/>
        <w:t>Subclause (5) applies to a section 13 farm</w:t>
      </w:r>
      <w:r>
        <w:noBreakHyphen/>
        <w:t>in agreement if, before the section 13 farm</w:t>
      </w:r>
      <w:r>
        <w:noBreakHyphen/>
        <w:t>in agreement is completed, the consideration for the section 13 farm</w:t>
      </w:r>
      <w:r>
        <w:noBreakHyphen/>
        <w:t>in agreement is increased or reduced.</w:t>
      </w:r>
    </w:p>
    <w:p>
      <w:pPr>
        <w:pStyle w:val="ySubsection"/>
      </w:pPr>
      <w:r>
        <w:tab/>
        <w:t>(4)</w:t>
      </w:r>
      <w:r>
        <w:tab/>
        <w:t>For the purposes of subclause (3), a section 13 farm</w:t>
      </w:r>
      <w:r>
        <w:noBreakHyphen/>
        <w:t xml:space="preserve">in agreement is </w:t>
      </w:r>
      <w:r>
        <w:rPr>
          <w:rStyle w:val="CharDefText"/>
        </w:rPr>
        <w:t>completed</w:t>
      </w:r>
      <w:r>
        <w:t xml:space="preserve"> when — </w:t>
      </w:r>
    </w:p>
    <w:p>
      <w:pPr>
        <w:pStyle w:val="yIndenta"/>
      </w:pPr>
      <w:r>
        <w:tab/>
        <w:t>(a)</w:t>
      </w:r>
      <w:r>
        <w:tab/>
        <w:t>in the case of an actual section 13 farm</w:t>
      </w:r>
      <w:r>
        <w:noBreakHyphen/>
        <w:t>in agreement, after the section 13 exploration requirement is fulfilled, the mining tenement, or the derivative mining right, becomes held as referred to in subsection (1)(d) of section 13; or</w:t>
      </w:r>
    </w:p>
    <w:p>
      <w:pPr>
        <w:pStyle w:val="yIndenta"/>
      </w:pPr>
      <w:r>
        <w:tab/>
        <w:t>(b)</w:t>
      </w:r>
      <w:r>
        <w:tab/>
        <w:t>in the case of a deemed section 13 farm</w:t>
      </w:r>
      <w:r>
        <w:noBreakHyphen/>
        <w:t>in agreement, the agreement is completed in accordance with section 91Q(2).</w:t>
      </w:r>
    </w:p>
    <w:p>
      <w:pPr>
        <w:pStyle w:val="ySubsection"/>
      </w:pPr>
      <w:r>
        <w:tab/>
        <w:t>(5)</w:t>
      </w:r>
      <w:r>
        <w:tab/>
        <w:t>The Commissioner must assess or reassess the duty chargeable on the section 13 farm</w:t>
      </w:r>
      <w:r>
        <w:noBreakHyphen/>
        <w:t>in agreement on the basis of the increased or reduced consideration.</w:t>
      </w:r>
    </w:p>
    <w:p>
      <w:pPr>
        <w:pStyle w:val="ySubsection"/>
      </w:pPr>
      <w:r>
        <w:tab/>
        <w:t>(6)</w:t>
      </w:r>
      <w:r>
        <w:tab/>
        <w:t>However, if it is reduced consideration, the Commissioner does not have to reassess the duty unless the taxpayer makes an application for the reassessment.</w:t>
      </w:r>
    </w:p>
    <w:p>
      <w:pPr>
        <w:pStyle w:val="ySubsection"/>
      </w:pPr>
      <w:r>
        <w:tab/>
        <w:t>(7)</w:t>
      </w:r>
      <w:r>
        <w:tab/>
        <w:t>If there is increased consideration after the section 13 farm</w:t>
      </w:r>
      <w:r>
        <w:noBreakHyphen/>
        <w:t xml:space="preserve">in agreement is duty endorsed, section 31(5) applies — </w:t>
      </w:r>
    </w:p>
    <w:p>
      <w:pPr>
        <w:pStyle w:val="yIndenta"/>
      </w:pPr>
      <w:r>
        <w:tab/>
        <w:t>(a)</w:t>
      </w:r>
      <w:r>
        <w:tab/>
        <w:t>as if the reference to 2 months after the day on which consideration under the transaction is increased were, if later, to 2 months after amendment day; and</w:t>
      </w:r>
    </w:p>
    <w:p>
      <w:pPr>
        <w:pStyle w:val="yIndenta"/>
      </w:pPr>
      <w:r>
        <w:tab/>
        <w:t>(b)</w:t>
      </w:r>
      <w:r>
        <w:tab/>
        <w:t>with any other necessary modifications.</w:t>
      </w:r>
    </w:p>
    <w:p>
      <w:pPr>
        <w:pStyle w:val="ySubsection"/>
      </w:pPr>
      <w:r>
        <w:tab/>
        <w:t>(8)</w:t>
      </w:r>
      <w:r>
        <w:tab/>
        <w:t>Duty is chargeable on a reassessment under subclause (5) in relation to a section 13 farm</w:t>
      </w:r>
      <w:r>
        <w:noBreakHyphen/>
        <w:t>in agreement at the same rate and using the same thresholds that applied when liability for duty on the section 13 farm</w:t>
      </w:r>
      <w:r>
        <w:noBreakHyphen/>
        <w:t>in agreement initially arose.</w:t>
      </w:r>
    </w:p>
    <w:p>
      <w:pPr>
        <w:pStyle w:val="ySubsection"/>
      </w:pPr>
      <w:r>
        <w:tab/>
        <w:t>(9)</w:t>
      </w:r>
      <w:r>
        <w:tab/>
        <w:t>Subclause (5) does not apply in a case where a taxpayer may apply for a reassessment because of subclause (10).</w:t>
      </w:r>
    </w:p>
    <w:p>
      <w:pPr>
        <w:pStyle w:val="ySubsection"/>
      </w:pPr>
      <w:r>
        <w:tab/>
        <w:t>(10)</w:t>
      </w:r>
      <w:r>
        <w:tab/>
        <w:t>If any part of the consideration for a section 13 farm</w:t>
      </w:r>
      <w:r>
        <w:noBreakHyphen/>
        <w:t>in agreement is dependent on the happening of a future event, or on a future event not happening, section 32(1) and (3) apply, with any necessary modifications, as if references to an agreement for the transfer of dutiable property were to the section 13 farm</w:t>
      </w:r>
      <w:r>
        <w:noBreakHyphen/>
        <w:t>in agreement.</w:t>
      </w:r>
    </w:p>
    <w:p>
      <w:pPr>
        <w:pStyle w:val="ySubsection"/>
      </w:pPr>
      <w:r>
        <w:tab/>
        <w:t>(11)</w:t>
      </w:r>
      <w:r>
        <w:tab/>
        <w:t xml:space="preserve">For the purposes of subclause (10), the Taxation Administration Act section 17 applies as if — </w:t>
      </w:r>
    </w:p>
    <w:p>
      <w:pPr>
        <w:pStyle w:val="yIndenta"/>
      </w:pPr>
      <w:r>
        <w:tab/>
        <w:t>(a)</w:t>
      </w:r>
      <w:r>
        <w:tab/>
        <w:t xml:space="preserve">despite subsection (1) of that section, a person is not entitled to apply for a reassessment after the latest of the following — </w:t>
      </w:r>
    </w:p>
    <w:p>
      <w:pPr>
        <w:pStyle w:val="yIndenti0"/>
      </w:pPr>
      <w:r>
        <w:tab/>
        <w:t>(i)</w:t>
      </w:r>
      <w:r>
        <w:tab/>
        <w:t>5 years after the day on which the section 13 farm</w:t>
      </w:r>
      <w:r>
        <w:noBreakHyphen/>
        <w:t>in agreement was made;</w:t>
      </w:r>
    </w:p>
    <w:p>
      <w:pPr>
        <w:pStyle w:val="yIndenti0"/>
      </w:pPr>
      <w:r>
        <w:tab/>
        <w:t>(ii)</w:t>
      </w:r>
      <w:r>
        <w:tab/>
        <w:t>12 months after the day on which the requirements of section 32(1)(b) and (c) (as applied under subclause (10)) were fulfilled;</w:t>
      </w:r>
    </w:p>
    <w:p>
      <w:pPr>
        <w:pStyle w:val="yIndenti0"/>
      </w:pPr>
      <w:r>
        <w:tab/>
        <w:t>(iii)</w:t>
      </w:r>
      <w:r>
        <w:tab/>
        <w:t>12 months after amendment day;</w:t>
      </w:r>
    </w:p>
    <w:p>
      <w:pPr>
        <w:pStyle w:val="yIndenta"/>
      </w:pPr>
      <w:r>
        <w:tab/>
      </w:r>
      <w:r>
        <w:tab/>
        <w:t>and</w:t>
      </w:r>
    </w:p>
    <w:p>
      <w:pPr>
        <w:pStyle w:val="yIndenta"/>
      </w:pPr>
      <w:r>
        <w:tab/>
        <w:t>(b)</w:t>
      </w:r>
      <w:r>
        <w:tab/>
        <w:t>despite subsection (4) of that section, the Commissioner may only make a reassessment on an application if the application was made within that time.</w:t>
      </w:r>
    </w:p>
    <w:p>
      <w:pPr>
        <w:pStyle w:val="yFootnotesection"/>
      </w:pPr>
      <w:r>
        <w:tab/>
        <w:t>[Clause 71 inserted: No. 37 of 2022 s. 14.]</w:t>
      </w:r>
    </w:p>
    <w:p>
      <w:pPr>
        <w:pStyle w:val="yHeading5"/>
      </w:pPr>
      <w:bookmarkStart w:id="2244" w:name="_Toc201229489"/>
      <w:bookmarkStart w:id="2245" w:name="_Toc182410554"/>
      <w:r>
        <w:rPr>
          <w:rStyle w:val="CharSClsNo"/>
        </w:rPr>
        <w:t>72</w:t>
      </w:r>
      <w:r>
        <w:t>.</w:t>
      </w:r>
      <w:r>
        <w:tab/>
        <w:t>No double duty: exploration amount</w:t>
      </w:r>
      <w:bookmarkEnd w:id="2244"/>
      <w:bookmarkEnd w:id="2245"/>
    </w:p>
    <w:p>
      <w:pPr>
        <w:pStyle w:val="ySubsection"/>
      </w:pPr>
      <w:r>
        <w:tab/>
        <w:t>(1)</w:t>
      </w:r>
      <w:r>
        <w:tab/>
        <w:t>This Act is taken to have applied during the first pre</w:t>
      </w:r>
      <w:r>
        <w:noBreakHyphen/>
        <w:t>amendment period, and applies on and after amendment day under clause 66, subject to subclause (2).</w:t>
      </w:r>
    </w:p>
    <w:p>
      <w:pPr>
        <w:pStyle w:val="ySubsection"/>
      </w:pPr>
      <w:r>
        <w:tab/>
        <w:t>(2)</w:t>
      </w:r>
      <w:r>
        <w:tab/>
        <w:t>In paragraph (b) of section 42(15), in relation to a section 13 farm</w:t>
      </w:r>
      <w:r>
        <w:noBreakHyphen/>
        <w:t>in agreement, the reference to the exploration amount under the agreement having been expended is a reference to the section 13 exploration requirement for the agreement having been fulfilled.</w:t>
      </w:r>
    </w:p>
    <w:p>
      <w:pPr>
        <w:pStyle w:val="yFootnotesection"/>
      </w:pPr>
      <w:r>
        <w:tab/>
        <w:t>[Clause 72 inserted: No. 37 of 2022 s. 14.]</w:t>
      </w:r>
    </w:p>
    <w:p>
      <w:pPr>
        <w:pStyle w:val="yHeading5"/>
      </w:pPr>
      <w:bookmarkStart w:id="2246" w:name="_Toc201229490"/>
      <w:bookmarkStart w:id="2247" w:name="_Toc182410555"/>
      <w:r>
        <w:rPr>
          <w:rStyle w:val="CharSClsNo"/>
        </w:rPr>
        <w:t>73</w:t>
      </w:r>
      <w:r>
        <w:t>.</w:t>
      </w:r>
      <w:r>
        <w:tab/>
        <w:t>No double duty: mining tenements</w:t>
      </w:r>
      <w:bookmarkEnd w:id="2246"/>
      <w:bookmarkEnd w:id="2247"/>
    </w:p>
    <w:p>
      <w:pPr>
        <w:pStyle w:val="ySubsection"/>
      </w:pPr>
      <w:r>
        <w:tab/>
        <w:t>(1)</w:t>
      </w:r>
      <w:r>
        <w:tab/>
        <w:t xml:space="preserve">In this clause — </w:t>
      </w:r>
    </w:p>
    <w:p>
      <w:pPr>
        <w:pStyle w:val="yDefstart"/>
      </w:pPr>
      <w:r>
        <w:tab/>
      </w:r>
      <w:r>
        <w:rPr>
          <w:rStyle w:val="CharDefText"/>
        </w:rPr>
        <w:t>replacement mining tenement</w:t>
      </w:r>
      <w:r>
        <w:t xml:space="preserve"> — </w:t>
      </w:r>
    </w:p>
    <w:p>
      <w:pPr>
        <w:pStyle w:val="yDefpara"/>
      </w:pPr>
      <w:r>
        <w:tab/>
        <w:t>(a)</w:t>
      </w:r>
      <w:r>
        <w:tab/>
        <w:t>in relation to an actual section 13 farm</w:t>
      </w:r>
      <w:r>
        <w:noBreakHyphen/>
        <w:t xml:space="preserve">in agreement, means a mining tenement — </w:t>
      </w:r>
    </w:p>
    <w:p>
      <w:pPr>
        <w:pStyle w:val="yDefsubpara"/>
      </w:pPr>
      <w:r>
        <w:tab/>
        <w:t>(i)</w:t>
      </w:r>
      <w:r>
        <w:tab/>
        <w:t>that is granted, after the making of the actual section 13 farm</w:t>
      </w:r>
      <w:r>
        <w:noBreakHyphen/>
        <w:t>in agreement, to replace (wholly or partly) the mining tenement referred to in subsection (1)(a) of section 13 or an earlier replacement mining tenement; and</w:t>
      </w:r>
    </w:p>
    <w:p>
      <w:pPr>
        <w:pStyle w:val="yDefsubpara"/>
      </w:pPr>
      <w:r>
        <w:tab/>
        <w:t>(ii)</w:t>
      </w:r>
      <w:r>
        <w:tab/>
        <w:t>that relates only to the land, or to a part of the land, the subject of the mining tenement that is replaced; and</w:t>
      </w:r>
    </w:p>
    <w:p>
      <w:pPr>
        <w:pStyle w:val="yDefsubpara"/>
        <w:keepNext/>
      </w:pPr>
      <w:r>
        <w:tab/>
        <w:t>(iii)</w:t>
      </w:r>
      <w:r>
        <w:tab/>
        <w:t>of which the owner referred to in subsection (1)(a) of section 13 is the holder or 1 of the holders;</w:t>
      </w:r>
    </w:p>
    <w:p>
      <w:pPr>
        <w:pStyle w:val="yDefpara"/>
      </w:pPr>
      <w:r>
        <w:tab/>
      </w:r>
      <w:r>
        <w:tab/>
        <w:t>and</w:t>
      </w:r>
    </w:p>
    <w:p>
      <w:pPr>
        <w:pStyle w:val="yDefpara"/>
      </w:pPr>
      <w:r>
        <w:tab/>
        <w:t>(b)</w:t>
      </w:r>
      <w:r>
        <w:tab/>
        <w:t>in relation to a deemed section 13 farm</w:t>
      </w:r>
      <w:r>
        <w:noBreakHyphen/>
        <w:t>in agreement, has the meaning given in section 91M(6).</w:t>
      </w:r>
    </w:p>
    <w:p>
      <w:pPr>
        <w:pStyle w:val="ySubsection"/>
      </w:pPr>
      <w:r>
        <w:tab/>
        <w:t>(2)</w:t>
      </w:r>
      <w:r>
        <w:tab/>
        <w:t>This Act is taken to have applied during the first pre</w:t>
      </w:r>
      <w:r>
        <w:noBreakHyphen/>
        <w:t>amendment period, and applies on and after amendment day under clause 66, subject to subclauses (3) and (4).</w:t>
      </w:r>
    </w:p>
    <w:p>
      <w:pPr>
        <w:pStyle w:val="ySubsection"/>
        <w:keepNext/>
      </w:pPr>
      <w:r>
        <w:tab/>
        <w:t>(3)</w:t>
      </w:r>
      <w:r>
        <w:tab/>
        <w:t xml:space="preserve">Duty is not chargeable on a transfer of, or an agreement for the transfer of, an interest in a mining tenement (the </w:t>
      </w:r>
      <w:r>
        <w:rPr>
          <w:rStyle w:val="CharDefText"/>
        </w:rPr>
        <w:t>affected mining tenement</w:t>
      </w:r>
      <w:r>
        <w:t xml:space="preserve">) if — </w:t>
      </w:r>
    </w:p>
    <w:p>
      <w:pPr>
        <w:pStyle w:val="yIndenta"/>
      </w:pPr>
      <w:r>
        <w:tab/>
        <w:t>(a)</w:t>
      </w:r>
      <w:r>
        <w:tab/>
        <w:t>the affected mining tenement is a replacement mining tenement in relation to a section 13 farm</w:t>
      </w:r>
      <w:r>
        <w:noBreakHyphen/>
        <w:t>in agreement; and</w:t>
      </w:r>
    </w:p>
    <w:p>
      <w:pPr>
        <w:pStyle w:val="yIndenta"/>
      </w:pPr>
      <w:r>
        <w:tab/>
        <w:t>(b)</w:t>
      </w:r>
      <w:r>
        <w:tab/>
        <w:t xml:space="preserve">the transfer or agreement — </w:t>
      </w:r>
    </w:p>
    <w:p>
      <w:pPr>
        <w:pStyle w:val="yIndenti0"/>
      </w:pPr>
      <w:r>
        <w:tab/>
        <w:t>(i)</w:t>
      </w:r>
      <w:r>
        <w:tab/>
        <w:t>is in lieu of a transfer of, or an agreement for the transfer of, an interest in a mining tenement that, had it occurred, would have been under the section 13 farm</w:t>
      </w:r>
      <w:r>
        <w:noBreakHyphen/>
        <w:t>in agreement; and</w:t>
      </w:r>
    </w:p>
    <w:p>
      <w:pPr>
        <w:pStyle w:val="yIndenti0"/>
      </w:pPr>
      <w:r>
        <w:tab/>
        <w:t>(ii)</w:t>
      </w:r>
      <w:r>
        <w:tab/>
        <w:t>would be a transfer or agreement under the section 13 farm</w:t>
      </w:r>
      <w:r>
        <w:noBreakHyphen/>
        <w:t>in agreement except only that the affected mining tenement is a replacement mining tenement or is a replacement mining tenement that was not anticipated in the section 13 farm</w:t>
      </w:r>
      <w:r>
        <w:noBreakHyphen/>
        <w:t>in agreement;</w:t>
      </w:r>
    </w:p>
    <w:p>
      <w:pPr>
        <w:pStyle w:val="yIndenta"/>
      </w:pPr>
      <w:r>
        <w:tab/>
      </w:r>
      <w:r>
        <w:tab/>
        <w:t>and</w:t>
      </w:r>
    </w:p>
    <w:p>
      <w:pPr>
        <w:pStyle w:val="yIndenta"/>
      </w:pPr>
      <w:r>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(4)</w:t>
      </w:r>
      <w:r>
        <w:tab/>
        <w:t>The requirement of paragraph (a) of section 42(15), or of subclause (3)(c), does not have to be met if the section 13 farm</w:t>
      </w:r>
      <w:r>
        <w:noBreakHyphen/>
        <w:t>in agreement concerned is not duty endorsed because of the application of section 91DA to the section 13 farm</w:t>
      </w:r>
      <w:r>
        <w:noBreakHyphen/>
        <w:t>in agreement.</w:t>
      </w:r>
    </w:p>
    <w:p>
      <w:pPr>
        <w:pStyle w:val="ySubsection"/>
      </w:pPr>
      <w:r>
        <w:tab/>
        <w:t>(5)</w:t>
      </w:r>
      <w:r>
        <w:tab/>
        <w:t>This Act is taken to have applied during the second pre</w:t>
      </w:r>
      <w:r>
        <w:noBreakHyphen/>
        <w:t>amendment period, and applies on and after amendment day under clause 66, subject to subclauses (6) to (8).</w:t>
      </w:r>
    </w:p>
    <w:p>
      <w:pPr>
        <w:pStyle w:val="ySubsection"/>
      </w:pPr>
      <w:r>
        <w:tab/>
        <w:t>(6)</w:t>
      </w:r>
      <w:r>
        <w:tab/>
        <w:t xml:space="preserve">Duty is chargeable on a transfer of, or an agreement for the transfer of, an interest in a mining tenement to which section 42(15) or subclause (3) would otherwise apply if — </w:t>
      </w:r>
    </w:p>
    <w:p>
      <w:pPr>
        <w:pStyle w:val="yIndenta"/>
      </w:pPr>
      <w:r>
        <w:tab/>
        <w:t>(a)</w:t>
      </w:r>
      <w:r>
        <w:tab/>
        <w:t>there is, or will be, consideration for the transfer or agreement; and</w:t>
      </w:r>
    </w:p>
    <w:p>
      <w:pPr>
        <w:pStyle w:val="yIndenta"/>
      </w:pPr>
      <w:r>
        <w:tab/>
        <w:t>(b)</w:t>
      </w:r>
      <w:r>
        <w:tab/>
        <w:t>the section 13 farm</w:t>
      </w:r>
      <w:r>
        <w:noBreakHyphen/>
        <w:t>in agreement concerned is made during the second pre</w:t>
      </w:r>
      <w:r>
        <w:noBreakHyphen/>
        <w:t>amendment period or is a deemed section 13 farm</w:t>
      </w:r>
      <w:r>
        <w:noBreakHyphen/>
        <w:t>in agreement under clause 65(2)(b).</w:t>
      </w:r>
    </w:p>
    <w:p>
      <w:pPr>
        <w:pStyle w:val="ySubsection"/>
      </w:pPr>
      <w:r>
        <w:tab/>
        <w:t>(7)</w:t>
      </w:r>
      <w:r>
        <w:tab/>
        <w:t xml:space="preserve">For the purposes of subclause (6), the dutiable value of the transfer or agreement is — </w:t>
      </w:r>
    </w:p>
    <w:p>
      <w:pPr>
        <w:pStyle w:val="yIndenta"/>
      </w:pPr>
      <w:r>
        <w:tab/>
        <w:t>(a)</w:t>
      </w:r>
      <w:r>
        <w:tab/>
        <w:t>if the section 13 farm</w:t>
      </w:r>
      <w:r>
        <w:noBreakHyphen/>
        <w:t>in agreement concerned is not duty endorsed as referred to in subclause (4) — the consideration for the transfer or agreement; or</w:t>
      </w:r>
    </w:p>
    <w:p>
      <w:pPr>
        <w:pStyle w:val="yIndenta"/>
      </w:pPr>
      <w:r>
        <w:tab/>
        <w:t>(b)</w:t>
      </w:r>
      <w:r>
        <w:tab/>
        <w:t>otherwise — that consideration to the extent that the consideration was not taken into account when the section 13 farm</w:t>
      </w:r>
      <w:r>
        <w:noBreakHyphen/>
        <w:t>in agreement concerned was duty endorsed.</w:t>
      </w:r>
    </w:p>
    <w:p>
      <w:pPr>
        <w:pStyle w:val="ySubsection"/>
      </w:pPr>
      <w:r>
        <w:tab/>
        <w:t>(8)</w:t>
      </w:r>
      <w:r>
        <w:tab/>
        <w:t>For the purposes of subclauses (6) and (7), the section 13 exploration amount for the section 13 farm</w:t>
      </w:r>
      <w:r>
        <w:noBreakHyphen/>
        <w:t>in agreement concerned is taken not to be consideration for the transfer or agreement.</w:t>
      </w:r>
    </w:p>
    <w:p>
      <w:pPr>
        <w:pStyle w:val="yFootnotesection"/>
      </w:pPr>
      <w:r>
        <w:tab/>
        <w:t>[Clause 73 inserted: No. 37 of 2022 s. 14.]</w:t>
      </w:r>
    </w:p>
    <w:p>
      <w:pPr>
        <w:pStyle w:val="yHeading5"/>
      </w:pPr>
      <w:bookmarkStart w:id="2248" w:name="_Toc201229491"/>
      <w:bookmarkStart w:id="2249" w:name="_Toc182410556"/>
      <w:r>
        <w:rPr>
          <w:rStyle w:val="CharSClsNo"/>
        </w:rPr>
        <w:t>74</w:t>
      </w:r>
      <w:r>
        <w:t>.</w:t>
      </w:r>
      <w:r>
        <w:tab/>
        <w:t>No double duty: derivative mining rights</w:t>
      </w:r>
      <w:bookmarkEnd w:id="2248"/>
      <w:bookmarkEnd w:id="2249"/>
    </w:p>
    <w:p>
      <w:pPr>
        <w:pStyle w:val="ySubsection"/>
      </w:pPr>
      <w:r>
        <w:tab/>
        <w:t>(1)</w:t>
      </w:r>
      <w:r>
        <w:tab/>
        <w:t xml:space="preserve">In this clause — </w:t>
      </w:r>
    </w:p>
    <w:p>
      <w:pPr>
        <w:pStyle w:val="yDefstart"/>
      </w:pPr>
      <w:r>
        <w:tab/>
      </w:r>
      <w:r>
        <w:rPr>
          <w:rStyle w:val="CharDefText"/>
        </w:rPr>
        <w:t>derivative mining right</w:t>
      </w:r>
      <w:r>
        <w:t>, in relation to a section 13 farm</w:t>
      </w:r>
      <w:r>
        <w:noBreakHyphen/>
        <w:t>in agreement made before 13 June 2019, means a right to exploit a mining tenement;</w:t>
      </w:r>
    </w:p>
    <w:p>
      <w:pPr>
        <w:pStyle w:val="yDefstart"/>
      </w:pPr>
      <w:r>
        <w:tab/>
      </w:r>
      <w:r>
        <w:rPr>
          <w:rStyle w:val="CharDefText"/>
        </w:rPr>
        <w:t>replacement derivative mining right</w:t>
      </w:r>
      <w:r>
        <w:t xml:space="preserve"> — </w:t>
      </w:r>
    </w:p>
    <w:p>
      <w:pPr>
        <w:pStyle w:val="yDefpara"/>
      </w:pPr>
      <w:r>
        <w:tab/>
        <w:t>(a)</w:t>
      </w:r>
      <w:r>
        <w:tab/>
        <w:t>in relation to an actual section 13 farm</w:t>
      </w:r>
      <w:r>
        <w:noBreakHyphen/>
        <w:t xml:space="preserve">in agreement, means a derivative mining right — </w:t>
      </w:r>
    </w:p>
    <w:p>
      <w:pPr>
        <w:pStyle w:val="yDefsubpara"/>
      </w:pPr>
      <w:r>
        <w:tab/>
        <w:t>(i)</w:t>
      </w:r>
      <w:r>
        <w:tab/>
        <w:t>that is granted, after the making of the section 13 farm</w:t>
      </w:r>
      <w:r>
        <w:noBreakHyphen/>
        <w:t>in agreement, to replace (wholly or partly) the derivative mining right referred to in subsection (1)(a) of section 13 or an earlier replacement derivative mining right; and</w:t>
      </w:r>
    </w:p>
    <w:p>
      <w:pPr>
        <w:pStyle w:val="yDefsubpara"/>
      </w:pPr>
      <w:r>
        <w:tab/>
        <w:t>(ii)</w:t>
      </w:r>
      <w:r>
        <w:tab/>
        <w:t>that relates only to the land, or to a part of the land, the subject of the derivative mining right that is replaced; and</w:t>
      </w:r>
    </w:p>
    <w:p>
      <w:pPr>
        <w:pStyle w:val="yDefsubpara"/>
      </w:pPr>
      <w:r>
        <w:tab/>
        <w:t>(iii)</w:t>
      </w:r>
      <w:r>
        <w:tab/>
        <w:t>subject to subclause (2), that does not authorise any mining beyond the mining authorised by the derivative mining right that is replaced; and</w:t>
      </w:r>
    </w:p>
    <w:p>
      <w:pPr>
        <w:pStyle w:val="yDefsubpara"/>
      </w:pPr>
      <w:r>
        <w:tab/>
        <w:t>(iv)</w:t>
      </w:r>
      <w:r>
        <w:tab/>
        <w:t>of which the person referred to in subsection (1)(a) of section 13 is the holder or 1 of the holders;</w:t>
      </w:r>
    </w:p>
    <w:p>
      <w:pPr>
        <w:pStyle w:val="yDefpara"/>
      </w:pPr>
      <w:r>
        <w:tab/>
      </w:r>
      <w:r>
        <w:tab/>
        <w:t>and</w:t>
      </w:r>
    </w:p>
    <w:p>
      <w:pPr>
        <w:pStyle w:val="yDefpara"/>
      </w:pPr>
      <w:r>
        <w:tab/>
        <w:t>(b)</w:t>
      </w:r>
      <w:r>
        <w:tab/>
        <w:t>in relation to a deemed section 13 farm</w:t>
      </w:r>
      <w:r>
        <w:noBreakHyphen/>
        <w:t>in agreement, has the meaning given in section 91M(7) and (8);</w:t>
      </w:r>
    </w:p>
    <w:p>
      <w:pPr>
        <w:pStyle w:val="yDefstart"/>
      </w:pPr>
      <w:r>
        <w:tab/>
      </w:r>
      <w:r>
        <w:rPr>
          <w:rStyle w:val="CharDefText"/>
        </w:rPr>
        <w:t>replacement mining tenement</w:t>
      </w:r>
      <w:r>
        <w:t xml:space="preserve"> has the meaning given in clause 73(1).</w:t>
      </w:r>
    </w:p>
    <w:p>
      <w:pPr>
        <w:pStyle w:val="ySubsection"/>
      </w:pPr>
      <w:r>
        <w:tab/>
        <w:t>(2)</w:t>
      </w:r>
      <w:r>
        <w:tab/>
        <w:t xml:space="preserve">The requirement in paragraph (a)(iii) of the definition of </w:t>
      </w:r>
      <w:r>
        <w:rPr>
          <w:b/>
          <w:i/>
        </w:rPr>
        <w:t>replacement derivative mining right</w:t>
      </w:r>
      <w:r>
        <w:t xml:space="preserve"> in subclause (1) does not have to be met if — </w:t>
      </w:r>
    </w:p>
    <w:p>
      <w:pPr>
        <w:pStyle w:val="yIndenta"/>
      </w:pPr>
      <w:r>
        <w:tab/>
        <w:t>(a)</w:t>
      </w:r>
      <w:r>
        <w:tab/>
        <w:t xml:space="preserve">the derivative mining right is granted in relation to a mining tenement (the </w:t>
      </w:r>
      <w:r>
        <w:rPr>
          <w:rStyle w:val="CharDefText"/>
        </w:rPr>
        <w:t>new mining tenement</w:t>
      </w:r>
      <w:r>
        <w:t xml:space="preserve">) that was granted to replace (wholly or partly) another mining tenement (the </w:t>
      </w:r>
      <w:r>
        <w:rPr>
          <w:rStyle w:val="CharDefText"/>
        </w:rPr>
        <w:t>previous mining tenement</w:t>
      </w:r>
      <w:r>
        <w:t>); and</w:t>
      </w:r>
    </w:p>
    <w:p>
      <w:pPr>
        <w:pStyle w:val="yIndenta"/>
      </w:pPr>
      <w:r>
        <w:tab/>
        <w:t>(b)</w:t>
      </w:r>
      <w:r>
        <w:tab/>
        <w:t>the new mining tenement authorises mining beyond the mining authorised by the previous mining tenement; and</w:t>
      </w:r>
    </w:p>
    <w:p>
      <w:pPr>
        <w:pStyle w:val="yIndenta"/>
      </w:pPr>
      <w:r>
        <w:tab/>
        <w:t>(c)</w:t>
      </w:r>
      <w:r>
        <w:tab/>
        <w:t>the derivative mining right only authorises mining for minerals for which mining is authorised by the derivative mining right that is replaced.</w:t>
      </w:r>
    </w:p>
    <w:p>
      <w:pPr>
        <w:pStyle w:val="ySubsection"/>
      </w:pPr>
      <w:r>
        <w:tab/>
        <w:t>(3)</w:t>
      </w:r>
      <w:r>
        <w:tab/>
        <w:t>This Act is taken to have applied during the period beginning on 13 June 2019 and ending on the day before amendment day, and applies on and after amendment day under clause 66, subject to subclauses (4) to (11).</w:t>
      </w:r>
    </w:p>
    <w:p>
      <w:pPr>
        <w:pStyle w:val="ySubsection"/>
      </w:pPr>
      <w:r>
        <w:tab/>
        <w:t>(4)</w:t>
      </w:r>
      <w:r>
        <w:tab/>
        <w:t>Duty is not chargeable on a dutiable transaction under a section 13 farm</w:t>
      </w:r>
      <w:r>
        <w:noBreakHyphen/>
        <w:t xml:space="preserve">in agreement if — </w:t>
      </w:r>
    </w:p>
    <w:p>
      <w:pPr>
        <w:pStyle w:val="yIndenta"/>
      </w:pPr>
      <w:r>
        <w:tab/>
        <w:t>(a)</w:t>
      </w:r>
      <w:r>
        <w:tab/>
        <w:t>the dutiable transaction involves a derivative mining right; and</w:t>
      </w:r>
    </w:p>
    <w:p>
      <w:pPr>
        <w:pStyle w:val="yIndenta"/>
      </w:pPr>
      <w:r>
        <w:tab/>
        <w:t>(b)</w:t>
      </w:r>
      <w:r>
        <w:tab/>
        <w:t>the section 13 farm</w:t>
      </w:r>
      <w:r>
        <w:noBreakHyphen/>
        <w:t>in agreement is duty endorsed; and</w:t>
      </w:r>
    </w:p>
    <w:p>
      <w:pPr>
        <w:pStyle w:val="yIndenta"/>
      </w:pPr>
      <w:r>
        <w:tab/>
        <w:t>(c)</w:t>
      </w:r>
      <w:r>
        <w:tab/>
        <w:t>the section 13 exploration requirement for the section 13 farm</w:t>
      </w:r>
      <w:r>
        <w:noBreakHyphen/>
        <w:t>in agreement has been fulfilled.</w:t>
      </w:r>
    </w:p>
    <w:p>
      <w:pPr>
        <w:pStyle w:val="ySubsection"/>
      </w:pPr>
      <w:r>
        <w:tab/>
        <w:t>(5)</w:t>
      </w:r>
      <w:r>
        <w:tab/>
        <w:t xml:space="preserve">Duty is not chargeable on a dutiable transaction involving a derivative mining right if — </w:t>
      </w:r>
    </w:p>
    <w:p>
      <w:pPr>
        <w:pStyle w:val="yIndenta"/>
      </w:pPr>
      <w:r>
        <w:tab/>
        <w:t>(a)</w:t>
      </w:r>
      <w:r>
        <w:tab/>
        <w:t xml:space="preserve">the derivative mining right relates to a mining tenement (the </w:t>
      </w:r>
      <w:r>
        <w:rPr>
          <w:rStyle w:val="CharDefText"/>
        </w:rPr>
        <w:t>affected mining tenement</w:t>
      </w:r>
      <w:r>
        <w:t>) that is a replacement mining tenement in relation to a section 13 farm</w:t>
      </w:r>
      <w:r>
        <w:noBreakHyphen/>
        <w:t>in agreement; and</w:t>
      </w:r>
    </w:p>
    <w:p>
      <w:pPr>
        <w:pStyle w:val="yIndenta"/>
      </w:pPr>
      <w:r>
        <w:tab/>
        <w:t>(b)</w:t>
      </w:r>
      <w:r>
        <w:tab/>
        <w:t xml:space="preserve">the dutiable transaction — </w:t>
      </w:r>
    </w:p>
    <w:p>
      <w:pPr>
        <w:pStyle w:val="yIndenti0"/>
      </w:pPr>
      <w:r>
        <w:tab/>
        <w:t>(i)</w:t>
      </w:r>
      <w:r>
        <w:tab/>
        <w:t>is in lieu of a dutiable transaction involving a derivative mining right that, had it occurred, would have been under the section 13 farm</w:t>
      </w:r>
      <w:r>
        <w:noBreakHyphen/>
        <w:t>in agreement; and</w:t>
      </w:r>
    </w:p>
    <w:p>
      <w:pPr>
        <w:pStyle w:val="yIndenti0"/>
      </w:pPr>
      <w:r>
        <w:tab/>
        <w:t>(ii)</w:t>
      </w:r>
      <w:r>
        <w:tab/>
        <w:t>would be a dutiable transaction under the section 13 farm</w:t>
      </w:r>
      <w:r>
        <w:noBreakHyphen/>
        <w:t>in agreement except only that the affected mining tenement is a replacement mining tenement or is a replacement mining tenement that was not anticipated in the section 13 farm</w:t>
      </w:r>
      <w:r>
        <w:noBreakHyphen/>
        <w:t>in agreement;</w:t>
      </w:r>
    </w:p>
    <w:p>
      <w:pPr>
        <w:pStyle w:val="yIndenta"/>
      </w:pPr>
      <w:r>
        <w:tab/>
      </w:r>
      <w:r>
        <w:tab/>
        <w:t>and</w:t>
      </w:r>
    </w:p>
    <w:p>
      <w:pPr>
        <w:pStyle w:val="yIndenta"/>
      </w:pPr>
      <w:r>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(6)</w:t>
      </w:r>
      <w:r>
        <w:tab/>
        <w:t xml:space="preserve">Duty is not chargeable on a dutiable transaction involving a derivative mining right (the </w:t>
      </w:r>
      <w:r>
        <w:rPr>
          <w:rStyle w:val="CharDefText"/>
        </w:rPr>
        <w:t>affected derivative mining right</w:t>
      </w:r>
      <w:r>
        <w:t xml:space="preserve">) if — </w:t>
      </w:r>
    </w:p>
    <w:p>
      <w:pPr>
        <w:pStyle w:val="yIndenta"/>
      </w:pPr>
      <w:r>
        <w:tab/>
        <w:t>(a)</w:t>
      </w:r>
      <w:r>
        <w:tab/>
        <w:t>the affected derivative mining right is a replacement derivative mining right in relation to a section 13 farm</w:t>
      </w:r>
      <w:r>
        <w:noBreakHyphen/>
        <w:t>in agreement; and</w:t>
      </w:r>
    </w:p>
    <w:p>
      <w:pPr>
        <w:pStyle w:val="yIndenta"/>
      </w:pPr>
      <w:r>
        <w:tab/>
        <w:t>(b)</w:t>
      </w:r>
      <w:r>
        <w:tab/>
        <w:t xml:space="preserve">the dutiable transaction — </w:t>
      </w:r>
    </w:p>
    <w:p>
      <w:pPr>
        <w:pStyle w:val="yIndenti0"/>
      </w:pPr>
      <w:r>
        <w:tab/>
        <w:t>(i)</w:t>
      </w:r>
      <w:r>
        <w:tab/>
        <w:t>is in lieu of a dutiable transaction involving a derivative mining right that, had it occurred, would have been under the section 13 farm</w:t>
      </w:r>
      <w:r>
        <w:noBreakHyphen/>
        <w:t>in agreement; and</w:t>
      </w:r>
    </w:p>
    <w:p>
      <w:pPr>
        <w:pStyle w:val="yIndenti0"/>
      </w:pPr>
      <w:r>
        <w:tab/>
        <w:t>(ii)</w:t>
      </w:r>
      <w:r>
        <w:tab/>
        <w:t>would be a dutiable transaction under the section 13 farm</w:t>
      </w:r>
      <w:r>
        <w:noBreakHyphen/>
        <w:t>in agreement except only that the affected derivative mining right is a replacement derivative mining right or a replacement derivative mining right that was not anticipated in the section 13 farm</w:t>
      </w:r>
      <w:r>
        <w:noBreakHyphen/>
        <w:t>in agreement;</w:t>
      </w:r>
    </w:p>
    <w:p>
      <w:pPr>
        <w:pStyle w:val="yIndenta"/>
      </w:pPr>
      <w:r>
        <w:tab/>
      </w:r>
      <w:r>
        <w:tab/>
        <w:t>and</w:t>
      </w:r>
    </w:p>
    <w:p>
      <w:pPr>
        <w:pStyle w:val="yIndenta"/>
      </w:pPr>
      <w:r>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(7)</w:t>
      </w:r>
      <w:r>
        <w:tab/>
        <w:t>In subclauses (5)(b)(i) and (6)(b)(i), references to a dutiable transaction include a transaction that would be a dutiable transaction but for the application of section 91DA to the transaction.</w:t>
      </w:r>
    </w:p>
    <w:p>
      <w:pPr>
        <w:pStyle w:val="ySubsection"/>
      </w:pPr>
      <w:r>
        <w:tab/>
        <w:t>(8)</w:t>
      </w:r>
      <w:r>
        <w:tab/>
        <w:t>The requirement of subclause (4)(b), (5)(c) or (6)(c) does not have to be met if the section 13 farm</w:t>
      </w:r>
      <w:r>
        <w:noBreakHyphen/>
        <w:t>in agreement is not duty endorsed because of the application of section 91DA to the section 13 farm</w:t>
      </w:r>
      <w:r>
        <w:noBreakHyphen/>
        <w:t>in agreement.</w:t>
      </w:r>
    </w:p>
    <w:p>
      <w:pPr>
        <w:pStyle w:val="ySubsection"/>
      </w:pPr>
      <w:r>
        <w:tab/>
        <w:t>(9)</w:t>
      </w:r>
      <w:r>
        <w:tab/>
        <w:t xml:space="preserve">Duty is chargeable on a dutiable transaction to which subclause (4), (5) or (6) would otherwise apply if — </w:t>
      </w:r>
    </w:p>
    <w:p>
      <w:pPr>
        <w:pStyle w:val="yIndenta"/>
      </w:pPr>
      <w:r>
        <w:tab/>
        <w:t>(a)</w:t>
      </w:r>
      <w:r>
        <w:tab/>
        <w:t>there is, or will be, consideration for the dutiable transaction; and</w:t>
      </w:r>
    </w:p>
    <w:p>
      <w:pPr>
        <w:pStyle w:val="yIndenta"/>
      </w:pPr>
      <w:r>
        <w:tab/>
        <w:t>(b)</w:t>
      </w:r>
      <w:r>
        <w:tab/>
        <w:t>the section 13 farm</w:t>
      </w:r>
      <w:r>
        <w:noBreakHyphen/>
        <w:t>in agreement concerned is made during the second pre</w:t>
      </w:r>
      <w:r>
        <w:noBreakHyphen/>
        <w:t>amendment period or is a deemed section 13 farm</w:t>
      </w:r>
      <w:r>
        <w:noBreakHyphen/>
        <w:t>in agreement under clause 65(2)(b).</w:t>
      </w:r>
    </w:p>
    <w:p>
      <w:pPr>
        <w:pStyle w:val="ySubsection"/>
      </w:pPr>
      <w:r>
        <w:tab/>
        <w:t>(10)</w:t>
      </w:r>
      <w:r>
        <w:tab/>
        <w:t xml:space="preserve">For the purposes of subclause (9), the dutiable value of the dutiable transaction is — </w:t>
      </w:r>
    </w:p>
    <w:p>
      <w:pPr>
        <w:pStyle w:val="yIndenta"/>
      </w:pPr>
      <w:r>
        <w:tab/>
        <w:t>(a)</w:t>
      </w:r>
      <w:r>
        <w:tab/>
        <w:t>if the section 13 farm</w:t>
      </w:r>
      <w:r>
        <w:noBreakHyphen/>
        <w:t>in agreement concerned is not duty endorsed as referred to in subclause (8) — the consideration for the dutiable transaction; or</w:t>
      </w:r>
    </w:p>
    <w:p>
      <w:pPr>
        <w:pStyle w:val="yIndenta"/>
      </w:pPr>
      <w:r>
        <w:tab/>
        <w:t>(b)</w:t>
      </w:r>
      <w:r>
        <w:tab/>
        <w:t>otherwise — that consideration to the extent that the consideration was not taken into account when the section 13 farm</w:t>
      </w:r>
      <w:r>
        <w:noBreakHyphen/>
        <w:t>in agreement concerned was duty endorsed.</w:t>
      </w:r>
    </w:p>
    <w:p>
      <w:pPr>
        <w:pStyle w:val="ySubsection"/>
      </w:pPr>
      <w:r>
        <w:tab/>
        <w:t>(11)</w:t>
      </w:r>
      <w:r>
        <w:tab/>
        <w:t>For the purposes of subclauses (9) and (10), the section 13 exploration amount for the section 13 farm</w:t>
      </w:r>
      <w:r>
        <w:noBreakHyphen/>
        <w:t>in agreement concerned is taken not to be consideration for the dutiable transaction.</w:t>
      </w:r>
    </w:p>
    <w:p>
      <w:pPr>
        <w:pStyle w:val="yFootnotesection"/>
      </w:pPr>
      <w:r>
        <w:tab/>
        <w:t>[Clause 74 inserted: No. 37 of 2022 s. 14.]</w:t>
      </w:r>
    </w:p>
    <w:p>
      <w:pPr>
        <w:pStyle w:val="yHeading3"/>
      </w:pPr>
      <w:bookmarkStart w:id="2250" w:name="_Toc201218421"/>
      <w:bookmarkStart w:id="2251" w:name="_Toc201224794"/>
      <w:bookmarkStart w:id="2252" w:name="_Toc201229492"/>
      <w:bookmarkStart w:id="2253" w:name="_Toc182389097"/>
      <w:bookmarkStart w:id="2254" w:name="_Toc182389759"/>
      <w:bookmarkStart w:id="2255" w:name="_Toc182410557"/>
      <w:r>
        <w:rPr>
          <w:rStyle w:val="CharSDivNo"/>
        </w:rPr>
        <w:t>Division 12</w:t>
      </w:r>
      <w:r>
        <w:t> — </w:t>
      </w:r>
      <w:r>
        <w:rPr>
          <w:rStyle w:val="CharSDivText"/>
        </w:rPr>
        <w:t xml:space="preserve">Provisions for </w:t>
      </w:r>
      <w:r>
        <w:rPr>
          <w:rStyle w:val="CharSDivText"/>
          <w:i/>
        </w:rPr>
        <w:t>Duties Amendment (Off</w:t>
      </w:r>
      <w:r>
        <w:rPr>
          <w:rStyle w:val="CharSDivText"/>
          <w:i/>
        </w:rPr>
        <w:noBreakHyphen/>
        <w:t>the</w:t>
      </w:r>
      <w:r>
        <w:rPr>
          <w:rStyle w:val="CharSDivText"/>
          <w:i/>
        </w:rPr>
        <w:noBreakHyphen/>
        <w:t>Plan Concession and Foreign Persons Exemptions) Act 2023</w:t>
      </w:r>
      <w:bookmarkEnd w:id="2250"/>
      <w:bookmarkEnd w:id="2251"/>
      <w:bookmarkEnd w:id="2252"/>
      <w:bookmarkEnd w:id="2253"/>
      <w:bookmarkEnd w:id="2254"/>
      <w:bookmarkEnd w:id="2255"/>
    </w:p>
    <w:p>
      <w:pPr>
        <w:pStyle w:val="yFootnoteheading"/>
        <w:keepNext/>
      </w:pPr>
      <w:r>
        <w:tab/>
        <w:t>[Heading inserted: No. 29 of 2023 s. 9.]</w:t>
      </w:r>
    </w:p>
    <w:p>
      <w:pPr>
        <w:pStyle w:val="yHeading5"/>
      </w:pPr>
      <w:bookmarkStart w:id="2256" w:name="_Toc201229493"/>
      <w:bookmarkStart w:id="2257" w:name="_Toc182410558"/>
      <w:r>
        <w:rPr>
          <w:rStyle w:val="CharSClsNo"/>
        </w:rPr>
        <w:t>75</w:t>
      </w:r>
      <w:r>
        <w:t>.</w:t>
      </w:r>
      <w:r>
        <w:tab/>
        <w:t>Terms used</w:t>
      </w:r>
      <w:bookmarkEnd w:id="2256"/>
      <w:bookmarkEnd w:id="2257"/>
    </w:p>
    <w:p>
      <w:pPr>
        <w:pStyle w:val="ySubsection"/>
      </w:pPr>
      <w:r>
        <w:tab/>
      </w:r>
      <w:r>
        <w:tab/>
        <w:t xml:space="preserve">In this Division — </w:t>
      </w:r>
    </w:p>
    <w:p>
      <w:pPr>
        <w:pStyle w:val="yDefstart"/>
      </w:pPr>
      <w:r>
        <w:tab/>
      </w:r>
      <w:r>
        <w:rPr>
          <w:rStyle w:val="CharDefText"/>
        </w:rPr>
        <w:t>commencement day</w:t>
      </w:r>
      <w:r>
        <w:t xml:space="preserve"> means the day on which the </w:t>
      </w:r>
      <w:r>
        <w:rPr>
          <w:i/>
        </w:rPr>
        <w:t>Duties Amendment (Off</w:t>
      </w:r>
      <w:r>
        <w:rPr>
          <w:i/>
        </w:rPr>
        <w:noBreakHyphen/>
        <w:t>the</w:t>
      </w:r>
      <w:r>
        <w:rPr>
          <w:i/>
        </w:rPr>
        <w:noBreakHyphen/>
        <w:t>Plan Concession and Foreign Persons Exemptions) Act 2023</w:t>
      </w:r>
      <w:r>
        <w:t xml:space="preserve"> section 3 comes into operation.</w:t>
      </w:r>
    </w:p>
    <w:p>
      <w:pPr>
        <w:pStyle w:val="yFootnotesection"/>
      </w:pPr>
      <w:r>
        <w:tab/>
        <w:t>[Clause 75 inserted: No. 29 of 2023 s. 9.]</w:t>
      </w:r>
    </w:p>
    <w:p>
      <w:pPr>
        <w:pStyle w:val="yHeading5"/>
      </w:pPr>
      <w:bookmarkStart w:id="2258" w:name="_Toc201229494"/>
      <w:bookmarkStart w:id="2259" w:name="_Toc182410559"/>
      <w:r>
        <w:rPr>
          <w:rStyle w:val="CharSClsNo"/>
        </w:rPr>
        <w:t>76</w:t>
      </w:r>
      <w:r>
        <w:t>.</w:t>
      </w:r>
      <w:r>
        <w:tab/>
        <w:t>Provisions relating to amendments to Chapter 3A</w:t>
      </w:r>
      <w:bookmarkEnd w:id="2258"/>
      <w:bookmarkEnd w:id="2259"/>
    </w:p>
    <w:p>
      <w:pPr>
        <w:pStyle w:val="ySubsection"/>
      </w:pPr>
      <w:r>
        <w:tab/>
        <w:t>(1)</w:t>
      </w:r>
      <w:r>
        <w:tab/>
        <w:t xml:space="preserve">In this clause — </w:t>
      </w:r>
    </w:p>
    <w:p>
      <w:pPr>
        <w:pStyle w:val="yDefstart"/>
      </w:pPr>
      <w:r>
        <w:tab/>
      </w:r>
      <w:r>
        <w:rPr>
          <w:rStyle w:val="CharDefText"/>
        </w:rPr>
        <w:t>amended exemption provisions</w:t>
      </w:r>
      <w:r>
        <w:t xml:space="preserve"> means sections 205ZA, 205ZB, 205ZO and 205ZP, as amended by the </w:t>
      </w:r>
      <w:r>
        <w:rPr>
          <w:i/>
        </w:rPr>
        <w:t>Duties Amendment (Off</w:t>
      </w:r>
      <w:r>
        <w:rPr>
          <w:i/>
        </w:rPr>
        <w:noBreakHyphen/>
        <w:t>the</w:t>
      </w:r>
      <w:r>
        <w:rPr>
          <w:i/>
        </w:rPr>
        <w:noBreakHyphen/>
        <w:t xml:space="preserve">Plan Concession and Foreign Persons Exemptions) Act 2023 </w:t>
      </w:r>
      <w:r>
        <w:t>sections 4 to 7;</w:t>
      </w:r>
    </w:p>
    <w:p>
      <w:pPr>
        <w:pStyle w:val="yDefstart"/>
      </w:pPr>
      <w:r>
        <w:tab/>
      </w:r>
      <w:r>
        <w:rPr>
          <w:rStyle w:val="CharDefText"/>
        </w:rPr>
        <w:t>relevant exempt transaction or acquisition</w:t>
      </w:r>
      <w:r>
        <w:t xml:space="preserve"> means a foreign dutiable transaction or an acquisition that meets the requirements for an exemption under an amended exemption provision if the transaction or acquisition occurs — </w:t>
      </w:r>
    </w:p>
    <w:p>
      <w:pPr>
        <w:pStyle w:val="yDefpara"/>
      </w:pPr>
      <w:r>
        <w:tab/>
        <w:t>(a)</w:t>
      </w:r>
      <w:r>
        <w:tab/>
        <w:t>on or after 1 January 2023; or</w:t>
      </w:r>
    </w:p>
    <w:p>
      <w:pPr>
        <w:pStyle w:val="yDefpara"/>
      </w:pPr>
      <w:r>
        <w:tab/>
        <w:t>(b)</w:t>
      </w:r>
      <w:r>
        <w:tab/>
        <w:t xml:space="preserve">before 1 January 2023 if — </w:t>
      </w:r>
    </w:p>
    <w:p>
      <w:pPr>
        <w:pStyle w:val="yDefsubpara"/>
      </w:pPr>
      <w:r>
        <w:tab/>
        <w:t>(i)</w:t>
      </w:r>
      <w:r>
        <w:tab/>
        <w:t>in the case of a transaction to which section 205ZA applies — the requirement in section 205ZA(2)(c) becomes satisfied on or after that day; or</w:t>
      </w:r>
    </w:p>
    <w:p>
      <w:pPr>
        <w:pStyle w:val="yDefsubpara"/>
      </w:pPr>
      <w:r>
        <w:tab/>
        <w:t>(ii)</w:t>
      </w:r>
      <w:r>
        <w:tab/>
        <w:t>in the case of a transaction to which section 205ZB applies — the requirement in section 205ZB(2)(c) becomes satisfied on or after that day; or</w:t>
      </w:r>
    </w:p>
    <w:p>
      <w:pPr>
        <w:pStyle w:val="yDefsubpara"/>
      </w:pPr>
      <w:r>
        <w:tab/>
        <w:t>(iii)</w:t>
      </w:r>
      <w:r>
        <w:tab/>
        <w:t>in the case of an acquisition to which section 205ZO applies — the requirement in section 205ZO(1)(c) becomes satisfied on or after that day; or</w:t>
      </w:r>
    </w:p>
    <w:p>
      <w:pPr>
        <w:pStyle w:val="yDefsubpara"/>
      </w:pPr>
      <w:r>
        <w:tab/>
        <w:t>(iv)</w:t>
      </w:r>
      <w:r>
        <w:tab/>
        <w:t>in the case of an acquisition to which section 205ZP applies — the requirement in section 205ZP(1)(c) becomes satisfied on or after that day.</w:t>
      </w:r>
    </w:p>
    <w:p>
      <w:pPr>
        <w:pStyle w:val="ySubsection"/>
      </w:pPr>
      <w:r>
        <w:tab/>
        <w:t>(2)</w:t>
      </w:r>
      <w:r>
        <w:tab/>
        <w:t>The amended exemption provisions apply to the imposition of duty on a relevant exempt transaction or acquisition, even if the transaction or acquisition occurred before commencement day.</w:t>
      </w:r>
    </w:p>
    <w:p>
      <w:pPr>
        <w:pStyle w:val="ySubsection"/>
      </w:pPr>
      <w:r>
        <w:tab/>
        <w:t>(3)</w:t>
      </w:r>
      <w:r>
        <w:tab/>
        <w:t>If an assessment of duty payable on a relevant transaction or acquisition was made before commencement day, the Commissioner may, on application or on the Commissioner’s own initiative, reassess the duty payable on the transaction or acquisition in accordance with the amended exemption provisions.</w:t>
      </w:r>
    </w:p>
    <w:p>
      <w:pPr>
        <w:pStyle w:val="ySubsection"/>
      </w:pPr>
      <w:r>
        <w:tab/>
        <w:t>(4)</w:t>
      </w:r>
      <w:r>
        <w:tab/>
        <w:t xml:space="preserve">Despite whichever of sections 205ZA(5), 205ZB(3), 205ZO(4) and 205ZP(2) is applicable, an application for reassessment referred to in subclause (3) may be made in the approved form on or before the later of the following — </w:t>
      </w:r>
    </w:p>
    <w:p>
      <w:pPr>
        <w:pStyle w:val="yIndenta"/>
      </w:pPr>
      <w:r>
        <w:tab/>
        <w:t>(a)</w:t>
      </w:r>
      <w:r>
        <w:tab/>
        <w:t>the day on or before which the application would, but for this subclause, be required to be made under section 205ZA(5), 205ZB(3), 205ZO(4) or 205ZP(2) (whichever is applicable);</w:t>
      </w:r>
    </w:p>
    <w:p>
      <w:pPr>
        <w:pStyle w:val="yIndenta"/>
      </w:pPr>
      <w:r>
        <w:tab/>
        <w:t>(b)</w:t>
      </w:r>
      <w:r>
        <w:tab/>
        <w:t>the last day of the period of 12 months beginning on commencement day.</w:t>
      </w:r>
    </w:p>
    <w:p>
      <w:pPr>
        <w:pStyle w:val="ySubsection"/>
      </w:pPr>
      <w:r>
        <w:tab/>
        <w:t>(5)</w:t>
      </w:r>
      <w:r>
        <w:tab/>
        <w:t>Subclauses (3) and (4) apply despite the Taxation Administration Act section 17.</w:t>
      </w:r>
    </w:p>
    <w:p>
      <w:pPr>
        <w:pStyle w:val="ySubsection"/>
      </w:pPr>
      <w:r>
        <w:tab/>
        <w:t>(6)</w:t>
      </w:r>
      <w:r>
        <w:tab/>
        <w:t>For the purposes of this clause, when an acquisition occurs is to be determined under section 176 as applied by section 205ZE(1).</w:t>
      </w:r>
    </w:p>
    <w:p>
      <w:pPr>
        <w:pStyle w:val="yFootnotesection"/>
      </w:pPr>
      <w:r>
        <w:tab/>
        <w:t>[Clause 76 inserted: No. 29 of 2023 s. 9.]</w:t>
      </w:r>
    </w:p>
    <w:p>
      <w:pPr>
        <w:pStyle w:val="yHeading5"/>
      </w:pPr>
      <w:bookmarkStart w:id="2260" w:name="_Toc201229495"/>
      <w:bookmarkStart w:id="2261" w:name="_Toc182410560"/>
      <w:r>
        <w:rPr>
          <w:rStyle w:val="CharSClsNo"/>
        </w:rPr>
        <w:t>77</w:t>
      </w:r>
      <w:r>
        <w:t>.</w:t>
      </w:r>
      <w:r>
        <w:tab/>
        <w:t>Provisions relating to Chapter 6A</w:t>
      </w:r>
      <w:bookmarkEnd w:id="2260"/>
      <w:bookmarkEnd w:id="2261"/>
    </w:p>
    <w:p>
      <w:pPr>
        <w:pStyle w:val="ySubsection"/>
      </w:pPr>
      <w:r>
        <w:tab/>
        <w:t>(1)</w:t>
      </w:r>
      <w:r>
        <w:tab/>
        <w:t>If a term used in this clause is given a meaning in section 266E, it has the same meaning in this clause.</w:t>
      </w:r>
    </w:p>
    <w:p>
      <w:pPr>
        <w:pStyle w:val="ySubsection"/>
      </w:pPr>
      <w:r>
        <w:tab/>
        <w:t>(2)</w:t>
      </w:r>
      <w:r>
        <w:tab/>
        <w:t>Chapter 6A applies to the imposition of duty on a concessional pre</w:t>
      </w:r>
      <w:r>
        <w:noBreakHyphen/>
        <w:t>construction agreement even if the agreement was entered into in the period beginning on 23 October 2019 and ending immediately before commencement day.</w:t>
      </w:r>
    </w:p>
    <w:p>
      <w:pPr>
        <w:pStyle w:val="PermNoteHeading"/>
      </w:pPr>
      <w:r>
        <w:tab/>
        <w:t>Notes for this subclause:</w:t>
      </w:r>
    </w:p>
    <w:p>
      <w:pPr>
        <w:pStyle w:val="PermNoteText"/>
      </w:pPr>
      <w:r>
        <w:tab/>
        <w:t>1.</w:t>
      </w:r>
      <w:r>
        <w:tab/>
        <w:t>An agreement entered into before 23 October 2019 is not a concessional pre</w:t>
      </w:r>
      <w:r>
        <w:noBreakHyphen/>
        <w:t>construction agreement under section 266F.</w:t>
      </w:r>
    </w:p>
    <w:p>
      <w:pPr>
        <w:pStyle w:val="PermNoteText"/>
        <w:keepNext/>
      </w:pPr>
      <w:r>
        <w:tab/>
        <w:t>2.</w:t>
      </w:r>
      <w:r>
        <w:tab/>
        <w:t>Under section 266F(3), certain agreements are excluded from being concessional pre</w:t>
      </w:r>
      <w:r>
        <w:noBreakHyphen/>
        <w:t xml:space="preserve">construction agreements, including — </w:t>
      </w:r>
    </w:p>
    <w:p>
      <w:pPr>
        <w:pStyle w:val="PermNotePara"/>
      </w:pPr>
      <w:r>
        <w:tab/>
        <w:t>(a)</w:t>
      </w:r>
      <w:r>
        <w:tab/>
        <w:t>agreements in relation to which a rebate has been paid under the Off</w:t>
      </w:r>
      <w:r>
        <w:noBreakHyphen/>
        <w:t>the</w:t>
      </w:r>
      <w:r>
        <w:noBreakHyphen/>
        <w:t>Plan Duty Rebate Scheme (see section 266F(3)(a)); and</w:t>
      </w:r>
    </w:p>
    <w:p>
      <w:pPr>
        <w:pStyle w:val="PermNotePara"/>
      </w:pPr>
      <w:r>
        <w:tab/>
        <w:t>(b)</w:t>
      </w:r>
      <w:r>
        <w:tab/>
        <w:t>agreements that were not eligible for a rebate under the Off</w:t>
      </w:r>
      <w:r>
        <w:noBreakHyphen/>
        <w:t>the</w:t>
      </w:r>
      <w:r>
        <w:noBreakHyphen/>
        <w:t>Plan Duty Rebate Scheme where development for the relevant subdivision of land is completed before 31 August 2023 (see section 266F(3)(b)).</w:t>
      </w:r>
    </w:p>
    <w:p>
      <w:pPr>
        <w:pStyle w:val="ySubsection"/>
        <w:keepNext/>
      </w:pPr>
      <w:r>
        <w:tab/>
        <w:t>(3)</w:t>
      </w:r>
      <w:r>
        <w:tab/>
        <w:t>Chapter 6A applies to the imposition of duty on a concessional under construction agreement even if the agreement was entered into in the period beginning on 31 August 2023 and ending immediately before commencement day.</w:t>
      </w:r>
    </w:p>
    <w:p>
      <w:pPr>
        <w:pStyle w:val="PermNoteHeading"/>
      </w:pPr>
      <w:r>
        <w:tab/>
        <w:t>Note for this subclause:</w:t>
      </w:r>
    </w:p>
    <w:p>
      <w:pPr>
        <w:pStyle w:val="PermNoteText"/>
      </w:pPr>
      <w:r>
        <w:tab/>
      </w:r>
      <w:r>
        <w:tab/>
        <w:t>An agreement entered into before 31 August 2023 is not a concessional under construction agreement under section 266FA.</w:t>
      </w:r>
    </w:p>
    <w:p>
      <w:pPr>
        <w:pStyle w:val="ySubsection"/>
      </w:pPr>
      <w:r>
        <w:tab/>
        <w:t>(4)</w:t>
      </w:r>
      <w:r>
        <w:tab/>
        <w:t>If an assessment of duty payable on a concessional off</w:t>
      </w:r>
      <w:r>
        <w:noBreakHyphen/>
        <w:t>the</w:t>
      </w:r>
      <w:r>
        <w:noBreakHyphen/>
        <w:t>plan agreement was made before commencement day, the Commissioner may, on application or on the Commissioner’s own initiative, reassess the duty payable on the agreement in accordance with Chapter 6A.</w:t>
      </w:r>
    </w:p>
    <w:p>
      <w:pPr>
        <w:pStyle w:val="ySubsection"/>
      </w:pPr>
      <w:r>
        <w:tab/>
        <w:t>(5)</w:t>
      </w:r>
      <w:r>
        <w:tab/>
        <w:t xml:space="preserve">Despite section 266O, an application for reassessment referred to in subclause (4) may be made in the approved form on or before the later of the following — </w:t>
      </w:r>
    </w:p>
    <w:p>
      <w:pPr>
        <w:pStyle w:val="yIndenta"/>
      </w:pPr>
      <w:r>
        <w:tab/>
        <w:t>(a)</w:t>
      </w:r>
      <w:r>
        <w:tab/>
        <w:t>the last day of the period that applies under section 266O(1);</w:t>
      </w:r>
    </w:p>
    <w:p>
      <w:pPr>
        <w:pStyle w:val="yIndenta"/>
      </w:pPr>
      <w:r>
        <w:tab/>
        <w:t>(b)</w:t>
      </w:r>
      <w:r>
        <w:tab/>
        <w:t>the last day of the period of 12 months beginning on commencement day.</w:t>
      </w:r>
    </w:p>
    <w:p>
      <w:pPr>
        <w:pStyle w:val="ySubsection"/>
      </w:pPr>
      <w:r>
        <w:tab/>
        <w:t>(6)</w:t>
      </w:r>
      <w:r>
        <w:tab/>
        <w:t>Subclauses (4) and (5) apply despite the Taxation Administration Act section 17.</w:t>
      </w:r>
    </w:p>
    <w:p>
      <w:pPr>
        <w:pStyle w:val="ySubsection"/>
        <w:rPr>
          <w:ins w:id="2262" w:author="Master Repository Process" w:date="2025-06-19T17:03:00Z"/>
        </w:rPr>
      </w:pPr>
      <w:ins w:id="2263" w:author="Master Repository Process" w:date="2025-06-19T17:03:00Z">
        <w:r>
          <w:tab/>
          <w:t>(7)</w:t>
        </w:r>
        <w:r>
          <w:tab/>
          <w:t>Nothing in this clause affects the application of Chapter 6A to an agreement for the purchase of a lot in a single</w:t>
        </w:r>
        <w:r>
          <w:noBreakHyphen/>
          <w:t xml:space="preserve">tiered scheme. </w:t>
        </w:r>
      </w:ins>
    </w:p>
    <w:p>
      <w:pPr>
        <w:pStyle w:val="yFootnotesection"/>
      </w:pPr>
      <w:r>
        <w:tab/>
        <w:t>[Clause 77 inserted: No. 29 of 2023 s. </w:t>
      </w:r>
      <w:del w:id="2264" w:author="Master Repository Process" w:date="2025-06-19T17:03:00Z">
        <w:r>
          <w:delText>9.]</w:delText>
        </w:r>
      </w:del>
      <w:ins w:id="2265" w:author="Master Repository Process" w:date="2025-06-19T17:03:00Z">
        <w:r>
          <w:t>9; amended: No. 5 of 2025 s. 14(1).]</w:t>
        </w:r>
      </w:ins>
    </w:p>
    <w:p>
      <w:pPr>
        <w:pStyle w:val="yHeading3"/>
      </w:pPr>
      <w:bookmarkStart w:id="2266" w:name="_Toc201218425"/>
      <w:bookmarkStart w:id="2267" w:name="_Toc201224798"/>
      <w:bookmarkStart w:id="2268" w:name="_Toc201229496"/>
      <w:bookmarkStart w:id="2269" w:name="_Toc182389101"/>
      <w:bookmarkStart w:id="2270" w:name="_Toc182389763"/>
      <w:bookmarkStart w:id="2271" w:name="_Toc182410561"/>
      <w:r>
        <w:rPr>
          <w:rStyle w:val="CharSDivNo"/>
        </w:rPr>
        <w:t>Division 13</w:t>
      </w:r>
      <w:r>
        <w:t> — </w:t>
      </w:r>
      <w:r>
        <w:rPr>
          <w:rStyle w:val="CharDivText"/>
        </w:rPr>
        <w:t xml:space="preserve">Provisions for </w:t>
      </w:r>
      <w:r>
        <w:rPr>
          <w:rStyle w:val="CharDivText"/>
          <w:i/>
          <w:iCs/>
        </w:rPr>
        <w:t>Duties Amendment (First Home Owner Concessions) Act 2024</w:t>
      </w:r>
      <w:bookmarkEnd w:id="2266"/>
      <w:bookmarkEnd w:id="2267"/>
      <w:bookmarkEnd w:id="2268"/>
      <w:bookmarkEnd w:id="2269"/>
      <w:bookmarkEnd w:id="2270"/>
      <w:bookmarkEnd w:id="2271"/>
    </w:p>
    <w:p>
      <w:pPr>
        <w:pStyle w:val="yFootnoteheading"/>
        <w:keepNext/>
      </w:pPr>
      <w:r>
        <w:tab/>
        <w:t>[Heading inserted: No. 27 of 2024 s. 6.]</w:t>
      </w:r>
    </w:p>
    <w:p>
      <w:pPr>
        <w:pStyle w:val="yHeading5"/>
      </w:pPr>
      <w:bookmarkStart w:id="2272" w:name="_Toc201229497"/>
      <w:bookmarkStart w:id="2273" w:name="_Toc182410562"/>
      <w:r>
        <w:rPr>
          <w:rStyle w:val="CharSClsNo"/>
        </w:rPr>
        <w:t>78</w:t>
      </w:r>
      <w:r>
        <w:t>.</w:t>
      </w:r>
      <w:r>
        <w:tab/>
        <w:t>Terms used</w:t>
      </w:r>
      <w:bookmarkEnd w:id="2272"/>
      <w:bookmarkEnd w:id="2273"/>
    </w:p>
    <w:p>
      <w:pPr>
        <w:pStyle w:val="ySubsection"/>
        <w:keepNext/>
      </w:pPr>
      <w:r>
        <w:tab/>
      </w:r>
      <w:r>
        <w:tab/>
        <w:t>In this Division —</w:t>
      </w:r>
    </w:p>
    <w:p>
      <w:pPr>
        <w:pStyle w:val="yDefstart"/>
      </w:pPr>
      <w:r>
        <w:tab/>
      </w:r>
      <w:r>
        <w:rPr>
          <w:rStyle w:val="CharDefText"/>
        </w:rPr>
        <w:t>amended concession provisions</w:t>
      </w:r>
      <w:r>
        <w:t xml:space="preserve"> means section 142 and Schedule 2 Division 2, as amended by the </w:t>
      </w:r>
      <w:r>
        <w:rPr>
          <w:i/>
        </w:rPr>
        <w:t>Duties Amendment (First Home Owner Concessions) Act 2024</w:t>
      </w:r>
      <w:r>
        <w:t xml:space="preserve"> sections 4 and 5;</w:t>
      </w:r>
    </w:p>
    <w:p>
      <w:pPr>
        <w:pStyle w:val="yDefstart"/>
      </w:pPr>
      <w:r>
        <w:tab/>
      </w:r>
      <w:r>
        <w:rPr>
          <w:rStyle w:val="CharDefText"/>
        </w:rPr>
        <w:t>commencement day</w:t>
      </w:r>
      <w:r>
        <w:t xml:space="preserve"> means the day on which the </w:t>
      </w:r>
      <w:r>
        <w:rPr>
          <w:i/>
        </w:rPr>
        <w:t xml:space="preserve">Duties Amendment (First Home Owner Concessions) Act 2024 </w:t>
      </w:r>
      <w:r>
        <w:t>section 3 comes into operation;</w:t>
      </w:r>
    </w:p>
    <w:p>
      <w:pPr>
        <w:pStyle w:val="yDefstart"/>
        <w:rPr>
          <w:del w:id="2274" w:author="Master Repository Process" w:date="2025-06-19T17:03:00Z"/>
        </w:rPr>
      </w:pPr>
      <w:del w:id="2275" w:author="Master Repository Process" w:date="2025-06-19T17:03:00Z">
        <w:r>
          <w:tab/>
        </w:r>
        <w:r>
          <w:rPr>
            <w:rStyle w:val="CharDefText"/>
          </w:rPr>
          <w:delText>first concessional transaction</w:delText>
        </w:r>
        <w:r>
          <w:delText xml:space="preserve"> has the meaning given in section 142(2);</w:delText>
        </w:r>
      </w:del>
    </w:p>
    <w:p>
      <w:pPr>
        <w:pStyle w:val="yDefstart"/>
        <w:rPr>
          <w:del w:id="2276" w:author="Master Repository Process" w:date="2025-06-19T17:03:00Z"/>
        </w:rPr>
      </w:pPr>
      <w:del w:id="2277" w:author="Master Repository Process" w:date="2025-06-19T17:03:00Z">
        <w:r>
          <w:tab/>
        </w:r>
        <w:r>
          <w:rPr>
            <w:rStyle w:val="CharDefText"/>
          </w:rPr>
          <w:delText>further concessional transaction</w:delText>
        </w:r>
        <w:r>
          <w:delText xml:space="preserve"> has the meaning given in section 142(2);</w:delText>
        </w:r>
      </w:del>
    </w:p>
    <w:p>
      <w:pPr>
        <w:pStyle w:val="yDefstart"/>
      </w:pPr>
      <w:r>
        <w:tab/>
      </w:r>
      <w:r>
        <w:rPr>
          <w:rStyle w:val="CharDefText"/>
        </w:rPr>
        <w:t>pre</w:t>
      </w:r>
      <w:r>
        <w:rPr>
          <w:rStyle w:val="CharDefText"/>
        </w:rPr>
        <w:noBreakHyphen/>
        <w:t>9 May 2024 agreement</w:t>
      </w:r>
      <w:r>
        <w:t xml:space="preserve"> has the meaning given in clause 79(2);</w:t>
      </w:r>
    </w:p>
    <w:p>
      <w:pPr>
        <w:pStyle w:val="yDefstart"/>
      </w:pPr>
      <w:r>
        <w:tab/>
      </w:r>
      <w:r>
        <w:rPr>
          <w:rStyle w:val="CharDefText"/>
        </w:rPr>
        <w:t>relevant first home owner concessional transaction</w:t>
      </w:r>
      <w:r>
        <w:t xml:space="preserve"> has the meaning given in clause 79;</w:t>
      </w:r>
    </w:p>
    <w:p>
      <w:pPr>
        <w:pStyle w:val="yDefstart"/>
      </w:pPr>
      <w:r>
        <w:tab/>
      </w:r>
      <w:r>
        <w:rPr>
          <w:rStyle w:val="CharDefText"/>
        </w:rPr>
        <w:t>substituted transferee</w:t>
      </w:r>
      <w:r>
        <w:t xml:space="preserve"> has the meaning given in section 141(3).</w:t>
      </w:r>
    </w:p>
    <w:p>
      <w:pPr>
        <w:pStyle w:val="yFootnotesection"/>
      </w:pPr>
      <w:r>
        <w:tab/>
        <w:t>[Clause 78 inserted: No. 27 of 2024 s. </w:t>
      </w:r>
      <w:del w:id="2278" w:author="Master Repository Process" w:date="2025-06-19T17:03:00Z">
        <w:r>
          <w:delText>6.]</w:delText>
        </w:r>
      </w:del>
      <w:ins w:id="2279" w:author="Master Repository Process" w:date="2025-06-19T17:03:00Z">
        <w:r>
          <w:t>6; amended: No. 5 of 2025 s. 14(2).]</w:t>
        </w:r>
      </w:ins>
    </w:p>
    <w:p>
      <w:pPr>
        <w:pStyle w:val="yHeading5"/>
      </w:pPr>
      <w:bookmarkStart w:id="2280" w:name="_Toc201229498"/>
      <w:bookmarkStart w:id="2281" w:name="_Toc182410563"/>
      <w:r>
        <w:rPr>
          <w:rStyle w:val="CharSClsNo"/>
        </w:rPr>
        <w:t>79</w:t>
      </w:r>
      <w:r>
        <w:t>.</w:t>
      </w:r>
      <w:r>
        <w:tab/>
        <w:t>Relevant first home owner concessional transaction</w:t>
      </w:r>
      <w:bookmarkEnd w:id="2280"/>
      <w:bookmarkEnd w:id="2281"/>
    </w:p>
    <w:p>
      <w:pPr>
        <w:pStyle w:val="ySubsection"/>
      </w:pPr>
      <w:r>
        <w:tab/>
        <w:t>(1)</w:t>
      </w:r>
      <w:r>
        <w:tab/>
        <w:t xml:space="preserve">A </w:t>
      </w:r>
      <w:r>
        <w:rPr>
          <w:rStyle w:val="CharDefText"/>
        </w:rPr>
        <w:t>relevant first home owner concessional transaction</w:t>
      </w:r>
      <w:r>
        <w:t xml:space="preserve"> is a transaction that — </w:t>
      </w:r>
    </w:p>
    <w:p>
      <w:pPr>
        <w:pStyle w:val="yIndenta"/>
      </w:pPr>
      <w:r>
        <w:tab/>
        <w:t>(a)</w:t>
      </w:r>
      <w:r>
        <w:tab/>
        <w:t xml:space="preserve">is a first home owner concessional transaction as defined in section 142(1), as amended by the </w:t>
      </w:r>
      <w:r>
        <w:rPr>
          <w:i/>
        </w:rPr>
        <w:t>Duties Amendment (First Home Owner Concessions) Act 2024</w:t>
      </w:r>
      <w:r>
        <w:t xml:space="preserve"> section 4; and</w:t>
      </w:r>
    </w:p>
    <w:p>
      <w:pPr>
        <w:pStyle w:val="yIndenta"/>
      </w:pPr>
      <w:r>
        <w:tab/>
        <w:t>(b)</w:t>
      </w:r>
      <w:r>
        <w:tab/>
        <w:t>occurs on or after 9 May 2024.</w:t>
      </w:r>
    </w:p>
    <w:p>
      <w:pPr>
        <w:pStyle w:val="ySubsection"/>
      </w:pPr>
      <w:r>
        <w:tab/>
        <w:t>(2)</w:t>
      </w:r>
      <w:r>
        <w:tab/>
        <w:t xml:space="preserve">An agreement (a </w:t>
      </w:r>
      <w:r>
        <w:rPr>
          <w:rStyle w:val="CharDefText"/>
        </w:rPr>
        <w:t>pre</w:t>
      </w:r>
      <w:r>
        <w:rPr>
          <w:rStyle w:val="CharDefText"/>
        </w:rPr>
        <w:noBreakHyphen/>
        <w:t>9 May 2024 agreement</w:t>
      </w:r>
      <w:r>
        <w:t xml:space="preserve">) for the transfer of dutiable property entered into before 9 May 2024 is not a </w:t>
      </w:r>
      <w:r>
        <w:rPr>
          <w:rStyle w:val="CharDefText"/>
        </w:rPr>
        <w:t>relevant first home owner concessional transaction</w:t>
      </w:r>
      <w:r>
        <w:t xml:space="preserve"> even if the subsequent transfer of the property occurs on or after 9 May 2024.</w:t>
      </w:r>
    </w:p>
    <w:p>
      <w:pPr>
        <w:pStyle w:val="yFootnotesection"/>
      </w:pPr>
      <w:r>
        <w:tab/>
        <w:t>[Clause 79 inserted: No. 27 of 2024 s. 6.]</w:t>
      </w:r>
    </w:p>
    <w:p>
      <w:pPr>
        <w:pStyle w:val="yHeading5"/>
      </w:pPr>
      <w:bookmarkStart w:id="2282" w:name="_Toc201229499"/>
      <w:bookmarkStart w:id="2283" w:name="_Toc182410564"/>
      <w:r>
        <w:rPr>
          <w:rStyle w:val="CharSClsNo"/>
        </w:rPr>
        <w:t>80</w:t>
      </w:r>
      <w:r>
        <w:t>.</w:t>
      </w:r>
      <w:r>
        <w:tab/>
        <w:t>Application of amended concession provisions</w:t>
      </w:r>
      <w:bookmarkEnd w:id="2282"/>
      <w:bookmarkEnd w:id="2283"/>
    </w:p>
    <w:p>
      <w:pPr>
        <w:pStyle w:val="ySubsection"/>
      </w:pPr>
      <w:r>
        <w:tab/>
        <w:t>(1)</w:t>
      </w:r>
      <w:r>
        <w:tab/>
        <w:t>The amended concession provisions apply in relation to the imposition of duty on a relevant first home owner concessional transaction, even if the transaction occurred before commencement day.</w:t>
      </w:r>
    </w:p>
    <w:p>
      <w:pPr>
        <w:pStyle w:val="ySubsection"/>
      </w:pPr>
      <w:r>
        <w:tab/>
        <w:t>(2)</w:t>
      </w:r>
      <w:r>
        <w:tab/>
        <w:t xml:space="preserve">Despite subclause (1), the amended concession provisions do not apply in relation to the imposition of duty on a relevant first home owner concessional transaction that is a further concessional transaction if the first concessional transaction to which it relates is — </w:t>
      </w:r>
    </w:p>
    <w:p>
      <w:pPr>
        <w:pStyle w:val="yIndenta"/>
      </w:pPr>
      <w:r>
        <w:tab/>
        <w:t>(a)</w:t>
      </w:r>
      <w:r>
        <w:tab/>
        <w:t>a pre</w:t>
      </w:r>
      <w:r>
        <w:noBreakHyphen/>
        <w:t>9 May 2024 agreement; or</w:t>
      </w:r>
    </w:p>
    <w:p>
      <w:pPr>
        <w:pStyle w:val="yIndenta"/>
      </w:pPr>
      <w:r>
        <w:tab/>
        <w:t>(b)</w:t>
      </w:r>
      <w:r>
        <w:tab/>
        <w:t xml:space="preserve">a transfer of dutiable property that is — </w:t>
      </w:r>
    </w:p>
    <w:p>
      <w:pPr>
        <w:pStyle w:val="yIndenti0"/>
      </w:pPr>
      <w:r>
        <w:tab/>
        <w:t>(i)</w:t>
      </w:r>
      <w:r>
        <w:tab/>
        <w:t>in conformity with a pre</w:t>
      </w:r>
      <w:r>
        <w:noBreakHyphen/>
        <w:t>9 May 2024 agreement; or</w:t>
      </w:r>
    </w:p>
    <w:p>
      <w:pPr>
        <w:pStyle w:val="yIndenti0"/>
      </w:pPr>
      <w:r>
        <w:tab/>
        <w:t>(ii)</w:t>
      </w:r>
      <w:r>
        <w:tab/>
        <w:t>a transfer of dutiable property the subject of a pre</w:t>
      </w:r>
      <w:r>
        <w:noBreakHyphen/>
        <w:t>9 May 2024 agreement to a substituted transferee in relation to the agreement.</w:t>
      </w:r>
    </w:p>
    <w:p>
      <w:pPr>
        <w:pStyle w:val="ySubsection"/>
      </w:pPr>
      <w:r>
        <w:tab/>
        <w:t>(3)</w:t>
      </w:r>
      <w:r>
        <w:tab/>
        <w:t>If subclause (2) applies, duty is chargeable on the further concessional transaction at the same rate and using the same thresholds that applied to the pre</w:t>
      </w:r>
      <w:r>
        <w:noBreakHyphen/>
        <w:t>9 May 2024 agreement referred to in whichever of subclause (2)(a) or (b)(i) or (ii) is applicable.</w:t>
      </w:r>
    </w:p>
    <w:p>
      <w:pPr>
        <w:pStyle w:val="ySubsection"/>
      </w:pPr>
      <w:r>
        <w:tab/>
        <w:t>(4)</w:t>
      </w:r>
      <w:r>
        <w:tab/>
        <w:t>If an assessment of duty payable on a relevant first home owner concessional transaction to which the amended concession provisions apply was made before commencement day, the Commissioner may, on application or on the Commissioner’s own initiative, reassess the duty payable on the transaction in accordance with the amended concession provisions.</w:t>
      </w:r>
    </w:p>
    <w:p>
      <w:pPr>
        <w:pStyle w:val="yFootnotesection"/>
      </w:pPr>
      <w:r>
        <w:tab/>
        <w:t>[Clause 80 inserted: No. 27 of 2024 s. 6.]</w:t>
      </w:r>
    </w:p>
    <w:p>
      <w:pPr>
        <w:pStyle w:val="yHeading3"/>
        <w:rPr>
          <w:ins w:id="2284" w:author="Master Repository Process" w:date="2025-06-19T17:03:00Z"/>
        </w:rPr>
      </w:pPr>
      <w:bookmarkStart w:id="2285" w:name="_Toc194577754"/>
      <w:bookmarkStart w:id="2286" w:name="_Toc194578911"/>
      <w:bookmarkStart w:id="2287" w:name="_Toc194578934"/>
      <w:bookmarkStart w:id="2288" w:name="_Toc194586687"/>
      <w:bookmarkStart w:id="2289" w:name="_Toc194922289"/>
      <w:bookmarkStart w:id="2290" w:name="_Toc198735817"/>
      <w:bookmarkStart w:id="2291" w:name="_Toc198735914"/>
      <w:bookmarkStart w:id="2292" w:name="_Toc201128496"/>
      <w:bookmarkStart w:id="2293" w:name="_Toc201215546"/>
      <w:bookmarkStart w:id="2294" w:name="_Toc201224802"/>
      <w:bookmarkStart w:id="2295" w:name="_Toc201229500"/>
      <w:ins w:id="2296" w:author="Master Repository Process" w:date="2025-06-19T17:03:00Z">
        <w:r>
          <w:rPr>
            <w:rStyle w:val="CharSDivNo"/>
          </w:rPr>
          <w:t>Division 14</w:t>
        </w:r>
        <w:r>
          <w:t> — </w:t>
        </w:r>
        <w:r>
          <w:rPr>
            <w:rStyle w:val="CharSDivText"/>
          </w:rPr>
          <w:t xml:space="preserve">Provisions for </w:t>
        </w:r>
        <w:r>
          <w:rPr>
            <w:rStyle w:val="CharSDivText"/>
            <w:i/>
            <w:iCs/>
          </w:rPr>
          <w:t>Duties Amendment Act 2025</w:t>
        </w:r>
        <w:bookmarkEnd w:id="2285"/>
        <w:bookmarkEnd w:id="2286"/>
        <w:bookmarkEnd w:id="2287"/>
        <w:bookmarkEnd w:id="2288"/>
        <w:bookmarkEnd w:id="2289"/>
        <w:bookmarkEnd w:id="2290"/>
        <w:bookmarkEnd w:id="2291"/>
        <w:bookmarkEnd w:id="2292"/>
        <w:bookmarkEnd w:id="2293"/>
        <w:bookmarkEnd w:id="2294"/>
        <w:bookmarkEnd w:id="2295"/>
      </w:ins>
    </w:p>
    <w:p>
      <w:pPr>
        <w:pStyle w:val="yFootnoteheading"/>
        <w:keepNext/>
        <w:rPr>
          <w:ins w:id="2297" w:author="Master Repository Process" w:date="2025-06-19T17:03:00Z"/>
        </w:rPr>
      </w:pPr>
      <w:bookmarkStart w:id="2298" w:name="_Toc201128497"/>
      <w:bookmarkStart w:id="2299" w:name="_Toc201215547"/>
      <w:ins w:id="2300" w:author="Master Repository Process" w:date="2025-06-19T17:03:00Z">
        <w:r>
          <w:tab/>
          <w:t>[Heading inserted: No. 5 of 2025 s. 14(3).]</w:t>
        </w:r>
      </w:ins>
    </w:p>
    <w:p>
      <w:pPr>
        <w:pStyle w:val="yHeading5"/>
        <w:rPr>
          <w:ins w:id="2301" w:author="Master Repository Process" w:date="2025-06-19T17:03:00Z"/>
        </w:rPr>
      </w:pPr>
      <w:bookmarkStart w:id="2302" w:name="_Toc201229501"/>
      <w:ins w:id="2303" w:author="Master Repository Process" w:date="2025-06-19T17:03:00Z">
        <w:r>
          <w:rPr>
            <w:rStyle w:val="CharSClsNo"/>
          </w:rPr>
          <w:t>81</w:t>
        </w:r>
        <w:r>
          <w:t>.</w:t>
        </w:r>
        <w:r>
          <w:tab/>
          <w:t>Terms used</w:t>
        </w:r>
        <w:bookmarkEnd w:id="2298"/>
        <w:bookmarkEnd w:id="2299"/>
        <w:bookmarkEnd w:id="2302"/>
      </w:ins>
    </w:p>
    <w:p>
      <w:pPr>
        <w:pStyle w:val="ySubsection"/>
        <w:rPr>
          <w:ins w:id="2304" w:author="Master Repository Process" w:date="2025-06-19T17:03:00Z"/>
        </w:rPr>
      </w:pPr>
      <w:ins w:id="2305" w:author="Master Repository Process" w:date="2025-06-19T17:03:00Z">
        <w:r>
          <w:tab/>
        </w:r>
        <w:r>
          <w:tab/>
          <w:t xml:space="preserve">In this Division — </w:t>
        </w:r>
      </w:ins>
    </w:p>
    <w:p>
      <w:pPr>
        <w:pStyle w:val="yDefstart"/>
        <w:rPr>
          <w:ins w:id="2306" w:author="Master Repository Process" w:date="2025-06-19T17:03:00Z"/>
        </w:rPr>
      </w:pPr>
      <w:ins w:id="2307" w:author="Master Repository Process" w:date="2025-06-19T17:03:00Z">
        <w:r>
          <w:tab/>
        </w:r>
        <w:r>
          <w:rPr>
            <w:rStyle w:val="CharDefText"/>
          </w:rPr>
          <w:t>amended Chapter 6A</w:t>
        </w:r>
        <w:r>
          <w:t xml:space="preserve"> means Chapter 6A as amended by the </w:t>
        </w:r>
        <w:r>
          <w:rPr>
            <w:i/>
          </w:rPr>
          <w:t>Duties Amendment Act 2025</w:t>
        </w:r>
        <w:r>
          <w:t xml:space="preserve"> sections 7 to 12 and 15;</w:t>
        </w:r>
      </w:ins>
    </w:p>
    <w:p>
      <w:pPr>
        <w:pStyle w:val="yDefstart"/>
        <w:rPr>
          <w:ins w:id="2308" w:author="Master Repository Process" w:date="2025-06-19T17:03:00Z"/>
        </w:rPr>
      </w:pPr>
      <w:ins w:id="2309" w:author="Master Repository Process" w:date="2025-06-19T17:03:00Z">
        <w:r>
          <w:tab/>
        </w:r>
        <w:r>
          <w:rPr>
            <w:rStyle w:val="CharDefText"/>
          </w:rPr>
          <w:t>amended first home owner concession provisions</w:t>
        </w:r>
        <w:r>
          <w:t xml:space="preserve"> means section 3, Chapter 2 Part 6 Division 3 and Schedule 2 Division 2, as amended by the </w:t>
        </w:r>
        <w:r>
          <w:rPr>
            <w:i/>
          </w:rPr>
          <w:t>Duties Amendment Act 2025</w:t>
        </w:r>
        <w:r>
          <w:t xml:space="preserve"> sections 4 to 6 and 13;</w:t>
        </w:r>
      </w:ins>
    </w:p>
    <w:p>
      <w:pPr>
        <w:pStyle w:val="yDefstart"/>
        <w:rPr>
          <w:ins w:id="2310" w:author="Master Repository Process" w:date="2025-06-19T17:03:00Z"/>
        </w:rPr>
      </w:pPr>
      <w:ins w:id="2311" w:author="Master Repository Process" w:date="2025-06-19T17:03:00Z">
        <w:r>
          <w:tab/>
        </w:r>
        <w:r>
          <w:rPr>
            <w:rStyle w:val="CharDefText"/>
          </w:rPr>
          <w:t>commencement day</w:t>
        </w:r>
        <w:r>
          <w:t xml:space="preserve"> means the day on which the </w:t>
        </w:r>
        <w:r>
          <w:rPr>
            <w:i/>
          </w:rPr>
          <w:t>Duties Amendment Act 2025</w:t>
        </w:r>
        <w:r>
          <w:t xml:space="preserve"> section 3 comes into operation;</w:t>
        </w:r>
      </w:ins>
    </w:p>
    <w:p>
      <w:pPr>
        <w:pStyle w:val="yDefstart"/>
        <w:rPr>
          <w:ins w:id="2312" w:author="Master Repository Process" w:date="2025-06-19T17:03:00Z"/>
        </w:rPr>
      </w:pPr>
      <w:ins w:id="2313" w:author="Master Repository Process" w:date="2025-06-19T17:03:00Z">
        <w:r>
          <w:tab/>
        </w:r>
        <w:r>
          <w:rPr>
            <w:rStyle w:val="CharDefText"/>
          </w:rPr>
          <w:t>pre</w:t>
        </w:r>
        <w:r>
          <w:rPr>
            <w:rStyle w:val="CharDefText"/>
          </w:rPr>
          <w:noBreakHyphen/>
          <w:t>21 March 2025 agreement</w:t>
        </w:r>
        <w:r>
          <w:t xml:space="preserve"> has the meaning given in clause 82(2);</w:t>
        </w:r>
      </w:ins>
    </w:p>
    <w:p>
      <w:pPr>
        <w:pStyle w:val="yDefstart"/>
        <w:rPr>
          <w:ins w:id="2314" w:author="Master Repository Process" w:date="2025-06-19T17:03:00Z"/>
        </w:rPr>
      </w:pPr>
      <w:ins w:id="2315" w:author="Master Repository Process" w:date="2025-06-19T17:03:00Z">
        <w:r>
          <w:tab/>
        </w:r>
        <w:r>
          <w:rPr>
            <w:rStyle w:val="CharDefText"/>
          </w:rPr>
          <w:t>relevant first home owner concessional transaction</w:t>
        </w:r>
        <w:r>
          <w:t xml:space="preserve"> has the meaning given in clause 82;</w:t>
        </w:r>
      </w:ins>
    </w:p>
    <w:p>
      <w:pPr>
        <w:pStyle w:val="yDefstart"/>
        <w:rPr>
          <w:ins w:id="2316" w:author="Master Repository Process" w:date="2025-06-19T17:03:00Z"/>
        </w:rPr>
      </w:pPr>
      <w:ins w:id="2317" w:author="Master Repository Process" w:date="2025-06-19T17:03:00Z">
        <w:r>
          <w:tab/>
        </w:r>
        <w:r>
          <w:rPr>
            <w:rStyle w:val="CharDefText"/>
          </w:rPr>
          <w:t>substituted transferee</w:t>
        </w:r>
        <w:r>
          <w:t xml:space="preserve"> has the meaning given in section 141(3).</w:t>
        </w:r>
      </w:ins>
    </w:p>
    <w:p>
      <w:pPr>
        <w:pStyle w:val="yFootnotesection"/>
        <w:rPr>
          <w:ins w:id="2318" w:author="Master Repository Process" w:date="2025-06-19T17:03:00Z"/>
        </w:rPr>
      </w:pPr>
      <w:ins w:id="2319" w:author="Master Repository Process" w:date="2025-06-19T17:03:00Z">
        <w:r>
          <w:tab/>
          <w:t>[Clause 81 inserted: No. 5 of 2025 s. 14(3).]</w:t>
        </w:r>
      </w:ins>
    </w:p>
    <w:p>
      <w:pPr>
        <w:pStyle w:val="yHeading5"/>
        <w:rPr>
          <w:ins w:id="2320" w:author="Master Repository Process" w:date="2025-06-19T17:03:00Z"/>
        </w:rPr>
      </w:pPr>
      <w:bookmarkStart w:id="2321" w:name="_Toc201128498"/>
      <w:bookmarkStart w:id="2322" w:name="_Toc201215548"/>
      <w:bookmarkStart w:id="2323" w:name="_Toc201229502"/>
      <w:ins w:id="2324" w:author="Master Repository Process" w:date="2025-06-19T17:03:00Z">
        <w:r>
          <w:rPr>
            <w:rStyle w:val="CharSClsNo"/>
          </w:rPr>
          <w:t>82</w:t>
        </w:r>
        <w:r>
          <w:t>.</w:t>
        </w:r>
        <w:r>
          <w:tab/>
          <w:t>Relevant first home owner concessional transaction</w:t>
        </w:r>
        <w:bookmarkEnd w:id="2321"/>
        <w:bookmarkEnd w:id="2322"/>
        <w:bookmarkEnd w:id="2323"/>
      </w:ins>
    </w:p>
    <w:p>
      <w:pPr>
        <w:pStyle w:val="ySubsection"/>
        <w:rPr>
          <w:ins w:id="2325" w:author="Master Repository Process" w:date="2025-06-19T17:03:00Z"/>
        </w:rPr>
      </w:pPr>
      <w:ins w:id="2326" w:author="Master Repository Process" w:date="2025-06-19T17:03:00Z">
        <w:r>
          <w:tab/>
          <w:t>(1)</w:t>
        </w:r>
        <w:r>
          <w:tab/>
          <w:t xml:space="preserve">A </w:t>
        </w:r>
        <w:r>
          <w:rPr>
            <w:rStyle w:val="CharDefText"/>
          </w:rPr>
          <w:t>relevant first home owner concessional transaction</w:t>
        </w:r>
        <w:r>
          <w:t xml:space="preserve"> is a transaction that — </w:t>
        </w:r>
      </w:ins>
    </w:p>
    <w:p>
      <w:pPr>
        <w:pStyle w:val="yIndenta"/>
        <w:rPr>
          <w:ins w:id="2327" w:author="Master Repository Process" w:date="2025-06-19T17:03:00Z"/>
        </w:rPr>
      </w:pPr>
      <w:ins w:id="2328" w:author="Master Repository Process" w:date="2025-06-19T17:03:00Z">
        <w:r>
          <w:tab/>
          <w:t>(a)</w:t>
        </w:r>
        <w:r>
          <w:tab/>
          <w:t>is a first home owner concessional transaction under the amended first home owner concession provisions; and</w:t>
        </w:r>
      </w:ins>
    </w:p>
    <w:p>
      <w:pPr>
        <w:pStyle w:val="yIndenta"/>
        <w:rPr>
          <w:ins w:id="2329" w:author="Master Repository Process" w:date="2025-06-19T17:03:00Z"/>
        </w:rPr>
      </w:pPr>
      <w:ins w:id="2330" w:author="Master Repository Process" w:date="2025-06-19T17:03:00Z">
        <w:r>
          <w:tab/>
          <w:t>(b)</w:t>
        </w:r>
        <w:r>
          <w:tab/>
          <w:t>occurs on or after 21 March 2025.</w:t>
        </w:r>
      </w:ins>
    </w:p>
    <w:p>
      <w:pPr>
        <w:pStyle w:val="ySubsection"/>
        <w:rPr>
          <w:ins w:id="2331" w:author="Master Repository Process" w:date="2025-06-19T17:03:00Z"/>
        </w:rPr>
      </w:pPr>
      <w:ins w:id="2332" w:author="Master Repository Process" w:date="2025-06-19T17:03:00Z">
        <w:r>
          <w:tab/>
          <w:t>(2)</w:t>
        </w:r>
        <w:r>
          <w:tab/>
          <w:t xml:space="preserve">An agreement (a </w:t>
        </w:r>
        <w:r>
          <w:rPr>
            <w:rStyle w:val="CharDefText"/>
          </w:rPr>
          <w:t>pre</w:t>
        </w:r>
        <w:r>
          <w:rPr>
            <w:rStyle w:val="CharDefText"/>
          </w:rPr>
          <w:noBreakHyphen/>
          <w:t>21 March 2025 agreement</w:t>
        </w:r>
        <w:r>
          <w:t xml:space="preserve">) for the transfer of dutiable property entered into before 21 March 2025 is not a </w:t>
        </w:r>
        <w:r>
          <w:rPr>
            <w:rStyle w:val="CharDefText"/>
          </w:rPr>
          <w:t>relevant first home owner concessional transaction</w:t>
        </w:r>
        <w:r>
          <w:t xml:space="preserve"> even if the subsequent transfer of the property occurs on or after 21 March 2025.</w:t>
        </w:r>
      </w:ins>
    </w:p>
    <w:p>
      <w:pPr>
        <w:pStyle w:val="yFootnotesection"/>
        <w:rPr>
          <w:ins w:id="2333" w:author="Master Repository Process" w:date="2025-06-19T17:03:00Z"/>
        </w:rPr>
      </w:pPr>
      <w:ins w:id="2334" w:author="Master Repository Process" w:date="2025-06-19T17:03:00Z">
        <w:r>
          <w:tab/>
          <w:t>[Clause 82 inserted: No. 5 of 2025 s. 14(3).]</w:t>
        </w:r>
      </w:ins>
    </w:p>
    <w:p>
      <w:pPr>
        <w:pStyle w:val="CharSc"/>
        <w:rPr>
          <w:ins w:id="2335" w:author="Master Repository Process" w:date="2025-06-19T17:03:00Z"/>
        </w:rPr>
      </w:pPr>
      <w:bookmarkStart w:id="2336" w:name="_Toc201128499"/>
      <w:bookmarkStart w:id="2337" w:name="_Toc201215549"/>
      <w:ins w:id="2338" w:author="Master Repository Process" w:date="2025-06-19T17:03:00Z">
        <w:r>
          <w:rPr>
            <w:rStyle w:val="CharSClsNo"/>
          </w:rPr>
          <w:t>83</w:t>
        </w:r>
        <w:r>
          <w:t>.</w:t>
        </w:r>
        <w:r>
          <w:tab/>
          <w:t>Application of amended first home owner concession provisions</w:t>
        </w:r>
        <w:bookmarkEnd w:id="2336"/>
        <w:bookmarkEnd w:id="2337"/>
      </w:ins>
    </w:p>
    <w:p>
      <w:pPr>
        <w:pStyle w:val="ySubsection"/>
        <w:rPr>
          <w:ins w:id="2339" w:author="Master Repository Process" w:date="2025-06-19T17:03:00Z"/>
        </w:rPr>
      </w:pPr>
      <w:ins w:id="2340" w:author="Master Repository Process" w:date="2025-06-19T17:03:00Z">
        <w:r>
          <w:tab/>
          <w:t>(1)</w:t>
        </w:r>
        <w:r>
          <w:tab/>
          <w:t>The amended first home owner concession provisions apply in relation to the imposition of duty on a relevant first home owner concessional transaction even if the transaction occurred before commencement day.</w:t>
        </w:r>
      </w:ins>
    </w:p>
    <w:p>
      <w:pPr>
        <w:pStyle w:val="ySubsection"/>
        <w:rPr>
          <w:ins w:id="2341" w:author="Master Repository Process" w:date="2025-06-19T17:03:00Z"/>
        </w:rPr>
      </w:pPr>
      <w:ins w:id="2342" w:author="Master Repository Process" w:date="2025-06-19T17:03:00Z">
        <w:r>
          <w:tab/>
          <w:t>(2)</w:t>
        </w:r>
        <w:r>
          <w:tab/>
          <w:t xml:space="preserve">Despite subclause (1), the amended first home owner concession provisions do not apply in relation to the imposition of duty on a relevant first home owner concessional transaction that is a further concessional transaction if the first concessional transaction to which it relates is — </w:t>
        </w:r>
      </w:ins>
    </w:p>
    <w:p>
      <w:pPr>
        <w:pStyle w:val="yIndenta"/>
        <w:rPr>
          <w:ins w:id="2343" w:author="Master Repository Process" w:date="2025-06-19T17:03:00Z"/>
        </w:rPr>
      </w:pPr>
      <w:ins w:id="2344" w:author="Master Repository Process" w:date="2025-06-19T17:03:00Z">
        <w:r>
          <w:tab/>
          <w:t>(a)</w:t>
        </w:r>
        <w:r>
          <w:tab/>
          <w:t>a pre</w:t>
        </w:r>
        <w:r>
          <w:noBreakHyphen/>
          <w:t>21 March 2025 agreement; or</w:t>
        </w:r>
      </w:ins>
    </w:p>
    <w:p>
      <w:pPr>
        <w:pStyle w:val="yIndenta"/>
        <w:rPr>
          <w:ins w:id="2345" w:author="Master Repository Process" w:date="2025-06-19T17:03:00Z"/>
        </w:rPr>
      </w:pPr>
      <w:ins w:id="2346" w:author="Master Repository Process" w:date="2025-06-19T17:03:00Z">
        <w:r>
          <w:tab/>
          <w:t>(b)</w:t>
        </w:r>
        <w:r>
          <w:tab/>
          <w:t xml:space="preserve">a transfer of dutiable property that is — </w:t>
        </w:r>
      </w:ins>
    </w:p>
    <w:p>
      <w:pPr>
        <w:pStyle w:val="yIndenti0"/>
        <w:rPr>
          <w:ins w:id="2347" w:author="Master Repository Process" w:date="2025-06-19T17:03:00Z"/>
        </w:rPr>
      </w:pPr>
      <w:ins w:id="2348" w:author="Master Repository Process" w:date="2025-06-19T17:03:00Z">
        <w:r>
          <w:tab/>
          <w:t>(i)</w:t>
        </w:r>
        <w:r>
          <w:tab/>
          <w:t>in conformity with a pre</w:t>
        </w:r>
        <w:r>
          <w:noBreakHyphen/>
          <w:t>21 March 2025 agreement; or</w:t>
        </w:r>
      </w:ins>
    </w:p>
    <w:p>
      <w:pPr>
        <w:pStyle w:val="yIndenti0"/>
        <w:rPr>
          <w:ins w:id="2349" w:author="Master Repository Process" w:date="2025-06-19T17:03:00Z"/>
        </w:rPr>
      </w:pPr>
      <w:ins w:id="2350" w:author="Master Repository Process" w:date="2025-06-19T17:03:00Z">
        <w:r>
          <w:tab/>
          <w:t>(ii)</w:t>
        </w:r>
        <w:r>
          <w:tab/>
          <w:t>a transfer of dutiable property the subject of a pre</w:t>
        </w:r>
        <w:r>
          <w:noBreakHyphen/>
          <w:t>21 March 2025 agreement to a substituted transferee in relation to the agreement.</w:t>
        </w:r>
      </w:ins>
    </w:p>
    <w:p>
      <w:pPr>
        <w:pStyle w:val="ySubsection"/>
        <w:rPr>
          <w:ins w:id="2351" w:author="Master Repository Process" w:date="2025-06-19T17:03:00Z"/>
        </w:rPr>
      </w:pPr>
      <w:ins w:id="2352" w:author="Master Repository Process" w:date="2025-06-19T17:03:00Z">
        <w:r>
          <w:tab/>
          <w:t>(3)</w:t>
        </w:r>
        <w:r>
          <w:tab/>
          <w:t>If subclause (2) applies, duty is chargeable on the further concessional transaction at the same rate and using the same thresholds that applied to the pre</w:t>
        </w:r>
        <w:r>
          <w:noBreakHyphen/>
          <w:t>21 March 2025 agreement referred to in whichever of subclause (2)(a) or (b)(i) or (ii) is applicable.</w:t>
        </w:r>
      </w:ins>
    </w:p>
    <w:p>
      <w:pPr>
        <w:pStyle w:val="ySubsection"/>
        <w:rPr>
          <w:ins w:id="2353" w:author="Master Repository Process" w:date="2025-06-19T17:03:00Z"/>
        </w:rPr>
      </w:pPr>
      <w:ins w:id="2354" w:author="Master Repository Process" w:date="2025-06-19T17:03:00Z">
        <w:r>
          <w:tab/>
          <w:t>(4)</w:t>
        </w:r>
        <w:r>
          <w:tab/>
          <w:t>If an assessment of duty payable on a relevant first home owner concessional transaction to which the amended first home owner concession provisions apply was made before commencement day, the Commissioner may, on application or on the Commissioner’s own initiative, reassess the duty payable on the transaction in accordance with the amended first home owner concession provisions.</w:t>
        </w:r>
      </w:ins>
    </w:p>
    <w:p>
      <w:pPr>
        <w:pStyle w:val="ySubsection"/>
        <w:rPr>
          <w:ins w:id="2355" w:author="Master Repository Process" w:date="2025-06-19T17:03:00Z"/>
        </w:rPr>
      </w:pPr>
      <w:ins w:id="2356" w:author="Master Repository Process" w:date="2025-06-19T17:03:00Z">
        <w:r>
          <w:tab/>
          <w:t>(5)</w:t>
        </w:r>
        <w:r>
          <w:tab/>
          <w:t xml:space="preserve">Despite section 144(2), an application for reassessment referred to in subclause (4) may be made in the approved form on or before the later of the following — </w:t>
        </w:r>
      </w:ins>
    </w:p>
    <w:p>
      <w:pPr>
        <w:pStyle w:val="yIndenta"/>
        <w:rPr>
          <w:ins w:id="2357" w:author="Master Repository Process" w:date="2025-06-19T17:03:00Z"/>
        </w:rPr>
      </w:pPr>
      <w:ins w:id="2358" w:author="Master Repository Process" w:date="2025-06-19T17:03:00Z">
        <w:r>
          <w:tab/>
          <w:t>(a)</w:t>
        </w:r>
        <w:r>
          <w:tab/>
          <w:t>the last day of the period that applies under section 144(2);</w:t>
        </w:r>
      </w:ins>
    </w:p>
    <w:p>
      <w:pPr>
        <w:pStyle w:val="yIndenta"/>
        <w:rPr>
          <w:ins w:id="2359" w:author="Master Repository Process" w:date="2025-06-19T17:03:00Z"/>
        </w:rPr>
      </w:pPr>
      <w:ins w:id="2360" w:author="Master Repository Process" w:date="2025-06-19T17:03:00Z">
        <w:r>
          <w:tab/>
          <w:t>(b)</w:t>
        </w:r>
        <w:r>
          <w:tab/>
          <w:t>the last day of the period of 12 months beginning on commencement day.</w:t>
        </w:r>
      </w:ins>
    </w:p>
    <w:p>
      <w:pPr>
        <w:pStyle w:val="ySubsection"/>
        <w:rPr>
          <w:ins w:id="2361" w:author="Master Repository Process" w:date="2025-06-19T17:03:00Z"/>
        </w:rPr>
      </w:pPr>
      <w:ins w:id="2362" w:author="Master Repository Process" w:date="2025-06-19T17:03:00Z">
        <w:r>
          <w:tab/>
          <w:t>(6)</w:t>
        </w:r>
        <w:r>
          <w:tab/>
          <w:t>Subclauses (4) and (5) apply despite the Taxation Administration Act section 17.</w:t>
        </w:r>
      </w:ins>
    </w:p>
    <w:p>
      <w:pPr>
        <w:pStyle w:val="yFootnotesection"/>
        <w:rPr>
          <w:ins w:id="2363" w:author="Master Repository Process" w:date="2025-06-19T17:03:00Z"/>
        </w:rPr>
      </w:pPr>
      <w:ins w:id="2364" w:author="Master Repository Process" w:date="2025-06-19T17:03:00Z">
        <w:r>
          <w:tab/>
          <w:t>[Clause 83 inserted: No. 5 of 2025 s. 14(3).]</w:t>
        </w:r>
      </w:ins>
    </w:p>
    <w:p>
      <w:pPr>
        <w:pStyle w:val="yHeading5"/>
        <w:rPr>
          <w:ins w:id="2365" w:author="Master Repository Process" w:date="2025-06-19T17:03:00Z"/>
        </w:rPr>
      </w:pPr>
      <w:bookmarkStart w:id="2366" w:name="_Toc201128500"/>
      <w:bookmarkStart w:id="2367" w:name="_Toc201215550"/>
      <w:bookmarkStart w:id="2368" w:name="_Toc201229503"/>
      <w:ins w:id="2369" w:author="Master Repository Process" w:date="2025-06-19T17:03:00Z">
        <w:r>
          <w:rPr>
            <w:rStyle w:val="CharSClsNo"/>
          </w:rPr>
          <w:t>84</w:t>
        </w:r>
        <w:r>
          <w:t>.</w:t>
        </w:r>
        <w:r>
          <w:tab/>
          <w:t>Provisions relating to amendments to Chapter 6A</w:t>
        </w:r>
        <w:bookmarkEnd w:id="2366"/>
        <w:bookmarkEnd w:id="2367"/>
        <w:bookmarkEnd w:id="2368"/>
      </w:ins>
    </w:p>
    <w:p>
      <w:pPr>
        <w:pStyle w:val="ySubsection"/>
        <w:rPr>
          <w:ins w:id="2370" w:author="Master Repository Process" w:date="2025-06-19T17:03:00Z"/>
        </w:rPr>
      </w:pPr>
      <w:ins w:id="2371" w:author="Master Repository Process" w:date="2025-06-19T17:03:00Z">
        <w:r>
          <w:tab/>
          <w:t>(1)</w:t>
        </w:r>
        <w:r>
          <w:tab/>
          <w:t>If a term used in this clause is given a meaning in section 266E, it has the same meaning in this clause.</w:t>
        </w:r>
      </w:ins>
    </w:p>
    <w:p>
      <w:pPr>
        <w:pStyle w:val="ySubsection"/>
        <w:keepNext/>
        <w:rPr>
          <w:ins w:id="2372" w:author="Master Repository Process" w:date="2025-06-19T17:03:00Z"/>
        </w:rPr>
      </w:pPr>
      <w:ins w:id="2373" w:author="Master Repository Process" w:date="2025-06-19T17:03:00Z">
        <w:r>
          <w:tab/>
          <w:t>(2)</w:t>
        </w:r>
        <w:r>
          <w:tab/>
          <w:t>Amended Chapter 6A applies in relation to the imposition of duty on a concessional off</w:t>
        </w:r>
        <w:r>
          <w:noBreakHyphen/>
          <w:t>the</w:t>
        </w:r>
        <w:r>
          <w:noBreakHyphen/>
          <w:t>plan agreement entered into on or after 21 March 2025 (including a concessional off</w:t>
        </w:r>
        <w:r>
          <w:noBreakHyphen/>
          <w:t>the</w:t>
        </w:r>
        <w:r>
          <w:noBreakHyphen/>
          <w:t>plan agreement entered into in the period beginning on 21 March 2025 and ending immediately before commencement day).</w:t>
        </w:r>
      </w:ins>
    </w:p>
    <w:p>
      <w:pPr>
        <w:pStyle w:val="PermNoteHeading"/>
        <w:rPr>
          <w:ins w:id="2374" w:author="Master Repository Process" w:date="2025-06-19T17:03:00Z"/>
        </w:rPr>
      </w:pPr>
      <w:ins w:id="2375" w:author="Master Repository Process" w:date="2025-06-19T17:03:00Z">
        <w:r>
          <w:tab/>
          <w:t>Note for this subclause:</w:t>
        </w:r>
      </w:ins>
    </w:p>
    <w:p>
      <w:pPr>
        <w:pStyle w:val="PermNoteText"/>
        <w:rPr>
          <w:ins w:id="2376" w:author="Master Repository Process" w:date="2025-06-19T17:03:00Z"/>
        </w:rPr>
      </w:pPr>
      <w:ins w:id="2377" w:author="Master Repository Process" w:date="2025-06-19T17:03:00Z">
        <w:r>
          <w:tab/>
        </w:r>
        <w:r>
          <w:tab/>
          <w:t>An agreement entered into before 21 March 2025 that relates to a single</w:t>
        </w:r>
        <w:r>
          <w:noBreakHyphen/>
          <w:t>tiered scheme is not a concessional pre</w:t>
        </w:r>
        <w:r>
          <w:noBreakHyphen/>
          <w:t>construction agreement under section 266F or a concessional under construction agreement under section 266FA.</w:t>
        </w:r>
      </w:ins>
    </w:p>
    <w:p>
      <w:pPr>
        <w:pStyle w:val="ySubsection"/>
        <w:rPr>
          <w:ins w:id="2378" w:author="Master Repository Process" w:date="2025-06-19T17:03:00Z"/>
        </w:rPr>
      </w:pPr>
      <w:ins w:id="2379" w:author="Master Repository Process" w:date="2025-06-19T17:03:00Z">
        <w:r>
          <w:tab/>
          <w:t>(3)</w:t>
        </w:r>
        <w:r>
          <w:tab/>
          <w:t>If an assessment of duty payable on a concessional off</w:t>
        </w:r>
        <w:r>
          <w:noBreakHyphen/>
          <w:t>the</w:t>
        </w:r>
        <w:r>
          <w:noBreakHyphen/>
          <w:t>plan agreement entered into on or after 21 March 2025 was made before commencement day, the Commissioner may, on application or on the Commissioner’s own initiative, reassess the duty payable on the agreement in accordance with amended Chapter 6A.</w:t>
        </w:r>
      </w:ins>
    </w:p>
    <w:p>
      <w:pPr>
        <w:pStyle w:val="ySubsection"/>
        <w:rPr>
          <w:ins w:id="2380" w:author="Master Repository Process" w:date="2025-06-19T17:03:00Z"/>
        </w:rPr>
      </w:pPr>
      <w:ins w:id="2381" w:author="Master Repository Process" w:date="2025-06-19T17:03:00Z">
        <w:r>
          <w:tab/>
          <w:t>(4)</w:t>
        </w:r>
        <w:r>
          <w:tab/>
          <w:t xml:space="preserve">Despite section 266O, an application for reassessment referred to in subclause (3) may be made in the approved form on or before the later of the following — </w:t>
        </w:r>
      </w:ins>
    </w:p>
    <w:p>
      <w:pPr>
        <w:pStyle w:val="yIndenta"/>
        <w:rPr>
          <w:ins w:id="2382" w:author="Master Repository Process" w:date="2025-06-19T17:03:00Z"/>
        </w:rPr>
      </w:pPr>
      <w:ins w:id="2383" w:author="Master Repository Process" w:date="2025-06-19T17:03:00Z">
        <w:r>
          <w:tab/>
          <w:t>(a)</w:t>
        </w:r>
        <w:r>
          <w:tab/>
          <w:t>the last day of the period that applies under section 266O(1);</w:t>
        </w:r>
      </w:ins>
    </w:p>
    <w:p>
      <w:pPr>
        <w:pStyle w:val="yIndenta"/>
        <w:rPr>
          <w:ins w:id="2384" w:author="Master Repository Process" w:date="2025-06-19T17:03:00Z"/>
        </w:rPr>
      </w:pPr>
      <w:ins w:id="2385" w:author="Master Repository Process" w:date="2025-06-19T17:03:00Z">
        <w:r>
          <w:tab/>
          <w:t>(b)</w:t>
        </w:r>
        <w:r>
          <w:tab/>
          <w:t>the last day of the period of 12 months beginning on commencement day.</w:t>
        </w:r>
      </w:ins>
    </w:p>
    <w:p>
      <w:pPr>
        <w:pStyle w:val="ySubsection"/>
        <w:rPr>
          <w:ins w:id="2386" w:author="Master Repository Process" w:date="2025-06-19T17:03:00Z"/>
        </w:rPr>
      </w:pPr>
      <w:ins w:id="2387" w:author="Master Repository Process" w:date="2025-06-19T17:03:00Z">
        <w:r>
          <w:tab/>
          <w:t>(5)</w:t>
        </w:r>
        <w:r>
          <w:tab/>
          <w:t>Subclauses (3) and (4) apply despite the Taxation Administration Act section 17.</w:t>
        </w:r>
      </w:ins>
    </w:p>
    <w:p>
      <w:pPr>
        <w:pStyle w:val="yFootnotesection"/>
        <w:rPr>
          <w:ins w:id="2388" w:author="Master Repository Process" w:date="2025-06-19T17:03:00Z"/>
        </w:rPr>
      </w:pPr>
      <w:ins w:id="2389" w:author="Master Repository Process" w:date="2025-06-19T17:03:00Z">
        <w:r>
          <w:tab/>
          <w:t>[Clause 84 inserted: No. 5 of 2025 s. 14(3).]</w:t>
        </w:r>
      </w:ins>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81" w:right="2410" w:bottom="3544" w:left="2410" w:header="720" w:footer="3544" w:gutter="0"/>
          <w:cols w:space="720"/>
          <w:docGrid w:linePitch="326"/>
        </w:sectPr>
      </w:pPr>
    </w:p>
    <w:p>
      <w:pPr>
        <w:pStyle w:val="nHeading2"/>
      </w:pPr>
      <w:bookmarkStart w:id="2390" w:name="_Toc201218429"/>
      <w:bookmarkStart w:id="2391" w:name="_Toc201224806"/>
      <w:bookmarkStart w:id="2392" w:name="_Toc201229504"/>
      <w:bookmarkStart w:id="2393" w:name="_Toc182389105"/>
      <w:bookmarkStart w:id="2394" w:name="_Toc182389767"/>
      <w:bookmarkStart w:id="2395" w:name="_Toc182410565"/>
      <w:r>
        <w:t>Notes</w:t>
      </w:r>
      <w:bookmarkEnd w:id="2390"/>
      <w:bookmarkEnd w:id="2391"/>
      <w:bookmarkEnd w:id="2392"/>
      <w:bookmarkEnd w:id="2393"/>
      <w:bookmarkEnd w:id="2394"/>
      <w:bookmarkEnd w:id="2395"/>
    </w:p>
    <w:p>
      <w:pPr>
        <w:pStyle w:val="nStatement"/>
      </w:pPr>
      <w:r>
        <w:t xml:space="preserve">This is a compilation of the </w:t>
      </w:r>
      <w:r>
        <w:rPr>
          <w:i/>
          <w:noProof/>
        </w:rPr>
        <w:t>Duties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396" w:name="_Toc201229505"/>
      <w:bookmarkStart w:id="2397" w:name="_Toc182410566"/>
      <w:r>
        <w:t>Compilation table</w:t>
      </w:r>
      <w:bookmarkEnd w:id="2396"/>
      <w:bookmarkEnd w:id="239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Duties Act 2008 </w:t>
            </w:r>
            <w:r>
              <w:rPr>
                <w:noProof/>
                <w:snapToGrid w:val="0"/>
                <w:vertAlign w:val="superscript"/>
              </w:rPr>
              <w:t>4</w:t>
            </w:r>
          </w:p>
        </w:tc>
        <w:tc>
          <w:tcPr>
            <w:tcW w:w="1134" w:type="dxa"/>
            <w:tcBorders>
              <w:top w:val="single" w:sz="8" w:space="0" w:color="auto"/>
              <w:bottom w:val="nil"/>
            </w:tcBorders>
          </w:tcPr>
          <w:p>
            <w:pPr>
              <w:pStyle w:val="nTable"/>
              <w:spacing w:after="40"/>
            </w:pPr>
            <w:r>
              <w:t>11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pPr>
            <w:r>
              <w:t xml:space="preserve">s. 1 and 2: 14 Apr 2008 </w:t>
            </w:r>
            <w:r>
              <w:rPr>
                <w:snapToGrid w:val="0"/>
              </w:rPr>
              <w:t>(see s. 2(a));</w:t>
            </w:r>
            <w:r>
              <w:rPr>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5</w:t>
            </w:r>
          </w:p>
        </w:tc>
        <w:tc>
          <w:tcPr>
            <w:tcW w:w="1134" w:type="dxa"/>
          </w:tcPr>
          <w:p>
            <w:pPr>
              <w:pStyle w:val="nTable"/>
              <w:spacing w:after="40"/>
            </w:pPr>
            <w:r>
              <w:t>12 of 2008 (as amended by No. 30 of 2008 s. 3)</w:t>
            </w:r>
          </w:p>
        </w:tc>
        <w:tc>
          <w:tcPr>
            <w:tcW w:w="1134" w:type="dxa"/>
          </w:tcPr>
          <w:p>
            <w:pPr>
              <w:pStyle w:val="nTable"/>
              <w:spacing w:after="40"/>
            </w:pPr>
            <w:r>
              <w:t>14 Apr 2008</w:t>
            </w:r>
          </w:p>
        </w:tc>
        <w:tc>
          <w:tcPr>
            <w:tcW w:w="2552" w:type="dxa"/>
          </w:tcPr>
          <w:p>
            <w:pPr>
              <w:pStyle w:val="nTable"/>
              <w:spacing w:after="40"/>
              <w:rPr>
                <w:snapToGrid w:val="0"/>
              </w:rPr>
            </w:pPr>
            <w:r>
              <w:rPr>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pPr>
              <w:pStyle w:val="nTable"/>
              <w:spacing w:after="40"/>
            </w:pPr>
            <w:r>
              <w:t>30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s. 4: 27 Jun 2008 (see s. 2(2)(a));</w:t>
            </w:r>
            <w:r>
              <w:rPr>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5</w:t>
            </w:r>
          </w:p>
        </w:tc>
        <w:tc>
          <w:tcPr>
            <w:tcW w:w="1134" w:type="dxa"/>
          </w:tcPr>
          <w:p>
            <w:pPr>
              <w:pStyle w:val="nTable"/>
              <w:spacing w:after="40"/>
            </w:pPr>
            <w:r>
              <w:t>9 of 2010</w:t>
            </w:r>
          </w:p>
        </w:tc>
        <w:tc>
          <w:tcPr>
            <w:tcW w:w="1134" w:type="dxa"/>
          </w:tcPr>
          <w:p>
            <w:pPr>
              <w:pStyle w:val="nTable"/>
              <w:spacing w:after="40"/>
            </w:pPr>
            <w:r>
              <w:t>10 Jun 2010</w:t>
            </w:r>
          </w:p>
        </w:tc>
        <w:tc>
          <w:tcPr>
            <w:tcW w:w="2552" w:type="dxa"/>
          </w:tcPr>
          <w:p>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pPr>
              <w:pStyle w:val="nTable"/>
              <w:spacing w:after="40"/>
            </w:pPr>
            <w: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Duties Amendment Act 2011</w:t>
            </w:r>
          </w:p>
        </w:tc>
        <w:tc>
          <w:tcPr>
            <w:tcW w:w="1134" w:type="dxa"/>
          </w:tcPr>
          <w:p>
            <w:pPr>
              <w:pStyle w:val="nTable"/>
              <w:spacing w:after="40"/>
            </w:pPr>
            <w:r>
              <w:t>27 of 2011</w:t>
            </w:r>
          </w:p>
        </w:tc>
        <w:tc>
          <w:tcPr>
            <w:tcW w:w="1134" w:type="dxa"/>
          </w:tcPr>
          <w:p>
            <w:pPr>
              <w:pStyle w:val="nTable"/>
              <w:spacing w:after="40"/>
            </w:pPr>
            <w:r>
              <w:t>11 Jul 2011</w:t>
            </w:r>
          </w:p>
        </w:tc>
        <w:tc>
          <w:tcPr>
            <w:tcW w:w="2552" w:type="dxa"/>
          </w:tcPr>
          <w:p>
            <w:pPr>
              <w:pStyle w:val="nTable"/>
              <w:spacing w:after="40"/>
              <w:rPr>
                <w:snapToGrid w:val="0"/>
              </w:rPr>
            </w:pPr>
            <w:r>
              <w:rPr>
                <w:snapToGrid w:val="0"/>
              </w:rPr>
              <w:t>s. 1 and 2: 11 Jul 2011 (see s. 2(a));</w:t>
            </w:r>
            <w:r>
              <w:rPr>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spacing w:after="40"/>
              <w:rPr>
                <w:snapToGrid w:val="0"/>
              </w:rPr>
            </w:pPr>
            <w:r>
              <w:rPr>
                <w:b/>
                <w:snapToGrid w:val="0"/>
              </w:rPr>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Duties Amendment Act (No. 2) 2011</w:t>
            </w:r>
          </w:p>
        </w:tc>
        <w:tc>
          <w:tcPr>
            <w:tcW w:w="1134" w:type="dxa"/>
          </w:tcPr>
          <w:p>
            <w:pPr>
              <w:pStyle w:val="nTable"/>
              <w:spacing w:after="40"/>
            </w:pPr>
            <w:r>
              <w:t>33 of 2011</w:t>
            </w:r>
          </w:p>
        </w:tc>
        <w:tc>
          <w:tcPr>
            <w:tcW w:w="1134" w:type="dxa"/>
          </w:tcPr>
          <w:p>
            <w:pPr>
              <w:pStyle w:val="nTable"/>
              <w:spacing w:after="40"/>
            </w:pPr>
            <w:r>
              <w:t>12 Sep 2011</w:t>
            </w:r>
          </w:p>
        </w:tc>
        <w:tc>
          <w:tcPr>
            <w:tcW w:w="2552" w:type="dxa"/>
          </w:tcPr>
          <w:p>
            <w:pPr>
              <w:pStyle w:val="nTable"/>
              <w:spacing w:after="40"/>
            </w:pPr>
            <w:r>
              <w:rPr>
                <w:snapToGrid w:val="0"/>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pPr>
              <w:pStyle w:val="nTable"/>
              <w:spacing w:after="40"/>
            </w:pPr>
            <w:r>
              <w:t>48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18</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Revenue Laws Amendment Act 2012</w:t>
            </w:r>
            <w:r>
              <w:t xml:space="preserve"> Pt. 2</w:t>
            </w:r>
          </w:p>
        </w:tc>
        <w:tc>
          <w:tcPr>
            <w:tcW w:w="1134" w:type="dxa"/>
          </w:tcPr>
          <w:p>
            <w:pPr>
              <w:pStyle w:val="nTable"/>
              <w:spacing w:after="40"/>
            </w:pPr>
            <w:r>
              <w:t>29 of 2012</w:t>
            </w:r>
          </w:p>
        </w:tc>
        <w:tc>
          <w:tcPr>
            <w:tcW w:w="1134" w:type="dxa"/>
          </w:tcPr>
          <w:p>
            <w:pPr>
              <w:pStyle w:val="nTable"/>
              <w:spacing w:after="40"/>
            </w:pPr>
            <w:r>
              <w:t>3 Sep 2012</w:t>
            </w:r>
          </w:p>
        </w:tc>
        <w:tc>
          <w:tcPr>
            <w:tcW w:w="2552" w:type="dxa"/>
          </w:tcPr>
          <w:p>
            <w:pPr>
              <w:pStyle w:val="nTable"/>
              <w:spacing w:after="40"/>
            </w:pPr>
            <w:r>
              <w:t>Heading to Pt. 2, Pt. 2 Div. 1 and 2: 1 Dec 2011 (see s. 2(b));</w:t>
            </w:r>
            <w: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Revenue Laws Amendment Act (No. 2) 2012</w:t>
            </w:r>
            <w:r>
              <w:rPr>
                <w:noProof/>
                <w:snapToGrid w:val="0"/>
              </w:rPr>
              <w:t> Pt. 2</w:t>
            </w:r>
          </w:p>
        </w:tc>
        <w:tc>
          <w:tcPr>
            <w:tcW w:w="1134" w:type="dxa"/>
          </w:tcPr>
          <w:p>
            <w:pPr>
              <w:pStyle w:val="nTable"/>
              <w:spacing w:after="40"/>
            </w:pPr>
            <w: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Duties Legislation Amendment Act 2013</w:t>
            </w:r>
            <w:r>
              <w:t xml:space="preserve"> Pt. 2 Div. 2</w:t>
            </w:r>
            <w:r>
              <w:rPr>
                <w:snapToGrid w:val="0"/>
                <w:vertAlign w:val="superscript"/>
              </w:rPr>
              <w:t> 6</w:t>
            </w:r>
          </w:p>
        </w:tc>
        <w:tc>
          <w:tcPr>
            <w:tcW w:w="1134" w:type="dxa"/>
          </w:tcPr>
          <w:p>
            <w:pPr>
              <w:pStyle w:val="nTable"/>
              <w:spacing w:after="40"/>
            </w:pPr>
            <w:r>
              <w:t>5 of 2013</w:t>
            </w:r>
          </w:p>
        </w:tc>
        <w:tc>
          <w:tcPr>
            <w:tcW w:w="1134" w:type="dxa"/>
          </w:tcPr>
          <w:p>
            <w:pPr>
              <w:pStyle w:val="nTable"/>
              <w:spacing w:after="40"/>
            </w:pPr>
            <w:r>
              <w:t>29 Jun 2013</w:t>
            </w:r>
          </w:p>
        </w:tc>
        <w:tc>
          <w:tcPr>
            <w:tcW w:w="2552" w:type="dxa"/>
          </w:tcPr>
          <w:p>
            <w:pPr>
              <w:pStyle w:val="nTable"/>
              <w:spacing w:after="40"/>
            </w:pPr>
            <w:r>
              <w:rPr>
                <w:snapToGrid w:val="0"/>
              </w:rPr>
              <w:t>29 Jun 2013 (see s. 2(1)(b))</w:t>
            </w:r>
          </w:p>
        </w:tc>
      </w:tr>
      <w:tr>
        <w:trPr>
          <w:cantSplit/>
        </w:trPr>
        <w:tc>
          <w:tcPr>
            <w:tcW w:w="7088" w:type="dxa"/>
            <w:gridSpan w:val="4"/>
            <w:tcBorders>
              <w:top w:val="nil"/>
              <w:bottom w:val="nil"/>
            </w:tcBorders>
          </w:tcPr>
          <w:p>
            <w:pPr>
              <w:pStyle w:val="nTable"/>
              <w:spacing w:after="40"/>
              <w:rPr>
                <w:b/>
              </w:rPr>
            </w:pPr>
            <w:r>
              <w:rPr>
                <w:b/>
              </w:rPr>
              <w:t xml:space="preserve">Reprint 2: The </w:t>
            </w:r>
            <w:r>
              <w:rPr>
                <w:b/>
                <w:i/>
              </w:rPr>
              <w:t xml:space="preserve">Duties Act 2008 </w:t>
            </w:r>
            <w:r>
              <w:rPr>
                <w:b/>
              </w:rPr>
              <w:t xml:space="preserve">as at 9 Aug 2013 </w:t>
            </w:r>
            <w:r>
              <w:t xml:space="preserve">(includes amendments listed above except those in the </w:t>
            </w:r>
            <w:r>
              <w:rPr>
                <w:i/>
                <w:snapToGrid w:val="0"/>
              </w:rPr>
              <w:t>Road Traffic Legislation Amendment Act 2012</w:t>
            </w:r>
            <w:r>
              <w:t>)</w:t>
            </w:r>
          </w:p>
        </w:tc>
      </w:tr>
      <w:tr>
        <w:trPr>
          <w:cantSplit/>
        </w:trPr>
        <w:tc>
          <w:tcPr>
            <w:tcW w:w="2268" w:type="dxa"/>
            <w:tcBorders>
              <w:top w:val="nil"/>
              <w:bottom w:val="nil"/>
            </w:tcBorders>
          </w:tcPr>
          <w:p>
            <w:pPr>
              <w:pStyle w:val="nTable"/>
              <w:spacing w:after="40"/>
            </w:pPr>
            <w:r>
              <w:rPr>
                <w:i/>
              </w:rPr>
              <w:t>Revenue Laws Amendment Act 2013</w:t>
            </w:r>
            <w:r>
              <w:t xml:space="preserve"> Pt. 2 Div. 1</w:t>
            </w:r>
          </w:p>
        </w:tc>
        <w:tc>
          <w:tcPr>
            <w:tcW w:w="1134" w:type="dxa"/>
            <w:tcBorders>
              <w:top w:val="nil"/>
              <w:bottom w:val="nil"/>
            </w:tcBorders>
          </w:tcPr>
          <w:p>
            <w:pPr>
              <w:pStyle w:val="nTable"/>
              <w:spacing w:after="40"/>
            </w:pPr>
            <w:r>
              <w:t>10 of 2013</w:t>
            </w:r>
          </w:p>
        </w:tc>
        <w:tc>
          <w:tcPr>
            <w:tcW w:w="1134" w:type="dxa"/>
            <w:tcBorders>
              <w:top w:val="nil"/>
              <w:bottom w:val="nil"/>
            </w:tcBorders>
          </w:tcPr>
          <w:p>
            <w:pPr>
              <w:pStyle w:val="nTable"/>
              <w:spacing w:after="40"/>
            </w:pPr>
            <w:r>
              <w:t>24 Sep 2013</w:t>
            </w:r>
          </w:p>
        </w:tc>
        <w:tc>
          <w:tcPr>
            <w:tcW w:w="2552" w:type="dxa"/>
            <w:tcBorders>
              <w:top w:val="nil"/>
              <w:bottom w:val="nil"/>
            </w:tcBorders>
          </w:tcPr>
          <w:p>
            <w:pPr>
              <w:pStyle w:val="nTable"/>
              <w:spacing w:after="40"/>
            </w:pPr>
            <w:r>
              <w:rPr>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pPr>
              <w:pStyle w:val="nTable"/>
              <w:spacing w:after="40"/>
            </w:pPr>
            <w: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68" w:type="dxa"/>
            <w:tcBorders>
              <w:top w:val="nil"/>
              <w:bottom w:val="nil"/>
              <w:right w:val="nil"/>
            </w:tcBorders>
            <w:shd w:val="clear" w:color="auto" w:fill="auto"/>
          </w:tcPr>
          <w:p>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pPr>
              <w:pStyle w:val="nTable"/>
              <w:spacing w:after="40"/>
            </w:pPr>
            <w:r>
              <w:t>15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rPr>
                <w:snapToGrid w:val="0"/>
              </w:rPr>
            </w:pPr>
            <w:r>
              <w:rPr>
                <w:snapToGrid w:val="0"/>
              </w:rPr>
              <w:t>3 Jul 2014 (see s. 2(c)(i))</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2015</w:t>
            </w:r>
            <w:r>
              <w:t xml:space="preserve"> Pt. 2 Div. 2 and Pt. 4</w:t>
            </w:r>
          </w:p>
        </w:tc>
        <w:tc>
          <w:tcPr>
            <w:tcW w:w="1134" w:type="dxa"/>
            <w:tcBorders>
              <w:top w:val="nil"/>
              <w:left w:val="nil"/>
              <w:bottom w:val="nil"/>
              <w:right w:val="nil"/>
            </w:tcBorders>
            <w:shd w:val="clear" w:color="auto" w:fill="auto"/>
          </w:tcPr>
          <w:p>
            <w:pPr>
              <w:pStyle w:val="nTable"/>
              <w:spacing w:after="40"/>
            </w:pPr>
            <w:r>
              <w:t>1 of 2015</w:t>
            </w:r>
          </w:p>
        </w:tc>
        <w:tc>
          <w:tcPr>
            <w:tcW w:w="1134" w:type="dxa"/>
            <w:tcBorders>
              <w:top w:val="nil"/>
              <w:left w:val="nil"/>
              <w:bottom w:val="nil"/>
              <w:right w:val="nil"/>
            </w:tcBorders>
            <w:shd w:val="clear" w:color="auto" w:fill="auto"/>
          </w:tcPr>
          <w:p>
            <w:pPr>
              <w:pStyle w:val="nTable"/>
              <w:spacing w:after="40"/>
            </w:pPr>
            <w:r>
              <w:t>25 Feb 2015</w:t>
            </w:r>
          </w:p>
        </w:tc>
        <w:tc>
          <w:tcPr>
            <w:tcW w:w="2552" w:type="dxa"/>
            <w:tcBorders>
              <w:top w:val="nil"/>
              <w:left w:val="nil"/>
              <w:bottom w:val="nil"/>
            </w:tcBorders>
            <w:shd w:val="clear" w:color="auto" w:fill="auto"/>
          </w:tcPr>
          <w:p>
            <w:pPr>
              <w:pStyle w:val="nTable"/>
              <w:spacing w:after="40"/>
              <w:rPr>
                <w:snapToGrid w:val="0"/>
              </w:rPr>
            </w:pPr>
            <w:r>
              <w:rPr>
                <w:snapToGrid w:val="0"/>
              </w:rPr>
              <w:t>26 Feb 2015 (see s. 2(d))</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(No. 2) 2015</w:t>
            </w:r>
            <w:r>
              <w:t xml:space="preserve"> Pt. 2</w:t>
            </w:r>
          </w:p>
        </w:tc>
        <w:tc>
          <w:tcPr>
            <w:tcW w:w="1134" w:type="dxa"/>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552"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68" w:type="dxa"/>
            <w:tcBorders>
              <w:top w:val="nil"/>
              <w:bottom w:val="nil"/>
              <w:right w:val="nil"/>
            </w:tcBorders>
            <w:shd w:val="clear" w:color="auto" w:fill="auto"/>
          </w:tcPr>
          <w:p>
            <w:pPr>
              <w:pStyle w:val="nTable"/>
              <w:spacing w:after="40"/>
            </w:pPr>
            <w:r>
              <w:rPr>
                <w:i/>
              </w:rPr>
              <w:t xml:space="preserve">Taxation Legislation Amendment Act (No. 3) 2015 </w:t>
            </w:r>
            <w:r>
              <w:t>Pt. 2</w:t>
            </w:r>
          </w:p>
        </w:tc>
        <w:tc>
          <w:tcPr>
            <w:tcW w:w="1134" w:type="dxa"/>
            <w:tcBorders>
              <w:top w:val="nil"/>
              <w:left w:val="nil"/>
              <w:bottom w:val="nil"/>
              <w:right w:val="nil"/>
            </w:tcBorders>
            <w:shd w:val="clear" w:color="auto" w:fill="auto"/>
          </w:tcPr>
          <w:p>
            <w:pPr>
              <w:pStyle w:val="nTable"/>
              <w:spacing w:after="40"/>
            </w:pPr>
            <w:r>
              <w:t>15 of 2015</w:t>
            </w:r>
          </w:p>
        </w:tc>
        <w:tc>
          <w:tcPr>
            <w:tcW w:w="1134" w:type="dxa"/>
            <w:tcBorders>
              <w:top w:val="nil"/>
              <w:left w:val="nil"/>
              <w:bottom w:val="nil"/>
              <w:right w:val="nil"/>
            </w:tcBorders>
            <w:shd w:val="clear" w:color="auto" w:fill="auto"/>
          </w:tcPr>
          <w:p>
            <w:pPr>
              <w:pStyle w:val="nTable"/>
              <w:spacing w:after="40"/>
            </w:pPr>
            <w:r>
              <w:t>26 May 2015</w:t>
            </w:r>
          </w:p>
        </w:tc>
        <w:tc>
          <w:tcPr>
            <w:tcW w:w="2552" w:type="dxa"/>
            <w:tcBorders>
              <w:top w:val="nil"/>
              <w:left w:val="nil"/>
              <w:bottom w:val="nil"/>
            </w:tcBorders>
            <w:shd w:val="clear" w:color="auto" w:fill="auto"/>
          </w:tcPr>
          <w:p>
            <w:pPr>
              <w:pStyle w:val="nTable"/>
              <w:spacing w:after="40"/>
              <w:rPr>
                <w:snapToGrid w:val="0"/>
              </w:rPr>
            </w:pPr>
            <w:r>
              <w:rPr>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i/>
              </w:rPr>
            </w:pPr>
            <w:r>
              <w:rPr>
                <w:i/>
              </w:rPr>
              <w:t>Revenue Laws Amendment Act 2015</w:t>
            </w:r>
            <w:r>
              <w:t xml:space="preserve"> Pt. 2 Div. 2</w:t>
            </w:r>
          </w:p>
        </w:tc>
        <w:tc>
          <w:tcPr>
            <w:tcW w:w="1134" w:type="dxa"/>
            <w:tcBorders>
              <w:top w:val="nil"/>
              <w:left w:val="nil"/>
              <w:bottom w:val="nil"/>
              <w:right w:val="nil"/>
            </w:tcBorders>
            <w:shd w:val="clear" w:color="auto" w:fill="auto"/>
          </w:tcPr>
          <w:p>
            <w:pPr>
              <w:pStyle w:val="nTable"/>
              <w:spacing w:after="40"/>
            </w:pPr>
            <w:r>
              <w:t>27 of 2015</w:t>
            </w:r>
          </w:p>
        </w:tc>
        <w:tc>
          <w:tcPr>
            <w:tcW w:w="1134" w:type="dxa"/>
            <w:tcBorders>
              <w:top w:val="nil"/>
              <w:left w:val="nil"/>
              <w:bottom w:val="nil"/>
              <w:right w:val="nil"/>
            </w:tcBorders>
            <w:shd w:val="clear" w:color="auto" w:fill="auto"/>
          </w:tcPr>
          <w:p>
            <w:pPr>
              <w:pStyle w:val="nTable"/>
              <w:spacing w:after="40"/>
            </w:pPr>
            <w:r>
              <w:t>2 Oct 2015</w:t>
            </w:r>
          </w:p>
        </w:tc>
        <w:tc>
          <w:tcPr>
            <w:tcW w:w="2552" w:type="dxa"/>
            <w:tcBorders>
              <w:top w:val="nil"/>
              <w:left w:val="nil"/>
              <w:bottom w:val="nil"/>
            </w:tcBorders>
            <w:shd w:val="clear" w:color="auto" w:fill="auto"/>
          </w:tcPr>
          <w:p>
            <w:pPr>
              <w:pStyle w:val="nTable"/>
              <w:spacing w:after="40"/>
              <w:rPr>
                <w:snapToGrid w:val="0"/>
              </w:rPr>
            </w:pPr>
            <w:r>
              <w:rPr>
                <w:snapToGrid w:val="0"/>
              </w:rPr>
              <w:t>3 Oct 2015 (see s. 2(b))</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Duties Act 2008</w:t>
            </w:r>
            <w:r>
              <w:rPr>
                <w:b/>
                <w:snapToGrid w:val="0"/>
              </w:rPr>
              <w:t xml:space="preserve"> as at 13 Nov 2015</w:t>
            </w:r>
            <w:r>
              <w:rPr>
                <w:snapToGrid w:val="0"/>
              </w:rPr>
              <w:t xml:space="preserve"> (includes amendments listed above)</w:t>
            </w:r>
          </w:p>
        </w:tc>
      </w:tr>
      <w:tr>
        <w:trPr>
          <w:cantSplit/>
        </w:trPr>
        <w:tc>
          <w:tcPr>
            <w:tcW w:w="2268" w:type="dxa"/>
            <w:tcBorders>
              <w:top w:val="nil"/>
              <w:bottom w:val="nil"/>
              <w:right w:val="nil"/>
            </w:tcBorders>
            <w:shd w:val="clear" w:color="auto" w:fill="auto"/>
          </w:tcPr>
          <w:p>
            <w:pPr>
              <w:pStyle w:val="nTable"/>
              <w:spacing w:after="40"/>
              <w:rPr>
                <w:i/>
              </w:rPr>
            </w:pPr>
            <w:r>
              <w:rPr>
                <w:i/>
                <w:snapToGrid w:val="0"/>
              </w:rPr>
              <w:t>Local Government Legislation Amendment Act 2016</w:t>
            </w:r>
            <w:r>
              <w:rPr>
                <w:snapToGrid w:val="0"/>
              </w:rPr>
              <w:t xml:space="preserve"> Pt. 3 Div. 12</w:t>
            </w:r>
          </w:p>
        </w:tc>
        <w:tc>
          <w:tcPr>
            <w:tcW w:w="1134" w:type="dxa"/>
            <w:tcBorders>
              <w:top w:val="nil"/>
              <w:left w:val="nil"/>
              <w:bottom w:val="nil"/>
              <w:right w:val="nil"/>
            </w:tcBorders>
            <w:shd w:val="clear" w:color="auto" w:fill="auto"/>
          </w:tcPr>
          <w:p>
            <w:pPr>
              <w:pStyle w:val="nTable"/>
              <w:spacing w:after="40"/>
            </w:pPr>
            <w:r>
              <w:t>26 of 2016</w:t>
            </w:r>
          </w:p>
        </w:tc>
        <w:tc>
          <w:tcPr>
            <w:tcW w:w="1134"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right w:val="nil"/>
            </w:tcBorders>
          </w:tcPr>
          <w:p>
            <w:pPr>
              <w:pStyle w:val="nTable"/>
              <w:spacing w:after="40"/>
              <w:rPr>
                <w:snapToGrid w:val="0"/>
                <w:vertAlign w:val="superscript"/>
              </w:rPr>
            </w:pPr>
            <w:r>
              <w:rPr>
                <w:i/>
              </w:rPr>
              <w:t>Duties Amendment (Additional Duty for Foreign Persons) Act 2018</w:t>
            </w:r>
            <w:r>
              <w:t xml:space="preserve"> </w:t>
            </w:r>
          </w:p>
        </w:tc>
        <w:tc>
          <w:tcPr>
            <w:tcW w:w="1134" w:type="dxa"/>
            <w:tcBorders>
              <w:top w:val="nil"/>
              <w:left w:val="nil"/>
              <w:bottom w:val="nil"/>
              <w:right w:val="nil"/>
            </w:tcBorders>
          </w:tcPr>
          <w:p>
            <w:pPr>
              <w:pStyle w:val="nTable"/>
              <w:spacing w:after="40"/>
            </w:pPr>
            <w:r>
              <w:t>24 of 2018</w:t>
            </w:r>
          </w:p>
        </w:tc>
        <w:tc>
          <w:tcPr>
            <w:tcW w:w="1134" w:type="dxa"/>
            <w:tcBorders>
              <w:top w:val="nil"/>
              <w:left w:val="nil"/>
              <w:bottom w:val="nil"/>
              <w:right w:val="nil"/>
            </w:tcBorders>
          </w:tcPr>
          <w:p>
            <w:pPr>
              <w:pStyle w:val="nTable"/>
              <w:spacing w:after="40"/>
            </w:pPr>
            <w:r>
              <w:t>17 Oct 2018</w:t>
            </w:r>
          </w:p>
        </w:tc>
        <w:tc>
          <w:tcPr>
            <w:tcW w:w="2552" w:type="dxa"/>
            <w:tcBorders>
              <w:top w:val="nil"/>
              <w:left w:val="nil"/>
              <w:bottom w:val="nil"/>
            </w:tcBorders>
          </w:tcPr>
          <w:p>
            <w:pPr>
              <w:pStyle w:val="nTable"/>
              <w:spacing w:after="40"/>
              <w:rPr>
                <w:snapToGrid w:val="0"/>
              </w:rPr>
            </w:pPr>
            <w:r>
              <w:rPr>
                <w:snapToGrid w:val="0"/>
              </w:rPr>
              <w:t>s. 1 and 2: 17 Oct 2018 (see s. 2(a));</w:t>
            </w:r>
            <w:r>
              <w:rPr>
                <w:snapToGrid w:val="0"/>
              </w:rPr>
              <w:br/>
              <w:t>Act other than s. 1 and 2: 1 Jan 2019 (see s. 2(b))</w:t>
            </w:r>
          </w:p>
        </w:tc>
      </w:tr>
      <w:tr>
        <w:tc>
          <w:tcPr>
            <w:tcW w:w="2268" w:type="dxa"/>
            <w:tcBorders>
              <w:top w:val="nil"/>
              <w:bottom w:val="nil"/>
              <w:right w:val="nil"/>
            </w:tcBorders>
          </w:tcPr>
          <w:p>
            <w:pPr>
              <w:pStyle w:val="nTable"/>
              <w:spacing w:after="40"/>
            </w:pPr>
            <w:r>
              <w:rPr>
                <w:i/>
              </w:rPr>
              <w:t>Revenue Law Amendment Act 2019</w:t>
            </w:r>
            <w:r>
              <w:t xml:space="preserve"> Pt. 2</w:t>
            </w:r>
          </w:p>
        </w:tc>
        <w:tc>
          <w:tcPr>
            <w:tcW w:w="1134" w:type="dxa"/>
            <w:tcBorders>
              <w:top w:val="nil"/>
              <w:left w:val="nil"/>
              <w:bottom w:val="nil"/>
              <w:right w:val="nil"/>
            </w:tcBorders>
          </w:tcPr>
          <w:p>
            <w:pPr>
              <w:pStyle w:val="nTable"/>
              <w:spacing w:after="40"/>
            </w:pPr>
            <w:r>
              <w:t>12 of 2019</w:t>
            </w:r>
          </w:p>
        </w:tc>
        <w:tc>
          <w:tcPr>
            <w:tcW w:w="1134" w:type="dxa"/>
            <w:tcBorders>
              <w:top w:val="nil"/>
              <w:left w:val="nil"/>
              <w:bottom w:val="nil"/>
              <w:right w:val="nil"/>
            </w:tcBorders>
          </w:tcPr>
          <w:p>
            <w:pPr>
              <w:pStyle w:val="nTable"/>
              <w:spacing w:after="40"/>
            </w:pPr>
            <w:r>
              <w:t>12 Jun 2019</w:t>
            </w:r>
          </w:p>
        </w:tc>
        <w:tc>
          <w:tcPr>
            <w:tcW w:w="2552" w:type="dxa"/>
            <w:tcBorders>
              <w:top w:val="nil"/>
              <w:left w:val="nil"/>
              <w:bottom w:val="nil"/>
            </w:tcBorders>
          </w:tcPr>
          <w:p>
            <w:pPr>
              <w:pStyle w:val="nTable"/>
              <w:spacing w:after="40"/>
              <w:rPr>
                <w:snapToGrid w:val="0"/>
              </w:rPr>
            </w:pPr>
            <w:r>
              <w:rPr>
                <w:snapToGrid w:val="0"/>
              </w:rPr>
              <w:t>13 Jun 2019 (see s. 2(b)(i))</w:t>
            </w:r>
          </w:p>
        </w:tc>
      </w:tr>
      <w:tr>
        <w:tc>
          <w:tcPr>
            <w:tcW w:w="2268" w:type="dxa"/>
            <w:tcBorders>
              <w:top w:val="nil"/>
              <w:bottom w:val="nil"/>
              <w:right w:val="nil"/>
            </w:tcBorders>
          </w:tcPr>
          <w:p>
            <w:pPr>
              <w:pStyle w:val="nTable"/>
              <w:spacing w:after="40"/>
              <w:rPr>
                <w:i/>
              </w:rPr>
            </w:pPr>
            <w:r>
              <w:rPr>
                <w:i/>
              </w:rPr>
              <w:t>Strata Titles Amendment Act 2018</w:t>
            </w:r>
            <w:r>
              <w:t xml:space="preserve"> Pt. 3 Div. 5</w:t>
            </w:r>
          </w:p>
        </w:tc>
        <w:tc>
          <w:tcPr>
            <w:tcW w:w="1134" w:type="dxa"/>
            <w:tcBorders>
              <w:top w:val="nil"/>
              <w:left w:val="nil"/>
              <w:bottom w:val="nil"/>
              <w:right w:val="nil"/>
            </w:tcBorders>
          </w:tcPr>
          <w:p>
            <w:pPr>
              <w:pStyle w:val="nTable"/>
              <w:spacing w:after="40"/>
            </w:pPr>
            <w:r>
              <w:t>30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rPr>
                <w:snapToGrid w:val="0"/>
              </w:rPr>
              <w:t>1 May 2020 (see s. 2(b) and SL 2020/39 cl. 2)</w:t>
            </w:r>
          </w:p>
        </w:tc>
      </w:tr>
      <w:tr>
        <w:tc>
          <w:tcPr>
            <w:tcW w:w="2268" w:type="dxa"/>
            <w:tcBorders>
              <w:top w:val="nil"/>
              <w:bottom w:val="nil"/>
              <w:right w:val="nil"/>
            </w:tcBorders>
          </w:tcPr>
          <w:p>
            <w:pPr>
              <w:pStyle w:val="nTable"/>
              <w:spacing w:after="40"/>
              <w:rPr>
                <w:i/>
              </w:rPr>
            </w:pPr>
            <w:r>
              <w:rPr>
                <w:i/>
              </w:rPr>
              <w:t>Community Titles Act 2018</w:t>
            </w:r>
            <w:r>
              <w:t xml:space="preserve"> Pt. 14 Div. 6</w:t>
            </w:r>
          </w:p>
        </w:tc>
        <w:tc>
          <w:tcPr>
            <w:tcW w:w="1134" w:type="dxa"/>
            <w:tcBorders>
              <w:top w:val="nil"/>
              <w:left w:val="nil"/>
              <w:bottom w:val="nil"/>
              <w:right w:val="nil"/>
            </w:tcBorders>
          </w:tcPr>
          <w:p>
            <w:pPr>
              <w:pStyle w:val="nTable"/>
              <w:spacing w:after="40"/>
            </w:pPr>
            <w:r>
              <w:t>32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t>30 Jun 2021 (see s. 2(b) and SL 2021/69 cl. 2)</w:t>
            </w:r>
          </w:p>
        </w:tc>
      </w:tr>
      <w:tr>
        <w:tc>
          <w:tcPr>
            <w:tcW w:w="2268" w:type="dxa"/>
            <w:tcBorders>
              <w:top w:val="nil"/>
              <w:bottom w:val="nil"/>
              <w:right w:val="nil"/>
            </w:tcBorders>
          </w:tcPr>
          <w:p>
            <w:pPr>
              <w:pStyle w:val="nTable"/>
              <w:spacing w:after="40"/>
            </w:pPr>
            <w:r>
              <w:rPr>
                <w:i/>
              </w:rPr>
              <w:t>Duties Amendment Act 2022</w:t>
            </w:r>
          </w:p>
        </w:tc>
        <w:tc>
          <w:tcPr>
            <w:tcW w:w="1134" w:type="dxa"/>
            <w:tcBorders>
              <w:top w:val="nil"/>
              <w:left w:val="nil"/>
              <w:bottom w:val="nil"/>
              <w:right w:val="nil"/>
            </w:tcBorders>
          </w:tcPr>
          <w:p>
            <w:pPr>
              <w:pStyle w:val="nTable"/>
              <w:spacing w:after="40"/>
            </w:pPr>
            <w:r>
              <w:t>16 of 2022</w:t>
            </w:r>
          </w:p>
        </w:tc>
        <w:tc>
          <w:tcPr>
            <w:tcW w:w="1134" w:type="dxa"/>
            <w:tcBorders>
              <w:top w:val="nil"/>
              <w:left w:val="nil"/>
              <w:bottom w:val="nil"/>
              <w:right w:val="nil"/>
            </w:tcBorders>
          </w:tcPr>
          <w:p>
            <w:pPr>
              <w:pStyle w:val="nTable"/>
              <w:spacing w:after="40"/>
            </w:pPr>
            <w:r>
              <w:t>27 May 2022</w:t>
            </w:r>
          </w:p>
        </w:tc>
        <w:tc>
          <w:tcPr>
            <w:tcW w:w="2552" w:type="dxa"/>
            <w:tcBorders>
              <w:top w:val="nil"/>
              <w:left w:val="nil"/>
              <w:bottom w:val="nil"/>
            </w:tcBorders>
          </w:tcPr>
          <w:p>
            <w:pPr>
              <w:pStyle w:val="nTable"/>
              <w:spacing w:after="40"/>
            </w:pPr>
            <w:r>
              <w:t>Pt. 4: deemed to have come into operation on 13 Jun 2019 (see s. 2(c));</w:t>
            </w:r>
            <w:r>
              <w:br/>
              <w:t>Pt. 1: 27 May 2022 (see s. 2(a));</w:t>
            </w:r>
            <w:r>
              <w:br/>
              <w:t>Act other than Pt. 1, 3 and 4: 28 May 2022 (see s. 2(d));</w:t>
            </w:r>
            <w:r>
              <w:br/>
              <w:t>Pt. 3: 1 Jul 2022 (see s. 2(b))</w:t>
            </w:r>
          </w:p>
        </w:tc>
      </w:tr>
      <w:tr>
        <w:tc>
          <w:tcPr>
            <w:tcW w:w="2268" w:type="dxa"/>
            <w:tcBorders>
              <w:top w:val="nil"/>
              <w:bottom w:val="nil"/>
              <w:right w:val="nil"/>
            </w:tcBorders>
          </w:tcPr>
          <w:p>
            <w:pPr>
              <w:pStyle w:val="nTable"/>
              <w:spacing w:after="40"/>
              <w:rPr>
                <w:i/>
              </w:rPr>
            </w:pPr>
            <w:r>
              <w:rPr>
                <w:i/>
              </w:rPr>
              <w:t>Family Court Amendment Act 2022</w:t>
            </w:r>
            <w:r>
              <w:t xml:space="preserve"> Pt. 4</w:t>
            </w:r>
          </w:p>
        </w:tc>
        <w:tc>
          <w:tcPr>
            <w:tcW w:w="1134" w:type="dxa"/>
            <w:tcBorders>
              <w:top w:val="nil"/>
              <w:left w:val="nil"/>
              <w:bottom w:val="nil"/>
              <w:right w:val="nil"/>
            </w:tcBorders>
          </w:tcPr>
          <w:p>
            <w:pPr>
              <w:pStyle w:val="nTable"/>
              <w:spacing w:after="40"/>
            </w:pPr>
            <w:r>
              <w:t>28 of 2022</w:t>
            </w:r>
          </w:p>
        </w:tc>
        <w:tc>
          <w:tcPr>
            <w:tcW w:w="1134" w:type="dxa"/>
            <w:tcBorders>
              <w:top w:val="nil"/>
              <w:left w:val="nil"/>
              <w:bottom w:val="nil"/>
              <w:right w:val="nil"/>
            </w:tcBorders>
          </w:tcPr>
          <w:p>
            <w:pPr>
              <w:pStyle w:val="nTable"/>
              <w:spacing w:after="40"/>
            </w:pPr>
            <w:r>
              <w:t>31 Aug 2022</w:t>
            </w:r>
          </w:p>
        </w:tc>
        <w:tc>
          <w:tcPr>
            <w:tcW w:w="2552" w:type="dxa"/>
            <w:tcBorders>
              <w:top w:val="nil"/>
              <w:left w:val="nil"/>
              <w:bottom w:val="nil"/>
            </w:tcBorders>
          </w:tcPr>
          <w:p>
            <w:pPr>
              <w:pStyle w:val="nTable"/>
              <w:spacing w:after="40"/>
            </w:pPr>
            <w:r>
              <w:t>Pt. 4 (other than Div. 3): 1 Sep 2022 (see s. 2(b));</w:t>
            </w:r>
            <w:r>
              <w:br/>
              <w:t>Pt. 4 Div. 3: 28 Sep 2022 (see s. 2(c) and SL 2022/159 cl. 2)</w:t>
            </w:r>
          </w:p>
        </w:tc>
      </w:tr>
      <w:tr>
        <w:tc>
          <w:tcPr>
            <w:tcW w:w="2268" w:type="dxa"/>
            <w:tcBorders>
              <w:top w:val="nil"/>
              <w:bottom w:val="nil"/>
              <w:right w:val="nil"/>
            </w:tcBorders>
          </w:tcPr>
          <w:p>
            <w:pPr>
              <w:pStyle w:val="nTable"/>
              <w:spacing w:after="40"/>
              <w:rPr>
                <w:i/>
              </w:rPr>
            </w:pPr>
            <w:r>
              <w:rPr>
                <w:i/>
              </w:rPr>
              <w:t>Duties Amendment (Farm-in Agreements) Act 2022</w:t>
            </w:r>
          </w:p>
        </w:tc>
        <w:tc>
          <w:tcPr>
            <w:tcW w:w="1134" w:type="dxa"/>
            <w:tcBorders>
              <w:top w:val="nil"/>
              <w:left w:val="nil"/>
              <w:bottom w:val="nil"/>
              <w:right w:val="nil"/>
            </w:tcBorders>
          </w:tcPr>
          <w:p>
            <w:pPr>
              <w:pStyle w:val="nTable"/>
              <w:spacing w:after="40"/>
            </w:pPr>
            <w:r>
              <w:t>37 of 2022</w:t>
            </w:r>
          </w:p>
        </w:tc>
        <w:tc>
          <w:tcPr>
            <w:tcW w:w="1134" w:type="dxa"/>
            <w:tcBorders>
              <w:top w:val="nil"/>
              <w:left w:val="nil"/>
              <w:bottom w:val="nil"/>
              <w:right w:val="nil"/>
            </w:tcBorders>
          </w:tcPr>
          <w:p>
            <w:pPr>
              <w:pStyle w:val="nTable"/>
              <w:spacing w:after="40"/>
            </w:pPr>
            <w:r>
              <w:t>1 Nov 2022</w:t>
            </w:r>
          </w:p>
        </w:tc>
        <w:tc>
          <w:tcPr>
            <w:tcW w:w="2552" w:type="dxa"/>
            <w:tcBorders>
              <w:top w:val="nil"/>
              <w:left w:val="nil"/>
              <w:bottom w:val="nil"/>
            </w:tcBorders>
          </w:tcPr>
          <w:p>
            <w:pPr>
              <w:pStyle w:val="nTable"/>
              <w:spacing w:after="40"/>
            </w:pPr>
            <w:r>
              <w:t>s. 1 and 2: 1 Nov 2022 (see 2(a));</w:t>
            </w:r>
            <w:r>
              <w:br/>
              <w:t>Act other than s. 1 and 2: 2 Nov 2022 (see s. 2(b))</w:t>
            </w:r>
          </w:p>
        </w:tc>
      </w:tr>
      <w:tr>
        <w:tc>
          <w:tcPr>
            <w:tcW w:w="2268" w:type="dxa"/>
            <w:tcBorders>
              <w:top w:val="nil"/>
              <w:bottom w:val="nil"/>
              <w:right w:val="nil"/>
            </w:tcBorders>
          </w:tcPr>
          <w:p>
            <w:pPr>
              <w:pStyle w:val="nTable"/>
              <w:spacing w:after="40"/>
              <w:rPr>
                <w:snapToGrid w:val="0"/>
              </w:rPr>
            </w:pPr>
            <w:r>
              <w:rPr>
                <w:i/>
                <w:snapToGrid w:val="0"/>
              </w:rPr>
              <w:t>Land and Public Works Legislation Amendment Act 2023</w:t>
            </w:r>
            <w:r>
              <w:rPr>
                <w:snapToGrid w:val="0"/>
              </w:rPr>
              <w:t xml:space="preserve"> Pt. 4 Div. 3</w:t>
            </w:r>
          </w:p>
        </w:tc>
        <w:tc>
          <w:tcPr>
            <w:tcW w:w="1134" w:type="dxa"/>
            <w:tcBorders>
              <w:top w:val="nil"/>
              <w:left w:val="nil"/>
              <w:bottom w:val="nil"/>
              <w:right w:val="nil"/>
            </w:tcBorders>
          </w:tcPr>
          <w:p>
            <w:pPr>
              <w:pStyle w:val="nTable"/>
              <w:spacing w:after="40"/>
            </w:pPr>
            <w:r>
              <w:t>4 of 2023</w:t>
            </w:r>
          </w:p>
        </w:tc>
        <w:tc>
          <w:tcPr>
            <w:tcW w:w="1134" w:type="dxa"/>
            <w:tcBorders>
              <w:top w:val="nil"/>
              <w:left w:val="nil"/>
              <w:bottom w:val="nil"/>
              <w:right w:val="nil"/>
            </w:tcBorders>
          </w:tcPr>
          <w:p>
            <w:pPr>
              <w:pStyle w:val="nTable"/>
              <w:spacing w:after="40"/>
            </w:pPr>
            <w:r>
              <w:t>24 Mar 2023</w:t>
            </w:r>
          </w:p>
        </w:tc>
        <w:tc>
          <w:tcPr>
            <w:tcW w:w="2552" w:type="dxa"/>
            <w:tcBorders>
              <w:top w:val="nil"/>
              <w:left w:val="nil"/>
              <w:bottom w:val="nil"/>
            </w:tcBorders>
          </w:tcPr>
          <w:p>
            <w:pPr>
              <w:pStyle w:val="nTable"/>
              <w:spacing w:after="40"/>
              <w:rPr>
                <w:snapToGrid w:val="0"/>
              </w:rPr>
            </w:pPr>
            <w:r>
              <w:rPr>
                <w:snapToGrid w:val="0"/>
              </w:rPr>
              <w:t>10 Aug 2023 (see s. 2(b) and SL 2023/132 cl. 2)</w:t>
            </w:r>
          </w:p>
        </w:tc>
      </w:tr>
      <w:tr>
        <w:tc>
          <w:tcPr>
            <w:tcW w:w="2268" w:type="dxa"/>
            <w:tcBorders>
              <w:top w:val="nil"/>
              <w:bottom w:val="nil"/>
              <w:right w:val="nil"/>
            </w:tcBorders>
          </w:tcPr>
          <w:p>
            <w:pPr>
              <w:pStyle w:val="nTable"/>
              <w:spacing w:after="40"/>
              <w:rPr>
                <w:i/>
                <w:snapToGrid w:val="0"/>
              </w:rPr>
            </w:pPr>
            <w:r>
              <w:rPr>
                <w:i/>
                <w:snapToGrid w:val="0"/>
              </w:rPr>
              <w:t>Duties Amendment (Off</w:t>
            </w:r>
            <w:r>
              <w:rPr>
                <w:i/>
                <w:snapToGrid w:val="0"/>
              </w:rPr>
              <w:noBreakHyphen/>
              <w:t>the</w:t>
            </w:r>
            <w:r>
              <w:rPr>
                <w:i/>
                <w:snapToGrid w:val="0"/>
              </w:rPr>
              <w:noBreakHyphen/>
              <w:t>Plan Concession and Foreign Persons Exemptions) Act 2023</w:t>
            </w:r>
          </w:p>
        </w:tc>
        <w:tc>
          <w:tcPr>
            <w:tcW w:w="1134" w:type="dxa"/>
            <w:tcBorders>
              <w:top w:val="nil"/>
              <w:left w:val="nil"/>
              <w:bottom w:val="nil"/>
              <w:right w:val="nil"/>
            </w:tcBorders>
          </w:tcPr>
          <w:p>
            <w:pPr>
              <w:pStyle w:val="nTable"/>
              <w:spacing w:after="40"/>
            </w:pPr>
            <w:r>
              <w:t>29 of 2023</w:t>
            </w:r>
          </w:p>
        </w:tc>
        <w:tc>
          <w:tcPr>
            <w:tcW w:w="1134" w:type="dxa"/>
            <w:tcBorders>
              <w:top w:val="nil"/>
              <w:left w:val="nil"/>
              <w:bottom w:val="nil"/>
              <w:right w:val="nil"/>
            </w:tcBorders>
          </w:tcPr>
          <w:p>
            <w:pPr>
              <w:pStyle w:val="nTable"/>
              <w:spacing w:after="40"/>
            </w:pPr>
            <w:r>
              <w:t>28 Nov 2023</w:t>
            </w:r>
          </w:p>
        </w:tc>
        <w:tc>
          <w:tcPr>
            <w:tcW w:w="2552" w:type="dxa"/>
            <w:tcBorders>
              <w:top w:val="nil"/>
              <w:left w:val="nil"/>
              <w:bottom w:val="nil"/>
            </w:tcBorders>
          </w:tcPr>
          <w:p>
            <w:pPr>
              <w:pStyle w:val="nTable"/>
              <w:spacing w:after="40"/>
              <w:rPr>
                <w:snapToGrid w:val="0"/>
              </w:rPr>
            </w:pPr>
            <w:r>
              <w:t>s. 1 and 2: 28 Nov 2023 (see 2(a));</w:t>
            </w:r>
            <w:r>
              <w:br/>
              <w:t>Act other than s. 1 and 2: 29 Nov 2023 (see s. 2(b))</w:t>
            </w:r>
          </w:p>
        </w:tc>
      </w:tr>
      <w:tr>
        <w:tc>
          <w:tcPr>
            <w:tcW w:w="2268" w:type="dxa"/>
            <w:tcBorders>
              <w:top w:val="nil"/>
              <w:bottom w:val="nil"/>
              <w:right w:val="nil"/>
            </w:tcBorders>
          </w:tcPr>
          <w:p>
            <w:pPr>
              <w:pStyle w:val="nTable"/>
              <w:spacing w:after="40"/>
              <w:rPr>
                <w:iCs/>
                <w:snapToGrid w:val="0"/>
              </w:rPr>
            </w:pPr>
            <w:r>
              <w:rPr>
                <w:i/>
                <w:snapToGrid w:val="0"/>
              </w:rPr>
              <w:t>Workers Compensation and Injury Management Act 2023</w:t>
            </w:r>
            <w:r>
              <w:rPr>
                <w:iCs/>
                <w:snapToGrid w:val="0"/>
              </w:rPr>
              <w:t xml:space="preserve"> s. 709</w:t>
            </w:r>
          </w:p>
        </w:tc>
        <w:tc>
          <w:tcPr>
            <w:tcW w:w="1134" w:type="dxa"/>
            <w:tcBorders>
              <w:top w:val="nil"/>
              <w:left w:val="nil"/>
              <w:bottom w:val="nil"/>
              <w:right w:val="nil"/>
            </w:tcBorders>
          </w:tcPr>
          <w:p>
            <w:pPr>
              <w:pStyle w:val="nTable"/>
              <w:spacing w:after="40"/>
            </w:pPr>
            <w:r>
              <w:t>21 of 2023</w:t>
            </w:r>
          </w:p>
        </w:tc>
        <w:tc>
          <w:tcPr>
            <w:tcW w:w="1134" w:type="dxa"/>
            <w:tcBorders>
              <w:top w:val="nil"/>
              <w:left w:val="nil"/>
              <w:bottom w:val="nil"/>
              <w:right w:val="nil"/>
            </w:tcBorders>
          </w:tcPr>
          <w:p>
            <w:pPr>
              <w:pStyle w:val="nTable"/>
              <w:spacing w:after="40"/>
              <w:rPr>
                <w:highlight w:val="yellow"/>
              </w:rPr>
            </w:pPr>
            <w:r>
              <w:t>24 Oct 2023</w:t>
            </w:r>
          </w:p>
        </w:tc>
        <w:tc>
          <w:tcPr>
            <w:tcW w:w="2552" w:type="dxa"/>
            <w:tcBorders>
              <w:top w:val="nil"/>
              <w:left w:val="nil"/>
              <w:bottom w:val="nil"/>
            </w:tcBorders>
          </w:tcPr>
          <w:p>
            <w:pPr>
              <w:pStyle w:val="nTable"/>
              <w:spacing w:after="40"/>
              <w:rPr>
                <w:snapToGrid w:val="0"/>
              </w:rPr>
            </w:pPr>
            <w:r>
              <w:rPr>
                <w:noProof/>
              </w:rPr>
              <w:t>1 Jul 2024</w:t>
            </w:r>
            <w:r>
              <w:rPr>
                <w:snapToGrid w:val="0"/>
              </w:rPr>
              <w:t xml:space="preserve"> (see s. 2(d)</w:t>
            </w:r>
            <w:r>
              <w:rPr>
                <w:noProof/>
              </w:rPr>
              <w:t xml:space="preserve"> and SL 2024/34 cl. 2</w:t>
            </w:r>
            <w:r>
              <w:rPr>
                <w:snapToGrid w:val="0"/>
              </w:rPr>
              <w:t>)</w:t>
            </w:r>
          </w:p>
        </w:tc>
      </w:tr>
      <w:tr>
        <w:tc>
          <w:tcPr>
            <w:tcW w:w="2268" w:type="dxa"/>
            <w:tcBorders>
              <w:top w:val="nil"/>
              <w:bottom w:val="nil"/>
              <w:right w:val="nil"/>
            </w:tcBorders>
          </w:tcPr>
          <w:p>
            <w:pPr>
              <w:pStyle w:val="nTable"/>
              <w:spacing w:after="40"/>
              <w:rPr>
                <w:i/>
                <w:snapToGrid w:val="0"/>
              </w:rPr>
            </w:pPr>
            <w:r>
              <w:rPr>
                <w:i/>
                <w:snapToGrid w:val="0"/>
              </w:rPr>
              <w:t xml:space="preserve">Duties Amendment (First Home Owner Concessions) Act 2024 </w:t>
            </w:r>
          </w:p>
        </w:tc>
        <w:tc>
          <w:tcPr>
            <w:tcW w:w="1134" w:type="dxa"/>
            <w:tcBorders>
              <w:top w:val="nil"/>
              <w:left w:val="nil"/>
              <w:bottom w:val="nil"/>
              <w:right w:val="nil"/>
            </w:tcBorders>
          </w:tcPr>
          <w:p>
            <w:pPr>
              <w:pStyle w:val="nTable"/>
              <w:spacing w:after="40"/>
            </w:pPr>
            <w:r>
              <w:t>27 of 2024</w:t>
            </w:r>
          </w:p>
        </w:tc>
        <w:tc>
          <w:tcPr>
            <w:tcW w:w="1134" w:type="dxa"/>
            <w:tcBorders>
              <w:top w:val="nil"/>
              <w:left w:val="nil"/>
              <w:bottom w:val="nil"/>
              <w:right w:val="nil"/>
            </w:tcBorders>
          </w:tcPr>
          <w:p>
            <w:pPr>
              <w:pStyle w:val="nTable"/>
              <w:spacing w:after="40"/>
            </w:pPr>
            <w:r>
              <w:t>30 Aug 2024</w:t>
            </w:r>
          </w:p>
        </w:tc>
        <w:tc>
          <w:tcPr>
            <w:tcW w:w="2552" w:type="dxa"/>
            <w:tcBorders>
              <w:top w:val="nil"/>
              <w:left w:val="nil"/>
              <w:bottom w:val="nil"/>
            </w:tcBorders>
          </w:tcPr>
          <w:p>
            <w:pPr>
              <w:pStyle w:val="nTable"/>
              <w:spacing w:after="40"/>
              <w:rPr>
                <w:noProof/>
              </w:rPr>
            </w:pPr>
            <w:r>
              <w:rPr>
                <w:noProof/>
              </w:rPr>
              <w:t>s. 1 and 2: 30 Aug 2024 (see s. 2(a));</w:t>
            </w:r>
            <w:r>
              <w:rPr>
                <w:noProof/>
              </w:rPr>
              <w:br/>
            </w:r>
            <w:r>
              <w:t>Act other than s. 1 and 2: 31 Aug 2024 (see s. 2(b))</w:t>
            </w:r>
          </w:p>
        </w:tc>
      </w:tr>
      <w:tr>
        <w:trPr>
          <w:ins w:id="2398" w:author="Master Repository Process" w:date="2025-06-19T17:03:00Z"/>
        </w:trPr>
        <w:tc>
          <w:tcPr>
            <w:tcW w:w="2268" w:type="dxa"/>
            <w:tcBorders>
              <w:top w:val="nil"/>
              <w:bottom w:val="single" w:sz="4" w:space="0" w:color="auto"/>
              <w:right w:val="nil"/>
            </w:tcBorders>
          </w:tcPr>
          <w:p>
            <w:pPr>
              <w:pStyle w:val="nTable"/>
              <w:spacing w:after="40"/>
              <w:rPr>
                <w:ins w:id="2399" w:author="Master Repository Process" w:date="2025-06-19T17:03:00Z"/>
                <w:i/>
                <w:snapToGrid w:val="0"/>
              </w:rPr>
            </w:pPr>
            <w:ins w:id="2400" w:author="Master Repository Process" w:date="2025-06-19T17:03:00Z">
              <w:r>
                <w:rPr>
                  <w:i/>
                  <w:snapToGrid w:val="0"/>
                </w:rPr>
                <w:t>Duties Amendment Act 2025</w:t>
              </w:r>
            </w:ins>
          </w:p>
        </w:tc>
        <w:tc>
          <w:tcPr>
            <w:tcW w:w="1134" w:type="dxa"/>
            <w:tcBorders>
              <w:top w:val="nil"/>
              <w:left w:val="nil"/>
              <w:bottom w:val="single" w:sz="4" w:space="0" w:color="auto"/>
              <w:right w:val="nil"/>
            </w:tcBorders>
          </w:tcPr>
          <w:p>
            <w:pPr>
              <w:pStyle w:val="nTable"/>
              <w:spacing w:after="40"/>
              <w:rPr>
                <w:ins w:id="2401" w:author="Master Repository Process" w:date="2025-06-19T17:03:00Z"/>
              </w:rPr>
            </w:pPr>
            <w:ins w:id="2402" w:author="Master Repository Process" w:date="2025-06-19T17:03:00Z">
              <w:r>
                <w:t>5 of 2025</w:t>
              </w:r>
            </w:ins>
          </w:p>
        </w:tc>
        <w:tc>
          <w:tcPr>
            <w:tcW w:w="1134" w:type="dxa"/>
            <w:tcBorders>
              <w:top w:val="nil"/>
              <w:left w:val="nil"/>
              <w:bottom w:val="single" w:sz="4" w:space="0" w:color="auto"/>
              <w:right w:val="nil"/>
            </w:tcBorders>
          </w:tcPr>
          <w:p>
            <w:pPr>
              <w:pStyle w:val="nTable"/>
              <w:spacing w:after="40"/>
              <w:rPr>
                <w:ins w:id="2403" w:author="Master Repository Process" w:date="2025-06-19T17:03:00Z"/>
              </w:rPr>
            </w:pPr>
            <w:ins w:id="2404" w:author="Master Repository Process" w:date="2025-06-19T17:03:00Z">
              <w:r>
                <w:t>19 Jun 2025</w:t>
              </w:r>
            </w:ins>
          </w:p>
        </w:tc>
        <w:tc>
          <w:tcPr>
            <w:tcW w:w="2552" w:type="dxa"/>
            <w:tcBorders>
              <w:top w:val="nil"/>
              <w:left w:val="nil"/>
              <w:bottom w:val="single" w:sz="4" w:space="0" w:color="auto"/>
            </w:tcBorders>
          </w:tcPr>
          <w:p>
            <w:pPr>
              <w:pStyle w:val="nTable"/>
              <w:spacing w:after="40"/>
              <w:rPr>
                <w:ins w:id="2405" w:author="Master Repository Process" w:date="2025-06-19T17:03:00Z"/>
                <w:noProof/>
              </w:rPr>
            </w:pPr>
            <w:ins w:id="2406" w:author="Master Repository Process" w:date="2025-06-19T17:03:00Z">
              <w:r>
                <w:rPr>
                  <w:noProof/>
                </w:rPr>
                <w:t>s. 1 and 2: 19 Jun 2025 (see s. 2(a));</w:t>
              </w:r>
              <w:r>
                <w:rPr>
                  <w:noProof/>
                </w:rPr>
                <w:br/>
                <w:t>Act other than s. 1 and 2: 20 Jun 2025 (see s. 2(b))</w:t>
              </w:r>
            </w:ins>
          </w:p>
        </w:tc>
      </w:tr>
    </w:tbl>
    <w:p>
      <w:pPr>
        <w:pStyle w:val="nHeading3"/>
      </w:pPr>
      <w:bookmarkStart w:id="2407" w:name="_Toc201229506"/>
      <w:bookmarkStart w:id="2408" w:name="_Toc182410567"/>
      <w:r>
        <w:t>Uncommenced provisions table</w:t>
      </w:r>
      <w:bookmarkEnd w:id="2407"/>
      <w:bookmarkEnd w:id="240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right w:val="nil"/>
            </w:tcBorders>
          </w:tcPr>
          <w:p>
            <w:pPr>
              <w:pStyle w:val="nTable"/>
              <w:spacing w:after="40"/>
              <w:rPr>
                <w:i/>
                <w:snapToGrid w:val="0"/>
              </w:rPr>
            </w:pPr>
            <w:r>
              <w:rPr>
                <w:i/>
                <w:snapToGrid w:val="0"/>
              </w:rPr>
              <w:t>Aquatic Resources Management Act 2016</w:t>
            </w:r>
            <w:r>
              <w:rPr>
                <w:snapToGrid w:val="0"/>
              </w:rPr>
              <w:t xml:space="preserve"> s. 377</w:t>
            </w:r>
          </w:p>
        </w:tc>
        <w:tc>
          <w:tcPr>
            <w:tcW w:w="1134" w:type="dxa"/>
            <w:tcBorders>
              <w:top w:val="single" w:sz="8" w:space="0" w:color="auto"/>
              <w:left w:val="nil"/>
              <w:bottom w:val="nil"/>
              <w:right w:val="nil"/>
            </w:tcBorders>
          </w:tcPr>
          <w:p>
            <w:pPr>
              <w:pStyle w:val="nTable"/>
              <w:spacing w:after="40"/>
            </w:pPr>
            <w:r>
              <w:t>53 of 2016</w:t>
            </w:r>
          </w:p>
        </w:tc>
        <w:tc>
          <w:tcPr>
            <w:tcW w:w="1134" w:type="dxa"/>
            <w:tcBorders>
              <w:top w:val="single" w:sz="8" w:space="0" w:color="auto"/>
              <w:left w:val="nil"/>
              <w:bottom w:val="nil"/>
              <w:right w:val="nil"/>
            </w:tcBorders>
          </w:tcPr>
          <w:p>
            <w:pPr>
              <w:pStyle w:val="nTable"/>
              <w:spacing w:after="40"/>
            </w:pPr>
            <w:r>
              <w:t>29 Nov 2016</w:t>
            </w:r>
          </w:p>
        </w:tc>
        <w:tc>
          <w:tcPr>
            <w:tcW w:w="2552" w:type="dxa"/>
            <w:tcBorders>
              <w:top w:val="single" w:sz="8" w:space="0" w:color="auto"/>
              <w:left w:val="nil"/>
              <w:bottom w:val="nil"/>
            </w:tcBorders>
          </w:tcPr>
          <w:p>
            <w:pPr>
              <w:pStyle w:val="nTable"/>
              <w:spacing w:after="40"/>
              <w:rPr>
                <w:snapToGrid w:val="0"/>
              </w:rPr>
            </w:pPr>
            <w:r>
              <w:rPr>
                <w:snapToGrid w:val="0"/>
              </w:rPr>
              <w:t>To be proclaimed (see s. 2(b))</w:t>
            </w:r>
          </w:p>
        </w:tc>
      </w:tr>
      <w:tr>
        <w:tc>
          <w:tcPr>
            <w:tcW w:w="2268" w:type="dxa"/>
            <w:tcBorders>
              <w:top w:val="nil"/>
              <w:bottom w:val="single" w:sz="4" w:space="0" w:color="auto"/>
              <w:right w:val="nil"/>
            </w:tcBorders>
          </w:tcPr>
          <w:p>
            <w:pPr>
              <w:pStyle w:val="nTable"/>
              <w:spacing w:after="40"/>
              <w:rPr>
                <w:iCs/>
                <w:snapToGrid w:val="0"/>
              </w:rPr>
            </w:pPr>
            <w:r>
              <w:rPr>
                <w:i/>
              </w:rPr>
              <w:t xml:space="preserve">Retirement Villages Amendment Act 2024 </w:t>
            </w:r>
            <w:r>
              <w:rPr>
                <w:iCs/>
              </w:rPr>
              <w:t>Pt. 3</w:t>
            </w:r>
          </w:p>
        </w:tc>
        <w:tc>
          <w:tcPr>
            <w:tcW w:w="1134" w:type="dxa"/>
            <w:tcBorders>
              <w:top w:val="nil"/>
              <w:left w:val="nil"/>
              <w:bottom w:val="single" w:sz="4" w:space="0" w:color="auto"/>
              <w:right w:val="nil"/>
            </w:tcBorders>
          </w:tcPr>
          <w:p>
            <w:pPr>
              <w:pStyle w:val="nTable"/>
              <w:spacing w:after="40"/>
            </w:pPr>
            <w:r>
              <w:t>42 of 2024</w:t>
            </w:r>
          </w:p>
        </w:tc>
        <w:tc>
          <w:tcPr>
            <w:tcW w:w="1134" w:type="dxa"/>
            <w:tcBorders>
              <w:top w:val="nil"/>
              <w:left w:val="nil"/>
              <w:bottom w:val="single" w:sz="4" w:space="0" w:color="auto"/>
              <w:right w:val="nil"/>
            </w:tcBorders>
          </w:tcPr>
          <w:p>
            <w:pPr>
              <w:pStyle w:val="nTable"/>
              <w:spacing w:after="40"/>
            </w:pPr>
            <w:r>
              <w:t>13 Nov 2024</w:t>
            </w:r>
          </w:p>
        </w:tc>
        <w:tc>
          <w:tcPr>
            <w:tcW w:w="2552" w:type="dxa"/>
            <w:tcBorders>
              <w:top w:val="nil"/>
              <w:left w:val="nil"/>
              <w:bottom w:val="single" w:sz="4" w:space="0" w:color="auto"/>
            </w:tcBorders>
          </w:tcPr>
          <w:p>
            <w:pPr>
              <w:pStyle w:val="nTable"/>
              <w:spacing w:after="40"/>
              <w:rPr>
                <w:snapToGrid w:val="0"/>
              </w:rPr>
            </w:pPr>
            <w:r>
              <w:rPr>
                <w:snapToGrid w:val="0"/>
              </w:rPr>
              <w:t>To be proclaimed (see s. 2(c))</w:t>
            </w:r>
          </w:p>
        </w:tc>
      </w:tr>
    </w:tbl>
    <w:p>
      <w:pPr>
        <w:pStyle w:val="nHeading3"/>
      </w:pPr>
      <w:bookmarkStart w:id="2409" w:name="_Toc201229507"/>
      <w:bookmarkStart w:id="2410" w:name="_Toc182410568"/>
      <w:r>
        <w:t>Other notes</w:t>
      </w:r>
      <w:bookmarkEnd w:id="2409"/>
      <w:bookmarkEnd w:id="2410"/>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2 Div. 1</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2 Div. 1</w:t>
      </w:r>
      <w:r>
        <w:t xml:space="preserve">. </w:t>
      </w:r>
    </w:p>
    <w:p>
      <w:pPr>
        <w:pStyle w:val="nNote"/>
        <w:keepNext/>
      </w:pPr>
      <w:r>
        <w:tab/>
        <w:t>If a modification is to:</w:t>
      </w:r>
    </w:p>
    <w:p>
      <w:pPr>
        <w:pStyle w:val="nNote"/>
        <w:keepNext/>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
        </w:numPr>
        <w:spacing w:before="0"/>
        <w:ind w:left="714" w:hanging="357"/>
      </w:pPr>
      <w:r>
        <w:t>amend a numbered provision, the amended provision is identified by the superscript 1MC appearing after the provision number.</w:t>
      </w:r>
    </w:p>
    <w:p>
      <w:pPr>
        <w:pStyle w:val="nNote"/>
        <w:spacing w:before="200"/>
      </w:pPr>
      <w:r>
        <w:rPr>
          <w:snapToGrid w:val="0"/>
          <w:vertAlign w:val="superscript"/>
        </w:rPr>
        <w:t>1</w:t>
      </w:r>
      <w:r>
        <w:rPr>
          <w:snapToGrid w:val="0"/>
          <w:vertAlign w:val="superscript"/>
        </w:rPr>
        <w:tab/>
      </w:r>
      <w:r>
        <w:t xml:space="preserve">The </w:t>
      </w:r>
      <w:r>
        <w:rPr>
          <w:i/>
        </w:rPr>
        <w:t>Mining Act 1904</w:t>
      </w:r>
      <w:r>
        <w:t xml:space="preserve"> was repealed by the </w:t>
      </w:r>
      <w:r>
        <w:rPr>
          <w:i/>
        </w:rPr>
        <w:t>Mining Act 1978</w:t>
      </w:r>
      <w:r>
        <w:t>.</w:t>
      </w:r>
    </w:p>
    <w:p>
      <w:pPr>
        <w:pStyle w:val="nNote"/>
        <w:rPr>
          <w:snapToGrid w:val="0"/>
        </w:rPr>
      </w:pPr>
      <w:r>
        <w:rPr>
          <w:snapToGrid w:val="0"/>
          <w:vertAlign w:val="superscript"/>
        </w:rPr>
        <w:t>2</w:t>
      </w:r>
      <w:r>
        <w:rPr>
          <w:snapToGrid w:val="0"/>
        </w:rPr>
        <w:tab/>
        <w:t xml:space="preserve">This section is deemed to have come into operation on 1 Dec 2011 (see the </w:t>
      </w:r>
      <w:r>
        <w:rPr>
          <w:i/>
          <w:snapToGrid w:val="0"/>
        </w:rPr>
        <w:t>Revenue Laws Amendment Act 2012</w:t>
      </w:r>
      <w:r>
        <w:rPr>
          <w:snapToGrid w:val="0"/>
        </w:rPr>
        <w:t xml:space="preserve"> s. 2(b) and Pt. 2 Div. 1 and 2).</w:t>
      </w:r>
    </w:p>
    <w:p>
      <w:pPr>
        <w:pStyle w:val="nNote"/>
        <w:rPr>
          <w:snapToGrid w:val="0"/>
        </w:rPr>
      </w:pPr>
      <w:r>
        <w:rPr>
          <w:snapToGrid w:val="0"/>
          <w:vertAlign w:val="superscript"/>
        </w:rPr>
        <w:t>3</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Note"/>
        <w:rPr>
          <w:snapToGrid w:val="0"/>
          <w:vertAlign w:val="superscript"/>
        </w:rPr>
      </w:pPr>
      <w:r>
        <w:rPr>
          <w:snapToGrid w:val="0"/>
          <w:vertAlign w:val="superscript"/>
        </w:rPr>
        <w:t>4</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Note"/>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Note"/>
        <w:rPr>
          <w:snapToGrid w:val="0"/>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Note"/>
        <w:rPr>
          <w:snapToGrid w:val="0"/>
        </w:rPr>
      </w:pPr>
      <w:r>
        <w:rPr>
          <w:snapToGrid w:val="0"/>
          <w:vertAlign w:val="superscript"/>
        </w:rPr>
        <w:t>7</w:t>
      </w:r>
      <w:r>
        <w:rPr>
          <w:snapToGrid w:val="0"/>
        </w:rPr>
        <w:tab/>
        <w:t xml:space="preserve">This clause is deemed to have come into operation on 13 Jun 2019 (see the </w:t>
      </w:r>
      <w:r>
        <w:rPr>
          <w:i/>
          <w:snapToGrid w:val="0"/>
        </w:rPr>
        <w:t>Duties Amendment Act 2022</w:t>
      </w:r>
      <w:r>
        <w:rPr>
          <w:snapToGrid w:val="0"/>
        </w:rPr>
        <w:t xml:space="preserve"> s. 2(c) and Pt. 4).</w:t>
      </w:r>
    </w:p>
    <w:p/>
    <w:p>
      <w:pPr>
        <w:sectPr>
          <w:headerReference w:type="even" r:id="rId32"/>
          <w:headerReference w:type="default" r:id="rId3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412" w:author="Master Repository Process" w:date="2025-06-19T17:03:00Z">
                              <w:r>
                                <w:rPr>
                                  <w:sz w:val="16"/>
                                </w:rPr>
                                <w:delText>2024</w:delText>
                              </w:r>
                            </w:del>
                            <w:ins w:id="2413" w:author="Master Repository Process" w:date="2025-06-19T17:0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414" w:author="Master Repository Process" w:date="2025-06-19T17:03:00Z">
                              <w:r>
                                <w:rPr>
                                  <w:sz w:val="16"/>
                                </w:rPr>
                                <w:delText>2024</w:delText>
                              </w:r>
                            </w:del>
                            <w:ins w:id="2415" w:author="Master Repository Process" w:date="2025-06-19T17:0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416" w:author="Master Repository Process" w:date="2025-06-19T17:03:00Z">
                        <w:r>
                          <w:rPr>
                            <w:sz w:val="16"/>
                          </w:rPr>
                          <w:delText>2024</w:delText>
                        </w:r>
                      </w:del>
                      <w:ins w:id="2417" w:author="Master Repository Process" w:date="2025-06-19T17:0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418" w:author="Master Repository Process" w:date="2025-06-19T17:03:00Z">
                        <w:r>
                          <w:rPr>
                            <w:sz w:val="16"/>
                          </w:rPr>
                          <w:delText>2024</w:delText>
                        </w:r>
                      </w:del>
                      <w:ins w:id="2419" w:author="Master Repository Process" w:date="2025-06-19T17:0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03-w0-00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Chapter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separate"/>
          </w:r>
          <w:r>
            <w:rPr>
              <w:b/>
            </w:rPr>
            <w:t>Chapter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896" w:name="Schedule"/>
    <w:bookmarkEnd w:id="18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411" w:name="Compilation"/>
    <w:bookmarkEnd w:id="241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20" w:name="Coversheet"/>
    <w:bookmarkEnd w:id="24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64" w:dllVersion="6" w:nlCheck="1" w:checkStyle="1"/>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fr-FR" w:vendorID="64" w:dllVersion="6" w:nlCheck="1" w:checkStyle="1"/>
  <w:activeWritingStyle w:appName="MSWord" w:lang="en-AU" w:vendorID="64" w:dllVersion="4096" w:nlCheck="1" w:checkStyle="0"/>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19092712"/>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 w:name="WAFER_20170203152131" w:val="RemoveTocBookmarks,RemoveUnusedBookmarks,RemoveLanguageTags,UpdateStyles,UsedStyles,ResetPageSize"/>
    <w:docVar w:name="WAFER_20170203152131_GUID" w:val="5eaa8ade-72da-4888-aec0-2cfbf7af73bc"/>
    <w:docVar w:name="WAFER_20181120151031" w:val="RemoveTocBookmarks,RemoveUnusedBookmarks,RemoveLanguageTags,UsedStyles,ResetPageSize"/>
    <w:docVar w:name="WAFER_20181120151031_GUID" w:val="862a12b9-6b46-4d68-b47e-2c0372137239"/>
    <w:docVar w:name="WAFER_20190614134952" w:val="RemoveTocBookmarks,RemoveUnusedBookmarks,RemoveLanguageTags,ResetPageSize,RunningHeaders,UpdateStyles,UsedStyles"/>
    <w:docVar w:name="WAFER_20190614134952_GUID" w:val="1bc388d9-46ac-4796-b327-1581e4e02c45"/>
    <w:docVar w:name="WAFER_2020021311084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844_GUID" w:val="c6e09ab2-19a2-46bd-ae03-d8df75a13f7f"/>
    <w:docVar w:name="WAFER_20200220085645" w:val="RemoveTocBookmarks.RemoveBookmarks,RemoveUnusedBookmarks.RemoveBookmarks,RemoveLanguageTags.RemoveTags,RemoveSmartTags.RemoveTags,ResetPageSize.Reset,RunningHeaders.Run,UpdateStyles.ProcessFixes,UpdateStyles.ProcessFixes,RemoveIncorrectStyles.ProcessStyles"/>
    <w:docVar w:name="WAFER_20200220085645_GUID" w:val="272940fb-891f-4f1c-86a5-8f904107b604"/>
    <w:docVar w:name="WAFER_20210615101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636_GUID" w:val="d4610594-3aa4-4c4a-a3f3-4741495a3180"/>
    <w:docVar w:name="WAFER_2021062312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5427_GUID" w:val="b28e3019-6697-4137-8947-49f312f7975b"/>
    <w:docVar w:name="WAFER_202201120911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2091123_GUID" w:val="57e4f918-109e-4d46-8f41-0b87b5b39a37"/>
    <w:docVar w:name="WAFER_202205240951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5144_GUID" w:val="60e72466-bfe1-458f-9fa5-850ac96edac1"/>
    <w:docVar w:name="WAFER_20220830090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30090840_GUID" w:val="f1899116-2d1e-4141-8c70-ff5eb629ca86"/>
    <w:docVar w:name="WAFER_202209200930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093012_GUID" w:val="338da48e-2595-43ce-b299-1cc2e73dfd46"/>
    <w:docVar w:name="WAFER_202211010934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093432_GUID" w:val="233ff7ce-c9df-489d-8e20-3d2b725c48ce"/>
    <w:docVar w:name="WAFER_20221101095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095535_GUID" w:val="2fe0d031-05c5-4d93-8020-c3bfacafc189"/>
    <w:docVar w:name="WAFER_202303241158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15848_GUID" w:val="54710fa7-fec0-46d5-980f-70bfe78fab1d"/>
    <w:docVar w:name="WAFER_202308091153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15346_GUID" w:val="75111f6a-0994-4ab1-82b7-0e6c505d9724"/>
    <w:docVar w:name="WAFER_20231019133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33340_GUID" w:val="9fda48f3-f115-468d-a511-cb9858c7ede0"/>
    <w:docVar w:name="WAFER_20231128084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8084608_GUID" w:val="62f97a45-3ddf-4242-8585-abb5b6b3a57e"/>
    <w:docVar w:name="WAFER_20231222094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4129_GUID" w:val="ec10e064-9d5c-4449-af5e-5bb715f88491"/>
    <w:docVar w:name="WAFER_20240314162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252_GUID" w:val="c0a1f7b2-5e95-41a4-bf93-8eb4314a3d79"/>
    <w:docVar w:name="WAFER_20240606110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10236_GUID" w:val="bf2873d8-d8e1-4bc8-b892-bfd7a0122e41"/>
    <w:docVar w:name="WAFER_20240823125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3125449_GUID" w:val="6d68465b-1bea-4db9-9141-b4f5e95e0c01"/>
    <w:docVar w:name="WAFER_202408231302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3130221_GUID" w:val="756f641d-6d19-42df-870f-eed50f8083ac"/>
    <w:docVar w:name="WAFER_202411131105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3110524_GUID" w:val="3e30ae4b-e624-4058-a649-1ad949471936"/>
    <w:docVar w:name="WAFER_202506190927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9092712_GUID" w:val="26c2a03b-4438-4079-8ccb-221f4efa95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SignatureText">
    <w:name w:val="SignatureText"/>
    <w:basedOn w:val="Normal"/>
  </w:style>
  <w:style w:type="paragraph" w:customStyle="1" w:styleId="CharSc">
    <w:name w:val="CharSc"/>
    <w:basedOn w:val="yHeading5"/>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65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footer" Target="footer6.xml"/><Relationship Id="rId39" Type="http://schemas.openxmlformats.org/officeDocument/2006/relationships/footer" Target="footer9.xml"/><Relationship Id="rId21" Type="http://schemas.openxmlformats.org/officeDocument/2006/relationships/header" Target="header4.xml"/><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image" Target="media/image8.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header" Target="header11.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header" Target="header1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6.xml"/><Relationship Id="rId33" Type="http://schemas.openxmlformats.org/officeDocument/2006/relationships/header" Target="header12.xml"/><Relationship Id="rId38"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83873-56AD-4625-8A0E-5C5749AAD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110264</Words>
  <Characters>539191</Characters>
  <Application>Microsoft Office Word</Application>
  <DocSecurity>0</DocSecurity>
  <Lines>14572</Lines>
  <Paragraphs>7640</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641815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03-v0-00 - 03-w0-00</dc:title>
  <dc:subject/>
  <dc:creator/>
  <cp:keywords/>
  <dc:description/>
  <cp:lastModifiedBy>Master Repository Process</cp:lastModifiedBy>
  <cp:revision>2</cp:revision>
  <cp:lastPrinted>2021-06-24T01:24:00Z</cp:lastPrinted>
  <dcterms:created xsi:type="dcterms:W3CDTF">2025-06-19T09:00:00Z</dcterms:created>
  <dcterms:modified xsi:type="dcterms:W3CDTF">2025-06-19T09:03:00Z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20250620</vt:lpwstr>
  </property>
  <property fmtid="{D5CDD505-2E9C-101B-9397-08002B2CF9AE}" pid="9" name="CommencementAsAt">
    <vt:filetime>2025-06-19T16:00:00Z</vt:filetime>
  </property>
  <property fmtid="{D5CDD505-2E9C-101B-9397-08002B2CF9AE}" pid="10" name="CommencementYear">
    <vt:lpwstr>2025</vt:lpwstr>
  </property>
  <property fmtid="{D5CDD505-2E9C-101B-9397-08002B2CF9AE}" pid="11" name="FromSuffix">
    <vt:lpwstr>03-v0-00</vt:lpwstr>
  </property>
  <property fmtid="{D5CDD505-2E9C-101B-9397-08002B2CF9AE}" pid="12" name="FromAsAtDate">
    <vt:lpwstr>13 Nov 2024</vt:lpwstr>
  </property>
  <property fmtid="{D5CDD505-2E9C-101B-9397-08002B2CF9AE}" pid="13" name="ToSuffix">
    <vt:lpwstr>03-w0-00</vt:lpwstr>
  </property>
  <property fmtid="{D5CDD505-2E9C-101B-9397-08002B2CF9AE}" pid="14" name="ToAsAtDate">
    <vt:lpwstr>20 Jun 2025</vt:lpwstr>
  </property>
</Properties>
</file>